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180" w:hanging="215"/>
        <w:spacing w:after="0"/>
        <w:tabs>
          <w:tab w:leader="none" w:pos="3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17"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2021</w:t>
      </w:r>
    </w:p>
    <w:p>
      <w:pPr>
        <w:spacing w:after="0" w:line="200" w:lineRule="exact"/>
        <w:rPr>
          <w:sz w:val="24"/>
          <w:szCs w:val="24"/>
          <w:color w:val="auto"/>
        </w:rPr>
      </w:pPr>
    </w:p>
    <w:p>
      <w:pPr>
        <w:spacing w:after="0" w:line="241" w:lineRule="exact"/>
        <w:rPr>
          <w:sz w:val="24"/>
          <w:szCs w:val="24"/>
          <w:color w:val="auto"/>
        </w:rPr>
      </w:pPr>
    </w:p>
    <w:p>
      <w:pPr>
        <w:ind w:left="3180" w:hanging="218"/>
        <w:spacing w:after="0"/>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760" w:right="362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109220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Honeywell International Inc</w:t>
      </w:r>
      <w:r>
        <w:rPr>
          <w:rFonts w:ascii="Arial" w:cs="Arial" w:eastAsia="Arial" w:hAnsi="Arial"/>
          <w:sz w:val="17"/>
          <w:szCs w:val="17"/>
          <w:b w:val="1"/>
          <w:bCs w:val="1"/>
          <w:color w:val="auto"/>
        </w:rPr>
        <w: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99"/>
              </w:rPr>
              <w:t>Delaware</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22-2640650</w:t>
            </w:r>
          </w:p>
        </w:tc>
        <w:tc>
          <w:tcPr>
            <w:tcW w:w="62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182"/>
        </w:trPr>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80" w:type="dxa"/>
            <w:vAlign w:val="bottom"/>
            <w:gridSpan w:val="3"/>
          </w:tcPr>
          <w:p>
            <w:pPr>
              <w:jc w:val="center"/>
              <w:ind w:left="230"/>
              <w:spacing w:after="0" w:line="182" w:lineRule="exact"/>
              <w:rPr>
                <w:sz w:val="20"/>
                <w:szCs w:val="20"/>
                <w:color w:val="auto"/>
              </w:rPr>
            </w:pPr>
            <w:r>
              <w:rPr>
                <w:rFonts w:ascii="Arial" w:cs="Arial" w:eastAsia="Arial" w:hAnsi="Arial"/>
                <w:sz w:val="18"/>
                <w:szCs w:val="18"/>
                <w:color w:val="auto"/>
                <w:w w:val="99"/>
              </w:rPr>
              <w:t>(State or other jurisdiction of</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60" w:type="dxa"/>
            <w:vAlign w:val="bottom"/>
            <w:gridSpan w:val="3"/>
          </w:tcPr>
          <w:p>
            <w:pPr>
              <w:jc w:val="center"/>
              <w:ind w:right="2260"/>
              <w:spacing w:after="0" w:line="182" w:lineRule="exact"/>
              <w:rPr>
                <w:sz w:val="20"/>
                <w:szCs w:val="20"/>
                <w:color w:val="auto"/>
              </w:rPr>
            </w:pPr>
            <w:r>
              <w:rPr>
                <w:rFonts w:ascii="Arial" w:cs="Arial" w:eastAsia="Arial" w:hAnsi="Arial"/>
                <w:sz w:val="18"/>
                <w:szCs w:val="18"/>
                <w:color w:val="auto"/>
                <w:w w:val="99"/>
              </w:rPr>
              <w:t>(I.R.S. Employer</w:t>
            </w:r>
          </w:p>
        </w:tc>
      </w:tr>
      <w:tr>
        <w:trPr>
          <w:trHeight w:val="217"/>
        </w:trPr>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incorporation or organization)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60" w:type="dxa"/>
            <w:vAlign w:val="bottom"/>
            <w:gridSpan w:val="3"/>
          </w:tcPr>
          <w:p>
            <w:pPr>
              <w:jc w:val="center"/>
              <w:ind w:right="2260"/>
              <w:spacing w:after="0"/>
              <w:rPr>
                <w:sz w:val="20"/>
                <w:szCs w:val="20"/>
                <w:color w:val="auto"/>
              </w:rPr>
            </w:pPr>
            <w:r>
              <w:rPr>
                <w:rFonts w:ascii="Arial" w:cs="Arial" w:eastAsia="Arial" w:hAnsi="Arial"/>
                <w:sz w:val="18"/>
                <w:szCs w:val="18"/>
                <w:color w:val="auto"/>
                <w:w w:val="99"/>
              </w:rPr>
              <w:t>Identification No.)</w:t>
            </w:r>
          </w:p>
        </w:tc>
      </w:tr>
      <w:tr>
        <w:trPr>
          <w:trHeight w:val="310"/>
        </w:trPr>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gridSpan w:val="3"/>
          </w:tcPr>
          <w:p>
            <w:pPr>
              <w:jc w:val="center"/>
              <w:ind w:left="230"/>
              <w:spacing w:after="0"/>
              <w:rPr>
                <w:sz w:val="20"/>
                <w:szCs w:val="20"/>
                <w:color w:val="auto"/>
              </w:rPr>
            </w:pPr>
            <w:r>
              <w:rPr>
                <w:rFonts w:ascii="Arial" w:cs="Arial" w:eastAsia="Arial" w:hAnsi="Arial"/>
                <w:sz w:val="18"/>
                <w:szCs w:val="18"/>
                <w:color w:val="auto"/>
                <w:w w:val="98"/>
              </w:rPr>
              <w:t>300 South Tryon Street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12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rPr>
              <w:t>Charlotte, NC</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28202</w:t>
            </w:r>
          </w:p>
        </w:tc>
        <w:tc>
          <w:tcPr>
            <w:tcW w:w="620" w:type="dxa"/>
            <w:vAlign w:val="bottom"/>
            <w:tcBorders>
              <w:bottom w:val="single" w:sz="8" w:color="auto"/>
            </w:tcBorders>
          </w:tcPr>
          <w:p>
            <w:pPr>
              <w:spacing w:after="0"/>
              <w:rPr>
                <w:sz w:val="22"/>
                <w:szCs w:val="22"/>
                <w:color w:val="auto"/>
              </w:rPr>
            </w:pPr>
          </w:p>
        </w:tc>
        <w:tc>
          <w:tcPr>
            <w:tcW w:w="1160" w:type="dxa"/>
            <w:vAlign w:val="bottom"/>
          </w:tcPr>
          <w:p>
            <w:pPr>
              <w:spacing w:after="0"/>
              <w:rPr>
                <w:sz w:val="22"/>
                <w:szCs w:val="22"/>
                <w:color w:val="auto"/>
              </w:rPr>
            </w:pPr>
          </w:p>
        </w:tc>
      </w:tr>
      <w:tr>
        <w:trPr>
          <w:trHeight w:val="223"/>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80" w:type="dxa"/>
            <w:vAlign w:val="bottom"/>
            <w:gridSpan w:val="8"/>
          </w:tcPr>
          <w:p>
            <w:pPr>
              <w:jc w:val="center"/>
              <w:ind w:right="1780"/>
              <w:spacing w:after="0"/>
              <w:rPr>
                <w:sz w:val="20"/>
                <w:szCs w:val="20"/>
                <w:color w:val="auto"/>
              </w:rPr>
            </w:pPr>
            <w:r>
              <w:rPr>
                <w:rFonts w:ascii="Arial" w:cs="Arial" w:eastAsia="Arial" w:hAnsi="Arial"/>
                <w:sz w:val="18"/>
                <w:szCs w:val="18"/>
                <w:color w:val="auto"/>
                <w:w w:val="99"/>
              </w:rPr>
              <w:t>(Address of principal executive offices)</w:t>
            </w:r>
          </w:p>
        </w:tc>
        <w:tc>
          <w:tcPr>
            <w:tcW w:w="4460" w:type="dxa"/>
            <w:vAlign w:val="bottom"/>
            <w:gridSpan w:val="3"/>
          </w:tcPr>
          <w:p>
            <w:pPr>
              <w:jc w:val="center"/>
              <w:ind w:right="2260"/>
              <w:spacing w:after="0"/>
              <w:rPr>
                <w:sz w:val="20"/>
                <w:szCs w:val="20"/>
                <w:color w:val="auto"/>
              </w:rPr>
            </w:pPr>
            <w:r>
              <w:rPr>
                <w:rFonts w:ascii="Arial" w:cs="Arial" w:eastAsia="Arial" w:hAnsi="Arial"/>
                <w:sz w:val="18"/>
                <w:szCs w:val="18"/>
                <w:color w:val="auto"/>
                <w:w w:val="98"/>
              </w:rPr>
              <w:t>(Zip Code)</w:t>
            </w:r>
          </w:p>
        </w:tc>
      </w:tr>
      <w:tr>
        <w:trPr>
          <w:trHeight w:val="338"/>
        </w:trPr>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color w:val="auto"/>
              </w:rPr>
              <w:t>(704) 627-6200</w:t>
            </w:r>
          </w:p>
        </w:tc>
        <w:tc>
          <w:tcPr>
            <w:tcW w:w="26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40" w:type="dxa"/>
            <w:vAlign w:val="bottom"/>
            <w:gridSpan w:val="11"/>
          </w:tcPr>
          <w:p>
            <w:pPr>
              <w:jc w:val="center"/>
              <w:ind w:right="178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83"/>
        </w:trPr>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9"/>
              </w:rPr>
              <w:t>Not Applicable</w:t>
            </w:r>
          </w:p>
        </w:tc>
        <w:tc>
          <w:tcPr>
            <w:tcW w:w="26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40" w:type="dxa"/>
            <w:vAlign w:val="bottom"/>
            <w:gridSpan w:val="11"/>
          </w:tcPr>
          <w:p>
            <w:pPr>
              <w:jc w:val="center"/>
              <w:ind w:right="1800"/>
              <w:spacing w:after="0" w:line="182" w:lineRule="exact"/>
              <w:rPr>
                <w:sz w:val="20"/>
                <w:szCs w:val="20"/>
                <w:color w:val="auto"/>
              </w:rPr>
            </w:pPr>
            <w:r>
              <w:rPr>
                <w:rFonts w:ascii="Arial" w:cs="Arial" w:eastAsia="Arial" w:hAnsi="Arial"/>
                <w:sz w:val="18"/>
                <w:szCs w:val="18"/>
                <w:color w:val="auto"/>
                <w:w w:val="99"/>
              </w:rPr>
              <w:t>(Former name, former address and former fiscal year,</w:t>
            </w:r>
          </w:p>
        </w:tc>
      </w:tr>
      <w:tr>
        <w:trPr>
          <w:trHeight w:val="217"/>
        </w:trPr>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6"/>
          </w:tcPr>
          <w:p>
            <w:pPr>
              <w:jc w:val="center"/>
              <w:ind w:right="20"/>
              <w:spacing w:after="0"/>
              <w:rPr>
                <w:sz w:val="20"/>
                <w:szCs w:val="20"/>
                <w:color w:val="auto"/>
              </w:rPr>
            </w:pPr>
            <w:r>
              <w:rPr>
                <w:rFonts w:ascii="Arial" w:cs="Arial" w:eastAsia="Arial" w:hAnsi="Arial"/>
                <w:sz w:val="18"/>
                <w:szCs w:val="18"/>
                <w:color w:val="auto"/>
                <w:w w:val="99"/>
              </w:rPr>
              <w:t>if changed since last report)</w:t>
            </w:r>
          </w:p>
        </w:tc>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24"/>
        </w:trPr>
        <w:tc>
          <w:tcPr>
            <w:tcW w:w="466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3"/>
        </w:trPr>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1140"/>
              <w:spacing w:after="0"/>
              <w:rPr>
                <w:sz w:val="20"/>
                <w:szCs w:val="20"/>
                <w:color w:val="auto"/>
              </w:rPr>
            </w:pPr>
            <w:r>
              <w:rPr>
                <w:rFonts w:ascii="Arial" w:cs="Arial" w:eastAsia="Arial" w:hAnsi="Arial"/>
                <w:sz w:val="18"/>
                <w:szCs w:val="18"/>
                <w:color w:val="auto"/>
                <w:w w:val="98"/>
              </w:rPr>
              <w:t>Trading</w:t>
            </w:r>
          </w:p>
        </w:tc>
        <w:tc>
          <w:tcPr>
            <w:tcW w:w="2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7"/>
        </w:trPr>
        <w:tc>
          <w:tcPr>
            <w:tcW w:w="1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center"/>
              <w:ind w:right="1110"/>
              <w:spacing w:after="0"/>
              <w:rPr>
                <w:sz w:val="20"/>
                <w:szCs w:val="20"/>
                <w:color w:val="auto"/>
              </w:rPr>
            </w:pPr>
            <w:r>
              <w:rPr>
                <w:rFonts w:ascii="Arial" w:cs="Arial" w:eastAsia="Arial" w:hAnsi="Arial"/>
                <w:sz w:val="18"/>
                <w:szCs w:val="18"/>
                <w:color w:val="auto"/>
                <w:w w:val="99"/>
              </w:rPr>
              <w:t>Title of each class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8"/>
              </w:rPr>
              <w:t>Symbol(s)</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660" w:type="dxa"/>
            <w:vAlign w:val="bottom"/>
            <w:gridSpan w:val="5"/>
          </w:tcPr>
          <w:p>
            <w:pPr>
              <w:jc w:val="center"/>
              <w:ind w:right="210"/>
              <w:spacing w:after="0"/>
              <w:rPr>
                <w:sz w:val="20"/>
                <w:szCs w:val="20"/>
                <w:color w:val="auto"/>
              </w:rPr>
            </w:pPr>
            <w:r>
              <w:rPr>
                <w:rFonts w:ascii="Arial" w:cs="Arial" w:eastAsia="Arial" w:hAnsi="Arial"/>
                <w:sz w:val="18"/>
                <w:szCs w:val="18"/>
                <w:color w:val="auto"/>
                <w:w w:val="99"/>
              </w:rPr>
              <w:t>Common Stock, par value $1 per share*</w:t>
            </w:r>
          </w:p>
        </w:tc>
        <w:tc>
          <w:tcPr>
            <w:tcW w:w="2100" w:type="dxa"/>
            <w:vAlign w:val="bottom"/>
            <w:gridSpan w:val="5"/>
          </w:tcPr>
          <w:p>
            <w:pPr>
              <w:jc w:val="center"/>
              <w:ind w:right="1140"/>
              <w:spacing w:after="0"/>
              <w:rPr>
                <w:sz w:val="20"/>
                <w:szCs w:val="20"/>
                <w:color w:val="auto"/>
              </w:rPr>
            </w:pPr>
            <w:r>
              <w:rPr>
                <w:rFonts w:ascii="Arial" w:cs="Arial" w:eastAsia="Arial" w:hAnsi="Arial"/>
                <w:sz w:val="18"/>
                <w:szCs w:val="18"/>
                <w:color w:val="auto"/>
                <w:w w:val="99"/>
              </w:rPr>
              <w:t>HON</w:t>
            </w:r>
          </w:p>
        </w:tc>
        <w:tc>
          <w:tcPr>
            <w:tcW w:w="446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4660" w:type="dxa"/>
            <w:vAlign w:val="bottom"/>
            <w:gridSpan w:val="5"/>
          </w:tcPr>
          <w:p>
            <w:pPr>
              <w:jc w:val="center"/>
              <w:ind w:right="190"/>
              <w:spacing w:after="0"/>
              <w:rPr>
                <w:sz w:val="20"/>
                <w:szCs w:val="20"/>
                <w:color w:val="auto"/>
              </w:rPr>
            </w:pPr>
            <w:r>
              <w:rPr>
                <w:rFonts w:ascii="Arial" w:cs="Arial" w:eastAsia="Arial" w:hAnsi="Arial"/>
                <w:sz w:val="18"/>
                <w:szCs w:val="18"/>
                <w:color w:val="auto"/>
                <w:w w:val="99"/>
              </w:rPr>
              <w:t>1.300% Senior Notes due 2023</w:t>
            </w:r>
          </w:p>
        </w:tc>
        <w:tc>
          <w:tcPr>
            <w:tcW w:w="2100" w:type="dxa"/>
            <w:vAlign w:val="bottom"/>
            <w:gridSpan w:val="5"/>
          </w:tcPr>
          <w:p>
            <w:pPr>
              <w:jc w:val="center"/>
              <w:ind w:right="1140"/>
              <w:spacing w:after="0"/>
              <w:rPr>
                <w:sz w:val="20"/>
                <w:szCs w:val="20"/>
                <w:color w:val="auto"/>
              </w:rPr>
            </w:pPr>
            <w:r>
              <w:rPr>
                <w:rFonts w:ascii="Arial" w:cs="Arial" w:eastAsia="Arial" w:hAnsi="Arial"/>
                <w:sz w:val="18"/>
                <w:szCs w:val="18"/>
                <w:color w:val="auto"/>
                <w:w w:val="98"/>
              </w:rPr>
              <w:t>HON 23A</w:t>
            </w:r>
          </w:p>
        </w:tc>
        <w:tc>
          <w:tcPr>
            <w:tcW w:w="446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The NASDAQ Stock Market LLC</w:t>
            </w:r>
          </w:p>
        </w:tc>
      </w:tr>
      <w:tr>
        <w:trPr>
          <w:trHeight w:val="229"/>
        </w:trPr>
        <w:tc>
          <w:tcPr>
            <w:tcW w:w="4660" w:type="dxa"/>
            <w:vAlign w:val="bottom"/>
            <w:gridSpan w:val="5"/>
          </w:tcPr>
          <w:p>
            <w:pPr>
              <w:jc w:val="center"/>
              <w:ind w:right="190"/>
              <w:spacing w:after="0"/>
              <w:rPr>
                <w:sz w:val="20"/>
                <w:szCs w:val="20"/>
                <w:color w:val="auto"/>
              </w:rPr>
            </w:pPr>
            <w:r>
              <w:rPr>
                <w:rFonts w:ascii="Arial" w:cs="Arial" w:eastAsia="Arial" w:hAnsi="Arial"/>
                <w:sz w:val="18"/>
                <w:szCs w:val="18"/>
                <w:color w:val="auto"/>
                <w:w w:val="99"/>
              </w:rPr>
              <w:t>0.000% Senior Notes due 2024</w:t>
            </w:r>
          </w:p>
        </w:tc>
        <w:tc>
          <w:tcPr>
            <w:tcW w:w="2100" w:type="dxa"/>
            <w:vAlign w:val="bottom"/>
            <w:gridSpan w:val="5"/>
          </w:tcPr>
          <w:p>
            <w:pPr>
              <w:jc w:val="center"/>
              <w:ind w:right="1140"/>
              <w:spacing w:after="0"/>
              <w:rPr>
                <w:sz w:val="20"/>
                <w:szCs w:val="20"/>
                <w:color w:val="auto"/>
              </w:rPr>
            </w:pPr>
            <w:r>
              <w:rPr>
                <w:rFonts w:ascii="Arial" w:cs="Arial" w:eastAsia="Arial" w:hAnsi="Arial"/>
                <w:sz w:val="18"/>
                <w:szCs w:val="18"/>
                <w:color w:val="auto"/>
                <w:w w:val="98"/>
              </w:rPr>
              <w:t>HON 24A</w:t>
            </w:r>
          </w:p>
        </w:tc>
        <w:tc>
          <w:tcPr>
            <w:tcW w:w="446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4660" w:type="dxa"/>
            <w:vAlign w:val="bottom"/>
            <w:gridSpan w:val="5"/>
          </w:tcPr>
          <w:p>
            <w:pPr>
              <w:jc w:val="center"/>
              <w:ind w:right="190"/>
              <w:spacing w:after="0"/>
              <w:rPr>
                <w:sz w:val="20"/>
                <w:szCs w:val="20"/>
                <w:color w:val="auto"/>
              </w:rPr>
            </w:pPr>
            <w:r>
              <w:rPr>
                <w:rFonts w:ascii="Arial" w:cs="Arial" w:eastAsia="Arial" w:hAnsi="Arial"/>
                <w:sz w:val="18"/>
                <w:szCs w:val="18"/>
                <w:color w:val="auto"/>
                <w:w w:val="99"/>
              </w:rPr>
              <w:t>2.250% Senior Notes due 2028</w:t>
            </w:r>
          </w:p>
        </w:tc>
        <w:tc>
          <w:tcPr>
            <w:tcW w:w="2100" w:type="dxa"/>
            <w:vAlign w:val="bottom"/>
            <w:gridSpan w:val="5"/>
          </w:tcPr>
          <w:p>
            <w:pPr>
              <w:jc w:val="center"/>
              <w:ind w:right="1140"/>
              <w:spacing w:after="0"/>
              <w:rPr>
                <w:sz w:val="20"/>
                <w:szCs w:val="20"/>
                <w:color w:val="auto"/>
              </w:rPr>
            </w:pPr>
            <w:r>
              <w:rPr>
                <w:rFonts w:ascii="Arial" w:cs="Arial" w:eastAsia="Arial" w:hAnsi="Arial"/>
                <w:sz w:val="18"/>
                <w:szCs w:val="18"/>
                <w:color w:val="auto"/>
                <w:w w:val="98"/>
              </w:rPr>
              <w:t>HON 28A</w:t>
            </w:r>
          </w:p>
        </w:tc>
        <w:tc>
          <w:tcPr>
            <w:tcW w:w="446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The NASDAQ Stock Market LLC</w:t>
            </w:r>
          </w:p>
        </w:tc>
      </w:tr>
      <w:tr>
        <w:trPr>
          <w:trHeight w:val="230"/>
        </w:trPr>
        <w:tc>
          <w:tcPr>
            <w:tcW w:w="4660" w:type="dxa"/>
            <w:vAlign w:val="bottom"/>
            <w:gridSpan w:val="5"/>
          </w:tcPr>
          <w:p>
            <w:pPr>
              <w:jc w:val="center"/>
              <w:ind w:right="190"/>
              <w:spacing w:after="0"/>
              <w:rPr>
                <w:sz w:val="20"/>
                <w:szCs w:val="20"/>
                <w:color w:val="auto"/>
              </w:rPr>
            </w:pPr>
            <w:r>
              <w:rPr>
                <w:rFonts w:ascii="Arial" w:cs="Arial" w:eastAsia="Arial" w:hAnsi="Arial"/>
                <w:sz w:val="18"/>
                <w:szCs w:val="18"/>
                <w:color w:val="auto"/>
                <w:w w:val="99"/>
              </w:rPr>
              <w:t>0.750% Senior Notes due 2032</w:t>
            </w:r>
          </w:p>
        </w:tc>
        <w:tc>
          <w:tcPr>
            <w:tcW w:w="2100" w:type="dxa"/>
            <w:vAlign w:val="bottom"/>
            <w:gridSpan w:val="5"/>
          </w:tcPr>
          <w:p>
            <w:pPr>
              <w:jc w:val="center"/>
              <w:ind w:right="1140"/>
              <w:spacing w:after="0"/>
              <w:rPr>
                <w:sz w:val="20"/>
                <w:szCs w:val="20"/>
                <w:color w:val="auto"/>
              </w:rPr>
            </w:pPr>
            <w:r>
              <w:rPr>
                <w:rFonts w:ascii="Arial" w:cs="Arial" w:eastAsia="Arial" w:hAnsi="Arial"/>
                <w:sz w:val="18"/>
                <w:szCs w:val="18"/>
                <w:color w:val="auto"/>
                <w:w w:val="98"/>
              </w:rPr>
              <w:t>HON 32</w:t>
            </w:r>
          </w:p>
        </w:tc>
        <w:tc>
          <w:tcPr>
            <w:tcW w:w="446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The NASDAQ Stock Market LLC</w:t>
            </w:r>
          </w:p>
        </w:tc>
      </w:tr>
    </w:tbl>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260"/>
              <w:spacing w:after="0"/>
              <w:rPr>
                <w:sz w:val="20"/>
                <w:szCs w:val="20"/>
                <w:color w:val="auto"/>
              </w:rPr>
            </w:pPr>
            <w:r>
              <w:rPr>
                <w:rFonts w:ascii="Arial" w:cs="Arial" w:eastAsia="Arial" w:hAnsi="Arial"/>
                <w:sz w:val="18"/>
                <w:szCs w:val="18"/>
                <w:color w:val="auto"/>
              </w:rPr>
              <w:t>x</w:t>
            </w:r>
          </w:p>
        </w:tc>
        <w:tc>
          <w:tcPr>
            <w:tcW w:w="388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8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690,399,265 shares of Common Stock outstanding at 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690" w:gutter="0" w:footer="0" w:header="0"/>
        </w:sectPr>
      </w:pPr>
    </w:p>
    <w:bookmarkStart w:id="1" w:name="page2"/>
    <w:bookmarkEnd w:id="1"/>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vMerge w:val="restart"/>
          </w:tcPr>
          <w:p>
            <w:pPr>
              <w:ind w:left="20"/>
              <w:spacing w:after="0"/>
              <w:rPr>
                <w:rFonts w:ascii="Arial" w:cs="Arial" w:eastAsia="Arial" w:hAnsi="Arial"/>
                <w:sz w:val="18"/>
                <w:szCs w:val="18"/>
                <w:b w:val="1"/>
                <w:bCs w:val="1"/>
                <w:color w:val="DC202E"/>
              </w:rPr>
            </w:pPr>
            <w:hyperlink w:anchor="page2">
              <w:r>
                <w:rPr>
                  <w:rFonts w:ascii="Arial" w:cs="Arial" w:eastAsia="Arial" w:hAnsi="Arial"/>
                  <w:sz w:val="18"/>
                  <w:szCs w:val="18"/>
                  <w:b w:val="1"/>
                  <w:bCs w:val="1"/>
                  <w:color w:val="DC202E"/>
                </w:rPr>
                <w:t>PART I</w:t>
              </w:r>
            </w:hyperlink>
          </w:p>
        </w:tc>
        <w:tc>
          <w:tcPr>
            <w:tcW w:w="8780" w:type="dxa"/>
            <w:vAlign w:val="bottom"/>
            <w:vMerge w:val="restart"/>
          </w:tcPr>
          <w:p>
            <w:pPr>
              <w:ind w:left="20"/>
              <w:spacing w:after="0"/>
              <w:rPr>
                <w:rFonts w:ascii="Arial" w:cs="Arial" w:eastAsia="Arial" w:hAnsi="Arial"/>
                <w:sz w:val="18"/>
                <w:szCs w:val="18"/>
                <w:b w:val="1"/>
                <w:bCs w:val="1"/>
                <w:color w:val="DC202E"/>
              </w:rPr>
            </w:pPr>
            <w:hyperlink w:anchor="page2">
              <w:r>
                <w:rPr>
                  <w:rFonts w:ascii="Arial" w:cs="Arial" w:eastAsia="Arial" w:hAnsi="Arial"/>
                  <w:sz w:val="18"/>
                  <w:szCs w:val="18"/>
                  <w:b w:val="1"/>
                  <w:bCs w:val="1"/>
                  <w:color w:val="DC202E"/>
                </w:rPr>
                <w:t>Financial Information</w:t>
              </w:r>
            </w:hyperlink>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Page No.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DC202E"/>
            </w:tcBorders>
            <w:vMerge w:val="continue"/>
          </w:tcPr>
          <w:p>
            <w:pPr>
              <w:spacing w:after="0"/>
              <w:rPr>
                <w:sz w:val="22"/>
                <w:szCs w:val="22"/>
                <w:color w:val="auto"/>
              </w:rPr>
            </w:pPr>
          </w:p>
        </w:tc>
        <w:tc>
          <w:tcPr>
            <w:tcW w:w="8780" w:type="dxa"/>
            <w:vAlign w:val="bottom"/>
            <w:tcBorders>
              <w:bottom w:val="single" w:sz="8" w:color="DC202E"/>
            </w:tcBorders>
            <w:vMerge w:val="continue"/>
          </w:tcPr>
          <w:p>
            <w:pPr>
              <w:spacing w:after="0"/>
              <w:rPr>
                <w:sz w:val="22"/>
                <w:szCs w:val="22"/>
                <w:color w:val="auto"/>
              </w:rPr>
            </w:pPr>
          </w:p>
        </w:tc>
        <w:tc>
          <w:tcPr>
            <w:tcW w:w="980" w:type="dxa"/>
            <w:vAlign w:val="bottom"/>
            <w:tcBorders>
              <w:bottom w:val="single" w:sz="8" w:color="DC202E"/>
            </w:tcBorders>
            <w:gridSpan w:val="2"/>
          </w:tcPr>
          <w:p>
            <w:pPr>
              <w:jc w:val="center"/>
              <w:ind w:left="110"/>
              <w:spacing w:after="0"/>
              <w:rPr>
                <w:rFonts w:ascii="Arial" w:cs="Arial" w:eastAsia="Arial" w:hAnsi="Arial"/>
                <w:sz w:val="18"/>
                <w:szCs w:val="18"/>
                <w:color w:val="auto"/>
                <w:w w:val="99"/>
              </w:rPr>
            </w:pPr>
            <w:hyperlink w:anchor="page2">
              <w:r>
                <w:rPr>
                  <w:rFonts w:ascii="Arial" w:cs="Arial" w:eastAsia="Arial" w:hAnsi="Arial"/>
                  <w:sz w:val="18"/>
                  <w:szCs w:val="18"/>
                  <w:color w:val="auto"/>
                  <w:w w:val="99"/>
                </w:rPr>
                <w:t>1</w:t>
              </w:r>
            </w:hyperlink>
          </w:p>
        </w:tc>
        <w:tc>
          <w:tcPr>
            <w:tcW w:w="240" w:type="dxa"/>
            <w:vAlign w:val="bottom"/>
            <w:tcBorders>
              <w:bottom w:val="single" w:sz="8" w:color="DC202E"/>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ITEM 1</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 of Operations (unaudited) – </w:t>
              </w:r>
            </w:hyperlink>
            <w:r>
              <w:rPr>
                <w:rFonts w:ascii="Arial" w:cs="Arial" w:eastAsia="Arial" w:hAnsi="Arial"/>
                <w:sz w:val="18"/>
                <w:szCs w:val="18"/>
                <w:color w:val="auto"/>
              </w:rPr>
              <w:t xml:space="preserve">Three and Six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June 30, 2021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8780" w:type="dxa"/>
            <w:vAlign w:val="bottom"/>
          </w:tcPr>
          <w:p>
            <w:pPr>
              <w:ind w:left="20"/>
              <w:spacing w:after="0" w:line="182" w:lineRule="exact"/>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 of Comprehensive Income (unaudited) – </w:t>
              </w:r>
            </w:hyperlink>
            <w:r>
              <w:rPr>
                <w:rFonts w:ascii="Arial" w:cs="Arial" w:eastAsia="Arial" w:hAnsi="Arial"/>
                <w:sz w:val="18"/>
                <w:szCs w:val="18"/>
                <w:color w:val="auto"/>
              </w:rPr>
              <w:t xml:space="preserve">Three and Six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June 30,</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2021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2</w:t>
              </w:r>
            </w:hyperlink>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Balance Sheet (unaudited) – </w:t>
              </w:r>
            </w:hyperlink>
            <w:r>
              <w:rPr>
                <w:rFonts w:ascii="Arial" w:cs="Arial" w:eastAsia="Arial" w:hAnsi="Arial"/>
                <w:sz w:val="18"/>
                <w:szCs w:val="18"/>
                <w:color w:val="auto"/>
              </w:rPr>
              <w:t xml:space="preserve">June 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3</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Statement of Cash Flows (unaudited) – </w:t>
              </w:r>
            </w:hyperlink>
            <w:r>
              <w:rPr>
                <w:rFonts w:ascii="Arial" w:cs="Arial" w:eastAsia="Arial" w:hAnsi="Arial"/>
                <w:sz w:val="18"/>
                <w:szCs w:val="18"/>
                <w:color w:val="auto"/>
              </w:rPr>
              <w:t xml:space="preserve">Six Months Ended June 30,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4</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8780" w:type="dxa"/>
            <w:vAlign w:val="bottom"/>
          </w:tcPr>
          <w:p>
            <w:pPr>
              <w:ind w:left="20"/>
              <w:spacing w:after="0" w:line="182" w:lineRule="exact"/>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 of Shareowners' Equity (unaudited) – </w:t>
              </w:r>
            </w:hyperlink>
            <w:r>
              <w:rPr>
                <w:rFonts w:ascii="Arial" w:cs="Arial" w:eastAsia="Arial" w:hAnsi="Arial"/>
                <w:sz w:val="18"/>
                <w:szCs w:val="18"/>
                <w:color w:val="auto"/>
              </w:rPr>
              <w:t xml:space="preserve">Three and Six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June 30, 2021</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5</w:t>
              </w:r>
            </w:hyperlink>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 (unaudited)</w:t>
              </w:r>
            </w:hyperlink>
          </w:p>
        </w:tc>
        <w:tc>
          <w:tcPr>
            <w:tcW w:w="980" w:type="dxa"/>
            <w:vAlign w:val="bottom"/>
            <w:tcBorders>
              <w:bottom w:val="single" w:sz="8" w:color="auto"/>
            </w:tcBorders>
            <w:gridSpan w:val="2"/>
          </w:tcPr>
          <w:p>
            <w:pPr>
              <w:jc w:val="center"/>
              <w:ind w:left="110"/>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6</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ITEM 2</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Management’s Discussion and Analysis of Financial Condition and Results of Operations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29</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ITEM 3</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Quantitative and Qualitative Disclosures About Market Risks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49">
              <w:r>
                <w:rPr>
                  <w:rFonts w:ascii="Arial" w:cs="Arial" w:eastAsia="Arial" w:hAnsi="Arial"/>
                  <w:sz w:val="18"/>
                  <w:szCs w:val="18"/>
                  <w:color w:val="auto"/>
                  <w:w w:val="99"/>
                </w:rPr>
                <w:t>47</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ITEM 4</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Controls and Procedures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49">
              <w:r>
                <w:rPr>
                  <w:rFonts w:ascii="Arial" w:cs="Arial" w:eastAsia="Arial" w:hAnsi="Arial"/>
                  <w:sz w:val="18"/>
                  <w:szCs w:val="18"/>
                  <w:color w:val="auto"/>
                  <w:w w:val="99"/>
                </w:rPr>
                <w:t>48</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DC202E"/>
            </w:tcBorders>
          </w:tcPr>
          <w:p>
            <w:pPr>
              <w:ind w:left="20"/>
              <w:spacing w:after="0"/>
              <w:rPr>
                <w:rFonts w:ascii="Arial" w:cs="Arial" w:eastAsia="Arial" w:hAnsi="Arial"/>
                <w:sz w:val="18"/>
                <w:szCs w:val="18"/>
                <w:b w:val="1"/>
                <w:bCs w:val="1"/>
                <w:color w:val="DC202E"/>
              </w:rPr>
            </w:pPr>
            <w:hyperlink w:anchor="page50">
              <w:r>
                <w:rPr>
                  <w:rFonts w:ascii="Arial" w:cs="Arial" w:eastAsia="Arial" w:hAnsi="Arial"/>
                  <w:sz w:val="18"/>
                  <w:szCs w:val="18"/>
                  <w:b w:val="1"/>
                  <w:bCs w:val="1"/>
                  <w:color w:val="DC202E"/>
                </w:rPr>
                <w:t>PART II</w:t>
              </w:r>
            </w:hyperlink>
          </w:p>
        </w:tc>
        <w:tc>
          <w:tcPr>
            <w:tcW w:w="8780" w:type="dxa"/>
            <w:vAlign w:val="bottom"/>
            <w:tcBorders>
              <w:bottom w:val="single" w:sz="8" w:color="DC202E"/>
            </w:tcBorders>
          </w:tcPr>
          <w:p>
            <w:pPr>
              <w:ind w:left="20"/>
              <w:spacing w:after="0"/>
              <w:rPr>
                <w:rFonts w:ascii="Arial" w:cs="Arial" w:eastAsia="Arial" w:hAnsi="Arial"/>
                <w:sz w:val="18"/>
                <w:szCs w:val="18"/>
                <w:b w:val="1"/>
                <w:bCs w:val="1"/>
                <w:color w:val="DC202E"/>
              </w:rPr>
            </w:pPr>
            <w:hyperlink w:anchor="page50">
              <w:r>
                <w:rPr>
                  <w:rFonts w:ascii="Arial" w:cs="Arial" w:eastAsia="Arial" w:hAnsi="Arial"/>
                  <w:sz w:val="18"/>
                  <w:szCs w:val="18"/>
                  <w:b w:val="1"/>
                  <w:bCs w:val="1"/>
                  <w:color w:val="DC202E"/>
                </w:rPr>
                <w:t>Other Information</w:t>
              </w:r>
            </w:hyperlink>
          </w:p>
        </w:tc>
        <w:tc>
          <w:tcPr>
            <w:tcW w:w="980" w:type="dxa"/>
            <w:vAlign w:val="bottom"/>
            <w:tcBorders>
              <w:bottom w:val="single" w:sz="8" w:color="DC202E"/>
            </w:tcBorders>
            <w:gridSpan w:val="2"/>
          </w:tcPr>
          <w:p>
            <w:pPr>
              <w:jc w:val="center"/>
              <w:ind w:left="130"/>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48</w:t>
              </w:r>
            </w:hyperlink>
          </w:p>
        </w:tc>
        <w:tc>
          <w:tcPr>
            <w:tcW w:w="24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ITEM 1</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Legal Proceedings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48</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ITEM 1A</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Risk Factors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48</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ITEM 2</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Unregistered Sales of Equity Securities and Use of Proceeds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48</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w:t>
            </w:r>
            <w:hyperlink w:anchor="page51">
              <w:r>
                <w:rPr>
                  <w:rFonts w:ascii="Arial" w:cs="Arial" w:eastAsia="Arial" w:hAnsi="Arial"/>
                  <w:sz w:val="18"/>
                  <w:szCs w:val="18"/>
                  <w:b w:val="1"/>
                  <w:bCs w:val="1"/>
                  <w:color w:val="auto"/>
                </w:rPr>
                <w:t>4</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Mine Safety Disclosures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49</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1">
              <w:r>
                <w:rPr>
                  <w:rFonts w:ascii="Arial" w:cs="Arial" w:eastAsia="Arial" w:hAnsi="Arial"/>
                  <w:sz w:val="18"/>
                  <w:szCs w:val="18"/>
                  <w:b w:val="1"/>
                  <w:bCs w:val="1"/>
                  <w:color w:val="auto"/>
                </w:rPr>
                <w:t>ITEM 5</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Other Information</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49</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auto"/>
            </w:tcBorders>
          </w:tcPr>
          <w:p>
            <w:pPr>
              <w:ind w:left="20"/>
              <w:spacing w:after="0"/>
              <w:rPr>
                <w:rFonts w:ascii="Arial" w:cs="Arial" w:eastAsia="Arial" w:hAnsi="Arial"/>
                <w:sz w:val="18"/>
                <w:szCs w:val="18"/>
                <w:b w:val="1"/>
                <w:bCs w:val="1"/>
                <w:color w:val="auto"/>
              </w:rPr>
            </w:pPr>
            <w:hyperlink w:anchor="page51">
              <w:r>
                <w:rPr>
                  <w:rFonts w:ascii="Arial" w:cs="Arial" w:eastAsia="Arial" w:hAnsi="Arial"/>
                  <w:sz w:val="18"/>
                  <w:szCs w:val="18"/>
                  <w:b w:val="1"/>
                  <w:bCs w:val="1"/>
                  <w:color w:val="auto"/>
                </w:rPr>
                <w:t>ITEM 6</w:t>
              </w:r>
            </w:hyperlink>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Exhibits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50</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8780" w:type="dxa"/>
            <w:vAlign w:val="bottom"/>
            <w:tcBorders>
              <w:bottom w:val="single" w:sz="8" w:color="auto"/>
            </w:tcBorders>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Signatures</w:t>
              </w:r>
            </w:hyperlink>
          </w:p>
        </w:tc>
        <w:tc>
          <w:tcPr>
            <w:tcW w:w="980" w:type="dxa"/>
            <w:vAlign w:val="bottom"/>
            <w:tcBorders>
              <w:bottom w:val="single" w:sz="8" w:color="auto"/>
            </w:tcBorders>
            <w:gridSpan w:val="2"/>
          </w:tcPr>
          <w:p>
            <w:pPr>
              <w:jc w:val="center"/>
              <w:ind w:left="130"/>
              <w:spacing w:after="0"/>
              <w:rPr>
                <w:rFonts w:ascii="Arial" w:cs="Arial" w:eastAsia="Arial" w:hAnsi="Arial"/>
                <w:sz w:val="18"/>
                <w:szCs w:val="18"/>
                <w:color w:val="auto"/>
                <w:w w:val="99"/>
              </w:rPr>
            </w:pPr>
            <w:hyperlink w:anchor="page52">
              <w:r>
                <w:rPr>
                  <w:rFonts w:ascii="Arial" w:cs="Arial" w:eastAsia="Arial" w:hAnsi="Arial"/>
                  <w:sz w:val="18"/>
                  <w:szCs w:val="18"/>
                  <w:color w:val="auto"/>
                  <w:w w:val="99"/>
                </w:rPr>
                <w:t>51</w:t>
              </w:r>
            </w:hyperlink>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CAUTIONARY STATEMENT ABOUT FORWARD-LOOKING STATEMENTS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that can affect our performance in both the near- and long-term. These forward-looking statements should be considered in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PART I. FINANCIAL INFORMATION</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financial statements and related notes as of June 30, 2021, should be read in conjunction with the financial statements for the year ended December 31, 2020, contained in our 2020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ITEM 1.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20" w:type="dxa"/>
            <w:vAlign w:val="bottom"/>
          </w:tcPr>
          <w:p>
            <w:pPr>
              <w:spacing w:after="0"/>
              <w:rPr>
                <w:sz w:val="17"/>
                <w:szCs w:val="17"/>
                <w:color w:val="auto"/>
              </w:rPr>
            </w:pPr>
          </w:p>
        </w:tc>
        <w:tc>
          <w:tcPr>
            <w:tcW w:w="200" w:type="dxa"/>
            <w:vAlign w:val="bottom"/>
            <w:tcBorders>
              <w:top w:val="single" w:sz="8" w:color="DC202E"/>
              <w:bottom w:val="single" w:sz="8" w:color="DC202E"/>
            </w:tcBorders>
          </w:tcPr>
          <w:p>
            <w:pPr>
              <w:spacing w:after="0"/>
              <w:rPr>
                <w:sz w:val="17"/>
                <w:szCs w:val="17"/>
                <w:color w:val="auto"/>
              </w:rPr>
            </w:pPr>
          </w:p>
        </w:tc>
        <w:tc>
          <w:tcPr>
            <w:tcW w:w="106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C202E"/>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C202E"/>
            </w:tcBorders>
          </w:tcPr>
          <w:p>
            <w:pPr>
              <w:spacing w:after="0"/>
              <w:rPr>
                <w:sz w:val="17"/>
                <w:szCs w:val="17"/>
                <w:color w:val="auto"/>
              </w:rPr>
            </w:pPr>
          </w:p>
        </w:tc>
        <w:tc>
          <w:tcPr>
            <w:tcW w:w="26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C202E"/>
            </w:tcBorders>
          </w:tcPr>
          <w:p>
            <w:pPr>
              <w:spacing w:after="0"/>
              <w:rPr>
                <w:sz w:val="17"/>
                <w:szCs w:val="17"/>
                <w:color w:val="auto"/>
              </w:rPr>
            </w:pPr>
          </w:p>
        </w:tc>
        <w:tc>
          <w:tcPr>
            <w:tcW w:w="32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89"/>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spacing w:after="0"/>
              <w:rPr>
                <w:sz w:val="16"/>
                <w:szCs w:val="16"/>
                <w:color w:val="auto"/>
              </w:rPr>
            </w:pP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13,048</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12,048</w:t>
            </w:r>
          </w:p>
        </w:tc>
      </w:tr>
      <w:tr>
        <w:trPr>
          <w:trHeight w:val="229"/>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Service sales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r>
      <w:tr>
        <w:trPr>
          <w:trHeight w:val="223"/>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17,262</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15,940</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Cost of products sold</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9,285</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8,537</w:t>
            </w:r>
          </w:p>
        </w:tc>
      </w:tr>
      <w:tr>
        <w:trPr>
          <w:trHeight w:val="229"/>
        </w:trPr>
        <w:tc>
          <w:tcPr>
            <w:tcW w:w="58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Cost of services sold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r>
      <w:tr>
        <w:trPr>
          <w:trHeight w:val="223"/>
        </w:trPr>
        <w:tc>
          <w:tcPr>
            <w:tcW w:w="5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11,712</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10,810</w:t>
            </w: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w:t>
            </w:r>
          </w:p>
        </w:tc>
      </w:tr>
      <w:tr>
        <w:trPr>
          <w:trHeight w:val="230"/>
        </w:trPr>
        <w:tc>
          <w:tcPr>
            <w:tcW w:w="5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582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Interest and other financial charges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58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6,258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13,520</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12,786</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3,154</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expense (benefit)</w:t>
            </w: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Net income attributable to the noncontrolling interest</w:t>
            </w: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income attributable to Honeywell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r>
      <w:tr>
        <w:trPr>
          <w:trHeight w:val="20"/>
        </w:trPr>
        <w:tc>
          <w:tcPr>
            <w:tcW w:w="58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5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 per share of common stock - basic</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5820" w:type="dxa"/>
            <w:vAlign w:val="bottom"/>
          </w:tcPr>
          <w:p>
            <w:pPr>
              <w:ind w:left="20"/>
              <w:spacing w:after="0" w:line="203" w:lineRule="exact"/>
              <w:rPr>
                <w:sz w:val="20"/>
                <w:szCs w:val="20"/>
                <w:color w:val="auto"/>
              </w:rPr>
            </w:pPr>
            <w:r>
              <w:rPr>
                <w:rFonts w:ascii="Arial" w:cs="Arial" w:eastAsia="Arial" w:hAnsi="Arial"/>
                <w:sz w:val="18"/>
                <w:szCs w:val="18"/>
                <w:color w:val="auto"/>
              </w:rPr>
              <w:t>Earnings per share of common stock - assuming dilution</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w:t>
            </w:r>
          </w:p>
        </w:tc>
      </w:tr>
      <w:tr>
        <w:trPr>
          <w:trHeight w:val="21"/>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40" w:type="dxa"/>
            <w:vAlign w:val="bottom"/>
          </w:tcPr>
          <w:p>
            <w:pPr>
              <w:spacing w:after="0"/>
              <w:rPr>
                <w:sz w:val="17"/>
                <w:szCs w:val="17"/>
                <w:color w:val="auto"/>
              </w:rPr>
            </w:pPr>
          </w:p>
        </w:tc>
        <w:tc>
          <w:tcPr>
            <w:tcW w:w="220" w:type="dxa"/>
            <w:vAlign w:val="bottom"/>
            <w:tcBorders>
              <w:top w:val="single" w:sz="8" w:color="DC202E"/>
              <w:bottom w:val="single" w:sz="8" w:color="DC202E"/>
            </w:tcBorders>
          </w:tcPr>
          <w:p>
            <w:pPr>
              <w:spacing w:after="0"/>
              <w:rPr>
                <w:sz w:val="17"/>
                <w:szCs w:val="17"/>
                <w:color w:val="auto"/>
              </w:rPr>
            </w:pPr>
          </w:p>
        </w:tc>
        <w:tc>
          <w:tcPr>
            <w:tcW w:w="1040" w:type="dxa"/>
            <w:vAlign w:val="bottom"/>
            <w:tcBorders>
              <w:top w:val="single" w:sz="8" w:color="DC202E"/>
              <w:bottom w:val="single" w:sz="8" w:color="DC202E"/>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C202E"/>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C202E"/>
            </w:tcBorders>
          </w:tcPr>
          <w:p>
            <w:pPr>
              <w:spacing w:after="0"/>
              <w:rPr>
                <w:sz w:val="17"/>
                <w:szCs w:val="17"/>
                <w:color w:val="auto"/>
              </w:rPr>
            </w:pPr>
          </w:p>
        </w:tc>
        <w:tc>
          <w:tcPr>
            <w:tcW w:w="24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C202E"/>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189"/>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2,705</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40" w:type="dxa"/>
            <w:vAlign w:val="bottom"/>
            <w:shd w:val="clear" w:color="auto" w:fill="DBDBDB"/>
          </w:tcPr>
          <w:p>
            <w:pPr>
              <w:ind w:left="440"/>
              <w:spacing w:after="0"/>
              <w:rPr>
                <w:sz w:val="20"/>
                <w:szCs w:val="20"/>
                <w:color w:val="auto"/>
              </w:rPr>
            </w:pPr>
            <w:r>
              <w:rPr>
                <w:rFonts w:ascii="Arial" w:cs="Arial" w:eastAsia="Arial" w:hAnsi="Arial"/>
                <w:sz w:val="18"/>
                <w:szCs w:val="18"/>
                <w:color w:val="auto"/>
              </w:rPr>
              <w:t>Foreign exchange translation adjustment</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5840" w:type="dxa"/>
            <w:vAlign w:val="bottom"/>
          </w:tcPr>
          <w:p>
            <w:pPr>
              <w:ind w:left="440"/>
              <w:spacing w:after="0"/>
              <w:rPr>
                <w:sz w:val="20"/>
                <w:szCs w:val="20"/>
                <w:color w:val="auto"/>
              </w:rPr>
            </w:pPr>
            <w:r>
              <w:rPr>
                <w:rFonts w:ascii="Arial" w:cs="Arial" w:eastAsia="Arial" w:hAnsi="Arial"/>
                <w:sz w:val="18"/>
                <w:szCs w:val="18"/>
                <w:color w:val="auto"/>
              </w:rPr>
              <w:t>Pension and other postretirement benefit adjustments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5840" w:type="dxa"/>
            <w:vAlign w:val="bottom"/>
            <w:shd w:val="clear" w:color="auto" w:fill="DBDBDB"/>
          </w:tcPr>
          <w:p>
            <w:pPr>
              <w:ind w:left="400"/>
              <w:spacing w:after="0"/>
              <w:rPr>
                <w:sz w:val="20"/>
                <w:szCs w:val="20"/>
                <w:color w:val="auto"/>
              </w:rPr>
            </w:pPr>
            <w:r>
              <w:rPr>
                <w:rFonts w:ascii="Arial" w:cs="Arial" w:eastAsia="Arial" w:hAnsi="Arial"/>
                <w:sz w:val="18"/>
                <w:szCs w:val="18"/>
                <w:color w:val="auto"/>
              </w:rPr>
              <w:t>Changes in fair value of available for sale investments</w:t>
            </w:r>
          </w:p>
        </w:tc>
        <w:tc>
          <w:tcPr>
            <w:tcW w:w="22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5840" w:type="dxa"/>
            <w:vAlign w:val="bottom"/>
          </w:tcPr>
          <w:p>
            <w:pPr>
              <w:ind w:left="720"/>
              <w:spacing w:after="0" w:line="189" w:lineRule="exact"/>
              <w:rPr>
                <w:sz w:val="20"/>
                <w:szCs w:val="20"/>
                <w:color w:val="auto"/>
              </w:rPr>
            </w:pPr>
            <w:r>
              <w:rPr>
                <w:rFonts w:ascii="Arial" w:cs="Arial" w:eastAsia="Arial" w:hAnsi="Arial"/>
                <w:sz w:val="18"/>
                <w:szCs w:val="18"/>
                <w:color w:val="auto"/>
              </w:rPr>
              <w:t>Cash flow hedges recognized in other comprehensive income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5840" w:type="dxa"/>
            <w:vAlign w:val="bottom"/>
          </w:tcPr>
          <w:p>
            <w:pPr>
              <w:ind w:left="720"/>
              <w:spacing w:after="0"/>
              <w:rPr>
                <w:sz w:val="20"/>
                <w:szCs w:val="20"/>
                <w:color w:val="auto"/>
              </w:rPr>
            </w:pPr>
            <w:r>
              <w:rPr>
                <w:rFonts w:ascii="Arial" w:cs="Arial" w:eastAsia="Arial" w:hAnsi="Arial"/>
                <w:sz w:val="18"/>
                <w:szCs w:val="18"/>
                <w:color w:val="auto"/>
              </w:rPr>
              <w:t>(loss)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188"/>
        </w:trPr>
        <w:tc>
          <w:tcPr>
            <w:tcW w:w="5840" w:type="dxa"/>
            <w:vAlign w:val="bottom"/>
            <w:shd w:val="clear" w:color="auto" w:fill="DBDBDB"/>
          </w:tcPr>
          <w:p>
            <w:pPr>
              <w:ind w:left="720"/>
              <w:spacing w:after="0" w:line="189" w:lineRule="exact"/>
              <w:rPr>
                <w:sz w:val="20"/>
                <w:szCs w:val="20"/>
                <w:color w:val="auto"/>
              </w:rPr>
            </w:pPr>
            <w:r>
              <w:rPr>
                <w:rFonts w:ascii="Arial" w:cs="Arial" w:eastAsia="Arial" w:hAnsi="Arial"/>
                <w:sz w:val="18"/>
                <w:szCs w:val="18"/>
                <w:color w:val="auto"/>
              </w:rPr>
              <w:t>Less: Reclassification adjustment for gains (losses) included in</w:t>
            </w:r>
          </w:p>
        </w:tc>
        <w:tc>
          <w:tcPr>
            <w:tcW w:w="2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r>
      <w:tr>
        <w:trPr>
          <w:trHeight w:val="217"/>
        </w:trPr>
        <w:tc>
          <w:tcPr>
            <w:tcW w:w="5840" w:type="dxa"/>
            <w:vAlign w:val="bottom"/>
            <w:shd w:val="clear" w:color="auto" w:fill="DBDBDB"/>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840" w:type="dxa"/>
            <w:vAlign w:val="bottom"/>
            <w:tcBorders>
              <w:bottom w:val="single" w:sz="8" w:color="DBDBDB"/>
            </w:tcBorders>
          </w:tcPr>
          <w:p>
            <w:pPr>
              <w:ind w:left="440"/>
              <w:spacing w:after="0"/>
              <w:rPr>
                <w:sz w:val="20"/>
                <w:szCs w:val="20"/>
                <w:color w:val="auto"/>
              </w:rPr>
            </w:pPr>
            <w:r>
              <w:rPr>
                <w:rFonts w:ascii="Arial" w:cs="Arial" w:eastAsia="Arial" w:hAnsi="Arial"/>
                <w:sz w:val="18"/>
                <w:szCs w:val="18"/>
                <w:color w:val="auto"/>
              </w:rPr>
              <w:t>Changes in fair value of cash flow hedges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58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2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 attributable to Honeywell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r>
      <w:tr>
        <w:trPr>
          <w:trHeight w:val="21"/>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1620" w:type="dxa"/>
            <w:vAlign w:val="bottom"/>
            <w:tcBorders>
              <w:bottom w:val="single" w:sz="8" w:color="DC202E"/>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(Dollars in millions)</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11,427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14,275</w:t>
            </w: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receivable - net</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6,827</w:t>
            </w: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4,489</w:t>
            </w: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1,639</w:t>
            </w:r>
          </w:p>
        </w:tc>
      </w:tr>
      <w:tr>
        <w:trPr>
          <w:trHeight w:val="223"/>
        </w:trPr>
        <w:tc>
          <w:tcPr>
            <w:tcW w:w="75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28,175</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 and long-term receivables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17,135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Other intangible assets -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Insurance recoveries for asbestos related liabilities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9,428</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9,412</w:t>
            </w:r>
          </w:p>
        </w:tc>
      </w:tr>
      <w:tr>
        <w:trPr>
          <w:trHeight w:val="223"/>
        </w:trPr>
        <w:tc>
          <w:tcPr>
            <w:tcW w:w="758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64,586</w:t>
            </w:r>
          </w:p>
        </w:tc>
      </w:tr>
      <w:tr>
        <w:trPr>
          <w:trHeight w:val="20"/>
        </w:trPr>
        <w:tc>
          <w:tcPr>
            <w:tcW w:w="75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58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DBDBDB"/>
          </w:tcPr>
          <w:p>
            <w:pPr>
              <w:spacing w:after="0"/>
              <w:rPr>
                <w:sz w:val="17"/>
                <w:szCs w:val="17"/>
                <w:color w:val="auto"/>
              </w:rPr>
            </w:pPr>
          </w:p>
        </w:tc>
        <w:tc>
          <w:tcPr>
            <w:tcW w:w="15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6,139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5,750</w:t>
            </w: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Commercial paper and other short-term borrowings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3,597</w:t>
            </w: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2,445</w:t>
            </w:r>
          </w:p>
        </w:tc>
      </w:tr>
      <w:tr>
        <w:trPr>
          <w:trHeight w:val="230"/>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r>
      <w:tr>
        <w:trPr>
          <w:trHeight w:val="223"/>
        </w:trPr>
        <w:tc>
          <w:tcPr>
            <w:tcW w:w="7580" w:type="dxa"/>
            <w:vAlign w:val="bottom"/>
            <w:shd w:val="clear" w:color="auto" w:fill="DBDBDB"/>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18,143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19,197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16,342</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Postretirement benefit obligations other than pensions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Asbestos-related liabilities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6,975</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SHAREOWNERS’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 - common stock issued</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7580" w:type="dxa"/>
            <w:vAlign w:val="bottom"/>
          </w:tcPr>
          <w:p>
            <w:pPr>
              <w:ind w:left="640"/>
              <w:spacing w:after="0"/>
              <w:rPr>
                <w:sz w:val="20"/>
                <w:szCs w:val="20"/>
                <w:color w:val="auto"/>
              </w:rPr>
            </w:pPr>
            <w:r>
              <w:rPr>
                <w:rFonts w:ascii="Arial" w:cs="Arial" w:eastAsia="Arial" w:hAnsi="Arial"/>
                <w:sz w:val="18"/>
                <w:szCs w:val="18"/>
                <w:color w:val="auto"/>
              </w:rPr>
              <w:t>- 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Common stock held in treasury, at cost</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(28,978)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(27,229)</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41,467</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39,905</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Total Honeywell shareowners’ equity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17,549</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Total shareowners’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18,202</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r>
      <w:tr>
        <w:trPr>
          <w:trHeight w:val="248"/>
        </w:trPr>
        <w:tc>
          <w:tcPr>
            <w:tcW w:w="7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64,586</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2820" w:type="dxa"/>
            <w:vAlign w:val="bottom"/>
            <w:tcBorders>
              <w:bottom w:val="single" w:sz="8" w:color="DC202E"/>
            </w:tcBorders>
            <w:gridSpan w:val="4"/>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60" w:type="dxa"/>
            <w:vAlign w:val="bottom"/>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1180" w:type="dxa"/>
            <w:vAlign w:val="bottom"/>
            <w:tcBorders>
              <w:bottom w:val="single" w:sz="8" w:color="DC202E"/>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C202E"/>
            </w:tcBorders>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1180" w:type="dxa"/>
            <w:vAlign w:val="bottom"/>
            <w:tcBorders>
              <w:bottom w:val="single" w:sz="8" w:color="DC202E"/>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89"/>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(Dollars in millions)</w:t>
            </w:r>
          </w:p>
        </w:tc>
      </w:tr>
      <w:tr>
        <w:trPr>
          <w:trHeight w:val="229"/>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Less: Net income attributable to the noncontrolling interest</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Net income attributable to Honeywell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188"/>
        </w:trPr>
        <w:tc>
          <w:tcPr>
            <w:tcW w:w="806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36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r>
      <w:tr>
        <w:trPr>
          <w:trHeight w:val="217"/>
        </w:trPr>
        <w:tc>
          <w:tcPr>
            <w:tcW w:w="80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Gain on sale of non-strategic businesses and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Repositioning and other charges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Net payments for repositioning and other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Pension and other postretirement income</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(423)</w:t>
            </w:r>
          </w:p>
        </w:tc>
      </w:tr>
      <w:tr>
        <w:trPr>
          <w:trHeight w:val="229"/>
        </w:trPr>
        <w:tc>
          <w:tcPr>
            <w:tcW w:w="8060" w:type="dxa"/>
            <w:vAlign w:val="bottom"/>
          </w:tcPr>
          <w:p>
            <w:pPr>
              <w:ind w:left="440"/>
              <w:spacing w:after="0"/>
              <w:rPr>
                <w:sz w:val="20"/>
                <w:szCs w:val="20"/>
                <w:color w:val="auto"/>
              </w:rPr>
            </w:pPr>
            <w:r>
              <w:rPr>
                <w:rFonts w:ascii="Arial" w:cs="Arial" w:eastAsia="Arial" w:hAnsi="Arial"/>
                <w:sz w:val="18"/>
                <w:szCs w:val="18"/>
                <w:color w:val="auto"/>
              </w:rPr>
              <w:t>Pension and other postretirement benefit payments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9"/>
        </w:trPr>
        <w:tc>
          <w:tcPr>
            <w:tcW w:w="80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806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806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80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06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8060" w:type="dxa"/>
            <w:vAlign w:val="bottom"/>
            <w:shd w:val="clear" w:color="auto" w:fill="DBDBDB"/>
          </w:tcPr>
          <w:p>
            <w:pPr>
              <w:ind w:left="6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060" w:type="dxa"/>
            <w:vAlign w:val="bottom"/>
            <w:tcBorders>
              <w:bottom w:val="single" w:sz="8" w:color="DBDBDB"/>
            </w:tcBorders>
          </w:tcPr>
          <w:p>
            <w:pPr>
              <w:ind w:left="880"/>
              <w:spacing w:after="0"/>
              <w:rPr>
                <w:sz w:val="20"/>
                <w:szCs w:val="20"/>
                <w:color w:val="auto"/>
              </w:rPr>
            </w:pPr>
            <w:r>
              <w:rPr>
                <w:rFonts w:ascii="Arial" w:cs="Arial" w:eastAsia="Arial" w:hAnsi="Arial"/>
                <w:sz w:val="18"/>
                <w:szCs w:val="18"/>
                <w:color w:val="auto"/>
              </w:rPr>
              <w:t>Net cash provided by (used for) operating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r>
      <w:tr>
        <w:trPr>
          <w:trHeight w:val="210"/>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disposals of property, plant and equipment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Increase in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(1,671)</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Decrease in investments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Receipts from Garrett Motion Inc.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Receipts (payments) from settlements of derivative contracts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sales of businesses, net of fees paid</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Borders>
              <w:bottom w:val="single" w:sz="8" w:color="DBDBDB"/>
            </w:tcBorders>
          </w:tcPr>
          <w:p>
            <w:pPr>
              <w:ind w:left="880"/>
              <w:spacing w:after="0"/>
              <w:rPr>
                <w:sz w:val="20"/>
                <w:szCs w:val="20"/>
                <w:color w:val="auto"/>
              </w:rPr>
            </w:pPr>
            <w:r>
              <w:rPr>
                <w:rFonts w:ascii="Arial" w:cs="Arial" w:eastAsia="Arial" w:hAnsi="Arial"/>
                <w:sz w:val="18"/>
                <w:szCs w:val="18"/>
                <w:color w:val="auto"/>
              </w:rPr>
              <w:t>Net cash provided by (used for) investing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10"/>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7,165</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Payments of commercial paper and other short-term borrowings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(7,094)</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7,101</w:t>
            </w: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Repurchases of common stock</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(1,985)</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(1,285)</w:t>
            </w:r>
          </w:p>
        </w:tc>
      </w:tr>
      <w:tr>
        <w:trPr>
          <w:trHeight w:val="229"/>
        </w:trPr>
        <w:tc>
          <w:tcPr>
            <w:tcW w:w="80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8060" w:type="dxa"/>
            <w:vAlign w:val="bottom"/>
            <w:tcBorders>
              <w:bottom w:val="single" w:sz="8" w:color="DBDBDB"/>
            </w:tcBorders>
          </w:tcPr>
          <w:p>
            <w:pPr>
              <w:ind w:left="880"/>
              <w:spacing w:after="0"/>
              <w:rPr>
                <w:sz w:val="20"/>
                <w:szCs w:val="20"/>
                <w:color w:val="auto"/>
              </w:rPr>
            </w:pPr>
            <w:r>
              <w:rPr>
                <w:rFonts w:ascii="Arial" w:cs="Arial" w:eastAsia="Arial" w:hAnsi="Arial"/>
                <w:sz w:val="18"/>
                <w:szCs w:val="18"/>
                <w:color w:val="auto"/>
              </w:rPr>
              <w:t>Net cash provided by (used for)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r>
      <w:tr>
        <w:trPr>
          <w:trHeight w:val="223"/>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30"/>
        </w:trPr>
        <w:tc>
          <w:tcPr>
            <w:tcW w:w="8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9,067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13,778</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860" w:type="dxa"/>
            <w:vAlign w:val="bottom"/>
            <w:tcBorders>
              <w:bottom w:val="single" w:sz="8" w:color="DC202E"/>
            </w:tcBorders>
          </w:tcPr>
          <w:p>
            <w:pPr>
              <w:spacing w:after="0"/>
              <w:rPr>
                <w:sz w:val="17"/>
                <w:szCs w:val="17"/>
                <w:color w:val="auto"/>
              </w:rPr>
            </w:pPr>
          </w:p>
        </w:tc>
        <w:tc>
          <w:tcPr>
            <w:tcW w:w="2400" w:type="dxa"/>
            <w:vAlign w:val="bottom"/>
            <w:tcBorders>
              <w:bottom w:val="single" w:sz="8" w:color="DC202E"/>
            </w:tcBorders>
            <w:gridSpan w:val="7"/>
          </w:tcPr>
          <w:p>
            <w:pPr>
              <w:jc w:val="right"/>
              <w:ind w:right="260"/>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Borders>
              <w:bottom w:val="single" w:sz="8" w:color="DC202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DC202E"/>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240" w:type="dxa"/>
            <w:vAlign w:val="bottom"/>
            <w:tcBorders>
              <w:bottom w:val="single" w:sz="8" w:color="DC202E"/>
            </w:tcBorders>
            <w:gridSpan w:val="6"/>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44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0" w:type="dxa"/>
            <w:vAlign w:val="bottom"/>
            <w:tcBorders>
              <w:top w:val="single" w:sz="8" w:color="DC202E"/>
              <w:bottom w:val="single" w:sz="8" w:color="DC202E"/>
            </w:tcBorders>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DC202E"/>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C202E"/>
            </w:tcBorders>
          </w:tcPr>
          <w:p>
            <w:pPr>
              <w:spacing w:after="0"/>
              <w:rPr>
                <w:sz w:val="17"/>
                <w:szCs w:val="17"/>
                <w:color w:val="auto"/>
              </w:rPr>
            </w:pPr>
          </w:p>
        </w:tc>
        <w:tc>
          <w:tcPr>
            <w:tcW w:w="1200" w:type="dxa"/>
            <w:vAlign w:val="bottom"/>
            <w:tcBorders>
              <w:top w:val="single" w:sz="8" w:color="DC202E"/>
              <w:bottom w:val="single" w:sz="8" w:color="DC202E"/>
            </w:tcBorders>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DC202E"/>
              <w:bottom w:val="single" w:sz="8" w:color="DC202E"/>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DC202E"/>
            </w:tcBorders>
          </w:tcPr>
          <w:p>
            <w:pPr>
              <w:spacing w:after="0"/>
              <w:rPr>
                <w:sz w:val="17"/>
                <w:szCs w:val="17"/>
                <w:color w:val="auto"/>
              </w:rPr>
            </w:pPr>
          </w:p>
        </w:tc>
        <w:tc>
          <w:tcPr>
            <w:tcW w:w="1260" w:type="dxa"/>
            <w:vAlign w:val="bottom"/>
            <w:tcBorders>
              <w:top w:val="single" w:sz="8" w:color="DC202E"/>
              <w:bottom w:val="single" w:sz="8" w:color="DC202E"/>
            </w:tcBorders>
            <w:gridSpan w:val="3"/>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DC202E"/>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C202E"/>
            </w:tcBorders>
          </w:tcPr>
          <w:p>
            <w:pPr>
              <w:spacing w:after="0"/>
              <w:rPr>
                <w:sz w:val="17"/>
                <w:szCs w:val="17"/>
                <w:color w:val="auto"/>
              </w:rPr>
            </w:pPr>
          </w:p>
        </w:tc>
        <w:tc>
          <w:tcPr>
            <w:tcW w:w="1200" w:type="dxa"/>
            <w:vAlign w:val="bottom"/>
            <w:tcBorders>
              <w:top w:val="single" w:sz="8" w:color="DC202E"/>
              <w:bottom w:val="single" w:sz="8" w:color="DC202E"/>
            </w:tcBorders>
            <w:gridSpan w:val="3"/>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DC202E"/>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millions, except per share amounts)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Common stock, par value</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180" w:type="dxa"/>
            <w:vAlign w:val="bottom"/>
            <w:shd w:val="clear" w:color="auto" w:fill="D0D0CE"/>
          </w:tcPr>
          <w:p>
            <w:pPr>
              <w:spacing w:after="0"/>
              <w:rPr>
                <w:sz w:val="18"/>
                <w:szCs w:val="18"/>
                <w:color w:val="auto"/>
              </w:rPr>
            </w:pPr>
          </w:p>
        </w:tc>
        <w:tc>
          <w:tcPr>
            <w:tcW w:w="8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957.6</w:t>
            </w: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1020" w:type="dxa"/>
            <w:vAlign w:val="bottom"/>
            <w:gridSpan w:val="2"/>
            <w:shd w:val="clear" w:color="auto" w:fill="DBDBDB"/>
          </w:tcPr>
          <w:p>
            <w:pPr>
              <w:jc w:val="right"/>
              <w:ind w:right="4"/>
              <w:spacing w:after="0"/>
              <w:rPr>
                <w:sz w:val="20"/>
                <w:szCs w:val="20"/>
                <w:color w:val="auto"/>
              </w:rPr>
            </w:pPr>
            <w:r>
              <w:rPr>
                <w:rFonts w:ascii="Arial" w:cs="Arial" w:eastAsia="Arial" w:hAnsi="Arial"/>
                <w:sz w:val="16"/>
                <w:szCs w:val="16"/>
                <w:color w:val="auto"/>
              </w:rPr>
              <w:t>957.6</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Additional paid-in capital</w:t>
            </w: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7,047</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7,292</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6,876</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Issued for employee savings and option</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6"/>
                <w:szCs w:val="16"/>
                <w:color w:val="auto"/>
              </w:rPr>
              <w:t>plans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7,104</w:t>
            </w:r>
          </w:p>
        </w:tc>
        <w:tc>
          <w:tcPr>
            <w:tcW w:w="1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7,104</w:t>
            </w:r>
          </w:p>
        </w:tc>
        <w:tc>
          <w:tcPr>
            <w:tcW w:w="0" w:type="dxa"/>
            <w:vAlign w:val="bottom"/>
          </w:tcPr>
          <w:p>
            <w:pPr>
              <w:spacing w:after="0"/>
              <w:rPr>
                <w:sz w:val="1"/>
                <w:szCs w:val="1"/>
                <w:color w:val="auto"/>
              </w:rPr>
            </w:pPr>
          </w:p>
        </w:tc>
      </w:tr>
      <w:tr>
        <w:trPr>
          <w:trHeight w:val="199"/>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Treasury stock</w:t>
            </w: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tcPr>
          <w:p>
            <w:pPr>
              <w:jc w:val="right"/>
              <w:spacing w:after="0"/>
              <w:rPr>
                <w:sz w:val="20"/>
                <w:szCs w:val="20"/>
                <w:color w:val="auto"/>
              </w:rPr>
            </w:pPr>
            <w:r>
              <w:rPr>
                <w:rFonts w:ascii="Arial" w:cs="Arial" w:eastAsia="Arial" w:hAnsi="Arial"/>
                <w:sz w:val="16"/>
                <w:szCs w:val="16"/>
                <w:color w:val="auto"/>
              </w:rPr>
              <w:t>(263.0)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(25,643)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(260.8)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(27,229)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(23,836)</w:t>
            </w:r>
          </w:p>
        </w:tc>
        <w:tc>
          <w:tcPr>
            <w:tcW w:w="0" w:type="dxa"/>
            <w:vAlign w:val="bottom"/>
          </w:tcPr>
          <w:p>
            <w:pPr>
              <w:spacing w:after="0"/>
              <w:rPr>
                <w:sz w:val="1"/>
                <w:szCs w:val="1"/>
                <w:color w:val="auto"/>
              </w:rPr>
            </w:pPr>
          </w:p>
        </w:tc>
      </w:tr>
      <w:tr>
        <w:trPr>
          <w:trHeight w:val="180"/>
        </w:trPr>
        <w:tc>
          <w:tcPr>
            <w:tcW w:w="3140" w:type="dxa"/>
            <w:vAlign w:val="bottom"/>
            <w:shd w:val="clear" w:color="auto" w:fill="DBDBDB"/>
          </w:tcPr>
          <w:p>
            <w:pPr>
              <w:ind w:left="140"/>
              <w:spacing w:after="0" w:line="181" w:lineRule="exact"/>
              <w:rPr>
                <w:sz w:val="20"/>
                <w:szCs w:val="20"/>
                <w:color w:val="auto"/>
              </w:rPr>
            </w:pPr>
            <w:r>
              <w:rPr>
                <w:rFonts w:ascii="Arial" w:cs="Arial" w:eastAsia="Arial" w:hAnsi="Arial"/>
                <w:sz w:val="16"/>
                <w:szCs w:val="16"/>
                <w:color w:val="auto"/>
              </w:rPr>
              <w:t>Reacquired stock or repurchases of</w:t>
            </w: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common stock</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(1,027)</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(0.4)</w:t>
            </w:r>
          </w:p>
        </w:tc>
        <w:tc>
          <w:tcPr>
            <w:tcW w:w="1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(1,849)</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(12.1)</w:t>
            </w: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Issued for employee savings and option</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plans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(267.2)</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(28,978)</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(255.8)</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(25,685)</w:t>
            </w:r>
          </w:p>
        </w:tc>
        <w:tc>
          <w:tcPr>
            <w:tcW w:w="10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(267.2)</w:t>
            </w: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(28,978)</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(255.8)</w:t>
            </w: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(25,685)</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Retained earnings</w:t>
            </w: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40,682</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38,635</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39,905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37,693</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Net income attributable to Honeywell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Dividends on common stock</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(636)</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41,467</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39,080</w:t>
            </w:r>
          </w:p>
        </w:tc>
        <w:tc>
          <w:tcPr>
            <w:tcW w:w="1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41,467</w:t>
            </w:r>
          </w:p>
        </w:tc>
        <w:tc>
          <w:tcPr>
            <w:tcW w:w="16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16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39,080</w:t>
            </w:r>
          </w:p>
        </w:tc>
        <w:tc>
          <w:tcPr>
            <w:tcW w:w="0" w:type="dxa"/>
            <w:vAlign w:val="bottom"/>
          </w:tcPr>
          <w:p>
            <w:pPr>
              <w:spacing w:after="0"/>
              <w:rPr>
                <w:sz w:val="1"/>
                <w:szCs w:val="1"/>
                <w:color w:val="auto"/>
              </w:rPr>
            </w:pPr>
          </w:p>
        </w:tc>
      </w:tr>
      <w:tr>
        <w:trPr>
          <w:trHeight w:val="145"/>
        </w:trPr>
        <w:tc>
          <w:tcPr>
            <w:tcW w:w="3140" w:type="dxa"/>
            <w:vAlign w:val="bottom"/>
            <w:shd w:val="clear" w:color="auto" w:fill="DBDBDB"/>
          </w:tcPr>
          <w:p>
            <w:pPr>
              <w:ind w:left="20"/>
              <w:spacing w:after="0" w:line="145" w:lineRule="exact"/>
              <w:rPr>
                <w:sz w:val="20"/>
                <w:szCs w:val="20"/>
                <w:color w:val="auto"/>
              </w:rPr>
            </w:pPr>
            <w:r>
              <w:rPr>
                <w:rFonts w:ascii="Arial" w:cs="Arial" w:eastAsia="Arial" w:hAnsi="Arial"/>
                <w:sz w:val="16"/>
                <w:szCs w:val="16"/>
                <w:b w:val="1"/>
                <w:bCs w:val="1"/>
                <w:color w:val="auto"/>
              </w:rPr>
              <w:t>Accumulated other comprehensive</w:t>
            </w:r>
          </w:p>
        </w:tc>
        <w:tc>
          <w:tcPr>
            <w:tcW w:w="8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income (loss)</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(3,184)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(3,353)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(3,377)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19"/>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Pension and other postretirement benefit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6"/>
                <w:szCs w:val="16"/>
                <w:color w:val="auto"/>
              </w:rPr>
              <w:t>adjustments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0"/>
        </w:trPr>
        <w:tc>
          <w:tcPr>
            <w:tcW w:w="3140" w:type="dxa"/>
            <w:vAlign w:val="bottom"/>
            <w:shd w:val="clear" w:color="auto" w:fill="DBDBDB"/>
          </w:tcPr>
          <w:p>
            <w:pPr>
              <w:ind w:left="140"/>
              <w:spacing w:after="0" w:line="181" w:lineRule="exact"/>
              <w:rPr>
                <w:sz w:val="20"/>
                <w:szCs w:val="20"/>
                <w:color w:val="auto"/>
              </w:rPr>
            </w:pPr>
            <w:r>
              <w:rPr>
                <w:rFonts w:ascii="Arial" w:cs="Arial" w:eastAsia="Arial" w:hAnsi="Arial"/>
                <w:sz w:val="16"/>
                <w:szCs w:val="16"/>
                <w:color w:val="auto"/>
              </w:rPr>
              <w:t>Changes in fair value of available for sale</w:t>
            </w: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investments</w:t>
            </w: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Changes in fair value of cash flow</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hedges</w:t>
            </w: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(3,310)</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(3,075)</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(3,310)</w:t>
            </w:r>
          </w:p>
        </w:tc>
        <w:tc>
          <w:tcPr>
            <w:tcW w:w="0" w:type="dxa"/>
            <w:vAlign w:val="bottom"/>
          </w:tcPr>
          <w:p>
            <w:pPr>
              <w:spacing w:after="0"/>
              <w:rPr>
                <w:sz w:val="1"/>
                <w:szCs w:val="1"/>
                <w:color w:val="auto"/>
              </w:rPr>
            </w:pPr>
          </w:p>
        </w:tc>
      </w:tr>
      <w:tr>
        <w:trPr>
          <w:trHeight w:val="195"/>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221</w:t>
            </w: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Acquisitions, divestitures, and other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0"/>
        </w:trPr>
        <w:tc>
          <w:tcPr>
            <w:tcW w:w="3140" w:type="dxa"/>
            <w:vAlign w:val="bottom"/>
            <w:shd w:val="clear" w:color="auto" w:fill="DBDBDB"/>
          </w:tcPr>
          <w:p>
            <w:pPr>
              <w:ind w:left="140"/>
              <w:spacing w:after="0" w:line="181" w:lineRule="exact"/>
              <w:rPr>
                <w:sz w:val="20"/>
                <w:szCs w:val="20"/>
                <w:color w:val="auto"/>
              </w:rPr>
            </w:pPr>
            <w:r>
              <w:rPr>
                <w:rFonts w:ascii="Arial" w:cs="Arial" w:eastAsia="Arial" w:hAnsi="Arial"/>
                <w:sz w:val="16"/>
                <w:szCs w:val="16"/>
                <w:color w:val="auto"/>
              </w:rPr>
              <w:t>Net income attributable to noncontrolling</w:t>
            </w: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w:t>
            </w: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1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Dividends paid</w:t>
            </w: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7"/>
        </w:trPr>
        <w:tc>
          <w:tcPr>
            <w:tcW w:w="3140" w:type="dxa"/>
            <w:vAlign w:val="bottom"/>
          </w:tcPr>
          <w:p>
            <w:pPr>
              <w:ind w:left="140"/>
              <w:spacing w:after="0" w:line="178" w:lineRule="exact"/>
              <w:rPr>
                <w:sz w:val="20"/>
                <w:szCs w:val="20"/>
                <w:color w:val="auto"/>
              </w:rPr>
            </w:pPr>
            <w:r>
              <w:rPr>
                <w:rFonts w:ascii="Arial" w:cs="Arial" w:eastAsia="Arial" w:hAnsi="Arial"/>
                <w:sz w:val="16"/>
                <w:szCs w:val="16"/>
                <w:color w:val="auto"/>
              </w:rPr>
              <w:t>Contributions from noncontrolling interest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holders</w:t>
            </w: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86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264</w:t>
            </w:r>
          </w:p>
        </w:tc>
        <w:tc>
          <w:tcPr>
            <w:tcW w:w="160" w:type="dxa"/>
            <w:vAlign w:val="bottom"/>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264</w:t>
            </w:r>
          </w:p>
        </w:tc>
        <w:tc>
          <w:tcPr>
            <w:tcW w:w="160" w:type="dxa"/>
            <w:vAlign w:val="bottom"/>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Total shareowners' equity</w:t>
            </w:r>
          </w:p>
        </w:tc>
        <w:tc>
          <w:tcPr>
            <w:tcW w:w="860" w:type="dxa"/>
            <w:vAlign w:val="bottom"/>
          </w:tcPr>
          <w:p>
            <w:pPr>
              <w:jc w:val="right"/>
              <w:spacing w:after="0"/>
              <w:rPr>
                <w:sz w:val="20"/>
                <w:szCs w:val="20"/>
                <w:color w:val="auto"/>
              </w:rPr>
            </w:pPr>
            <w:r>
              <w:rPr>
                <w:rFonts w:ascii="Arial" w:cs="Arial" w:eastAsia="Arial" w:hAnsi="Arial"/>
                <w:sz w:val="16"/>
                <w:szCs w:val="16"/>
                <w:color w:val="auto"/>
              </w:rPr>
              <w:t>690.4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701.8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18,366</w:t>
            </w:r>
          </w:p>
        </w:tc>
        <w:tc>
          <w:tcPr>
            <w:tcW w:w="1040" w:type="dxa"/>
            <w:vAlign w:val="bottom"/>
            <w:gridSpan w:val="2"/>
          </w:tcPr>
          <w:p>
            <w:pPr>
              <w:jc w:val="right"/>
              <w:ind w:right="2"/>
              <w:spacing w:after="0"/>
              <w:rPr>
                <w:sz w:val="20"/>
                <w:szCs w:val="20"/>
                <w:color w:val="auto"/>
              </w:rPr>
            </w:pPr>
            <w:r>
              <w:rPr>
                <w:rFonts w:ascii="Arial" w:cs="Arial" w:eastAsia="Arial" w:hAnsi="Arial"/>
                <w:sz w:val="16"/>
                <w:szCs w:val="16"/>
                <w:color w:val="auto"/>
              </w:rPr>
              <w:t>690.4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18,202</w:t>
            </w:r>
          </w:p>
        </w:tc>
        <w:tc>
          <w:tcPr>
            <w:tcW w:w="1020" w:type="dxa"/>
            <w:vAlign w:val="bottom"/>
            <w:gridSpan w:val="2"/>
          </w:tcPr>
          <w:p>
            <w:pPr>
              <w:jc w:val="right"/>
              <w:ind w:right="4"/>
              <w:spacing w:after="0"/>
              <w:rPr>
                <w:sz w:val="20"/>
                <w:szCs w:val="20"/>
                <w:color w:val="auto"/>
              </w:rPr>
            </w:pPr>
            <w:r>
              <w:rPr>
                <w:rFonts w:ascii="Arial" w:cs="Arial" w:eastAsia="Arial" w:hAnsi="Arial"/>
                <w:sz w:val="16"/>
                <w:szCs w:val="16"/>
                <w:color w:val="auto"/>
              </w:rPr>
              <w:t>701.8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18,366</w:t>
            </w:r>
          </w:p>
        </w:tc>
        <w:tc>
          <w:tcPr>
            <w:tcW w:w="0" w:type="dxa"/>
            <w:vAlign w:val="bottom"/>
          </w:tcPr>
          <w:p>
            <w:pPr>
              <w:spacing w:after="0"/>
              <w:rPr>
                <w:sz w:val="1"/>
                <w:szCs w:val="1"/>
                <w:color w:val="auto"/>
              </w:rPr>
            </w:pPr>
          </w:p>
        </w:tc>
      </w:tr>
      <w:tr>
        <w:trPr>
          <w:trHeight w:val="20"/>
        </w:trPr>
        <w:tc>
          <w:tcPr>
            <w:tcW w:w="314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shd w:val="clear" w:color="auto" w:fill="DBDBDB"/>
          </w:tcPr>
          <w:p>
            <w:pPr>
              <w:ind w:left="20"/>
              <w:spacing w:after="0" w:line="145" w:lineRule="exact"/>
              <w:rPr>
                <w:sz w:val="20"/>
                <w:szCs w:val="20"/>
                <w:color w:val="auto"/>
              </w:rPr>
            </w:pPr>
            <w:r>
              <w:rPr>
                <w:rFonts w:ascii="Arial" w:cs="Arial" w:eastAsia="Arial" w:hAnsi="Arial"/>
                <w:sz w:val="16"/>
                <w:szCs w:val="16"/>
                <w:color w:val="auto"/>
              </w:rPr>
              <w:t>Cash dividends per share of common</w:t>
            </w:r>
          </w:p>
        </w:tc>
        <w:tc>
          <w:tcPr>
            <w:tcW w:w="120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0.930</w:t>
            </w:r>
          </w:p>
        </w:tc>
        <w:tc>
          <w:tcPr>
            <w:tcW w:w="1360" w:type="dxa"/>
            <w:vAlign w:val="bottom"/>
            <w:gridSpan w:val="4"/>
            <w:vMerge w:val="restart"/>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0.900</w:t>
            </w:r>
          </w:p>
        </w:tc>
        <w:tc>
          <w:tcPr>
            <w:tcW w:w="1440" w:type="dxa"/>
            <w:vAlign w:val="bottom"/>
            <w:gridSpan w:val="4"/>
            <w:vMerge w:val="restart"/>
            <w:shd w:val="clear" w:color="auto" w:fill="DBDBDB"/>
          </w:tcPr>
          <w:p>
            <w:pPr>
              <w:jc w:val="right"/>
              <w:ind w:right="68"/>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1.860</w:t>
            </w:r>
          </w:p>
        </w:tc>
        <w:tc>
          <w:tcPr>
            <w:tcW w:w="1360" w:type="dxa"/>
            <w:vAlign w:val="bottom"/>
            <w:gridSpan w:val="4"/>
            <w:vMerge w:val="restart"/>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194"/>
        </w:trPr>
        <w:tc>
          <w:tcPr>
            <w:tcW w:w="314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stock</w:t>
            </w:r>
          </w:p>
        </w:tc>
        <w:tc>
          <w:tcPr>
            <w:tcW w:w="1200" w:type="dxa"/>
            <w:vAlign w:val="bottom"/>
            <w:gridSpan w:val="3"/>
            <w:vMerge w:val="continue"/>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360" w:type="dxa"/>
            <w:vAlign w:val="bottom"/>
            <w:gridSpan w:val="4"/>
            <w:vMerge w:val="continue"/>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1440" w:type="dxa"/>
            <w:vAlign w:val="bottom"/>
            <w:gridSpan w:val="4"/>
            <w:vMerge w:val="continue"/>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1360" w:type="dxa"/>
            <w:vAlign w:val="bottom"/>
            <w:gridSpan w:val="4"/>
            <w:vMerge w:val="continue"/>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 BASIS OF PRESENTATION</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2021, and December 31, 2020, the cash flows for the six months ended June 30, 2021 and 2020, the results of operations for the three and six months ended June 30, 2021 and 2020, and the shareowners' equity for the three and six months ended June 30, 2021 and 2020. The results of operations for the three and six months ended June 30, 2021, and cash flows for the six months ended June 30, 2021, should not necessarily be taken as indicative of the entire year.</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Honeywell reports its quarterly financial information using a calendar convention; the first, second and third quarters are consistently reported as ending on March 31, June 30 and September 30. It has been Honeywell's practice to establish actual quarterly closing dates using a predetermined fiscal calendar, which requires Honeywell's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Honeywell will provide appropriate disclosures. Honeywell's actual closing dates for the three and six months ended June 30, 2021, and June 30, 2020, were July 3, 2021, and June 27, 2020,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 SUMMARY OF SIGNIFICANT ACCOUNTING POLICIES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accounting policies of the Company are set forth in Note 1 to the Company's Consolidated Financial Statements contained in the Company’s 2020 Annual Report on Form 10-K. The Company includes herein certain updates to those policies.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212529"/>
        </w:rPr>
        <w:t>RECLASSIFICATIONS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212529"/>
        </w:rPr>
        <w:t>Certain prior year amounts have been reclassified to conform to the current year presentation.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our Consolidated Financial Statements.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an ASU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Effective January 1, 2021, the Company adopted this standard. The adoption of this standard did not have a material impact on the Company's Consolidated Financial Statements.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FASB issued guidance that provides optional expedients and exceptions for applying generally accepted accounting principles to contracts, hedging relationships, and other transactions affected by the transition away from reference rates expected to be discontinued to alternative reference rates. The guidance was effective upon issuance and may be applied prospectively to contract modifications made and hedging relationships entered into on or before December 31, 2022. The Company is currently evaluating the impacts of this guidance on the Company’s Consolidated Financial Statements. The Company does not expect the adoption of this standard to have a material impact on the Company’s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3. ACQUISITIONS AND DIVESTITURES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12, 2021, the Company acquired 100% of the shares outstanding of Sparta Systems, a leading provider of enterprise quality management software for the life sciences industry, for $ 1,303 million. Sparta Systems is expected to further strengthen the Company's leadership in industrial automation, digital transformation solutions, and enterprise performance management software. The business is included within the Performance Materials and Technologies segment. The assets and liabilities acquired with Sparta Systems are included in the Consolidated Balance Sheet as of June 30, 2021, including $383 million of intangible assets and $1,029 million allocated to goodwill, which is non-deductible for tax purposes. The purchase accounting is subject to final adjustment, primarily for the valuation of intangible assets, amounts allocated to goodwill, tax balances, and certain pre-acquisition contingencies.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15, 2021, the Company completed the sale of its retail footwear business in exchange for gross cash consideration of $230 million. The Company recognized a pre-tax gain of $90 million, which was recorded in Other (income) expense. The retail footwear business was previously included in the Safety and Productivity Solutions segment.</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4. REVENUE RECOGNITION AND CONTRACTS WITH CUSTOMERS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generates revenue from a comprehensive offering of products and services, including software and technologies, that are sold to a variety of customers in multiple end markets. See the following table and related discussions by operating segment for details.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Borders>
              <w:bottom w:val="single" w:sz="8" w:color="DBDBDB"/>
            </w:tcBorders>
          </w:tcPr>
          <w:p>
            <w:pPr>
              <w:spacing w:after="0"/>
              <w:rPr>
                <w:sz w:val="17"/>
                <w:szCs w:val="17"/>
                <w:color w:val="auto"/>
              </w:rPr>
            </w:pPr>
          </w:p>
        </w:tc>
        <w:tc>
          <w:tcPr>
            <w:tcW w:w="860" w:type="dxa"/>
            <w:vAlign w:val="bottom"/>
            <w:tcBorders>
              <w:bottom w:val="single" w:sz="8" w:color="DBDBDB"/>
            </w:tcBorders>
          </w:tcPr>
          <w:p>
            <w:pPr>
              <w:spacing w:after="0"/>
              <w:rPr>
                <w:sz w:val="17"/>
                <w:szCs w:val="17"/>
                <w:color w:val="auto"/>
              </w:rPr>
            </w:pPr>
          </w:p>
        </w:tc>
        <w:tc>
          <w:tcPr>
            <w:tcW w:w="176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2400" w:type="dxa"/>
            <w:vAlign w:val="bottom"/>
            <w:tcBorders>
              <w:bottom w:val="single" w:sz="8" w:color="DBDBDB"/>
            </w:tcBorders>
          </w:tcPr>
          <w:p>
            <w:pPr>
              <w:spacing w:after="0"/>
              <w:rPr>
                <w:sz w:val="17"/>
                <w:szCs w:val="17"/>
                <w:color w:val="auto"/>
              </w:rPr>
            </w:pPr>
          </w:p>
        </w:tc>
        <w:tc>
          <w:tcPr>
            <w:tcW w:w="240" w:type="dxa"/>
            <w:vAlign w:val="bottom"/>
            <w:tcBorders>
              <w:top w:val="single" w:sz="8" w:color="DC202E"/>
              <w:bottom w:val="single" w:sz="8" w:color="DC202E"/>
            </w:tcBorders>
          </w:tcPr>
          <w:p>
            <w:pPr>
              <w:spacing w:after="0"/>
              <w:rPr>
                <w:sz w:val="17"/>
                <w:szCs w:val="17"/>
                <w:color w:val="auto"/>
              </w:rPr>
            </w:pPr>
          </w:p>
        </w:tc>
        <w:tc>
          <w:tcPr>
            <w:tcW w:w="1100" w:type="dxa"/>
            <w:vAlign w:val="bottom"/>
            <w:tcBorders>
              <w:top w:val="single" w:sz="8" w:color="DC202E"/>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32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26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176"/>
        </w:trPr>
        <w:tc>
          <w:tcPr>
            <w:tcW w:w="20" w:type="dxa"/>
            <w:vAlign w:val="bottom"/>
            <w:shd w:val="clear" w:color="auto" w:fill="DBDBDB"/>
          </w:tcPr>
          <w:p>
            <w:pPr>
              <w:spacing w:after="0"/>
              <w:rPr>
                <w:sz w:val="15"/>
                <w:szCs w:val="15"/>
                <w:color w:val="auto"/>
              </w:rPr>
            </w:pPr>
          </w:p>
        </w:tc>
        <w:tc>
          <w:tcPr>
            <w:tcW w:w="5660" w:type="dxa"/>
            <w:vAlign w:val="bottom"/>
            <w:gridSpan w:val="5"/>
            <w:shd w:val="clear" w:color="auto" w:fill="DBDBDB"/>
          </w:tcPr>
          <w:p>
            <w:pPr>
              <w:spacing w:after="0" w:line="176" w:lineRule="exact"/>
              <w:rPr>
                <w:sz w:val="20"/>
                <w:szCs w:val="20"/>
                <w:color w:val="auto"/>
              </w:rPr>
            </w:pPr>
            <w:r>
              <w:rPr>
                <w:rFonts w:ascii="Arial" w:cs="Arial" w:eastAsia="Arial" w:hAnsi="Arial"/>
                <w:sz w:val="18"/>
                <w:szCs w:val="18"/>
                <w:color w:val="auto"/>
              </w:rPr>
              <w:t>Aerospace</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auto"/>
            </w:tcBorders>
            <w:shd w:val="clear" w:color="auto" w:fill="DBDBDB"/>
          </w:tcPr>
          <w:p>
            <w:pPr>
              <w:spacing w:after="0" w:line="20" w:lineRule="exact"/>
              <w:rPr>
                <w:sz w:val="1"/>
                <w:szCs w:val="1"/>
                <w:color w:val="auto"/>
              </w:rPr>
            </w:pPr>
          </w:p>
        </w:tc>
        <w:tc>
          <w:tcPr>
            <w:tcW w:w="17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240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1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980" w:type="dxa"/>
            <w:vAlign w:val="bottom"/>
            <w:tcBorders>
              <w:top w:val="single" w:sz="8" w:color="DBDBDB"/>
            </w:tcBorders>
            <w:shd w:val="clear" w:color="auto" w:fill="DBDBDB"/>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Commercial Aviation Original Equipment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Commercial Aviation Aftermarket</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2,046</w:t>
            </w:r>
          </w:p>
        </w:tc>
      </w:tr>
      <w:tr>
        <w:trPr>
          <w:trHeight w:val="230"/>
        </w:trPr>
        <w:tc>
          <w:tcPr>
            <w:tcW w:w="20" w:type="dxa"/>
            <w:vAlign w:val="bottom"/>
            <w:tcBorders>
              <w:bottom w:val="single" w:sz="8" w:color="DBDBDB"/>
            </w:tcBorders>
          </w:tcPr>
          <w:p>
            <w:pPr>
              <w:spacing w:after="0"/>
              <w:rPr>
                <w:sz w:val="19"/>
                <w:szCs w:val="19"/>
                <w:color w:val="auto"/>
              </w:rPr>
            </w:pPr>
          </w:p>
        </w:tc>
        <w:tc>
          <w:tcPr>
            <w:tcW w:w="5660" w:type="dxa"/>
            <w:vAlign w:val="bottom"/>
            <w:tcBorders>
              <w:bottom w:val="single" w:sz="8" w:color="DBDBDB"/>
            </w:tcBorders>
            <w:gridSpan w:val="5"/>
          </w:tcPr>
          <w:p>
            <w:pPr>
              <w:spacing w:after="0"/>
              <w:rPr>
                <w:sz w:val="20"/>
                <w:szCs w:val="20"/>
                <w:color w:val="auto"/>
              </w:rPr>
            </w:pPr>
            <w:r>
              <w:rPr>
                <w:rFonts w:ascii="Arial" w:cs="Arial" w:eastAsia="Arial" w:hAnsi="Arial"/>
                <w:sz w:val="18"/>
                <w:szCs w:val="18"/>
                <w:color w:val="auto"/>
              </w:rPr>
              <w:t>Defense and Space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r>
      <w:tr>
        <w:trPr>
          <w:trHeight w:val="223"/>
        </w:trPr>
        <w:tc>
          <w:tcPr>
            <w:tcW w:w="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24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5,398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5,904</w:t>
            </w:r>
          </w:p>
        </w:tc>
      </w:tr>
      <w:tr>
        <w:trPr>
          <w:trHeight w:val="169"/>
        </w:trPr>
        <w:tc>
          <w:tcPr>
            <w:tcW w:w="20" w:type="dxa"/>
            <w:vAlign w:val="bottom"/>
          </w:tcPr>
          <w:p>
            <w:pPr>
              <w:spacing w:after="0"/>
              <w:rPr>
                <w:sz w:val="14"/>
                <w:szCs w:val="14"/>
                <w:color w:val="auto"/>
              </w:rPr>
            </w:pPr>
          </w:p>
        </w:tc>
        <w:tc>
          <w:tcPr>
            <w:tcW w:w="5660" w:type="dxa"/>
            <w:vAlign w:val="bottom"/>
            <w:gridSpan w:val="5"/>
          </w:tcPr>
          <w:p>
            <w:pPr>
              <w:spacing w:after="0" w:line="169" w:lineRule="exact"/>
              <w:rPr>
                <w:sz w:val="20"/>
                <w:szCs w:val="20"/>
                <w:color w:val="auto"/>
              </w:rPr>
            </w:pPr>
            <w:r>
              <w:rPr>
                <w:rFonts w:ascii="Arial" w:cs="Arial" w:eastAsia="Arial" w:hAnsi="Arial"/>
                <w:sz w:val="18"/>
                <w:szCs w:val="18"/>
                <w:color w:val="auto"/>
              </w:rPr>
              <w:t>Honeywell Building Technologies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1,400</w:t>
            </w:r>
          </w:p>
        </w:tc>
      </w:tr>
      <w:tr>
        <w:trPr>
          <w:trHeight w:val="230"/>
        </w:trPr>
        <w:tc>
          <w:tcPr>
            <w:tcW w:w="20" w:type="dxa"/>
            <w:vAlign w:val="bottom"/>
            <w:tcBorders>
              <w:bottom w:val="single" w:sz="8" w:color="DBDBDB"/>
            </w:tcBorders>
          </w:tcPr>
          <w:p>
            <w:pPr>
              <w:spacing w:after="0"/>
              <w:rPr>
                <w:sz w:val="19"/>
                <w:szCs w:val="19"/>
                <w:color w:val="auto"/>
              </w:rPr>
            </w:pPr>
          </w:p>
        </w:tc>
        <w:tc>
          <w:tcPr>
            <w:tcW w:w="5660" w:type="dxa"/>
            <w:vAlign w:val="bottom"/>
            <w:tcBorders>
              <w:bottom w:val="single" w:sz="8" w:color="DBDBDB"/>
            </w:tcBorders>
            <w:gridSpan w:val="5"/>
          </w:tcPr>
          <w:p>
            <w:pPr>
              <w:spacing w:after="0"/>
              <w:rPr>
                <w:sz w:val="20"/>
                <w:szCs w:val="20"/>
                <w:color w:val="auto"/>
              </w:rPr>
            </w:pPr>
            <w:r>
              <w:rPr>
                <w:rFonts w:ascii="Arial" w:cs="Arial" w:eastAsia="Arial" w:hAnsi="Arial"/>
                <w:sz w:val="18"/>
                <w:szCs w:val="18"/>
                <w:color w:val="auto"/>
              </w:rPr>
              <w:t>Building Solutions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23"/>
        </w:trPr>
        <w:tc>
          <w:tcPr>
            <w:tcW w:w="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24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2,458</w:t>
            </w:r>
          </w:p>
        </w:tc>
      </w:tr>
      <w:tr>
        <w:trPr>
          <w:trHeight w:val="169"/>
        </w:trPr>
        <w:tc>
          <w:tcPr>
            <w:tcW w:w="20" w:type="dxa"/>
            <w:vAlign w:val="bottom"/>
          </w:tcPr>
          <w:p>
            <w:pPr>
              <w:spacing w:after="0"/>
              <w:rPr>
                <w:sz w:val="14"/>
                <w:szCs w:val="14"/>
                <w:color w:val="auto"/>
              </w:rPr>
            </w:pPr>
          </w:p>
        </w:tc>
        <w:tc>
          <w:tcPr>
            <w:tcW w:w="5660" w:type="dxa"/>
            <w:vAlign w:val="bottom"/>
            <w:gridSpan w:val="5"/>
          </w:tcPr>
          <w:p>
            <w:pPr>
              <w:spacing w:after="0" w:line="169" w:lineRule="exact"/>
              <w:rPr>
                <w:sz w:val="20"/>
                <w:szCs w:val="20"/>
                <w:color w:val="auto"/>
              </w:rPr>
            </w:pPr>
            <w:r>
              <w:rPr>
                <w:rFonts w:ascii="Arial" w:cs="Arial" w:eastAsia="Arial" w:hAnsi="Arial"/>
                <w:sz w:val="18"/>
                <w:szCs w:val="18"/>
                <w:color w:val="auto"/>
              </w:rPr>
              <w:t>Performance Materials and Technologies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UOP</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Process Solutions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29"/>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Advanced Materials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1,260</w:t>
            </w:r>
          </w:p>
        </w:tc>
      </w:tr>
      <w:tr>
        <w:trPr>
          <w:trHeight w:val="223"/>
        </w:trPr>
        <w:tc>
          <w:tcPr>
            <w:tcW w:w="2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76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620" w:type="dxa"/>
            <w:vAlign w:val="bottom"/>
            <w:tcBorders>
              <w:bottom w:val="single" w:sz="8" w:color="DBDBDB"/>
            </w:tcBorders>
          </w:tcPr>
          <w:p>
            <w:pPr>
              <w:spacing w:after="0"/>
              <w:rPr>
                <w:sz w:val="19"/>
                <w:szCs w:val="19"/>
                <w:color w:val="auto"/>
              </w:rPr>
            </w:pPr>
          </w:p>
        </w:tc>
        <w:tc>
          <w:tcPr>
            <w:tcW w:w="24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r>
      <w:tr>
        <w:trPr>
          <w:trHeight w:val="190"/>
        </w:trPr>
        <w:tc>
          <w:tcPr>
            <w:tcW w:w="20" w:type="dxa"/>
            <w:vAlign w:val="bottom"/>
            <w:tcBorders>
              <w:bottom w:val="single" w:sz="8" w:color="DBDBDB"/>
            </w:tcBorders>
            <w:shd w:val="clear" w:color="auto" w:fill="DBDBDB"/>
          </w:tcPr>
          <w:p>
            <w:pPr>
              <w:spacing w:after="0"/>
              <w:rPr>
                <w:sz w:val="16"/>
                <w:szCs w:val="16"/>
                <w:color w:val="auto"/>
              </w:rPr>
            </w:pPr>
          </w:p>
        </w:tc>
        <w:tc>
          <w:tcPr>
            <w:tcW w:w="2640" w:type="dxa"/>
            <w:vAlign w:val="bottom"/>
            <w:tcBorders>
              <w:bottom w:val="single" w:sz="8" w:color="auto"/>
            </w:tcBorders>
            <w:gridSpan w:val="3"/>
            <w:shd w:val="clear" w:color="auto" w:fill="DBDBDB"/>
          </w:tcPr>
          <w:p>
            <w:pPr>
              <w:spacing w:after="0" w:line="169" w:lineRule="exact"/>
              <w:rPr>
                <w:sz w:val="20"/>
                <w:szCs w:val="20"/>
                <w:color w:val="auto"/>
              </w:rPr>
            </w:pPr>
            <w:r>
              <w:rPr>
                <w:rFonts w:ascii="Arial" w:cs="Arial" w:eastAsia="Arial" w:hAnsi="Arial"/>
                <w:sz w:val="18"/>
                <w:szCs w:val="18"/>
                <w:color w:val="auto"/>
                <w:w w:val="99"/>
              </w:rPr>
              <w:t>Safety and Productivity Solutions</w:t>
            </w:r>
          </w:p>
        </w:tc>
        <w:tc>
          <w:tcPr>
            <w:tcW w:w="3020" w:type="dxa"/>
            <w:vAlign w:val="bottom"/>
            <w:tcBorders>
              <w:bottom w:val="single" w:sz="8" w:color="DBDBDB"/>
            </w:tcBorders>
            <w:gridSpan w:val="2"/>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Safety and Retail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Productivity Solutions and Services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20" w:type="dxa"/>
            <w:vAlign w:val="bottom"/>
          </w:tcPr>
          <w:p>
            <w:pPr>
              <w:spacing w:after="0"/>
              <w:rPr>
                <w:sz w:val="19"/>
                <w:szCs w:val="19"/>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rPr>
              <w:t>Warehouse and Workflow Solutions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20" w:type="dxa"/>
            <w:vAlign w:val="bottom"/>
            <w:shd w:val="clear" w:color="auto" w:fill="DBDBDB"/>
          </w:tcPr>
          <w:p>
            <w:pPr>
              <w:spacing w:after="0"/>
              <w:rPr>
                <w:sz w:val="19"/>
                <w:szCs w:val="19"/>
                <w:color w:val="auto"/>
              </w:rPr>
            </w:pPr>
          </w:p>
        </w:tc>
        <w:tc>
          <w:tcPr>
            <w:tcW w:w="566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Advanced Sensing Technologies</w:t>
            </w:r>
          </w:p>
        </w:tc>
        <w:tc>
          <w:tcPr>
            <w:tcW w:w="2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20" w:type="dxa"/>
            <w:vAlign w:val="bottom"/>
            <w:tcBorders>
              <w:bottom w:val="single" w:sz="8" w:color="DBDBDB"/>
            </w:tcBorders>
          </w:tcPr>
          <w:p>
            <w:pPr>
              <w:spacing w:after="0"/>
              <w:rPr>
                <w:sz w:val="19"/>
                <w:szCs w:val="19"/>
                <w:color w:val="auto"/>
              </w:rPr>
            </w:pPr>
          </w:p>
        </w:tc>
        <w:tc>
          <w:tcPr>
            <w:tcW w:w="860" w:type="dxa"/>
            <w:vAlign w:val="bottom"/>
            <w:tcBorders>
              <w:bottom w:val="single" w:sz="8" w:color="DBDBDB"/>
            </w:tcBorders>
          </w:tcPr>
          <w:p>
            <w:pPr>
              <w:spacing w:after="0"/>
              <w:rPr>
                <w:sz w:val="19"/>
                <w:szCs w:val="19"/>
                <w:color w:val="auto"/>
              </w:rPr>
            </w:pPr>
          </w:p>
        </w:tc>
        <w:tc>
          <w:tcPr>
            <w:tcW w:w="176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620" w:type="dxa"/>
            <w:vAlign w:val="bottom"/>
            <w:tcBorders>
              <w:bottom w:val="single" w:sz="8" w:color="DBDBDB"/>
            </w:tcBorders>
          </w:tcPr>
          <w:p>
            <w:pPr>
              <w:spacing w:after="0"/>
              <w:rPr>
                <w:sz w:val="19"/>
                <w:szCs w:val="19"/>
                <w:color w:val="auto"/>
              </w:rPr>
            </w:pPr>
          </w:p>
        </w:tc>
        <w:tc>
          <w:tcPr>
            <w:tcW w:w="24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5660" w:type="dxa"/>
            <w:vAlign w:val="bottom"/>
            <w:tcBorders>
              <w:bottom w:val="single" w:sz="8" w:color="DBDBDB"/>
            </w:tcBorders>
            <w:gridSpan w:val="5"/>
            <w:shd w:val="clear" w:color="auto" w:fill="DBDBDB"/>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17,262</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15,940</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17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tcBorders>
          </w:tcPr>
          <w:p>
            <w:pPr>
              <w:spacing w:after="0" w:line="20" w:lineRule="exact"/>
              <w:rPr>
                <w:sz w:val="1"/>
                <w:szCs w:val="1"/>
                <w:color w:val="auto"/>
              </w:rPr>
            </w:pPr>
          </w:p>
        </w:tc>
        <w:tc>
          <w:tcPr>
            <w:tcW w:w="24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 that it sells to original equipment manufacturers (OEM)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that enable building owners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enable our customers to digitally manage buildings, connecting data from different assets to enable smart maintenance, improve building performance and protect from incoming security threats.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in developing and manufacturing high-quality performance chemicals and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process 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and software that improve productivity, workplace safety and asset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to customers around the globe. Safety products include personal protective equipment (PPE),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 summary by disaggregated product and services sales for each segment, refer to Note 18 Segment Financial Data.</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recognizes revenue from performance obligations to customers that are satisfied at a point in time and over time. The disaggregation of the Company's revenue based off timing of recognition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294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84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20" w:type="dxa"/>
            <w:vAlign w:val="bottom"/>
            <w:tcBorders>
              <w:bottom w:val="single" w:sz="8" w:color="DBDBDB"/>
            </w:tcBorders>
          </w:tcPr>
          <w:p>
            <w:pPr>
              <w:spacing w:after="0"/>
              <w:rPr>
                <w:sz w:val="17"/>
                <w:szCs w:val="17"/>
                <w:color w:val="auto"/>
              </w:rPr>
            </w:pPr>
          </w:p>
        </w:tc>
        <w:tc>
          <w:tcPr>
            <w:tcW w:w="1380" w:type="dxa"/>
            <w:vAlign w:val="bottom"/>
            <w:tcBorders>
              <w:top w:val="single" w:sz="8" w:color="DC202E"/>
              <w:bottom w:val="single" w:sz="8" w:color="DC202E"/>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1360" w:type="dxa"/>
            <w:vAlign w:val="bottom"/>
            <w:tcBorders>
              <w:top w:val="single" w:sz="8" w:color="DC202E"/>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380" w:type="dxa"/>
            <w:vAlign w:val="bottom"/>
            <w:tcBorders>
              <w:top w:val="single" w:sz="8" w:color="DC202E"/>
              <w:bottom w:val="single" w:sz="8" w:color="DC202E"/>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1360" w:type="dxa"/>
            <w:vAlign w:val="bottom"/>
            <w:tcBorders>
              <w:top w:val="single" w:sz="8" w:color="DC202E"/>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9"/>
        </w:trPr>
        <w:tc>
          <w:tcPr>
            <w:tcW w:w="5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Products, transferred point in time</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Products, transferred over time</w:t>
            </w: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BDBDB"/>
            </w:tcBorders>
          </w:tcPr>
          <w:p>
            <w:pPr>
              <w:spacing w:after="0"/>
              <w:rPr>
                <w:sz w:val="19"/>
                <w:szCs w:val="19"/>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r>
      <w:tr>
        <w:trPr>
          <w:trHeight w:val="223"/>
        </w:trPr>
        <w:tc>
          <w:tcPr>
            <w:tcW w:w="5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product sales</w:t>
            </w:r>
          </w:p>
        </w:tc>
        <w:tc>
          <w:tcPr>
            <w:tcW w:w="138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76</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Services, transferred point in time</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8</w:t>
            </w:r>
          </w:p>
        </w:tc>
      </w:tr>
      <w:tr>
        <w:trPr>
          <w:trHeight w:val="229"/>
        </w:trPr>
        <w:tc>
          <w:tcPr>
            <w:tcW w:w="5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Services, transferred over time</w:t>
            </w:r>
          </w:p>
        </w:tc>
        <w:tc>
          <w:tcPr>
            <w:tcW w:w="138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16</w:t>
            </w:r>
          </w:p>
        </w:tc>
      </w:tr>
      <w:tr>
        <w:trPr>
          <w:trHeight w:val="223"/>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service sales</w:t>
            </w: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DBDBDB"/>
            </w:tcBorders>
          </w:tcPr>
          <w:p>
            <w:pPr>
              <w:spacing w:after="0"/>
              <w:rPr>
                <w:sz w:val="19"/>
                <w:szCs w:val="19"/>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w:t>
            </w:r>
          </w:p>
        </w:tc>
      </w:tr>
      <w:tr>
        <w:trPr>
          <w:trHeight w:val="248"/>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BALANCES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 when customers remit contractual cash payments in advance of the Company satisfying performance obligations under contractual arrangements, including those with performance obligations to be satisfied over a period of time. Contract liabilities decrease when revenue is recorded, either when a milestone is met triggering the contractual right to bill or when the performance obligation is satisfied.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Borders>
              <w:bottom w:val="single" w:sz="8" w:color="DBDBDB"/>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DBDBDB"/>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040" w:type="dxa"/>
            <w:vAlign w:val="bottom"/>
            <w:tcBorders>
              <w:bottom w:val="single" w:sz="8" w:color="DC202E"/>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9"/>
        </w:trPr>
        <w:tc>
          <w:tcPr>
            <w:tcW w:w="8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assets - 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1,602</w:t>
            </w:r>
          </w:p>
        </w:tc>
      </w:tr>
      <w:tr>
        <w:trPr>
          <w:trHeight w:val="230"/>
        </w:trPr>
        <w:tc>
          <w:tcPr>
            <w:tcW w:w="8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Contract assets - June 30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r>
      <w:tr>
        <w:trPr>
          <w:trHeight w:val="248"/>
        </w:trPr>
        <w:tc>
          <w:tcPr>
            <w:tcW w:w="8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83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liabilities - 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(4,033)</w:t>
            </w:r>
          </w:p>
        </w:tc>
        <w:tc>
          <w:tcPr>
            <w:tcW w:w="16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(3,501)</w:t>
            </w:r>
          </w:p>
        </w:tc>
      </w:tr>
      <w:tr>
        <w:trPr>
          <w:trHeight w:val="229"/>
        </w:trPr>
        <w:tc>
          <w:tcPr>
            <w:tcW w:w="8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Contract liabilities - June 30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r>
      <w:tr>
        <w:trPr>
          <w:trHeight w:val="248"/>
        </w:trPr>
        <w:tc>
          <w:tcPr>
            <w:tcW w:w="8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Change in contract liabilities - decrease (increase)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83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5"/>
        </w:trPr>
        <w:tc>
          <w:tcPr>
            <w:tcW w:w="83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83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six months ended June 30, 2021, the Company recognized revenue of $ 441 million and $1,561 million that was previously included in the beginning balance of contract liabilities. For the three and six months ended June 30, 2020, the Company recognized revenue of $315 million and $1,203 million that was previously included in the beginning balance of contract liabilities.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OBLIGATIONS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80" w:type="dxa"/>
            <w:vAlign w:val="bottom"/>
            <w:tcBorders>
              <w:bottom w:val="single" w:sz="8" w:color="DBDBDB"/>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1180" w:type="dxa"/>
            <w:vAlign w:val="bottom"/>
            <w:tcBorders>
              <w:bottom w:val="single" w:sz="8" w:color="DC202E"/>
            </w:tcBorders>
          </w:tcPr>
          <w:p>
            <w:pPr>
              <w:jc w:val="right"/>
              <w:ind w:right="113"/>
              <w:spacing w:after="0"/>
              <w:rPr>
                <w:sz w:val="20"/>
                <w:szCs w:val="20"/>
                <w:color w:val="auto"/>
              </w:rPr>
            </w:pPr>
            <w:r>
              <w:rPr>
                <w:rFonts w:ascii="Arial" w:cs="Arial" w:eastAsia="Arial" w:hAnsi="Arial"/>
                <w:sz w:val="14"/>
                <w:szCs w:val="14"/>
                <w:b w:val="1"/>
                <w:bCs w:val="1"/>
                <w:color w:val="auto"/>
              </w:rPr>
              <w:t>June 30, 2021</w:t>
            </w:r>
          </w:p>
        </w:tc>
      </w:tr>
      <w:tr>
        <w:trPr>
          <w:trHeight w:val="230"/>
        </w:trPr>
        <w:tc>
          <w:tcPr>
            <w:tcW w:w="9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Aerospace</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8,930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6,776</w:t>
            </w:r>
          </w:p>
        </w:tc>
      </w:tr>
      <w:tr>
        <w:trPr>
          <w:trHeight w:val="230"/>
        </w:trPr>
        <w:tc>
          <w:tcPr>
            <w:tcW w:w="9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Performance Materials and Technologies</w:t>
            </w: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7,579</w:t>
            </w:r>
          </w:p>
        </w:tc>
      </w:tr>
      <w:tr>
        <w:trPr>
          <w:trHeight w:val="229"/>
        </w:trPr>
        <w:tc>
          <w:tcPr>
            <w:tcW w:w="98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Safety and Productivity Solutions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r>
      <w:tr>
        <w:trPr>
          <w:trHeight w:val="248"/>
        </w:trPr>
        <w:tc>
          <w:tcPr>
            <w:tcW w:w="98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27,026</w:t>
            </w:r>
          </w:p>
        </w:tc>
      </w:tr>
      <w:tr>
        <w:trPr>
          <w:trHeight w:val="20"/>
        </w:trPr>
        <w:tc>
          <w:tcPr>
            <w:tcW w:w="98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 obligations recognized as of June 30, 2021,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we may be entitled to receive an advance payment.</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5. REPOSITIONING AND OTHER CHARGES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repositioning and other charges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40" w:type="dxa"/>
            <w:vAlign w:val="bottom"/>
            <w:tcBorders>
              <w:bottom w:val="single" w:sz="8" w:color="DBDBDB"/>
            </w:tcBorders>
          </w:tcPr>
          <w:p>
            <w:pPr>
              <w:spacing w:after="0"/>
              <w:rPr>
                <w:sz w:val="17"/>
                <w:szCs w:val="17"/>
                <w:color w:val="auto"/>
              </w:rPr>
            </w:pPr>
          </w:p>
        </w:tc>
        <w:tc>
          <w:tcPr>
            <w:tcW w:w="84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24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Severance</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Exit costs</w:t>
            </w:r>
          </w:p>
        </w:tc>
        <w:tc>
          <w:tcPr>
            <w:tcW w:w="84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Reserve adjustments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net repositioning charge</w:t>
            </w:r>
          </w:p>
        </w:tc>
        <w:tc>
          <w:tcPr>
            <w:tcW w:w="84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r>
      <w:tr>
        <w:trPr>
          <w:trHeight w:val="168"/>
        </w:trPr>
        <w:tc>
          <w:tcPr>
            <w:tcW w:w="5840" w:type="dxa"/>
            <w:vAlign w:val="bottom"/>
          </w:tcPr>
          <w:p>
            <w:pPr>
              <w:ind w:left="20"/>
              <w:spacing w:after="0" w:line="168" w:lineRule="exact"/>
              <w:rPr>
                <w:sz w:val="20"/>
                <w:szCs w:val="20"/>
                <w:color w:val="auto"/>
              </w:rPr>
            </w:pPr>
            <w:r>
              <w:rPr>
                <w:rFonts w:ascii="Arial" w:cs="Arial" w:eastAsia="Arial" w:hAnsi="Arial"/>
                <w:sz w:val="18"/>
                <w:szCs w:val="18"/>
                <w:color w:val="auto"/>
              </w:rPr>
              <w:t>Asbestos related litigation charges, net of insurance and</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8"/>
                <w:szCs w:val="18"/>
                <w:color w:val="auto"/>
              </w:rPr>
              <w:t>reimbursements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88"/>
        </w:trPr>
        <w:tc>
          <w:tcPr>
            <w:tcW w:w="584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Probable and reasonably estimable environmental liabilities, net of</w:t>
            </w:r>
          </w:p>
        </w:tc>
        <w:tc>
          <w:tcPr>
            <w:tcW w:w="84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r>
      <w:tr>
        <w:trPr>
          <w:trHeight w:val="217"/>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reimbursements</w:t>
            </w:r>
          </w:p>
        </w:tc>
        <w:tc>
          <w:tcPr>
            <w:tcW w:w="840" w:type="dxa"/>
            <w:vAlign w:val="bottom"/>
            <w:shd w:val="clear" w:color="auto" w:fill="DBDBDB"/>
          </w:tcPr>
          <w:p>
            <w:pPr>
              <w:spacing w:after="0"/>
              <w:rPr>
                <w:sz w:val="18"/>
                <w:szCs w:val="18"/>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58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net repositioning and other charges</w:t>
            </w:r>
          </w:p>
        </w:tc>
        <w:tc>
          <w:tcPr>
            <w:tcW w:w="840" w:type="dxa"/>
            <w:vAlign w:val="bottom"/>
            <w:tcBorders>
              <w:bottom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584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40" w:type="dxa"/>
            <w:vAlign w:val="bottom"/>
            <w:tcBorders>
              <w:bottom w:val="single" w:sz="8" w:color="DBDBDB"/>
            </w:tcBorders>
          </w:tcPr>
          <w:p>
            <w:pPr>
              <w:spacing w:after="0"/>
              <w:rPr>
                <w:sz w:val="17"/>
                <w:szCs w:val="17"/>
                <w:color w:val="auto"/>
              </w:rPr>
            </w:pPr>
          </w:p>
        </w:tc>
        <w:tc>
          <w:tcPr>
            <w:tcW w:w="84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24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9"/>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products and services sold</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584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584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7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4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40" w:type="dxa"/>
            <w:vAlign w:val="bottom"/>
            <w:tcBorders>
              <w:bottom w:val="single" w:sz="8" w:color="DBDBDB"/>
            </w:tcBorders>
          </w:tcPr>
          <w:p>
            <w:pPr>
              <w:spacing w:after="0"/>
              <w:rPr>
                <w:sz w:val="17"/>
                <w:szCs w:val="17"/>
                <w:color w:val="auto"/>
              </w:rPr>
            </w:pPr>
          </w:p>
        </w:tc>
        <w:tc>
          <w:tcPr>
            <w:tcW w:w="84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24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Aerospace</w:t>
            </w:r>
          </w:p>
        </w:tc>
        <w:tc>
          <w:tcPr>
            <w:tcW w:w="840" w:type="dxa"/>
            <w:vAlign w:val="bottom"/>
            <w:shd w:val="clear" w:color="auto" w:fill="DBDBDB"/>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Performance Materials and Technologies</w:t>
            </w:r>
          </w:p>
        </w:tc>
        <w:tc>
          <w:tcPr>
            <w:tcW w:w="84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Corporate</w:t>
            </w:r>
          </w:p>
        </w:tc>
        <w:tc>
          <w:tcPr>
            <w:tcW w:w="84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84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5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three months ended June 30, 2021, we recognized gross repositioning charges totaling $92 million including severance costs of $32 million related to workforce reductions of 3,628 manufacturing and administrative positions mainly in our Safety and Productivity Solutions segment. The workforce reductions were primarily related to the re-alignment of a product line in our Safety and Productivity Solutions segment and to our productivity and ongoing functional transformation initiatives. The repositioning charge included asset impairments of $45 million primarily related to the write-down of certain manufacturing equipment. The repositioning charge also included exit costs of $ 15 million primarily for current period exit costs incurred for previously approved repositioning projects. Also, $22 million of previously established reserves, primarily for severance, were returned to income due to adjustments to the scope of previously announced repositioning actions.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three months ended June 30, 2020, we recognized gross repositioning charges totaling $273 million including severance costs of $254 million related to workforce reductions of 7,805 manufacturing and administrative positions across all of our segments, with a majority of the workforce reductions in Aerospace and Performance Materials and Technologies. The workforce reductions primarily related to the Company aligning its cost structure with the current and anticipated slowdown in demand for many of our products and services due to the global recession, and our productivity and ongoing functional transformation initiatives.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six months ended June 30, 2021, we recognized gross repositioning charges totaling $211 million including severance costs of $60 million related to workforce reductions of 4,649 manufacturing and administrative positions mainly in our Safety and Productivity Solutions and Aerospace segments. The workforce reductions were primarily related to the re-alignment of a product line in our Safety and Productivity Solutions segment, site transitions, mainly in Aerospace, to more cost-effective locations, and our productivity and ongoing functional transformation initiatives. The repositioning charge included asset impairments of $87 million primarily related to the write-down of certain manufacturing and other equipment. The repositioning charge included exit costs of $64 million primarily for current period exit costs incurred for previously approved repositioning projects, closure obligations associated with site transitions, and lease obligations for equipment. Also, $21 million of previously established reserves, primarily for severance, were returned to income due to adjustments to the scope of previously announced repositioning actions.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six months ended June 30, 2020, we recognized gross repositioning charges totaling $356 million including severance costs of $320 million related to workforce reductions of 9,929 manufacturing and administrative positions across our segments, with a majority of the reductions in Aerospace and Performance Materials and Technologies. The workforce reductions primarily related to the Company aligning its cost structure with the current and anticipated slowdown in demand for many of our products and services due to the global recession, and our productivity and ongoing functional transformation initiatives. Also, $31 million of previously established reserves, primarily for severance, were returned to income mainly as a result of higher attrition than anticipated in prior severance programs resulting in lower severance payments.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total repositioning reserves: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14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DBDBDB"/>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5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Usage - cash</w:t>
            </w:r>
          </w:p>
        </w:tc>
        <w:tc>
          <w:tcPr>
            <w:tcW w:w="2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Usage - noncash</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5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Adjustments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June 30, 2021</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55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six months ended June 30, 2021 and 2020, were $20 million and $19 million,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6. INCOME TAXES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The effective tax rate was higher than the U.S. federal statutory rate of 21% and increased during 2021 compared to 2020 primarily from the absence of tax benefits realized in the prior year as a result of the favorable resolution of a foreign tax matter related to the spin-off transactions, tax law changes in India and the resolution of certain U.S. tax matters, partially offset by increased </w:t>
      </w:r>
      <w:r>
        <w:rPr>
          <w:rFonts w:ascii="Arial" w:cs="Arial" w:eastAsia="Arial" w:hAnsi="Arial"/>
          <w:sz w:val="18"/>
          <w:szCs w:val="18"/>
          <w:color w:val="000000"/>
        </w:rPr>
        <w:t>tax benefits for employee</w:t>
      </w:r>
      <w:r>
        <w:rPr>
          <w:rFonts w:ascii="Arial" w:cs="Arial" w:eastAsia="Arial" w:hAnsi="Arial"/>
          <w:sz w:val="18"/>
          <w:szCs w:val="18"/>
          <w:color w:val="212529"/>
        </w:rPr>
        <w:t xml:space="preserve"> </w:t>
      </w:r>
      <w:r>
        <w:rPr>
          <w:rFonts w:ascii="Arial" w:cs="Arial" w:eastAsia="Arial" w:hAnsi="Arial"/>
          <w:sz w:val="18"/>
          <w:szCs w:val="18"/>
          <w:color w:val="000000"/>
        </w:rPr>
        <w:t>share-based compensation and the resolution of certain foreign tax matters in the current year.</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7. ACCOUNTS RECEIVABLE - NET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7"/>
                <w:szCs w:val="17"/>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Trade</w:t>
            </w:r>
          </w:p>
        </w:tc>
        <w:tc>
          <w:tcPr>
            <w:tcW w:w="260" w:type="dxa"/>
            <w:vAlign w:val="bottom"/>
            <w:tcBorders>
              <w:top w:val="single" w:sz="8" w:color="DC202E"/>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7,029</w:t>
            </w:r>
          </w:p>
        </w:tc>
      </w:tr>
      <w:tr>
        <w:trPr>
          <w:trHeight w:val="230"/>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 Allowance for doubtful accounts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75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6,827</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Trade receivables include $1,830 million and $ 1,589 million of unbilled balances under long-term contracts as of June 30, 2021, and December 31, 2020. These amounts are billed in accordance with the terms of the customer contracts to which they relate.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8. INVENTORIES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7"/>
                <w:szCs w:val="17"/>
                <w:color w:val="auto"/>
              </w:rPr>
            </w:pPr>
          </w:p>
        </w:tc>
        <w:tc>
          <w:tcPr>
            <w:tcW w:w="1600" w:type="dxa"/>
            <w:vAlign w:val="bottom"/>
          </w:tcPr>
          <w:p>
            <w:pPr>
              <w:jc w:val="right"/>
              <w:ind w:right="15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DC202E"/>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Finished products</w:t>
            </w:r>
          </w:p>
        </w:tc>
        <w:tc>
          <w:tcPr>
            <w:tcW w:w="26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2,612</w:t>
            </w:r>
          </w:p>
        </w:tc>
      </w:tr>
      <w:tr>
        <w:trPr>
          <w:trHeight w:val="223"/>
        </w:trPr>
        <w:tc>
          <w:tcPr>
            <w:tcW w:w="75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r>
      <w:tr>
        <w:trPr>
          <w:trHeight w:val="21"/>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9. LONG-TERM DEBT AND CREDIT AGREEMENTS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80" w:type="dxa"/>
            <w:vAlign w:val="bottom"/>
            <w:tcBorders>
              <w:bottom w:val="single" w:sz="8" w:color="DBDBDB"/>
            </w:tcBorders>
          </w:tcPr>
          <w:p>
            <w:pPr>
              <w:spacing w:after="0"/>
              <w:rPr>
                <w:sz w:val="15"/>
                <w:szCs w:val="15"/>
                <w:color w:val="auto"/>
              </w:rPr>
            </w:pPr>
          </w:p>
        </w:tc>
        <w:tc>
          <w:tcPr>
            <w:tcW w:w="260" w:type="dxa"/>
            <w:vAlign w:val="bottom"/>
            <w:tcBorders>
              <w:bottom w:val="single" w:sz="8" w:color="DC202E"/>
            </w:tcBorders>
          </w:tcPr>
          <w:p>
            <w:pPr>
              <w:spacing w:after="0"/>
              <w:rPr>
                <w:sz w:val="15"/>
                <w:szCs w:val="15"/>
                <w:color w:val="auto"/>
              </w:rPr>
            </w:pPr>
          </w:p>
        </w:tc>
        <w:tc>
          <w:tcPr>
            <w:tcW w:w="1500" w:type="dxa"/>
            <w:vAlign w:val="bottom"/>
            <w:tcBorders>
              <w:bottom w:val="single" w:sz="8" w:color="DC202E"/>
            </w:tcBorders>
          </w:tcPr>
          <w:p>
            <w:pPr>
              <w:jc w:val="right"/>
              <w:ind w:right="311"/>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600" w:type="dxa"/>
            <w:vAlign w:val="bottom"/>
            <w:tcBorders>
              <w:bottom w:val="single" w:sz="8" w:color="DC202E"/>
            </w:tcBorders>
          </w:tcPr>
          <w:p>
            <w:pPr>
              <w:jc w:val="right"/>
              <w:ind w:right="151"/>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4.25% notes due 2021</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1.85% notes due 2021</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0.483% notes due 2022</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2.15% notes due 2022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Floating rate notes due 2022</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1.30% Euro notes due 2023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3.35% notes due 2023</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0.00% Euro notes due 2024</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2.30% notes due 2024</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1.35% notes due 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2.50% notes due 2026</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2.25% Euro notes due 2028</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2.70% notes due 2029</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1.95% notes due 2030</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0.75% Euro notes due 2032</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5.70% notes due 2036</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5.70% notes due 2037</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5.375% notes due 2041</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3.812% notes due 2047</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2.80% notes due 2050</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6.625% debentures due 2028</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9.065% debentures due 2033</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r>
      <w:tr>
        <w:trPr>
          <w:trHeight w:val="188"/>
        </w:trPr>
        <w:tc>
          <w:tcPr>
            <w:tcW w:w="7580" w:type="dxa"/>
            <w:vAlign w:val="bottom"/>
          </w:tcPr>
          <w:p>
            <w:pPr>
              <w:ind w:left="20"/>
              <w:spacing w:after="0" w:line="189" w:lineRule="exact"/>
              <w:rPr>
                <w:sz w:val="20"/>
                <w:szCs w:val="20"/>
                <w:color w:val="auto"/>
              </w:rPr>
            </w:pPr>
            <w:r>
              <w:rPr>
                <w:rFonts w:ascii="Arial" w:cs="Arial" w:eastAsia="Arial" w:hAnsi="Arial"/>
                <w:sz w:val="18"/>
                <w:szCs w:val="18"/>
                <w:color w:val="auto"/>
              </w:rPr>
              <w:t>Other (including capitalized leases and debt issuance costs), 8.1% weighted average interest</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7"/>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rate maturing at various dates through 2025</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75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17,783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18,787</w:t>
            </w:r>
          </w:p>
        </w:tc>
      </w:tr>
      <w:tr>
        <w:trPr>
          <w:trHeight w:val="230"/>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Less-current portion</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r>
      <w:tr>
        <w:trPr>
          <w:trHeight w:val="248"/>
        </w:trPr>
        <w:tc>
          <w:tcPr>
            <w:tcW w:w="75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16,342</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On March 1, 2021, the Company repaid its 4.25% notes due 2021.</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2021, the Company entered into a $4.0 billion Amended and Restated Five Year Credit Agreement (the 5-Year Credit Agreement) and a $1.5 billion 364-Day Credit Agreement (the 364-Day Credit Agreement). The 5-Year Credit Agreement amended and restated the previously reported $4.0 billion amended and restated five-year credit agreement dated as of April 26, 2019. Commitments under the 5-Year Credit Agreement can be increased pursuant to the terms of the 5-Year Credit Agreement to an aggregate amount not to exceed $4.5 billion. The 364-Day Credit Agreement replaced the $1.5 billion 364-day credit agreement dated as of April 10, 2020, which was terminated in accordance with its terms effective March 31, 2021. Amounts borrowed under the 364-Day Credit Agreement are required to be repaid no later than March 30, 2022, unless (i) Honeywell elects to convert all then outstanding amounts into a term loan, upon which such amounts shall be repaid in full on March 30, 2023, or (ii) the 364-Day Credit Agreement is terminated earlier pursuant to its terms. The 5-Year Credit Agreement and the 364-Day Credit Agreement are maintained for general corporate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there were no outstanding borrowings under the 5-Year Credit Agreement or the 364-Day Credit Agreement.</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10. LEASES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operating and finance lease portfolio is described in Note 11 Leases of Notes to Consolidated Financial Statements in our 2020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3400" w:type="dxa"/>
            <w:vAlign w:val="bottom"/>
            <w:tcBorders>
              <w:bottom w:val="single" w:sz="8" w:color="DC202E"/>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58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1500" w:type="dxa"/>
            <w:vAlign w:val="bottom"/>
            <w:tcBorders>
              <w:bottom w:val="single" w:sz="8" w:color="DC202E"/>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37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right-of-use assets obtained in exchange for lease obligations: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DBDBDB"/>
          </w:tcPr>
          <w:p>
            <w:pPr>
              <w:spacing w:after="0"/>
              <w:rPr>
                <w:sz w:val="24"/>
                <w:szCs w:val="24"/>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392"/>
        </w:trPr>
        <w:tc>
          <w:tcPr>
            <w:tcW w:w="75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94"/>
        </w:trPr>
        <w:tc>
          <w:tcPr>
            <w:tcW w:w="75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3"/>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9"/>
                <w:szCs w:val="19"/>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Borders>
              <w:top w:val="single" w:sz="8" w:color="DC202E"/>
            </w:tcBorders>
            <w:shd w:val="clear" w:color="auto" w:fill="DBDBDB"/>
          </w:tcPr>
          <w:p>
            <w:pPr>
              <w:spacing w:after="0"/>
              <w:rPr>
                <w:sz w:val="18"/>
                <w:szCs w:val="18"/>
                <w:color w:val="auto"/>
              </w:rPr>
            </w:pPr>
          </w:p>
        </w:tc>
        <w:tc>
          <w:tcPr>
            <w:tcW w:w="1500" w:type="dxa"/>
            <w:vAlign w:val="bottom"/>
            <w:tcBorders>
              <w:top w:val="single" w:sz="8" w:color="DC202E"/>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DC202E"/>
            </w:tcBorders>
            <w:shd w:val="clear" w:color="auto" w:fill="DBDBDB"/>
          </w:tcPr>
          <w:p>
            <w:pPr>
              <w:spacing w:after="0"/>
              <w:rPr>
                <w:sz w:val="18"/>
                <w:szCs w:val="18"/>
                <w:color w:val="auto"/>
              </w:rPr>
            </w:pPr>
          </w:p>
        </w:tc>
        <w:tc>
          <w:tcPr>
            <w:tcW w:w="1600" w:type="dxa"/>
            <w:vAlign w:val="bottom"/>
            <w:tcBorders>
              <w:top w:val="single" w:sz="8" w:color="DC202E"/>
            </w:tcBorders>
            <w:shd w:val="clear" w:color="auto" w:fill="DBDBDB"/>
          </w:tcPr>
          <w:p>
            <w:pPr>
              <w:spacing w:after="0"/>
              <w:rPr>
                <w:sz w:val="18"/>
                <w:szCs w:val="18"/>
                <w:color w:val="auto"/>
              </w:rPr>
            </w:pPr>
          </w:p>
        </w:tc>
      </w:tr>
      <w:tr>
        <w:trPr>
          <w:trHeight w:val="230"/>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828</w:t>
            </w:r>
          </w:p>
        </w:tc>
      </w:tr>
      <w:tr>
        <w:trPr>
          <w:trHeight w:val="21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Financing leases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758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plant and equipment - net</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5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financing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11. DERIVATIVE INSTRUMENTS AND HEDGING TRANSACTIONS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12 Derivative Instruments and Hedging Transactions of Notes to Consolidated Financial Statements in our 2020 Annual Report on Form 10-K. All derivative assets are presented in Other current assets or Other assets. All derivative liabilities are presented in Accrued liabilities or Other liabilities.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notional amounts and fair values of the Company’s outstanding derivatives by risk category and instrument type within the Consolidated Balance Sheet as of June 30, 2021, and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480" w:type="dxa"/>
            <w:vAlign w:val="bottom"/>
            <w:tcBorders>
              <w:bottom w:val="single" w:sz="8" w:color="DC202E"/>
            </w:tcBorders>
            <w:gridSpan w:val="4"/>
          </w:tcPr>
          <w:p>
            <w:pPr>
              <w:jc w:val="right"/>
              <w:ind w:right="934"/>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4"/>
          </w:tcPr>
          <w:p>
            <w:pPr>
              <w:jc w:val="right"/>
              <w:ind w:right="674"/>
              <w:spacing w:after="0"/>
              <w:rPr>
                <w:sz w:val="20"/>
                <w:szCs w:val="20"/>
                <w:color w:val="auto"/>
              </w:rPr>
            </w:pPr>
            <w:r>
              <w:rPr>
                <w:rFonts w:ascii="Arial" w:cs="Arial" w:eastAsia="Arial" w:hAnsi="Arial"/>
                <w:sz w:val="14"/>
                <w:szCs w:val="14"/>
                <w:b w:val="1"/>
                <w:bCs w:val="1"/>
                <w:color w:val="auto"/>
              </w:rPr>
              <w:t>Fair Value Asset</w:t>
            </w:r>
          </w:p>
        </w:tc>
        <w:tc>
          <w:tcPr>
            <w:tcW w:w="10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4"/>
          </w:tcPr>
          <w:p>
            <w:pPr>
              <w:jc w:val="right"/>
              <w:ind w:right="554"/>
              <w:spacing w:after="0"/>
              <w:rPr>
                <w:sz w:val="20"/>
                <w:szCs w:val="20"/>
                <w:color w:val="auto"/>
              </w:rPr>
            </w:pPr>
            <w:r>
              <w:rPr>
                <w:rFonts w:ascii="Arial" w:cs="Arial" w:eastAsia="Arial" w:hAnsi="Arial"/>
                <w:sz w:val="14"/>
                <w:szCs w:val="14"/>
                <w:b w:val="1"/>
                <w:bCs w:val="1"/>
                <w:color w:val="auto"/>
              </w:rPr>
              <w:t>Fair Value (Liability)</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2"/>
        </w:trPr>
        <w:tc>
          <w:tcPr>
            <w:tcW w:w="3160" w:type="dxa"/>
            <w:vAlign w:val="bottom"/>
            <w:tcBorders>
              <w:top w:val="single" w:sz="8" w:color="DBDBDB"/>
            </w:tcBorders>
            <w:shd w:val="clear" w:color="auto" w:fill="DBDBDB"/>
          </w:tcPr>
          <w:p>
            <w:pPr>
              <w:ind w:left="20"/>
              <w:spacing w:after="0" w:line="162" w:lineRule="exact"/>
              <w:rPr>
                <w:sz w:val="20"/>
                <w:szCs w:val="20"/>
                <w:color w:val="auto"/>
              </w:rPr>
            </w:pPr>
            <w:r>
              <w:rPr>
                <w:rFonts w:ascii="Arial" w:cs="Arial" w:eastAsia="Arial" w:hAnsi="Arial"/>
                <w:sz w:val="18"/>
                <w:szCs w:val="18"/>
                <w:b w:val="1"/>
                <w:bCs w:val="1"/>
                <w:color w:val="auto"/>
              </w:rPr>
              <w:t>Derivatives in Fair Value Hedging</w:t>
            </w:r>
          </w:p>
        </w:tc>
        <w:tc>
          <w:tcPr>
            <w:tcW w:w="140" w:type="dxa"/>
            <w:vAlign w:val="bottom"/>
            <w:tcBorders>
              <w:top w:val="single" w:sz="8" w:color="DC202E"/>
            </w:tcBorders>
            <w:shd w:val="clear" w:color="auto" w:fill="DBDBDB"/>
          </w:tcPr>
          <w:p>
            <w:pPr>
              <w:spacing w:after="0"/>
              <w:rPr>
                <w:sz w:val="14"/>
                <w:szCs w:val="14"/>
                <w:color w:val="auto"/>
              </w:rPr>
            </w:pPr>
          </w:p>
        </w:tc>
        <w:tc>
          <w:tcPr>
            <w:tcW w:w="1120" w:type="dxa"/>
            <w:vAlign w:val="bottom"/>
            <w:tcBorders>
              <w:top w:val="single" w:sz="8" w:color="DC202E"/>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DC202E"/>
            </w:tcBorders>
            <w:shd w:val="clear" w:color="auto" w:fill="DBDBDB"/>
          </w:tcPr>
          <w:p>
            <w:pPr>
              <w:spacing w:after="0"/>
              <w:rPr>
                <w:sz w:val="14"/>
                <w:szCs w:val="14"/>
                <w:color w:val="auto"/>
              </w:rPr>
            </w:pPr>
          </w:p>
        </w:tc>
        <w:tc>
          <w:tcPr>
            <w:tcW w:w="1120" w:type="dxa"/>
            <w:vAlign w:val="bottom"/>
            <w:tcBorders>
              <w:top w:val="single" w:sz="8" w:color="DC202E"/>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DC202E"/>
            </w:tcBorders>
            <w:shd w:val="clear" w:color="auto" w:fill="DBDBDB"/>
          </w:tcPr>
          <w:p>
            <w:pPr>
              <w:spacing w:after="0"/>
              <w:rPr>
                <w:sz w:val="14"/>
                <w:szCs w:val="14"/>
                <w:color w:val="auto"/>
              </w:rPr>
            </w:pPr>
          </w:p>
        </w:tc>
        <w:tc>
          <w:tcPr>
            <w:tcW w:w="1120" w:type="dxa"/>
            <w:vAlign w:val="bottom"/>
            <w:tcBorders>
              <w:top w:val="single" w:sz="8" w:color="DC202E"/>
            </w:tcBorders>
            <w:shd w:val="clear" w:color="auto" w:fill="DBDBDB"/>
          </w:tcPr>
          <w:p>
            <w:pPr>
              <w:spacing w:after="0"/>
              <w:rPr>
                <w:sz w:val="14"/>
                <w:szCs w:val="14"/>
                <w:color w:val="auto"/>
              </w:rPr>
            </w:pPr>
          </w:p>
        </w:tc>
        <w:tc>
          <w:tcPr>
            <w:tcW w:w="12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DC202E"/>
            </w:tcBorders>
            <w:shd w:val="clear" w:color="auto" w:fill="DBDBDB"/>
          </w:tcPr>
          <w:p>
            <w:pPr>
              <w:spacing w:after="0"/>
              <w:rPr>
                <w:sz w:val="14"/>
                <w:szCs w:val="14"/>
                <w:color w:val="auto"/>
              </w:rPr>
            </w:pPr>
          </w:p>
        </w:tc>
        <w:tc>
          <w:tcPr>
            <w:tcW w:w="1120" w:type="dxa"/>
            <w:vAlign w:val="bottom"/>
            <w:tcBorders>
              <w:top w:val="single" w:sz="8" w:color="DC202E"/>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DC202E"/>
            </w:tcBorders>
            <w:shd w:val="clear" w:color="auto" w:fill="DBDBDB"/>
          </w:tcPr>
          <w:p>
            <w:pPr>
              <w:spacing w:after="0"/>
              <w:rPr>
                <w:sz w:val="14"/>
                <w:szCs w:val="14"/>
                <w:color w:val="auto"/>
              </w:rPr>
            </w:pPr>
          </w:p>
        </w:tc>
        <w:tc>
          <w:tcPr>
            <w:tcW w:w="1120" w:type="dxa"/>
            <w:vAlign w:val="bottom"/>
            <w:tcBorders>
              <w:top w:val="single" w:sz="8" w:color="DC202E"/>
            </w:tcBorders>
            <w:shd w:val="clear" w:color="auto" w:fill="DBDBDB"/>
          </w:tcPr>
          <w:p>
            <w:pPr>
              <w:spacing w:after="0"/>
              <w:rPr>
                <w:sz w:val="14"/>
                <w:szCs w:val="14"/>
                <w:color w:val="auto"/>
              </w:rPr>
            </w:pPr>
          </w:p>
        </w:tc>
        <w:tc>
          <w:tcPr>
            <w:tcW w:w="12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DC202E"/>
            </w:tcBorders>
            <w:shd w:val="clear" w:color="auto" w:fill="DBDBDB"/>
          </w:tcPr>
          <w:p>
            <w:pPr>
              <w:spacing w:after="0"/>
              <w:rPr>
                <w:sz w:val="14"/>
                <w:szCs w:val="14"/>
                <w:color w:val="auto"/>
              </w:rPr>
            </w:pPr>
          </w:p>
        </w:tc>
        <w:tc>
          <w:tcPr>
            <w:tcW w:w="1120" w:type="dxa"/>
            <w:vAlign w:val="bottom"/>
            <w:tcBorders>
              <w:top w:val="single" w:sz="8" w:color="DC202E"/>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16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in Cash Flow Hedging</w:t>
            </w: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6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55"/>
        </w:trPr>
        <w:tc>
          <w:tcPr>
            <w:tcW w:w="316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in Net Investment</w:t>
            </w: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Hedging Relationships:</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6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Cross currency swap agreements</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56"/>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Derivatives Designated as</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55"/>
        </w:trPr>
        <w:tc>
          <w:tcPr>
            <w:tcW w:w="31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contracts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Derivatives at Fair Value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21,273</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derivative instruments listed above,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$4,252 million and $4,414 million as of June 30, 2021, and December 31, 2020.</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amounts recorded on the Consolidated Balance Sheet related to cumulative basis adjustments for fair value hedges: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4"/>
          </w:tcPr>
          <w:p>
            <w:pPr>
              <w:jc w:val="center"/>
              <w:ind w:right="62"/>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2660" w:type="dxa"/>
            <w:vAlign w:val="bottom"/>
            <w:gridSpan w:val="5"/>
            <w:vMerge w:val="restart"/>
          </w:tcPr>
          <w:p>
            <w:pPr>
              <w:jc w:val="right"/>
              <w:ind w:right="2"/>
              <w:spacing w:after="0"/>
              <w:rPr>
                <w:sz w:val="20"/>
                <w:szCs w:val="20"/>
                <w:color w:val="auto"/>
              </w:rPr>
            </w:pPr>
            <w:r>
              <w:rPr>
                <w:rFonts w:ascii="Arial" w:cs="Arial" w:eastAsia="Arial" w:hAnsi="Arial"/>
                <w:sz w:val="14"/>
                <w:szCs w:val="14"/>
                <w:b w:val="1"/>
                <w:bCs w:val="1"/>
                <w:color w:val="auto"/>
              </w:rPr>
              <w:t>Carrying Amount of the Hedged Item</w:t>
            </w:r>
          </w:p>
        </w:tc>
        <w:tc>
          <w:tcPr>
            <w:tcW w:w="100" w:type="dxa"/>
            <w:vAlign w:val="bottom"/>
            <w:vMerge w:val="restart"/>
          </w:tcPr>
          <w:p>
            <w:pPr>
              <w:spacing w:after="0"/>
              <w:rPr>
                <w:sz w:val="11"/>
                <w:szCs w:val="11"/>
                <w:color w:val="auto"/>
              </w:rPr>
            </w:pPr>
          </w:p>
        </w:tc>
        <w:tc>
          <w:tcPr>
            <w:tcW w:w="266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2660" w:type="dxa"/>
            <w:vAlign w:val="bottom"/>
            <w:tcBorders>
              <w:bottom w:val="single" w:sz="8" w:color="DC202E"/>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60" w:type="dxa"/>
            <w:vAlign w:val="bottom"/>
            <w:tcBorders>
              <w:bottom w:val="single" w:sz="8" w:color="DC202E"/>
            </w:tcBorders>
            <w:gridSpan w:val="5"/>
          </w:tcPr>
          <w:p>
            <w:pPr>
              <w:jc w:val="center"/>
              <w:spacing w:after="0"/>
              <w:rPr>
                <w:sz w:val="20"/>
                <w:szCs w:val="20"/>
                <w:color w:val="auto"/>
              </w:rPr>
            </w:pPr>
            <w:r>
              <w:rPr>
                <w:rFonts w:ascii="Arial" w:cs="Arial" w:eastAsia="Arial" w:hAnsi="Arial"/>
                <w:sz w:val="14"/>
                <w:szCs w:val="14"/>
                <w:b w:val="1"/>
                <w:bCs w:val="1"/>
                <w:color w:val="auto"/>
              </w:rPr>
              <w:t>Carrying Amount of the Hedged Item</w:t>
            </w:r>
          </w:p>
        </w:tc>
        <w:tc>
          <w:tcPr>
            <w:tcW w:w="0" w:type="dxa"/>
            <w:vAlign w:val="bottom"/>
          </w:tcPr>
          <w:p>
            <w:pPr>
              <w:spacing w:after="0"/>
              <w:rPr>
                <w:sz w:val="1"/>
                <w:szCs w:val="1"/>
                <w:color w:val="auto"/>
              </w:rPr>
            </w:pPr>
          </w:p>
        </w:tc>
      </w:tr>
      <w:tr>
        <w:trPr>
          <w:trHeight w:val="189"/>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rPr>
              <w:t>Line in the Consolidated Balance</w:t>
            </w: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rPr>
              <w:t>Sheet of Hedged Item</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82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DC202E"/>
            </w:tcBorders>
            <w:shd w:val="clear" w:color="auto" w:fill="DDDDDD"/>
          </w:tcPr>
          <w:p>
            <w:pPr>
              <w:jc w:val="right"/>
              <w:ind w:right="2"/>
              <w:spacing w:after="0"/>
              <w:rPr>
                <w:sz w:val="20"/>
                <w:szCs w:val="20"/>
                <w:color w:val="auto"/>
              </w:rPr>
            </w:pPr>
            <w:r>
              <w:rPr>
                <w:rFonts w:ascii="Arial" w:cs="Arial" w:eastAsia="Arial" w:hAnsi="Arial"/>
                <w:sz w:val="18"/>
                <w:szCs w:val="18"/>
                <w:color w:val="auto"/>
              </w:rPr>
              <w:t>4,144</w:t>
            </w:r>
          </w:p>
        </w:tc>
        <w:tc>
          <w:tcPr>
            <w:tcW w:w="10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DC202E"/>
            </w:tcBorders>
            <w:shd w:val="clear" w:color="auto" w:fill="DDDDDD"/>
          </w:tcPr>
          <w:p>
            <w:pPr>
              <w:jc w:val="right"/>
              <w:ind w:right="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location and impact to the Consolidated Statement of Operations related to derivative instruments:</w:t>
      </w:r>
    </w:p>
    <w:p>
      <w:pPr>
        <w:spacing w:after="0" w:line="118"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Borders>
              <w:top w:val="single" w:sz="8" w:color="DC202E"/>
            </w:tcBorders>
          </w:tcPr>
          <w:p>
            <w:pPr>
              <w:spacing w:after="0"/>
              <w:rPr>
                <w:sz w:val="13"/>
                <w:szCs w:val="13"/>
                <w:color w:val="auto"/>
              </w:rPr>
            </w:pPr>
          </w:p>
        </w:tc>
        <w:tc>
          <w:tcPr>
            <w:tcW w:w="1060" w:type="dxa"/>
            <w:vAlign w:val="bottom"/>
            <w:tcBorders>
              <w:top w:val="single" w:sz="8" w:color="DC202E"/>
            </w:tcBorders>
            <w:vMerge w:val="restart"/>
          </w:tcPr>
          <w:p>
            <w:pPr>
              <w:jc w:val="right"/>
              <w:ind w:right="25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DC202E"/>
            </w:tcBorders>
            <w:vMerge w:val="restart"/>
          </w:tcPr>
          <w:p>
            <w:pPr>
              <w:spacing w:after="0"/>
              <w:rPr>
                <w:sz w:val="13"/>
                <w:szCs w:val="13"/>
                <w:color w:val="auto"/>
              </w:rPr>
            </w:pPr>
          </w:p>
        </w:tc>
        <w:tc>
          <w:tcPr>
            <w:tcW w:w="1420" w:type="dxa"/>
            <w:vAlign w:val="bottom"/>
            <w:tcBorders>
              <w:top w:val="single" w:sz="8" w:color="DC202E"/>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Cost of Products</w:t>
            </w:r>
          </w:p>
        </w:tc>
        <w:tc>
          <w:tcPr>
            <w:tcW w:w="280" w:type="dxa"/>
            <w:vAlign w:val="bottom"/>
            <w:tcBorders>
              <w:top w:val="single" w:sz="8" w:color="DC202E"/>
            </w:tcBorders>
          </w:tcPr>
          <w:p>
            <w:pPr>
              <w:spacing w:after="0"/>
              <w:rPr>
                <w:sz w:val="13"/>
                <w:szCs w:val="13"/>
                <w:color w:val="auto"/>
              </w:rPr>
            </w:pPr>
          </w:p>
        </w:tc>
        <w:tc>
          <w:tcPr>
            <w:tcW w:w="1040" w:type="dxa"/>
            <w:vAlign w:val="bottom"/>
            <w:tcBorders>
              <w:top w:val="single" w:sz="8" w:color="DC202E"/>
            </w:tcBorders>
            <w:vMerge w:val="restart"/>
          </w:tcPr>
          <w:p>
            <w:pPr>
              <w:jc w:val="right"/>
              <w:ind w:right="373"/>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top w:val="single" w:sz="8" w:color="DC202E"/>
            </w:tcBorders>
            <w:vMerge w:val="restart"/>
          </w:tcPr>
          <w:p>
            <w:pPr>
              <w:spacing w:after="0"/>
              <w:rPr>
                <w:sz w:val="13"/>
                <w:szCs w:val="13"/>
                <w:color w:val="auto"/>
              </w:rPr>
            </w:pPr>
          </w:p>
        </w:tc>
        <w:tc>
          <w:tcPr>
            <w:tcW w:w="140" w:type="dxa"/>
            <w:vAlign w:val="bottom"/>
            <w:tcBorders>
              <w:top w:val="single" w:sz="8" w:color="DC202E"/>
            </w:tcBorders>
          </w:tcPr>
          <w:p>
            <w:pPr>
              <w:spacing w:after="0"/>
              <w:rPr>
                <w:sz w:val="13"/>
                <w:szCs w:val="13"/>
                <w:color w:val="auto"/>
              </w:rPr>
            </w:pPr>
          </w:p>
        </w:tc>
        <w:tc>
          <w:tcPr>
            <w:tcW w:w="1300" w:type="dxa"/>
            <w:vAlign w:val="bottom"/>
            <w:tcBorders>
              <w:top w:val="single" w:sz="8" w:color="DC202E"/>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Other (Income)</w:t>
            </w:r>
          </w:p>
        </w:tc>
        <w:tc>
          <w:tcPr>
            <w:tcW w:w="1320" w:type="dxa"/>
            <w:vAlign w:val="bottom"/>
            <w:tcBorders>
              <w:top w:val="single" w:sz="8" w:color="DC202E"/>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DDDDD"/>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vMerge w:val="continue"/>
          </w:tcPr>
          <w:p>
            <w:pPr>
              <w:spacing w:after="0"/>
              <w:rPr>
                <w:sz w:val="15"/>
                <w:szCs w:val="15"/>
                <w:color w:val="auto"/>
              </w:rPr>
            </w:pPr>
          </w:p>
        </w:tc>
        <w:tc>
          <w:tcPr>
            <w:tcW w:w="130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and Services Sold</w:t>
            </w:r>
          </w:p>
        </w:tc>
        <w:tc>
          <w:tcPr>
            <w:tcW w:w="12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vMerge w:val="continue"/>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center"/>
              <w:ind w:right="35"/>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DDDDD"/>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8,808</w:t>
            </w: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6,003</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Interest Rate Swap Agreements: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Hedged items</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spacing w:after="0"/>
              <w:rPr>
                <w:sz w:val="19"/>
                <w:szCs w:val="19"/>
                <w:color w:val="auto"/>
              </w:rPr>
            </w:pPr>
          </w:p>
        </w:tc>
        <w:tc>
          <w:tcPr>
            <w:tcW w:w="9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9"/>
                <w:szCs w:val="19"/>
                <w:color w:val="auto"/>
              </w:rPr>
            </w:pPr>
          </w:p>
        </w:tc>
        <w:tc>
          <w:tcPr>
            <w:tcW w:w="1300" w:type="dxa"/>
            <w:vAlign w:val="bottom"/>
            <w:gridSpan w:val="2"/>
            <w:shd w:val="clear" w:color="auto" w:fill="DDDDDD"/>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DDDDD"/>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DDDDD"/>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4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DDDDD"/>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440" w:type="dxa"/>
            <w:vAlign w:val="bottom"/>
            <w:shd w:val="clear" w:color="auto" w:fill="DDDDDD"/>
          </w:tcPr>
          <w:p>
            <w:pPr>
              <w:spacing w:after="0"/>
              <w:rPr>
                <w:sz w:val="15"/>
                <w:szCs w:val="15"/>
                <w:color w:val="auto"/>
              </w:rPr>
            </w:pPr>
          </w:p>
        </w:tc>
        <w:tc>
          <w:tcPr>
            <w:tcW w:w="8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1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4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spacing w:after="0"/>
              <w:rPr>
                <w:sz w:val="18"/>
                <w:szCs w:val="18"/>
                <w:color w:val="auto"/>
              </w:rPr>
            </w:pPr>
          </w:p>
        </w:tc>
        <w:tc>
          <w:tcPr>
            <w:tcW w:w="9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8"/>
                <w:szCs w:val="18"/>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8"/>
                <w:szCs w:val="18"/>
                <w:color w:val="auto"/>
              </w:rPr>
            </w:pPr>
          </w:p>
        </w:tc>
        <w:tc>
          <w:tcPr>
            <w:tcW w:w="1300" w:type="dxa"/>
            <w:vAlign w:val="bottom"/>
            <w:gridSpan w:val="2"/>
            <w:shd w:val="clear" w:color="auto" w:fill="DDDDDD"/>
          </w:tcPr>
          <w:p>
            <w:pPr>
              <w:ind w:left="940"/>
              <w:spacing w:after="0"/>
              <w:rPr>
                <w:sz w:val="20"/>
                <w:szCs w:val="20"/>
                <w:color w:val="auto"/>
              </w:rPr>
            </w:pPr>
            <w:r>
              <w:rPr>
                <w:rFonts w:ascii="Arial" w:cs="Arial" w:eastAsia="Arial" w:hAnsi="Arial"/>
                <w:sz w:val="18"/>
                <w:szCs w:val="18"/>
                <w:color w:val="auto"/>
              </w:rPr>
              <w:t>—</w:t>
            </w:r>
          </w:p>
        </w:tc>
        <w:tc>
          <w:tcPr>
            <w:tcW w:w="540" w:type="dxa"/>
            <w:vAlign w:val="bottom"/>
            <w:shd w:val="clear" w:color="auto" w:fill="DDDDDD"/>
          </w:tcPr>
          <w:p>
            <w:pPr>
              <w:spacing w:after="0"/>
              <w:rPr>
                <w:sz w:val="18"/>
                <w:szCs w:val="18"/>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4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spacing w:after="0"/>
              <w:rPr>
                <w:sz w:val="19"/>
                <w:szCs w:val="19"/>
                <w:color w:val="auto"/>
              </w:rPr>
            </w:pPr>
          </w:p>
        </w:tc>
        <w:tc>
          <w:tcPr>
            <w:tcW w:w="9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97"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Borders>
              <w:top w:val="single" w:sz="8" w:color="DC202E"/>
            </w:tcBorders>
          </w:tcPr>
          <w:p>
            <w:pPr>
              <w:spacing w:after="0"/>
              <w:rPr>
                <w:sz w:val="13"/>
                <w:szCs w:val="13"/>
                <w:color w:val="auto"/>
              </w:rPr>
            </w:pPr>
          </w:p>
        </w:tc>
        <w:tc>
          <w:tcPr>
            <w:tcW w:w="1060" w:type="dxa"/>
            <w:vAlign w:val="bottom"/>
            <w:tcBorders>
              <w:top w:val="single" w:sz="8" w:color="DC202E"/>
            </w:tcBorders>
            <w:vMerge w:val="restart"/>
          </w:tcPr>
          <w:p>
            <w:pPr>
              <w:jc w:val="right"/>
              <w:ind w:right="252"/>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DC202E"/>
            </w:tcBorders>
            <w:gridSpan w:val="2"/>
            <w:vMerge w:val="restart"/>
          </w:tcPr>
          <w:p>
            <w:pPr>
              <w:spacing w:after="0"/>
              <w:rPr>
                <w:sz w:val="13"/>
                <w:szCs w:val="13"/>
                <w:color w:val="auto"/>
              </w:rPr>
            </w:pPr>
          </w:p>
        </w:tc>
        <w:tc>
          <w:tcPr>
            <w:tcW w:w="20" w:type="dxa"/>
            <w:vAlign w:val="bottom"/>
            <w:tcBorders>
              <w:top w:val="single" w:sz="8" w:color="DC202E"/>
            </w:tcBorders>
          </w:tcPr>
          <w:p>
            <w:pPr>
              <w:spacing w:after="0"/>
              <w:rPr>
                <w:sz w:val="13"/>
                <w:szCs w:val="13"/>
                <w:color w:val="auto"/>
              </w:rPr>
            </w:pPr>
          </w:p>
        </w:tc>
        <w:tc>
          <w:tcPr>
            <w:tcW w:w="1400" w:type="dxa"/>
            <w:vAlign w:val="bottom"/>
            <w:tcBorders>
              <w:top w:val="single" w:sz="8" w:color="DC202E"/>
            </w:tcBorders>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rPr>
              <w:t>Cost of Products</w:t>
            </w:r>
          </w:p>
        </w:tc>
        <w:tc>
          <w:tcPr>
            <w:tcW w:w="280" w:type="dxa"/>
            <w:vAlign w:val="bottom"/>
            <w:tcBorders>
              <w:top w:val="single" w:sz="8" w:color="DC202E"/>
            </w:tcBorders>
          </w:tcPr>
          <w:p>
            <w:pPr>
              <w:spacing w:after="0"/>
              <w:rPr>
                <w:sz w:val="13"/>
                <w:szCs w:val="13"/>
                <w:color w:val="auto"/>
              </w:rPr>
            </w:pPr>
          </w:p>
        </w:tc>
        <w:tc>
          <w:tcPr>
            <w:tcW w:w="1040" w:type="dxa"/>
            <w:vAlign w:val="bottom"/>
            <w:tcBorders>
              <w:top w:val="single" w:sz="8" w:color="DC202E"/>
            </w:tcBorders>
            <w:vMerge w:val="restart"/>
          </w:tcPr>
          <w:p>
            <w:pPr>
              <w:jc w:val="center"/>
              <w:ind w:right="212"/>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top w:val="single" w:sz="8" w:color="DC202E"/>
            </w:tcBorders>
            <w:gridSpan w:val="2"/>
            <w:vMerge w:val="restart"/>
          </w:tcPr>
          <w:p>
            <w:pPr>
              <w:spacing w:after="0"/>
              <w:rPr>
                <w:sz w:val="13"/>
                <w:szCs w:val="13"/>
                <w:color w:val="auto"/>
              </w:rPr>
            </w:pPr>
          </w:p>
        </w:tc>
        <w:tc>
          <w:tcPr>
            <w:tcW w:w="2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1300" w:type="dxa"/>
            <w:vAlign w:val="bottom"/>
            <w:tcBorders>
              <w:top w:val="single" w:sz="8" w:color="DC202E"/>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Other (Income)</w:t>
            </w:r>
          </w:p>
        </w:tc>
        <w:tc>
          <w:tcPr>
            <w:tcW w:w="1320" w:type="dxa"/>
            <w:vAlign w:val="bottom"/>
            <w:tcBorders>
              <w:top w:val="single" w:sz="8" w:color="DC202E"/>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DDDDD"/>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gridSpan w:val="2"/>
            <w:vMerge w:val="continue"/>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80" w:type="dxa"/>
            <w:vAlign w:val="bottom"/>
            <w:tcBorders>
              <w:bottom w:val="single" w:sz="8" w:color="DC202E"/>
            </w:tcBorders>
            <w:gridSpan w:val="2"/>
          </w:tcPr>
          <w:p>
            <w:pPr>
              <w:jc w:val="center"/>
              <w:spacing w:after="0"/>
              <w:rPr>
                <w:sz w:val="20"/>
                <w:szCs w:val="20"/>
                <w:color w:val="auto"/>
              </w:rPr>
            </w:pPr>
            <w:r>
              <w:rPr>
                <w:rFonts w:ascii="Arial" w:cs="Arial" w:eastAsia="Arial" w:hAnsi="Arial"/>
                <w:sz w:val="14"/>
                <w:szCs w:val="14"/>
                <w:b w:val="1"/>
                <w:bCs w:val="1"/>
                <w:color w:val="auto"/>
              </w:rPr>
              <w:t>and Services Sold</w:t>
            </w:r>
          </w:p>
        </w:tc>
        <w:tc>
          <w:tcPr>
            <w:tcW w:w="120" w:type="dxa"/>
            <w:vAlign w:val="bottom"/>
            <w:tcBorders>
              <w:bottom w:val="single" w:sz="8" w:color="DDDDDD"/>
            </w:tcBorders>
            <w:gridSpan w:val="2"/>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gridSpan w:val="2"/>
            <w:vMerge w:val="continue"/>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center"/>
              <w:ind w:right="34"/>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DDDDD"/>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7,477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gridSpan w:val="2"/>
            <w:shd w:val="clear" w:color="auto" w:fill="DDDDDD"/>
          </w:tcPr>
          <w:p>
            <w:pPr>
              <w:jc w:val="right"/>
              <w:ind w:right="208"/>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5,276</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1,183</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gridSpan w:val="2"/>
            <w:shd w:val="clear" w:color="auto" w:fill="DDDDDD"/>
          </w:tcPr>
          <w:p>
            <w:pPr>
              <w:jc w:val="right"/>
              <w:ind w:righ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DDDDDD"/>
          </w:tcPr>
          <w:p>
            <w:pPr>
              <w:spacing w:after="0"/>
              <w:rPr>
                <w:sz w:val="19"/>
                <w:szCs w:val="19"/>
                <w:color w:val="auto"/>
              </w:rPr>
            </w:pPr>
          </w:p>
        </w:tc>
        <w:tc>
          <w:tcPr>
            <w:tcW w:w="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DDDDD"/>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DDDDDD"/>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1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14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Interest Rate Swap Agreements:</w:t>
            </w:r>
          </w:p>
        </w:tc>
        <w:tc>
          <w:tcPr>
            <w:tcW w:w="10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Hedged items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02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3"/>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DDDDD"/>
          </w:tcPr>
          <w:p>
            <w:pPr>
              <w:spacing w:after="0"/>
              <w:rPr>
                <w:sz w:val="19"/>
                <w:szCs w:val="19"/>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4220" w:type="dxa"/>
            <w:vAlign w:val="bottom"/>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106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380" w:type="dxa"/>
            <w:vAlign w:val="bottom"/>
            <w:tcBorders>
              <w:bottom w:val="single" w:sz="8" w:color="DC202E"/>
            </w:tcBorders>
          </w:tcPr>
          <w:p>
            <w:pPr>
              <w:spacing w:after="0"/>
              <w:rPr>
                <w:sz w:val="24"/>
                <w:szCs w:val="24"/>
                <w:color w:val="auto"/>
              </w:rPr>
            </w:pPr>
          </w:p>
        </w:tc>
        <w:tc>
          <w:tcPr>
            <w:tcW w:w="3880" w:type="dxa"/>
            <w:vAlign w:val="bottom"/>
            <w:tcBorders>
              <w:bottom w:val="single" w:sz="8" w:color="DC202E"/>
            </w:tcBorders>
            <w:gridSpan w:val="11"/>
          </w:tcPr>
          <w:p>
            <w:pPr>
              <w:jc w:val="center"/>
              <w:ind w:right="500"/>
              <w:spacing w:after="0"/>
              <w:rPr>
                <w:sz w:val="20"/>
                <w:szCs w:val="20"/>
                <w:color w:val="auto"/>
              </w:rPr>
            </w:pPr>
            <w:r>
              <w:rPr>
                <w:rFonts w:ascii="Arial" w:cs="Arial" w:eastAsia="Arial" w:hAnsi="Arial"/>
                <w:sz w:val="14"/>
                <w:szCs w:val="14"/>
                <w:b w:val="1"/>
                <w:bCs w:val="1"/>
                <w:color w:val="auto"/>
              </w:rPr>
              <w:t>Six Months Ended June 30, 2021</w:t>
            </w:r>
          </w:p>
        </w:tc>
        <w:tc>
          <w:tcPr>
            <w:tcW w:w="520" w:type="dxa"/>
            <w:vAlign w:val="bottom"/>
            <w:tcBorders>
              <w:bottom w:val="single" w:sz="8" w:color="DC202E"/>
            </w:tcBorders>
          </w:tcPr>
          <w:p>
            <w:pPr>
              <w:spacing w:after="0"/>
              <w:rPr>
                <w:sz w:val="24"/>
                <w:szCs w:val="24"/>
                <w:color w:val="auto"/>
              </w:rPr>
            </w:pPr>
          </w:p>
        </w:tc>
        <w:tc>
          <w:tcPr>
            <w:tcW w:w="80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Cost of Products</w:t>
            </w: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SG&amp;A</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 (Income)</w:t>
            </w:r>
          </w:p>
        </w:tc>
        <w:tc>
          <w:tcPr>
            <w:tcW w:w="13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gridSpan w:val="2"/>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300" w:type="dxa"/>
            <w:vAlign w:val="bottom"/>
            <w:tcBorders>
              <w:bottom w:val="single" w:sz="8" w:color="DC202E"/>
            </w:tcBorders>
            <w:gridSpan w:val="3"/>
          </w:tcPr>
          <w:p>
            <w:pPr>
              <w:jc w:val="center"/>
              <w:ind w:right="20"/>
              <w:spacing w:after="0"/>
              <w:rPr>
                <w:sz w:val="20"/>
                <w:szCs w:val="20"/>
                <w:color w:val="auto"/>
              </w:rPr>
            </w:pPr>
            <w:r>
              <w:rPr>
                <w:rFonts w:ascii="Arial" w:cs="Arial" w:eastAsia="Arial" w:hAnsi="Arial"/>
                <w:sz w:val="14"/>
                <w:szCs w:val="14"/>
                <w:b w:val="1"/>
                <w:bCs w:val="1"/>
                <w:color w:val="auto"/>
              </w:rPr>
              <w:t>and Services Sold</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gridSpan w:val="2"/>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center"/>
              <w:ind w:right="14"/>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BDBDB"/>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17,262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11,712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2,443</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Interest rate swap agreements: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Hedged items</w:t>
            </w: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BDBDB"/>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shd w:val="clear" w:color="auto" w:fill="DBDBDB"/>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BDBDB"/>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02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8"/>
                <w:szCs w:val="18"/>
                <w:color w:val="auto"/>
              </w:rPr>
            </w:pPr>
          </w:p>
        </w:tc>
        <w:tc>
          <w:tcPr>
            <w:tcW w:w="114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6"/>
        </w:trPr>
        <w:tc>
          <w:tcPr>
            <w:tcW w:w="4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81"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Six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40" w:type="dxa"/>
            <w:vAlign w:val="bottom"/>
            <w:tcBorders>
              <w:top w:val="single" w:sz="8" w:color="DC202E"/>
            </w:tcBorders>
          </w:tcPr>
          <w:p>
            <w:pPr>
              <w:spacing w:after="0"/>
              <w:rPr>
                <w:sz w:val="13"/>
                <w:szCs w:val="13"/>
                <w:color w:val="auto"/>
              </w:rPr>
            </w:pPr>
          </w:p>
        </w:tc>
        <w:tc>
          <w:tcPr>
            <w:tcW w:w="1060" w:type="dxa"/>
            <w:vAlign w:val="bottom"/>
            <w:tcBorders>
              <w:top w:val="single" w:sz="8" w:color="DC202E"/>
            </w:tcBorders>
            <w:vMerge w:val="restart"/>
          </w:tcPr>
          <w:p>
            <w:pPr>
              <w:jc w:val="right"/>
              <w:ind w:right="252"/>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DC202E"/>
            </w:tcBorders>
            <w:vMerge w:val="restart"/>
          </w:tcPr>
          <w:p>
            <w:pPr>
              <w:spacing w:after="0"/>
              <w:rPr>
                <w:sz w:val="13"/>
                <w:szCs w:val="13"/>
                <w:color w:val="auto"/>
              </w:rPr>
            </w:pPr>
          </w:p>
        </w:tc>
        <w:tc>
          <w:tcPr>
            <w:tcW w:w="1420" w:type="dxa"/>
            <w:vAlign w:val="bottom"/>
            <w:tcBorders>
              <w:top w:val="single" w:sz="8" w:color="DC202E"/>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Cost of Products</w:t>
            </w:r>
          </w:p>
        </w:tc>
        <w:tc>
          <w:tcPr>
            <w:tcW w:w="300" w:type="dxa"/>
            <w:vAlign w:val="bottom"/>
            <w:tcBorders>
              <w:top w:val="single" w:sz="8" w:color="DC202E"/>
            </w:tcBorders>
          </w:tcPr>
          <w:p>
            <w:pPr>
              <w:spacing w:after="0"/>
              <w:rPr>
                <w:sz w:val="13"/>
                <w:szCs w:val="13"/>
                <w:color w:val="auto"/>
              </w:rPr>
            </w:pPr>
          </w:p>
        </w:tc>
        <w:tc>
          <w:tcPr>
            <w:tcW w:w="1020" w:type="dxa"/>
            <w:vAlign w:val="bottom"/>
            <w:tcBorders>
              <w:top w:val="single" w:sz="8" w:color="DC202E"/>
            </w:tcBorders>
            <w:vMerge w:val="restart"/>
          </w:tcPr>
          <w:p>
            <w:pPr>
              <w:jc w:val="right"/>
              <w:ind w:right="352"/>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top w:val="single" w:sz="8" w:color="DC202E"/>
            </w:tcBorders>
            <w:vMerge w:val="restart"/>
          </w:tcPr>
          <w:p>
            <w:pPr>
              <w:spacing w:after="0"/>
              <w:rPr>
                <w:sz w:val="13"/>
                <w:szCs w:val="13"/>
                <w:color w:val="auto"/>
              </w:rPr>
            </w:pPr>
          </w:p>
        </w:tc>
        <w:tc>
          <w:tcPr>
            <w:tcW w:w="140" w:type="dxa"/>
            <w:vAlign w:val="bottom"/>
            <w:tcBorders>
              <w:top w:val="single" w:sz="8" w:color="DC202E"/>
            </w:tcBorders>
          </w:tcPr>
          <w:p>
            <w:pPr>
              <w:spacing w:after="0"/>
              <w:rPr>
                <w:sz w:val="13"/>
                <w:szCs w:val="13"/>
                <w:color w:val="auto"/>
              </w:rPr>
            </w:pPr>
          </w:p>
        </w:tc>
        <w:tc>
          <w:tcPr>
            <w:tcW w:w="1300" w:type="dxa"/>
            <w:vAlign w:val="bottom"/>
            <w:tcBorders>
              <w:top w:val="single" w:sz="8" w:color="DC202E"/>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Other (Income)</w:t>
            </w:r>
          </w:p>
        </w:tc>
        <w:tc>
          <w:tcPr>
            <w:tcW w:w="1320" w:type="dxa"/>
            <w:vAlign w:val="bottom"/>
            <w:tcBorders>
              <w:top w:val="single" w:sz="8" w:color="DC202E"/>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Interest and Other</w:t>
            </w:r>
          </w:p>
        </w:tc>
        <w:tc>
          <w:tcPr>
            <w:tcW w:w="0" w:type="dxa"/>
            <w:vAlign w:val="bottom"/>
          </w:tcPr>
          <w:p>
            <w:pPr>
              <w:spacing w:after="0"/>
              <w:rPr>
                <w:sz w:val="1"/>
                <w:szCs w:val="1"/>
                <w:color w:val="auto"/>
              </w:rPr>
            </w:pPr>
          </w:p>
        </w:tc>
      </w:tr>
      <w:tr>
        <w:trPr>
          <w:trHeight w:val="182"/>
        </w:trPr>
        <w:tc>
          <w:tcPr>
            <w:tcW w:w="42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vMerge w:val="continue"/>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and Services Sold</w:t>
            </w:r>
          </w:p>
        </w:tc>
        <w:tc>
          <w:tcPr>
            <w:tcW w:w="100" w:type="dxa"/>
            <w:vAlign w:val="bottom"/>
            <w:tcBorders>
              <w:bottom w:val="single" w:sz="8" w:color="DBDBDB"/>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right"/>
              <w:ind w:right="274"/>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BDBDB"/>
            </w:tcBorders>
          </w:tcPr>
          <w:p>
            <w:pPr>
              <w:spacing w:after="0"/>
              <w:rPr>
                <w:sz w:val="15"/>
                <w:szCs w:val="15"/>
                <w:color w:val="auto"/>
              </w:rPr>
            </w:pPr>
          </w:p>
        </w:tc>
        <w:tc>
          <w:tcPr>
            <w:tcW w:w="132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Financial Charges</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4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15,940</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48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comprehensive income into income</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DBDBDB"/>
          </w:tcPr>
          <w:p>
            <w:pPr>
              <w:ind w:left="48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BDBDB"/>
          </w:tcPr>
          <w:p>
            <w:pPr>
              <w:ind w:left="48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approach</w:t>
            </w:r>
          </w:p>
        </w:tc>
        <w:tc>
          <w:tcPr>
            <w:tcW w:w="11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Interest rate swap agreements: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Hedged items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Derivatives designated as hedges</w:t>
            </w:r>
          </w:p>
        </w:tc>
        <w:tc>
          <w:tcPr>
            <w:tcW w:w="11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Foreign Currency Exchange Contracts: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approach</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446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 comprehensive income (loss):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40" w:type="dxa"/>
            <w:vAlign w:val="bottom"/>
            <w:tcBorders>
              <w:bottom w:val="single" w:sz="8" w:color="DDDDDD"/>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280" w:type="dxa"/>
            <w:vAlign w:val="bottom"/>
            <w:tcBorders>
              <w:top w:val="single" w:sz="8" w:color="DC202E"/>
              <w:bottom w:val="single" w:sz="8" w:color="DC202E"/>
            </w:tcBorders>
          </w:tcPr>
          <w:p>
            <w:pPr>
              <w:spacing w:after="0"/>
              <w:rPr>
                <w:sz w:val="17"/>
                <w:szCs w:val="17"/>
                <w:color w:val="auto"/>
              </w:rPr>
            </w:pPr>
          </w:p>
        </w:tc>
        <w:tc>
          <w:tcPr>
            <w:tcW w:w="1140" w:type="dxa"/>
            <w:vAlign w:val="bottom"/>
            <w:tcBorders>
              <w:top w:val="single" w:sz="8" w:color="DC202E"/>
              <w:bottom w:val="single" w:sz="8" w:color="DC202E"/>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DDDDD"/>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1080" w:type="dxa"/>
            <w:vAlign w:val="bottom"/>
            <w:tcBorders>
              <w:top w:val="single" w:sz="8" w:color="DC202E"/>
              <w:bottom w:val="single" w:sz="8" w:color="DC202E"/>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DDDDDD"/>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1100" w:type="dxa"/>
            <w:vAlign w:val="bottom"/>
            <w:tcBorders>
              <w:top w:val="single" w:sz="8" w:color="DC202E"/>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DC202E"/>
              <w:bottom w:val="single" w:sz="8" w:color="DDDDDD"/>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1100" w:type="dxa"/>
            <w:vAlign w:val="bottom"/>
            <w:tcBorders>
              <w:top w:val="single" w:sz="8" w:color="DC202E"/>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30"/>
        </w:trPr>
        <w:tc>
          <w:tcPr>
            <w:tcW w:w="5140" w:type="dxa"/>
            <w:vAlign w:val="bottom"/>
            <w:shd w:val="clear" w:color="auto" w:fill="DDDDDD"/>
          </w:tcPr>
          <w:p>
            <w:pPr>
              <w:ind w:left="20"/>
              <w:spacing w:after="0"/>
              <w:rPr>
                <w:sz w:val="20"/>
                <w:szCs w:val="20"/>
                <w:color w:val="auto"/>
              </w:rPr>
            </w:pPr>
            <w:r>
              <w:rPr>
                <w:rFonts w:ascii="Arial" w:cs="Arial" w:eastAsia="Arial" w:hAnsi="Arial"/>
                <w:sz w:val="18"/>
                <w:szCs w:val="18"/>
                <w:color w:val="auto"/>
              </w:rPr>
              <w:t>Euro-denominated long-term debt</w:t>
            </w: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center"/>
              <w:ind w:left="654"/>
              <w:spacing w:after="0"/>
              <w:rPr>
                <w:sz w:val="20"/>
                <w:szCs w:val="20"/>
                <w:color w:val="auto"/>
              </w:rPr>
            </w:pPr>
            <w:r>
              <w:rPr>
                <w:rFonts w:ascii="Arial" w:cs="Arial" w:eastAsia="Arial" w:hAnsi="Arial"/>
                <w:sz w:val="18"/>
                <w:szCs w:val="18"/>
                <w:color w:val="auto"/>
                <w:w w:val="99"/>
              </w:rPr>
              <w:t>62</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Euro-denominated commercial paper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654"/>
              <w:spacing w:after="0"/>
              <w:rPr>
                <w:sz w:val="20"/>
                <w:szCs w:val="20"/>
                <w:color w:val="auto"/>
              </w:rPr>
            </w:pPr>
            <w:r>
              <w:rPr>
                <w:rFonts w:ascii="Arial" w:cs="Arial" w:eastAsia="Arial" w:hAnsi="Arial"/>
                <w:sz w:val="18"/>
                <w:szCs w:val="18"/>
                <w:color w:val="auto"/>
                <w:w w:val="99"/>
              </w:rPr>
              <w:t>55</w:t>
            </w:r>
          </w:p>
        </w:tc>
      </w:tr>
      <w:tr>
        <w:trPr>
          <w:trHeight w:val="230"/>
        </w:trPr>
        <w:tc>
          <w:tcPr>
            <w:tcW w:w="51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Cross currency swap</w:t>
            </w: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center"/>
              <w:ind w:left="654"/>
              <w:spacing w:after="0"/>
              <w:rPr>
                <w:sz w:val="20"/>
                <w:szCs w:val="20"/>
                <w:color w:val="auto"/>
              </w:rPr>
            </w:pPr>
            <w:r>
              <w:rPr>
                <w:rFonts w:ascii="Arial" w:cs="Arial" w:eastAsia="Arial" w:hAnsi="Arial"/>
                <w:sz w:val="18"/>
                <w:szCs w:val="18"/>
                <w:color w:val="auto"/>
                <w:w w:val="99"/>
              </w:rPr>
              <w:t>(19)</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654"/>
              <w:spacing w:after="0"/>
              <w:rPr>
                <w:sz w:val="20"/>
                <w:szCs w:val="20"/>
                <w:color w:val="auto"/>
              </w:rPr>
            </w:pPr>
            <w:r>
              <w:rPr>
                <w:rFonts w:ascii="Arial" w:cs="Arial" w:eastAsia="Arial" w:hAnsi="Arial"/>
                <w:sz w:val="18"/>
                <w:szCs w:val="18"/>
                <w:color w:val="auto"/>
                <w:w w:val="99"/>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12. FAIR VALUE MEASUREMENTS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for fair value measurements and disclosures establishes a three-level fair value hierarchy:</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are based on quoted prices in active markets for identical assets and liabilities.</w:t>
      </w:r>
    </w:p>
    <w:p>
      <w:pPr>
        <w:spacing w:after="0" w:line="117"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are based on observable inputs other than quoted prices in active markets for identical or similar assets and liabilities.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One or more inputs are unobservable and significant.</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Financial and nonfinancial assets and liabilities are classified in their entirety based on the lowest level of input that is significant to the fair value measurement.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accounted for at fair value on a recurring basis: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7"/>
                <w:szCs w:val="17"/>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DC202E"/>
            </w:tcBorders>
            <w:shd w:val="clear" w:color="auto" w:fill="DBDBDB"/>
          </w:tcPr>
          <w:p>
            <w:pPr>
              <w:spacing w:after="0"/>
              <w:rPr>
                <w:sz w:val="19"/>
                <w:szCs w:val="19"/>
                <w:color w:val="auto"/>
              </w:rPr>
            </w:pPr>
          </w:p>
        </w:tc>
        <w:tc>
          <w:tcPr>
            <w:tcW w:w="150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spacing w:after="0"/>
              <w:rPr>
                <w:sz w:val="19"/>
                <w:szCs w:val="19"/>
                <w:color w:val="auto"/>
              </w:rPr>
            </w:pPr>
          </w:p>
        </w:tc>
        <w:tc>
          <w:tcPr>
            <w:tcW w:w="1600" w:type="dxa"/>
            <w:vAlign w:val="bottom"/>
            <w:tcBorders>
              <w:top w:val="single" w:sz="8" w:color="DC202E"/>
            </w:tcBorders>
            <w:shd w:val="clear" w:color="auto" w:fill="DBDBDB"/>
          </w:tcPr>
          <w:p>
            <w:pPr>
              <w:spacing w:after="0"/>
              <w:rPr>
                <w:sz w:val="19"/>
                <w:szCs w:val="19"/>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Available for sale investments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Investments in equity securities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exchange contracts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Cross currency swap agreements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as well as investments in equity securities, which are valued using published prices based off observable market data. As such, these investments are classified within level 2.</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holds certain available for sale investments in U.S. government and corporate debt securities, as well as investments in equity securities, which are valued utilizing published prices based on quoted market pricing, which are classified within level 1.</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168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900" w:type="dxa"/>
            <w:vAlign w:val="bottom"/>
            <w:tcBorders>
              <w:bottom w:val="single" w:sz="8" w:color="DC202E"/>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2600" w:type="dxa"/>
            <w:vAlign w:val="bottom"/>
            <w:tcBorders>
              <w:bottom w:val="single" w:sz="8" w:color="DC202E"/>
            </w:tcBorders>
            <w:gridSpan w:val="4"/>
          </w:tcPr>
          <w:p>
            <w:pPr>
              <w:jc w:val="right"/>
              <w:ind w:right="697"/>
              <w:spacing w:after="0"/>
              <w:rPr>
                <w:sz w:val="20"/>
                <w:szCs w:val="20"/>
                <w:color w:val="auto"/>
              </w:rPr>
            </w:pPr>
            <w:r>
              <w:rPr>
                <w:rFonts w:ascii="Arial" w:cs="Arial" w:eastAsia="Arial" w:hAnsi="Arial"/>
                <w:sz w:val="14"/>
                <w:szCs w:val="14"/>
                <w:b w:val="1"/>
                <w:bCs w:val="1"/>
                <w:color w:val="auto"/>
              </w:rPr>
              <w:t>December 31, 2020</w:t>
            </w:r>
          </w:p>
        </w:tc>
      </w:tr>
      <w:tr>
        <w:trPr>
          <w:trHeight w:val="149"/>
        </w:trPr>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2"/>
                <w:szCs w:val="12"/>
                <w:color w:val="auto"/>
              </w:rPr>
            </w:pPr>
          </w:p>
        </w:tc>
        <w:tc>
          <w:tcPr>
            <w:tcW w:w="10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60" w:type="dxa"/>
            <w:vAlign w:val="bottom"/>
          </w:tcPr>
          <w:p>
            <w:pPr>
              <w:jc w:val="right"/>
              <w:ind w:right="477"/>
              <w:spacing w:after="0" w:line="149" w:lineRule="exact"/>
              <w:rPr>
                <w:sz w:val="20"/>
                <w:szCs w:val="20"/>
                <w:color w:val="auto"/>
              </w:rPr>
            </w:pPr>
            <w:r>
              <w:rPr>
                <w:rFonts w:ascii="Arial" w:cs="Arial" w:eastAsia="Arial" w:hAnsi="Arial"/>
                <w:sz w:val="14"/>
                <w:szCs w:val="14"/>
                <w:b w:val="1"/>
                <w:bCs w:val="1"/>
                <w:color w:val="auto"/>
              </w:rPr>
              <w:t>Fair</w:t>
            </w:r>
          </w:p>
        </w:tc>
      </w:tr>
      <w:tr>
        <w:trPr>
          <w:trHeight w:val="183"/>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5"/>
                <w:szCs w:val="15"/>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Value</w:t>
            </w:r>
          </w:p>
        </w:tc>
      </w:tr>
      <w:tr>
        <w:trPr>
          <w:trHeight w:val="229"/>
        </w:trPr>
        <w:tc>
          <w:tcPr>
            <w:tcW w:w="5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DC202E"/>
            </w:tcBorders>
            <w:shd w:val="clear" w:color="auto" w:fill="DBDBDB"/>
          </w:tcPr>
          <w:p>
            <w:pPr>
              <w:spacing w:after="0"/>
              <w:rPr>
                <w:sz w:val="19"/>
                <w:szCs w:val="19"/>
                <w:color w:val="auto"/>
              </w:rPr>
            </w:pPr>
          </w:p>
        </w:tc>
        <w:tc>
          <w:tcPr>
            <w:tcW w:w="112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DC202E"/>
            </w:tcBorders>
            <w:shd w:val="clear" w:color="auto" w:fill="DBDBDB"/>
          </w:tcPr>
          <w:p>
            <w:pPr>
              <w:spacing w:after="0"/>
              <w:rPr>
                <w:sz w:val="19"/>
                <w:szCs w:val="19"/>
                <w:color w:val="auto"/>
              </w:rPr>
            </w:pPr>
          </w:p>
        </w:tc>
        <w:tc>
          <w:tcPr>
            <w:tcW w:w="900" w:type="dxa"/>
            <w:vAlign w:val="bottom"/>
            <w:tcBorders>
              <w:top w:val="single" w:sz="8" w:color="DC202E"/>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C202E"/>
            </w:tcBorders>
            <w:shd w:val="clear" w:color="auto" w:fill="DBDBDB"/>
          </w:tcPr>
          <w:p>
            <w:pPr>
              <w:spacing w:after="0"/>
              <w:rPr>
                <w:sz w:val="19"/>
                <w:szCs w:val="19"/>
                <w:color w:val="auto"/>
              </w:rPr>
            </w:pPr>
          </w:p>
        </w:tc>
        <w:tc>
          <w:tcPr>
            <w:tcW w:w="1120" w:type="dxa"/>
            <w:vAlign w:val="bottom"/>
            <w:tcBorders>
              <w:top w:val="single" w:sz="8" w:color="DC202E"/>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DC202E"/>
            </w:tcBorders>
            <w:shd w:val="clear" w:color="auto" w:fill="DBDBDB"/>
          </w:tcPr>
          <w:p>
            <w:pPr>
              <w:spacing w:after="0"/>
              <w:rPr>
                <w:sz w:val="19"/>
                <w:szCs w:val="19"/>
                <w:color w:val="auto"/>
              </w:rPr>
            </w:pPr>
          </w:p>
        </w:tc>
        <w:tc>
          <w:tcPr>
            <w:tcW w:w="1060" w:type="dxa"/>
            <w:vAlign w:val="bottom"/>
            <w:tcBorders>
              <w:top w:val="single" w:sz="8" w:color="DC202E"/>
            </w:tcBorders>
            <w:shd w:val="clear" w:color="auto" w:fill="DBDBDB"/>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Long-term receivables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investment</w:t>
            </w: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debt and related current maturities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19,044</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20,176</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determined the fair value of the long-term receivables by utilizing transactions in the listed markets for identical or similar assets. As such, the fair values of these receivables are considered level 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the long-term investment is based on the present value of the mandatory redemptions as reflected within Garrett Motion Inc.'s (Garrett) Series B Preferred Stock (Series B Preferred Stock) Certificate of Designation. The investment is designated as held to maturity and was initially recognized at fair value. The fair value of Garrett's Series B Preferred Stock was determined using observable market data and is considered level 2. Refer to Note 15 Commitments and Contingencies for further discussion of the Company’s investment in Garrett's Series B Preferred Stock.</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13. EARNINGS PER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Pr>
          <w:p>
            <w:pPr>
              <w:spacing w:after="0"/>
              <w:rPr>
                <w:sz w:val="17"/>
                <w:szCs w:val="17"/>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Basic</w:t>
            </w:r>
          </w:p>
        </w:tc>
        <w:tc>
          <w:tcPr>
            <w:tcW w:w="200" w:type="dxa"/>
            <w:vAlign w:val="bottom"/>
            <w:tcBorders>
              <w:top w:val="single" w:sz="8" w:color="DC202E"/>
            </w:tcBorders>
          </w:tcPr>
          <w:p>
            <w:pPr>
              <w:spacing w:after="0"/>
              <w:rPr>
                <w:sz w:val="17"/>
                <w:szCs w:val="17"/>
                <w:color w:val="auto"/>
              </w:rPr>
            </w:pPr>
          </w:p>
        </w:tc>
        <w:tc>
          <w:tcPr>
            <w:tcW w:w="1060" w:type="dxa"/>
            <w:vAlign w:val="bottom"/>
            <w:tcBorders>
              <w:top w:val="single" w:sz="8" w:color="DC202E"/>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tcBorders>
          </w:tcPr>
          <w:p>
            <w:pPr>
              <w:spacing w:after="0"/>
              <w:rPr>
                <w:sz w:val="17"/>
                <w:szCs w:val="17"/>
                <w:color w:val="auto"/>
              </w:rPr>
            </w:pPr>
          </w:p>
        </w:tc>
        <w:tc>
          <w:tcPr>
            <w:tcW w:w="300" w:type="dxa"/>
            <w:vAlign w:val="bottom"/>
            <w:tcBorders>
              <w:top w:val="single" w:sz="8" w:color="DC202E"/>
            </w:tcBorders>
          </w:tcPr>
          <w:p>
            <w:pPr>
              <w:spacing w:after="0"/>
              <w:rPr>
                <w:sz w:val="17"/>
                <w:szCs w:val="17"/>
                <w:color w:val="auto"/>
              </w:rPr>
            </w:pPr>
          </w:p>
        </w:tc>
        <w:tc>
          <w:tcPr>
            <w:tcW w:w="980" w:type="dxa"/>
            <w:vAlign w:val="bottom"/>
            <w:tcBorders>
              <w:top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Borders>
              <w:top w:val="single" w:sz="8" w:color="DC202E"/>
            </w:tcBorders>
          </w:tcPr>
          <w:p>
            <w:pPr>
              <w:spacing w:after="0"/>
              <w:rPr>
                <w:sz w:val="17"/>
                <w:szCs w:val="17"/>
                <w:color w:val="auto"/>
              </w:rPr>
            </w:pPr>
          </w:p>
        </w:tc>
        <w:tc>
          <w:tcPr>
            <w:tcW w:w="1020" w:type="dxa"/>
            <w:vAlign w:val="bottom"/>
            <w:tcBorders>
              <w:top w:val="single" w:sz="8" w:color="DC202E"/>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tcBorders>
          </w:tcPr>
          <w:p>
            <w:pPr>
              <w:spacing w:after="0"/>
              <w:rPr>
                <w:sz w:val="17"/>
                <w:szCs w:val="17"/>
                <w:color w:val="auto"/>
              </w:rPr>
            </w:pPr>
          </w:p>
        </w:tc>
        <w:tc>
          <w:tcPr>
            <w:tcW w:w="300" w:type="dxa"/>
            <w:vAlign w:val="bottom"/>
            <w:tcBorders>
              <w:top w:val="single" w:sz="8" w:color="DC202E"/>
            </w:tcBorders>
          </w:tcPr>
          <w:p>
            <w:pPr>
              <w:spacing w:after="0"/>
              <w:rPr>
                <w:sz w:val="17"/>
                <w:szCs w:val="17"/>
                <w:color w:val="auto"/>
              </w:rPr>
            </w:pPr>
          </w:p>
        </w:tc>
        <w:tc>
          <w:tcPr>
            <w:tcW w:w="980" w:type="dxa"/>
            <w:vAlign w:val="bottom"/>
            <w:tcBorders>
              <w:top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shd w:val="clear" w:color="auto" w:fill="DBDBDB"/>
          </w:tcPr>
          <w:p>
            <w:pPr>
              <w:spacing w:after="0" w:line="20" w:lineRule="exact"/>
              <w:rPr>
                <w:sz w:val="1"/>
                <w:szCs w:val="1"/>
                <w:color w:val="auto"/>
              </w:rPr>
            </w:pPr>
          </w:p>
        </w:tc>
        <w:tc>
          <w:tcPr>
            <w:tcW w:w="380" w:type="dxa"/>
            <w:vAlign w:val="bottom"/>
            <w:tcBorders>
              <w:top w:val="single" w:sz="8" w:color="auto"/>
            </w:tcBorders>
            <w:shd w:val="clear" w:color="auto" w:fill="DBDBDB"/>
          </w:tcPr>
          <w:p>
            <w:pPr>
              <w:spacing w:after="0" w:line="20" w:lineRule="exact"/>
              <w:rPr>
                <w:sz w:val="1"/>
                <w:szCs w:val="1"/>
                <w:color w:val="auto"/>
              </w:rPr>
            </w:pPr>
          </w:p>
        </w:tc>
        <w:tc>
          <w:tcPr>
            <w:tcW w:w="70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4520" w:type="dxa"/>
            <w:vAlign w:val="bottom"/>
            <w:shd w:val="clear" w:color="auto" w:fill="DBDBDB"/>
          </w:tcPr>
          <w:p>
            <w:pPr>
              <w:spacing w:after="0" w:line="20" w:lineRule="exact"/>
              <w:rPr>
                <w:sz w:val="1"/>
                <w:szCs w:val="1"/>
                <w:color w:val="auto"/>
              </w:rPr>
            </w:pPr>
          </w:p>
        </w:tc>
        <w:tc>
          <w:tcPr>
            <w:tcW w:w="200" w:type="dxa"/>
            <w:vAlign w:val="bottom"/>
            <w:tcBorders>
              <w:top w:val="single" w:sz="8" w:color="DC202E"/>
            </w:tcBorders>
            <w:shd w:val="clear" w:color="auto" w:fill="DC202E"/>
          </w:tcPr>
          <w:p>
            <w:pPr>
              <w:spacing w:after="0" w:line="20" w:lineRule="exact"/>
              <w:rPr>
                <w:sz w:val="1"/>
                <w:szCs w:val="1"/>
                <w:color w:val="auto"/>
              </w:rPr>
            </w:pPr>
          </w:p>
        </w:tc>
        <w:tc>
          <w:tcPr>
            <w:tcW w:w="1060" w:type="dxa"/>
            <w:vAlign w:val="bottom"/>
            <w:tcBorders>
              <w:top w:val="single" w:sz="8" w:color="DC202E"/>
            </w:tcBorders>
            <w:shd w:val="clear" w:color="auto" w:fill="DC202E"/>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300" w:type="dxa"/>
            <w:vAlign w:val="bottom"/>
            <w:tcBorders>
              <w:top w:val="single" w:sz="8" w:color="DC202E"/>
            </w:tcBorders>
            <w:shd w:val="clear" w:color="auto" w:fill="DC202E"/>
          </w:tcPr>
          <w:p>
            <w:pPr>
              <w:spacing w:after="0" w:line="20" w:lineRule="exact"/>
              <w:rPr>
                <w:sz w:val="1"/>
                <w:szCs w:val="1"/>
                <w:color w:val="auto"/>
              </w:rPr>
            </w:pPr>
          </w:p>
        </w:tc>
        <w:tc>
          <w:tcPr>
            <w:tcW w:w="980" w:type="dxa"/>
            <w:vAlign w:val="bottom"/>
            <w:tcBorders>
              <w:top w:val="single" w:sz="8" w:color="DC202E"/>
            </w:tcBorders>
            <w:shd w:val="clear" w:color="auto" w:fill="DC202E"/>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60" w:type="dxa"/>
            <w:vAlign w:val="bottom"/>
            <w:tcBorders>
              <w:top w:val="single" w:sz="8" w:color="DC202E"/>
            </w:tcBorders>
            <w:shd w:val="clear" w:color="auto" w:fill="DC202E"/>
          </w:tcPr>
          <w:p>
            <w:pPr>
              <w:spacing w:after="0" w:line="20" w:lineRule="exact"/>
              <w:rPr>
                <w:sz w:val="1"/>
                <w:szCs w:val="1"/>
                <w:color w:val="auto"/>
              </w:rPr>
            </w:pPr>
          </w:p>
        </w:tc>
        <w:tc>
          <w:tcPr>
            <w:tcW w:w="1020" w:type="dxa"/>
            <w:vAlign w:val="bottom"/>
            <w:tcBorders>
              <w:top w:val="single" w:sz="8" w:color="DC202E"/>
            </w:tcBorders>
            <w:shd w:val="clear" w:color="auto" w:fill="DC202E"/>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300" w:type="dxa"/>
            <w:vAlign w:val="bottom"/>
            <w:tcBorders>
              <w:top w:val="single" w:sz="8" w:color="DC202E"/>
            </w:tcBorders>
            <w:shd w:val="clear" w:color="auto" w:fill="DC202E"/>
          </w:tcPr>
          <w:p>
            <w:pPr>
              <w:spacing w:after="0" w:line="20" w:lineRule="exact"/>
              <w:rPr>
                <w:sz w:val="1"/>
                <w:szCs w:val="1"/>
                <w:color w:val="auto"/>
              </w:rPr>
            </w:pPr>
          </w:p>
        </w:tc>
        <w:tc>
          <w:tcPr>
            <w:tcW w:w="980" w:type="dxa"/>
            <w:vAlign w:val="bottom"/>
            <w:tcBorders>
              <w:top w:val="single" w:sz="8" w:color="DC202E"/>
            </w:tcBorders>
            <w:shd w:val="clear" w:color="auto" w:fill="DC202E"/>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Net income attributable to Honeywell</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2,662</w:t>
            </w:r>
          </w:p>
        </w:tc>
      </w:tr>
      <w:tr>
        <w:trPr>
          <w:trHeight w:val="229"/>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705.9</w:t>
            </w: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Earnings per share of common stock - basic</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w:t>
            </w:r>
          </w:p>
        </w:tc>
      </w:tr>
      <w:tr>
        <w:trPr>
          <w:trHeight w:val="43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24"/>
                <w:szCs w:val="24"/>
                <w:color w:val="auto"/>
              </w:rPr>
            </w:pPr>
          </w:p>
        </w:tc>
        <w:tc>
          <w:tcPr>
            <w:tcW w:w="24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June 30,</w:t>
            </w:r>
          </w:p>
        </w:tc>
      </w:tr>
      <w:tr>
        <w:trPr>
          <w:trHeight w:val="216"/>
        </w:trPr>
        <w:tc>
          <w:tcPr>
            <w:tcW w:w="20" w:type="dxa"/>
            <w:vAlign w:val="bottom"/>
            <w:tcBorders>
              <w:bottom w:val="single" w:sz="8" w:color="DBDBDB"/>
            </w:tcBorders>
          </w:tcPr>
          <w:p>
            <w:pPr>
              <w:spacing w:after="0"/>
              <w:rPr>
                <w:sz w:val="18"/>
                <w:szCs w:val="18"/>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Assuming Dilution</w:t>
            </w:r>
          </w:p>
        </w:tc>
        <w:tc>
          <w:tcPr>
            <w:tcW w:w="4520" w:type="dxa"/>
            <w:vAlign w:val="bottom"/>
            <w:tcBorders>
              <w:bottom w:val="single" w:sz="8" w:color="DBDBDB"/>
            </w:tcBorders>
          </w:tcPr>
          <w:p>
            <w:pPr>
              <w:spacing w:after="0"/>
              <w:rPr>
                <w:sz w:val="18"/>
                <w:szCs w:val="18"/>
                <w:color w:val="auto"/>
              </w:rPr>
            </w:pPr>
          </w:p>
        </w:tc>
        <w:tc>
          <w:tcPr>
            <w:tcW w:w="200" w:type="dxa"/>
            <w:vAlign w:val="bottom"/>
            <w:tcBorders>
              <w:top w:val="single" w:sz="8" w:color="DC202E"/>
              <w:bottom w:val="single" w:sz="8" w:color="DC202E"/>
            </w:tcBorders>
          </w:tcPr>
          <w:p>
            <w:pPr>
              <w:spacing w:after="0"/>
              <w:rPr>
                <w:sz w:val="18"/>
                <w:szCs w:val="18"/>
                <w:color w:val="auto"/>
              </w:rPr>
            </w:pPr>
          </w:p>
        </w:tc>
        <w:tc>
          <w:tcPr>
            <w:tcW w:w="1060" w:type="dxa"/>
            <w:vAlign w:val="bottom"/>
            <w:tcBorders>
              <w:top w:val="single" w:sz="8" w:color="DC202E"/>
              <w:bottom w:val="single" w:sz="8" w:color="DC202E"/>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8"/>
                <w:szCs w:val="18"/>
                <w:color w:val="auto"/>
              </w:rPr>
            </w:pPr>
          </w:p>
        </w:tc>
        <w:tc>
          <w:tcPr>
            <w:tcW w:w="300" w:type="dxa"/>
            <w:vAlign w:val="bottom"/>
            <w:tcBorders>
              <w:top w:val="single" w:sz="8" w:color="DC202E"/>
              <w:bottom w:val="single" w:sz="8" w:color="DC202E"/>
            </w:tcBorders>
          </w:tcPr>
          <w:p>
            <w:pPr>
              <w:spacing w:after="0"/>
              <w:rPr>
                <w:sz w:val="18"/>
                <w:szCs w:val="18"/>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8"/>
                <w:szCs w:val="18"/>
                <w:color w:val="auto"/>
              </w:rPr>
            </w:pPr>
          </w:p>
        </w:tc>
        <w:tc>
          <w:tcPr>
            <w:tcW w:w="260" w:type="dxa"/>
            <w:vAlign w:val="bottom"/>
            <w:tcBorders>
              <w:top w:val="single" w:sz="8" w:color="DC202E"/>
              <w:bottom w:val="single" w:sz="8" w:color="DC202E"/>
            </w:tcBorders>
          </w:tcPr>
          <w:p>
            <w:pPr>
              <w:spacing w:after="0"/>
              <w:rPr>
                <w:sz w:val="18"/>
                <w:szCs w:val="18"/>
                <w:color w:val="auto"/>
              </w:rPr>
            </w:pPr>
          </w:p>
        </w:tc>
        <w:tc>
          <w:tcPr>
            <w:tcW w:w="1020" w:type="dxa"/>
            <w:vAlign w:val="bottom"/>
            <w:tcBorders>
              <w:top w:val="single" w:sz="8" w:color="DC202E"/>
              <w:bottom w:val="single" w:sz="8" w:color="DC202E"/>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8"/>
                <w:szCs w:val="18"/>
                <w:color w:val="auto"/>
              </w:rPr>
            </w:pPr>
          </w:p>
        </w:tc>
        <w:tc>
          <w:tcPr>
            <w:tcW w:w="300" w:type="dxa"/>
            <w:vAlign w:val="bottom"/>
            <w:tcBorders>
              <w:top w:val="single" w:sz="8" w:color="DC202E"/>
              <w:bottom w:val="single" w:sz="8" w:color="DC202E"/>
            </w:tcBorders>
          </w:tcPr>
          <w:p>
            <w:pPr>
              <w:spacing w:after="0"/>
              <w:rPr>
                <w:sz w:val="18"/>
                <w:szCs w:val="18"/>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shd w:val="clear" w:color="auto" w:fill="DBDBDB"/>
          </w:tcPr>
          <w:p>
            <w:pPr>
              <w:spacing w:after="0"/>
              <w:rPr>
                <w:sz w:val="18"/>
                <w:szCs w:val="18"/>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Net income attributable to Honeywell</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2,662</w:t>
            </w:r>
          </w:p>
        </w:tc>
      </w:tr>
      <w:tr>
        <w:trPr>
          <w:trHeight w:val="162"/>
        </w:trPr>
        <w:tc>
          <w:tcPr>
            <w:tcW w:w="20" w:type="dxa"/>
            <w:vAlign w:val="bottom"/>
          </w:tcPr>
          <w:p>
            <w:pPr>
              <w:spacing w:after="0"/>
              <w:rPr>
                <w:sz w:val="14"/>
                <w:szCs w:val="14"/>
                <w:color w:val="auto"/>
              </w:rPr>
            </w:pPr>
          </w:p>
        </w:tc>
        <w:tc>
          <w:tcPr>
            <w:tcW w:w="580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4"/>
            <w:shd w:val="clear" w:color="auto" w:fill="DBDBDB"/>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702.3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695.0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705.9</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20" w:type="dxa"/>
            <w:vAlign w:val="bottom"/>
            <w:tcBorders>
              <w:bottom w:val="single" w:sz="8" w:color="DBDBDB"/>
            </w:tcBorders>
            <w:shd w:val="clear" w:color="auto" w:fill="DBDBDB"/>
          </w:tcPr>
          <w:p>
            <w:pPr>
              <w:spacing w:after="0"/>
              <w:rPr>
                <w:sz w:val="21"/>
                <w:szCs w:val="21"/>
                <w:color w:val="auto"/>
              </w:rPr>
            </w:pPr>
          </w:p>
        </w:tc>
        <w:tc>
          <w:tcPr>
            <w:tcW w:w="5800" w:type="dxa"/>
            <w:vAlign w:val="bottom"/>
            <w:tcBorders>
              <w:bottom w:val="single" w:sz="8" w:color="DBDBDB"/>
            </w:tcBorders>
            <w:gridSpan w:val="4"/>
            <w:shd w:val="clear" w:color="auto" w:fill="DBDBDB"/>
          </w:tcPr>
          <w:p>
            <w:pPr>
              <w:spacing w:after="0"/>
              <w:rPr>
                <w:sz w:val="20"/>
                <w:szCs w:val="20"/>
                <w:color w:val="auto"/>
              </w:rPr>
            </w:pPr>
            <w:r>
              <w:rPr>
                <w:rFonts w:ascii="Arial" w:cs="Arial" w:eastAsia="Arial" w:hAnsi="Arial"/>
                <w:sz w:val="18"/>
                <w:szCs w:val="18"/>
                <w:color w:val="auto"/>
              </w:rPr>
              <w:t>Total weighted average diluted shares outstanding</w:t>
            </w:r>
          </w:p>
        </w:tc>
        <w:tc>
          <w:tcPr>
            <w:tcW w:w="20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703.5</w:t>
            </w: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712.6</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gridSpan w:val="2"/>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45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800" w:type="dxa"/>
            <w:vAlign w:val="bottom"/>
            <w:gridSpan w:val="4"/>
          </w:tcPr>
          <w:p>
            <w:pPr>
              <w:spacing w:after="0" w:line="203" w:lineRule="exact"/>
              <w:rPr>
                <w:sz w:val="20"/>
                <w:szCs w:val="20"/>
                <w:color w:val="auto"/>
              </w:rPr>
            </w:pPr>
            <w:r>
              <w:rPr>
                <w:rFonts w:ascii="Arial" w:cs="Arial" w:eastAsia="Arial" w:hAnsi="Arial"/>
                <w:sz w:val="18"/>
                <w:szCs w:val="18"/>
                <w:color w:val="auto"/>
              </w:rPr>
              <w:t>Earnings per share of common stock - assuming dilution</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4.06</w:t>
            </w:r>
          </w:p>
        </w:tc>
        <w:tc>
          <w:tcPr>
            <w:tcW w:w="12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3.74</w:t>
            </w: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diluted earnings per share calculations exclude the effect of stock options when the options’ exercise price exceed the average market price of the common shares during the period. For the three and six months ended June 30, 2021, the weighted average number of stock options excluded from the computations were 1.9 million and 1.4 million, respectively. These stock options were outstanding at the end of each of the respective periods. For the three and six months ended June 30, 2020, the weighted average number of stock options excluded from the computations were 7.8 million and 6.1 million, respectively.</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2021 and 2020, total shares outstanding were 690.4 million and 701.8 million, respectively, and as of June 30, 2021 and 2020, total shares issued were 957.6 million.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14.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ACCUMULATED OTHER COMPREHENSIVE INCOME (LOSS) BY COMPONENT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Changes in Fair</w:t>
            </w:r>
          </w:p>
        </w:tc>
        <w:tc>
          <w:tcPr>
            <w:tcW w:w="20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Exchange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Postretirement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Value of</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Available for Sale</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DBDBDB"/>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200" w:type="dxa"/>
            <w:vAlign w:val="bottom"/>
            <w:tcBorders>
              <w:bottom w:val="single" w:sz="8" w:color="DC202E"/>
            </w:tcBorders>
          </w:tcPr>
          <w:p>
            <w:pPr>
              <w:jc w:val="center"/>
              <w:ind w:right="158"/>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DBDBDB"/>
            </w:tcBorders>
            <w:gridSpan w:val="2"/>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60" w:type="dxa"/>
            <w:vAlign w:val="bottom"/>
            <w:tcBorders>
              <w:bottom w:val="single" w:sz="8" w:color="DC202E"/>
            </w:tcBorders>
          </w:tcPr>
          <w:p>
            <w:pPr>
              <w:jc w:val="center"/>
              <w:ind w:right="9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300" w:type="dxa"/>
            <w:vAlign w:val="bottom"/>
            <w:tcBorders>
              <w:bottom w:val="single" w:sz="8" w:color="DC202E"/>
            </w:tcBorders>
          </w:tcPr>
          <w:p>
            <w:pPr>
              <w:jc w:val="center"/>
              <w:ind w:right="1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tcPr>
          <w:p>
            <w:pPr>
              <w:jc w:val="right"/>
              <w:ind w:right="398"/>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DBDBDB"/>
          </w:tcPr>
          <w:p>
            <w:pPr>
              <w:spacing w:after="0"/>
              <w:rPr>
                <w:sz w:val="19"/>
                <w:szCs w:val="19"/>
                <w:color w:val="auto"/>
              </w:rPr>
            </w:pPr>
          </w:p>
        </w:tc>
        <w:tc>
          <w:tcPr>
            <w:tcW w:w="1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88"/>
        </w:trPr>
        <w:tc>
          <w:tcPr>
            <w:tcW w:w="36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line="168" w:lineRule="exact"/>
              <w:rPr>
                <w:sz w:val="20"/>
                <w:szCs w:val="20"/>
                <w:color w:val="auto"/>
              </w:rPr>
            </w:pPr>
            <w:r>
              <w:rPr>
                <w:rFonts w:ascii="Arial" w:cs="Arial" w:eastAsia="Arial" w:hAnsi="Arial"/>
                <w:sz w:val="18"/>
                <w:szCs w:val="18"/>
                <w:color w:val="auto"/>
              </w:rPr>
              <w:t>Net current period other comprehensive</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income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bottom w:val="single" w:sz="8" w:color="DBDBDB"/>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at June 30, 2021</w:t>
            </w:r>
          </w:p>
        </w:tc>
        <w:tc>
          <w:tcPr>
            <w:tcW w:w="24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Changes in Fair</w:t>
            </w:r>
          </w:p>
        </w:tc>
        <w:tc>
          <w:tcPr>
            <w:tcW w:w="200" w:type="dxa"/>
            <w:vAlign w:val="bottom"/>
          </w:tcPr>
          <w:p>
            <w:pPr>
              <w:spacing w:after="0"/>
              <w:rPr>
                <w:sz w:val="24"/>
                <w:szCs w:val="2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Exchange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Postretirement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Value of</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Benefits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Available for Sale</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1"/>
                <w:szCs w:val="11"/>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60" w:type="dxa"/>
            <w:vAlign w:val="bottom"/>
            <w:tcBorders>
              <w:bottom w:val="single" w:sz="8" w:color="DC202E"/>
            </w:tcBorders>
          </w:tcPr>
          <w:p>
            <w:pPr>
              <w:jc w:val="right"/>
              <w:ind w:right="21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30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tcPr>
          <w:p>
            <w:pPr>
              <w:jc w:val="center"/>
              <w:ind w:right="98"/>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(2,566)</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DBDBDB"/>
          </w:tcPr>
          <w:p>
            <w:pPr>
              <w:spacing w:after="0"/>
              <w:rPr>
                <w:sz w:val="19"/>
                <w:szCs w:val="19"/>
                <w:color w:val="auto"/>
              </w:rPr>
            </w:pP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rPr>
              <w:t>Other comprehensive income (loss) before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8"/>
        </w:trPr>
        <w:tc>
          <w:tcPr>
            <w:tcW w:w="366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gridSpan w:val="2"/>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line="168" w:lineRule="exact"/>
              <w:rPr>
                <w:sz w:val="20"/>
                <w:szCs w:val="20"/>
                <w:color w:val="auto"/>
              </w:rPr>
            </w:pPr>
            <w:r>
              <w:rPr>
                <w:rFonts w:ascii="Arial" w:cs="Arial" w:eastAsia="Arial" w:hAnsi="Arial"/>
                <w:sz w:val="18"/>
                <w:szCs w:val="18"/>
                <w:color w:val="auto"/>
              </w:rPr>
              <w:t>Net current period other comprehensive</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income (loss)</w:t>
            </w:r>
          </w:p>
        </w:tc>
        <w:tc>
          <w:tcPr>
            <w:tcW w:w="2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(2,721)</w:t>
            </w:r>
          </w:p>
        </w:tc>
        <w:tc>
          <w:tcPr>
            <w:tcW w:w="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8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DBDBDB"/>
          </w:tcPr>
          <w:p>
            <w:pPr>
              <w:spacing w:after="0"/>
              <w:rPr>
                <w:sz w:val="21"/>
                <w:szCs w:val="21"/>
                <w:color w:val="auto"/>
              </w:rPr>
            </w:pP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BDBDB"/>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15.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environmental matters are described in Note 20 Commitments and Contingencies of Notes to Consolidated Financial Statements in our 2020 Annual Report on Form 10-K.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40" w:type="dxa"/>
            <w:vAlign w:val="bottom"/>
          </w:tcPr>
          <w:p>
            <w:pPr>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6"/>
        </w:trPr>
        <w:tc>
          <w:tcPr>
            <w:tcW w:w="98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30"/>
        </w:trPr>
        <w:tc>
          <w:tcPr>
            <w:tcW w:w="9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5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9840" w:type="dxa"/>
            <w:vAlign w:val="bottom"/>
          </w:tcPr>
          <w:p>
            <w:pPr>
              <w:ind w:left="140"/>
              <w:spacing w:after="0"/>
              <w:rPr>
                <w:sz w:val="20"/>
                <w:szCs w:val="20"/>
                <w:color w:val="auto"/>
              </w:rPr>
            </w:pPr>
            <w:r>
              <w:rPr>
                <w:rFonts w:ascii="Arial" w:cs="Arial" w:eastAsia="Arial" w:hAnsi="Arial"/>
                <w:sz w:val="18"/>
                <w:szCs w:val="18"/>
                <w:color w:val="auto"/>
              </w:rPr>
              <w:t>Environmental liability payments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9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9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8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DBDBDB"/>
            </w:tcBorders>
            <w:shd w:val="clear" w:color="auto" w:fill="DBDBDB"/>
          </w:tcPr>
          <w:p>
            <w:pPr>
              <w:spacing w:after="0"/>
              <w:rPr>
                <w:sz w:val="19"/>
                <w:szCs w:val="19"/>
                <w:color w:val="auto"/>
              </w:rPr>
            </w:pPr>
          </w:p>
        </w:tc>
        <w:tc>
          <w:tcPr>
            <w:tcW w:w="56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48"/>
        </w:trPr>
        <w:tc>
          <w:tcPr>
            <w:tcW w:w="844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660</w:t>
            </w:r>
          </w:p>
        </w:tc>
      </w:tr>
      <w:tr>
        <w:trPr>
          <w:trHeight w:val="20"/>
        </w:trPr>
        <w:tc>
          <w:tcPr>
            <w:tcW w:w="84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the Company does not expect that environmental matters will have a material adverse effect on its consolidated financial position.</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Reimbursements associated with this agreement are collected from Resideo quarterly and were $35 million and $70 million in the three and six months ended June 30, 2021,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six months ended June 30, 2021, was $72 million. As of June 30, 2021, Other current assets and Other assets included $140 million and $453 million, respectively, for the short-term and long-term portion of the receivable amount due from Resideo under the indemnification and reimbursement agreement.</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MATTERS</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is named in asbestos-related personal injury claims related to North American Refractories Company (NARCO), which was sold in 1986, and the Bendix Friction Materials (Bendix) business, which was sold in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ASBESTOS-RELATED LIABILITIES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Bendix</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NARCO</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30"/>
        </w:trPr>
        <w:tc>
          <w:tcPr>
            <w:tcW w:w="6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Borders>
              <w:top w:val="single" w:sz="8" w:color="DC202E"/>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Borders>
              <w:top w:val="single" w:sz="8" w:color="DBDBDB"/>
            </w:tcBorders>
            <w:shd w:val="clear" w:color="auto" w:fill="DBDBDB"/>
          </w:tcPr>
          <w:p>
            <w:pPr>
              <w:spacing w:after="0"/>
              <w:rPr>
                <w:sz w:val="19"/>
                <w:szCs w:val="19"/>
                <w:color w:val="auto"/>
              </w:rPr>
            </w:pPr>
          </w:p>
        </w:tc>
        <w:tc>
          <w:tcPr>
            <w:tcW w:w="960" w:type="dxa"/>
            <w:vAlign w:val="bottom"/>
            <w:tcBorders>
              <w:top w:val="single" w:sz="8" w:color="DC202E"/>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779</w:t>
            </w:r>
          </w:p>
        </w:tc>
        <w:tc>
          <w:tcPr>
            <w:tcW w:w="1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DC202E"/>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Asbestos-related liability payments</w:t>
            </w:r>
          </w:p>
        </w:tc>
        <w:tc>
          <w:tcPr>
            <w:tcW w:w="2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 RECOVERIES FOR ASBESTOS-RELATED LIABILITIES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Bendix</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7"/>
                <w:szCs w:val="17"/>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30"/>
        </w:trPr>
        <w:tc>
          <w:tcPr>
            <w:tcW w:w="6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December 31, 2020</w:t>
            </w:r>
          </w:p>
        </w:tc>
        <w:tc>
          <w:tcPr>
            <w:tcW w:w="940" w:type="dxa"/>
            <w:vAlign w:val="bottom"/>
            <w:tcBorders>
              <w:top w:val="single" w:sz="8" w:color="DC202E"/>
            </w:tcBorders>
            <w:shd w:val="clear" w:color="auto" w:fill="DBDBDB"/>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DC202E"/>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DC202E"/>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Probable insurance recoveries related to estimated liability</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Insurance receipts for asbestos-related liabilities</w:t>
            </w:r>
          </w:p>
        </w:tc>
        <w:tc>
          <w:tcPr>
            <w:tcW w:w="94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Insurance receivables settlements</w:t>
            </w: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June 30, 2021</w:t>
            </w:r>
          </w:p>
        </w:tc>
        <w:tc>
          <w:tcPr>
            <w:tcW w:w="940" w:type="dxa"/>
            <w:vAlign w:val="bottom"/>
            <w:tcBorders>
              <w:top w:val="single" w:sz="8" w:color="auto"/>
              <w:bottom w:val="single" w:sz="8" w:color="auto"/>
            </w:tcBorders>
            <w:shd w:val="clear" w:color="auto" w:fill="DBDBDB"/>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686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NARCO and Bendix asbestos-related balances are included in the following balance sheet accounts: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30"/>
        </w:trPr>
        <w:tc>
          <w:tcPr>
            <w:tcW w:w="82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DDDDDD"/>
            </w:tcBorders>
            <w:shd w:val="clear" w:color="auto" w:fill="DDDDDD"/>
          </w:tcPr>
          <w:p>
            <w:pPr>
              <w:spacing w:after="0"/>
              <w:rPr>
                <w:sz w:val="19"/>
                <w:szCs w:val="19"/>
                <w:color w:val="auto"/>
              </w:rPr>
            </w:pPr>
          </w:p>
        </w:tc>
        <w:tc>
          <w:tcPr>
            <w:tcW w:w="520" w:type="dxa"/>
            <w:vAlign w:val="bottom"/>
            <w:tcBorders>
              <w:top w:val="single" w:sz="8" w:color="DC202E"/>
            </w:tcBorders>
            <w:shd w:val="clear" w:color="auto" w:fill="DDDDDD"/>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Insurance recoveries for asbestos-related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48"/>
        </w:trPr>
        <w:tc>
          <w:tcPr>
            <w:tcW w:w="8240" w:type="dxa"/>
            <w:vAlign w:val="bottom"/>
            <w:tcBorders>
              <w:bottom w:val="single" w:sz="8" w:color="DDDDDD"/>
            </w:tcBorders>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300</w:t>
            </w:r>
          </w:p>
        </w:tc>
        <w:tc>
          <w:tcPr>
            <w:tcW w:w="120" w:type="dxa"/>
            <w:vAlign w:val="bottom"/>
          </w:tcPr>
          <w:p>
            <w:pPr>
              <w:spacing w:after="0"/>
              <w:rPr>
                <w:sz w:val="17"/>
                <w:szCs w:val="17"/>
                <w:color w:val="auto"/>
              </w:rPr>
            </w:pPr>
          </w:p>
        </w:tc>
        <w:tc>
          <w:tcPr>
            <w:tcW w:w="520" w:type="dxa"/>
            <w:vAlign w:val="bottom"/>
          </w:tcPr>
          <w:p>
            <w:pPr>
              <w:jc w:val="right"/>
              <w:ind w:right="314"/>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300</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Asbestos-related liabilities</w:t>
            </w:r>
          </w:p>
        </w:tc>
        <w:tc>
          <w:tcPr>
            <w:tcW w:w="18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DDDDDD"/>
          </w:tcPr>
          <w:p>
            <w:pPr>
              <w:spacing w:after="0"/>
              <w:rPr>
                <w:sz w:val="19"/>
                <w:szCs w:val="19"/>
                <w:color w:val="auto"/>
              </w:rPr>
            </w:pPr>
          </w:p>
        </w:tc>
        <w:tc>
          <w:tcPr>
            <w:tcW w:w="52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1,920</w:t>
            </w:r>
          </w:p>
        </w:tc>
      </w:tr>
      <w:tr>
        <w:trPr>
          <w:trHeight w:val="223"/>
        </w:trPr>
        <w:tc>
          <w:tcPr>
            <w:tcW w:w="8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NARCO manufactured high-grade, heat-resistant, refractory products for various industries. Honeywell’s predecessor,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Allied Corporation, owned NARCO from 1979 to 1986. Allied Corporation sold the NARCO business in 1986 and entered into a cross-indemnity agreement which included an obligation to indemnify the purchaser for asbestos claims. Such claims arise primarily from alleged occupational exposure to asbestos-containing refractory brick and mortar for high-temperature applications. NARCO ceased manufacturing these products in 1980 and ultimately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are the principal documents setting forth the structure of the Trust, establishing Honeywell’s evergreen funding obligations and the material operating rules for the Trust.</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 the TA, the Trust is eligible to receive cash dividends from Harbison-Walker International Inc. (HWI), the reorganized and renamed entity that emerged, fully operational, from the NARCO bankruptcy. The cash dividends are required to be used to pay claims which qualify for payment under the TDP (Annual Contribution Claims) until those funds are exhausted, at which point Honeywell’s funding obligation is triggered. Honeywell's funding obligation, together with any HWI dividends used to pay claims, is subject to an annual cap of $145 million. In July 2021, HWI paid a dividend of $47 million to the NARCO Trust.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rules per the TDP include Honeywell’s audit rights and the criteria claimants must meet for a claim to be considered valid and paid, which include adequate medical evidence of the claimant’s asbestos-related condition and credible evidence of exposure to a specific NARCO asbestos-containing product. Once operational in 2014, the Trust began to receive, process and pay claims, at which point the Company began to assert its audit rights to review and monitor the claims processor’s adherence to the established requirements of the TDP. While doing so, the Company identified several issues with the way the Trust was adhering to the TDP and the Company continues to identify and dispute these matters as further claims are processed. Although the Company is attempting to resolve instances where it believes the Trust is not processing claims in accordance with the established TDP, the Company reserves the right to seek judicial intervention should it fail to resolve the disputed issues.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bankruptcy filing in 2002, claimants were not permitted to file additional claims until the Trust became operative in 2014. As a consequence, there was a large backlog of claims that were filed with the Trust upon becoming operative through December 31, 2017, the date by which these claims had to be filed or else be barred by the statute of limitations (subject to tolling exceptions in the TDP). Therefore, the claims filing rate did not start to normalize until 2018 and thereafter. As a result, between 2002 and 2018, the Company lacked a history of sufficiently reliable claims data to derive a reasonable estimate of its NARCO asbestos-related liability, and the Company continued to update its original estimate, as appropriate, using all available information.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with three years of sufficiently reliable claims data, the Company updated its estimate of the NARCO asbestos-related liability utilizing claims data from January 1, 2018 through December 31, 2020. The Company utilized an asbestos liability valuation specialist to support our preparation of the NARCO asbestos-related liability estimates. Our estimates, which involve significant management judgment, include consideration of multiple scenarios, including a scenario adjusting for the impact of the COVID-19 pandemic on the Trust's ability to process claims during 2020. The estimate for the resolution of asserted Annual Contribution Claims and Pre-Established Unliquidated Claims uses average payment values for the relevant historical period. For unasserted claims, the estimate is based on historic and anticipated claims filing experience and payment rates, disease classifications and type of claim, and average payment values by the Trust for the relevant historical period. The Company's estimate also includes all years of epidemiological disease projection through 2059.</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NARCO asbestos-related liability reflects an estimate for the resolution of Annual Contribution Claims and Pre-Established Unliquidated Claims filed with the Trust, as well as for unasserted Annual Contribution Claims and Pre-Established Unliquidated Claims. The NARCO asbestos liability excludes the annual operating expenses of the Trust which are expensed as they are incurred.</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NARCO-related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NARCO-related insurance receivable is an estimate of the probable amount of insurance that is recoverable for asbestos claims. Most of our insurance carriers remain solvent. However, select individual insurance carriers are now insolvent, which we have considered in our analysis of probable recoveries. Our judgments related to our insurance carriers and insurance coverages are reasonable and consistent with Honeywell's historical dealings and Honeywell's knowledge of any pertinent solvency issues surrounding insurers.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Bendix Products </w:t>
      </w:r>
      <w:r>
        <w:rPr>
          <w:rFonts w:ascii="Arial" w:cs="Arial" w:eastAsia="Arial" w:hAnsi="Arial"/>
          <w:sz w:val="18"/>
          <w:szCs w:val="18"/>
          <w:color w:val="auto"/>
        </w:rPr>
        <w:t>– Bendix manufactured automotive brake linings that contained chrysotile asbestos in an encapsulated form. Claimants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largely of individuals who allege exposure to asbestos from brakes from either performing or being in the vicinity of individuals who performed brake replacements. The following tables present information regarding Bendix-related asbestos claims activity:</w:t>
      </w:r>
    </w:p>
    <w:tbl>
      <w:tblPr>
        <w:tblLayout w:type="fixed"/>
        <w:tblInd w:w="0" w:type="dxa"/>
        <w:tblCellMar>
          <w:top w:w="0" w:type="dxa"/>
          <w:left w:w="0" w:type="dxa"/>
          <w:bottom w:w="0" w:type="dxa"/>
          <w:right w:w="0" w:type="dxa"/>
        </w:tblCellMar>
      </w:tblPr>
      <w:tr>
        <w:trPr>
          <w:trHeight w:val="153"/>
        </w:trPr>
        <w:tc>
          <w:tcPr>
            <w:tcW w:w="670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Six Months Ended</w:t>
            </w:r>
          </w:p>
        </w:tc>
        <w:tc>
          <w:tcPr>
            <w:tcW w:w="2020" w:type="dxa"/>
            <w:vAlign w:val="bottom"/>
            <w:gridSpan w:val="3"/>
          </w:tcPr>
          <w:p>
            <w:pPr>
              <w:ind w:left="1040"/>
              <w:spacing w:after="0" w:line="153" w:lineRule="exact"/>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3"/>
                <w:szCs w:val="13"/>
                <w:color w:val="auto"/>
              </w:rPr>
            </w:pPr>
          </w:p>
        </w:tc>
      </w:tr>
      <w:tr>
        <w:trPr>
          <w:trHeight w:val="183"/>
        </w:trPr>
        <w:tc>
          <w:tcPr>
            <w:tcW w:w="67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r>
      <w:tr>
        <w:trPr>
          <w:trHeight w:val="196"/>
        </w:trPr>
        <w:tc>
          <w:tcPr>
            <w:tcW w:w="6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Claims Activity</w:t>
            </w:r>
          </w:p>
        </w:tc>
        <w:tc>
          <w:tcPr>
            <w:tcW w:w="1440" w:type="dxa"/>
            <w:vAlign w:val="bottom"/>
            <w:tcBorders>
              <w:top w:val="single" w:sz="8" w:color="DC202E"/>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440" w:type="dxa"/>
            <w:vAlign w:val="bottom"/>
            <w:tcBorders>
              <w:top w:val="single" w:sz="8" w:color="DC202E"/>
              <w:bottom w:val="single" w:sz="8" w:color="DC202E"/>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DC202E"/>
              <w:bottom w:val="single" w:sz="8" w:color="DBDBDB"/>
            </w:tcBorders>
          </w:tcPr>
          <w:p>
            <w:pPr>
              <w:spacing w:after="0"/>
              <w:rPr>
                <w:sz w:val="17"/>
                <w:szCs w:val="17"/>
                <w:color w:val="auto"/>
              </w:rPr>
            </w:pPr>
          </w:p>
        </w:tc>
        <w:tc>
          <w:tcPr>
            <w:tcW w:w="48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30"/>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Claims unresolved at the beginning of period</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6,242</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ind w:left="738"/>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center"/>
              <w:ind w:left="254"/>
              <w:spacing w:after="0"/>
              <w:rPr>
                <w:sz w:val="20"/>
                <w:szCs w:val="20"/>
                <w:color w:val="auto"/>
              </w:rPr>
            </w:pPr>
            <w:r>
              <w:rPr>
                <w:rFonts w:ascii="Arial" w:cs="Arial" w:eastAsia="Arial" w:hAnsi="Arial"/>
                <w:sz w:val="18"/>
                <w:szCs w:val="18"/>
                <w:color w:val="auto"/>
              </w:rPr>
              <w:t>6,209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Claims filed</w:t>
            </w:r>
          </w:p>
        </w:tc>
        <w:tc>
          <w:tcPr>
            <w:tcW w:w="144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1440" w:type="dxa"/>
            <w:vAlign w:val="bottom"/>
          </w:tcPr>
          <w:p>
            <w:pPr>
              <w:jc w:val="center"/>
              <w:ind w:left="738"/>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254"/>
              <w:spacing w:after="0"/>
              <w:rPr>
                <w:sz w:val="20"/>
                <w:szCs w:val="20"/>
                <w:color w:val="auto"/>
              </w:rPr>
            </w:pPr>
            <w:r>
              <w:rPr>
                <w:rFonts w:ascii="Arial" w:cs="Arial" w:eastAsia="Arial" w:hAnsi="Arial"/>
                <w:sz w:val="18"/>
                <w:szCs w:val="18"/>
                <w:color w:val="auto"/>
              </w:rPr>
              <w:t>2,659</w:t>
            </w:r>
          </w:p>
        </w:tc>
      </w:tr>
      <w:tr>
        <w:trPr>
          <w:trHeight w:val="230"/>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Claims resolved</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center"/>
              <w:ind w:left="718"/>
              <w:spacing w:after="0"/>
              <w:rPr>
                <w:sz w:val="20"/>
                <w:szCs w:val="20"/>
                <w:color w:val="auto"/>
              </w:rPr>
            </w:pPr>
            <w:r>
              <w:rPr>
                <w:rFonts w:ascii="Arial" w:cs="Arial" w:eastAsia="Arial" w:hAnsi="Arial"/>
                <w:sz w:val="18"/>
                <w:szCs w:val="18"/>
                <w:color w:val="auto"/>
                <w:w w:val="98"/>
              </w:rPr>
              <w:t>(2,471)</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center"/>
              <w:ind w:left="234"/>
              <w:spacing w:after="0"/>
              <w:rPr>
                <w:sz w:val="20"/>
                <w:szCs w:val="20"/>
                <w:color w:val="auto"/>
              </w:rPr>
            </w:pPr>
            <w:r>
              <w:rPr>
                <w:rFonts w:ascii="Arial" w:cs="Arial" w:eastAsia="Arial" w:hAnsi="Arial"/>
                <w:sz w:val="18"/>
                <w:szCs w:val="18"/>
                <w:color w:val="auto"/>
                <w:w w:val="98"/>
              </w:rPr>
              <w:t>(2,388)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Claims unresolved at the end of period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54"/>
              <w:spacing w:after="0"/>
              <w:rPr>
                <w:sz w:val="20"/>
                <w:szCs w:val="20"/>
                <w:color w:val="auto"/>
              </w:rPr>
            </w:pPr>
            <w:r>
              <w:rPr>
                <w:rFonts w:ascii="Arial" w:cs="Arial" w:eastAsia="Arial" w:hAnsi="Arial"/>
                <w:sz w:val="18"/>
                <w:szCs w:val="18"/>
                <w:color w:val="auto"/>
              </w:rPr>
              <w:t>6,480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5"/>
        </w:trPr>
        <w:tc>
          <w:tcPr>
            <w:tcW w:w="670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r>
      <w:tr>
        <w:trPr>
          <w:trHeight w:val="196"/>
        </w:trPr>
        <w:tc>
          <w:tcPr>
            <w:tcW w:w="6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440" w:type="dxa"/>
            <w:vAlign w:val="bottom"/>
            <w:tcBorders>
              <w:top w:val="single" w:sz="8" w:color="DC202E"/>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440" w:type="dxa"/>
            <w:vAlign w:val="bottom"/>
            <w:tcBorders>
              <w:top w:val="single" w:sz="8" w:color="DC202E"/>
              <w:bottom w:val="single" w:sz="8" w:color="DC202E"/>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DC202E"/>
              <w:bottom w:val="single" w:sz="8" w:color="DBDBDB"/>
            </w:tcBorders>
          </w:tcPr>
          <w:p>
            <w:pPr>
              <w:spacing w:after="0"/>
              <w:rPr>
                <w:sz w:val="17"/>
                <w:szCs w:val="17"/>
                <w:color w:val="auto"/>
              </w:rPr>
            </w:pPr>
          </w:p>
        </w:tc>
        <w:tc>
          <w:tcPr>
            <w:tcW w:w="480" w:type="dxa"/>
            <w:vAlign w:val="bottom"/>
            <w:tcBorders>
              <w:top w:val="single" w:sz="8" w:color="DC202E"/>
              <w:bottom w:val="single" w:sz="8" w:color="DC202E"/>
            </w:tcBorders>
          </w:tcPr>
          <w:p>
            <w:pPr>
              <w:spacing w:after="0"/>
              <w:rPr>
                <w:sz w:val="17"/>
                <w:szCs w:val="17"/>
                <w:color w:val="auto"/>
              </w:rPr>
            </w:pPr>
          </w:p>
        </w:tc>
        <w:tc>
          <w:tcPr>
            <w:tcW w:w="960" w:type="dxa"/>
            <w:vAlign w:val="bottom"/>
            <w:tcBorders>
              <w:top w:val="single" w:sz="8" w:color="DC202E"/>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30"/>
        </w:trPr>
        <w:tc>
          <w:tcPr>
            <w:tcW w:w="6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Mesothelioma and other cancer claims</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3,735</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ind w:left="738"/>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center"/>
              <w:ind w:left="254"/>
              <w:spacing w:after="0"/>
              <w:rPr>
                <w:sz w:val="20"/>
                <w:szCs w:val="20"/>
                <w:color w:val="auto"/>
              </w:rPr>
            </w:pPr>
            <w:r>
              <w:rPr>
                <w:rFonts w:ascii="Arial" w:cs="Arial" w:eastAsia="Arial" w:hAnsi="Arial"/>
                <w:sz w:val="18"/>
                <w:szCs w:val="18"/>
                <w:color w:val="auto"/>
              </w:rPr>
              <w:t>3,399</w:t>
            </w:r>
          </w:p>
        </w:tc>
      </w:tr>
      <w:tr>
        <w:trPr>
          <w:trHeight w:val="230"/>
        </w:trPr>
        <w:tc>
          <w:tcPr>
            <w:tcW w:w="6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Nonmalignant claims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center"/>
              <w:ind w:left="738"/>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54"/>
              <w:spacing w:after="0"/>
              <w:rPr>
                <w:sz w:val="20"/>
                <w:szCs w:val="20"/>
                <w:color w:val="auto"/>
              </w:rPr>
            </w:pPr>
            <w:r>
              <w:rPr>
                <w:rFonts w:ascii="Arial" w:cs="Arial" w:eastAsia="Arial" w:hAnsi="Arial"/>
                <w:sz w:val="18"/>
                <w:szCs w:val="18"/>
                <w:color w:val="auto"/>
              </w:rPr>
              <w:t>3,081</w:t>
            </w:r>
          </w:p>
        </w:tc>
      </w:tr>
      <w:tr>
        <w:trPr>
          <w:trHeight w:val="248"/>
        </w:trPr>
        <w:tc>
          <w:tcPr>
            <w:tcW w:w="6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claims</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center"/>
              <w:ind w:left="738"/>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center"/>
              <w:ind w:left="254"/>
              <w:spacing w:after="0"/>
              <w:rPr>
                <w:sz w:val="20"/>
                <w:szCs w:val="20"/>
                <w:color w:val="auto"/>
              </w:rPr>
            </w:pPr>
            <w:r>
              <w:rPr>
                <w:rFonts w:ascii="Arial" w:cs="Arial" w:eastAsia="Arial" w:hAnsi="Arial"/>
                <w:sz w:val="18"/>
                <w:szCs w:val="18"/>
                <w:color w:val="auto"/>
              </w:rPr>
              <w:t>6,480</w:t>
            </w:r>
          </w:p>
        </w:tc>
      </w:tr>
      <w:tr>
        <w:trPr>
          <w:trHeight w:val="20"/>
        </w:trPr>
        <w:tc>
          <w:tcPr>
            <w:tcW w:w="670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4"/>
          </w:tcPr>
          <w:p>
            <w:pPr>
              <w:jc w:val="center"/>
              <w:ind w:left="459"/>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DC202E"/>
            </w:tcBorders>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jc w:val="center"/>
              <w:ind w:right="25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DC202E"/>
            </w:tcBorders>
          </w:tcPr>
          <w:p>
            <w:pPr>
              <w:spacing w:after="0"/>
              <w:rPr>
                <w:sz w:val="17"/>
                <w:szCs w:val="17"/>
                <w:color w:val="auto"/>
              </w:rPr>
            </w:pPr>
          </w:p>
        </w:tc>
        <w:tc>
          <w:tcPr>
            <w:tcW w:w="800" w:type="dxa"/>
            <w:vAlign w:val="bottom"/>
            <w:tcBorders>
              <w:bottom w:val="single" w:sz="8" w:color="DC202E"/>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189"/>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Malignant claims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61,500</w:t>
            </w:r>
          </w:p>
        </w:tc>
        <w:tc>
          <w:tcPr>
            <w:tcW w:w="3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50,200</w:t>
            </w:r>
          </w:p>
        </w:tc>
        <w:tc>
          <w:tcPr>
            <w:tcW w:w="360" w:type="dxa"/>
            <w:vAlign w:val="bottom"/>
            <w:shd w:val="clear" w:color="auto" w:fill="DBDBDB"/>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rPr>
              <w:t>55,300</w:t>
            </w:r>
          </w:p>
        </w:tc>
        <w:tc>
          <w:tcPr>
            <w:tcW w:w="34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56,000</w:t>
            </w:r>
          </w:p>
        </w:tc>
        <w:tc>
          <w:tcPr>
            <w:tcW w:w="3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44,000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Nonmalignant claims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3,900</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6"/>
              <w:spacing w:after="0"/>
              <w:rPr>
                <w:sz w:val="20"/>
                <w:szCs w:val="20"/>
                <w:color w:val="auto"/>
              </w:rPr>
            </w:pPr>
            <w:r>
              <w:rPr>
                <w:rFonts w:ascii="Arial" w:cs="Arial" w:eastAsia="Arial" w:hAnsi="Arial"/>
                <w:sz w:val="18"/>
                <w:szCs w:val="18"/>
                <w:color w:val="auto"/>
              </w:rPr>
              <w:t>4,700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2,800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 future.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has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On May 18, 2020, the court denied our Motion to Dismiss. We believe the claims have no merit.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GARRETT LITIGATION AND BANKRUPTCY PROCEEDINGS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Garrett spin-off, the Company entered into a binding indemnification and reimbursement agreement (Garrett Indemnity) and a binding tax matters agreement (Tax Matters Agreement) with Garrett and a Garrett subsidiary. 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July 17, 2020, the Company received a notice from Garrett asserting that the Company had caused material breaches of the Tax Matters Agreement and that the Tax Matters Agreement was unenforceable.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24, 2020, Garrett moved the existing State Court litigation against Honeywell to the Bankruptcy Court. On April 26, 2021, the Bankruptcy Court confirmed Garrett’s amended Chapter 11 plan of reorganization (the Confirmed Plan), and on April 30, 2021 (the Effective Date), Garrett emerged from bankruptcy. On the Effective Date, and in accordance with the Confirmed Plan, (i) the Company received from Garrett an initial payment of $375 million and 834.8 million shares of Garrett's Series B Preferred Stock in full and final satisfaction of the Garrett Indemnity and Tax Matters Agreement, (ii) the Garrett Indemnity and Tax Matters Agreement were terminated, (iii) the Company and Garrett mutually released each other from the claims asserted in all pending legal actions related to the Garrett Indemnity and Tax Matters Agreement, and (iv) all pending litigation between the Company and Garrett in connection with those agreements was resolved.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Series B Preferred Stock Certificate of Designation provides for mandatory redemptions by Garrett of $35 million in 2022 and $100 million per year from 2023 to 2030 (inclusive) at the anniversary of the Effective Date, unless (i) Garrett’s consolidated EBITDA as of the end of the most recently completed fiscal year is less than $425 million, or (ii) Garrett does not have sufficient funds available to pay the redemption, at which point the redemption amounts past due will accrue interest. The Series B Preferred Stock Certificate of Designation also includes rights which allow (a) the Company to put the Series B Preferred Stock to Garrett if certain EBITDA conditions are met, and (b) Garrett to call the Series B Preferred Stock in whole or in part if certain EBITDA conditions are met.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the Series B Preferred Stock at fair value at the Effective Date. We believe the present value of the mandatory redemptions is an appropriate basis for determining the fair value of the Series B Preferred Stock. Our present value reflects amortized cost determined by the present value of the mandatory redemptions discounted at 7.25%, which is the rate reflected in the Series B Preferred Stock Certificate of Designation. The discount amount will accrete into interest income over the mandatory redemption period. In addition to the Series B Preferred Stock, the Company subscribed for 4.2 million shares of Garrett's Series A Preferred Stock (Series A Preferred Stock), which are convertible into Garrett’s Common Stock if certain conditions are met. Prior to and following Garrett’s emergence from bankruptcy, the Company also held 2.9 million shares of Garrett’s Common Stock. As of June 30, 2021, Short-term investments included $35 million and Investments and long-term receivables included $604 million, respectively, for the short-term and long-term portion of the Company's investment in Garrett's Series B Preferred Stock, Series A Preferred Stock and Common Stock investments.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Garrett matter and bankruptcy proceedings are described in further detail in Note 20 Commitments and Contingencies of Notes to Consolidated Financial Statements in our 2020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(including the matter described below). We recognize a liability for any contingency that is probable of occurrence and reasonably estimable. We continually assess the likelihood of adverse judgments or outcomes in such matters, as well as potential ranges of possible losses (taking into consideration any insurance recoveries), based on a careful analysis of each matter with the assistance of outside legal counsel and, if applicable, other experts.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the uncertainty inherent in litigation and investigations, we do not believe it is possible to develop estimates of reasonably possible losses in excess of current accruals for such matters. Considering our past experience and existing accruals, we do not expect the outcome of such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consolidated results of operations or operating cash flows in the periods recognized or paid.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Petrobras and Unaoil </w:t>
      </w:r>
      <w:r>
        <w:rPr>
          <w:rFonts w:ascii="Arial" w:cs="Arial" w:eastAsia="Arial" w:hAnsi="Arial"/>
          <w:sz w:val="18"/>
          <w:szCs w:val="18"/>
          <w:color w:val="auto"/>
        </w:rPr>
        <w:t>– We have been cooperating with certain investigations by the U.S. Department of Justice (DOJ), the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Commission (SEC) and the Brazilian 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have begun discussions with the authorities with respect to a potential resolution of these matters. As the discussions are ongoing, there can be no assurance as to whether we will reach a resolution with such authorities or as to the potential timing, terms, or collateral consequences of any such resolution. As a result, we cannot predict the outcome of these matters, the potential impact on the Company, or a reasonable estimate of losses or range of losses at this time.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16. PENSION BENEFITS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the Company's significant defined benefit plans include the following components: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800" w:type="dxa"/>
            <w:vAlign w:val="bottom"/>
            <w:tcBorders>
              <w:bottom w:val="single" w:sz="8" w:color="DC202E"/>
            </w:tcBorders>
          </w:tcPr>
          <w:p>
            <w:pPr>
              <w:spacing w:after="0"/>
              <w:rPr>
                <w:sz w:val="17"/>
                <w:szCs w:val="17"/>
                <w:color w:val="auto"/>
              </w:rPr>
            </w:pPr>
          </w:p>
        </w:tc>
        <w:tc>
          <w:tcPr>
            <w:tcW w:w="46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1440" w:type="dxa"/>
            <w:vAlign w:val="bottom"/>
            <w:tcBorders>
              <w:bottom w:val="single" w:sz="8" w:color="DC202E"/>
            </w:tcBorders>
            <w:gridSpan w:val="4"/>
          </w:tcPr>
          <w:p>
            <w:pPr>
              <w:jc w:val="center"/>
              <w:ind w:left="534"/>
              <w:spacing w:after="0"/>
              <w:rPr>
                <w:sz w:val="20"/>
                <w:szCs w:val="20"/>
                <w:color w:val="auto"/>
              </w:rPr>
            </w:pPr>
            <w:r>
              <w:rPr>
                <w:rFonts w:ascii="Arial" w:cs="Arial" w:eastAsia="Arial" w:hAnsi="Arial"/>
                <w:sz w:val="14"/>
                <w:szCs w:val="14"/>
                <w:b w:val="1"/>
                <w:bCs w:val="1"/>
                <w:color w:val="auto"/>
              </w:rPr>
              <w:t>U.S. Plans</w:t>
            </w:r>
          </w:p>
        </w:tc>
        <w:tc>
          <w:tcPr>
            <w:tcW w:w="90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6"/>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DBDBDB"/>
            </w:tcBorders>
          </w:tcPr>
          <w:p>
            <w:pPr>
              <w:spacing w:after="0"/>
              <w:rPr>
                <w:sz w:val="17"/>
                <w:szCs w:val="17"/>
                <w:color w:val="auto"/>
              </w:rPr>
            </w:pPr>
          </w:p>
        </w:tc>
        <w:tc>
          <w:tcPr>
            <w:tcW w:w="820" w:type="dxa"/>
            <w:vAlign w:val="bottom"/>
            <w:tcBorders>
              <w:top w:val="single" w:sz="8" w:color="DC202E"/>
              <w:bottom w:val="single" w:sz="8" w:color="DC202E"/>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20" w:type="dxa"/>
            <w:vAlign w:val="bottom"/>
            <w:tcBorders>
              <w:top w:val="single" w:sz="8" w:color="DC202E"/>
              <w:bottom w:val="single" w:sz="8" w:color="DC202E"/>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20" w:type="dxa"/>
            <w:vAlign w:val="bottom"/>
            <w:tcBorders>
              <w:top w:val="single" w:sz="8" w:color="DC202E"/>
              <w:bottom w:val="single" w:sz="8" w:color="DC202E"/>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900" w:type="dxa"/>
            <w:vAlign w:val="bottom"/>
            <w:tcBorders>
              <w:top w:val="single" w:sz="8" w:color="DC202E"/>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DC202E"/>
              <w:bottom w:val="single" w:sz="8" w:color="DBDBDB"/>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20" w:type="dxa"/>
            <w:vAlign w:val="bottom"/>
            <w:tcBorders>
              <w:top w:val="single" w:sz="8" w:color="DC202E"/>
              <w:bottom w:val="single" w:sz="8" w:color="DC202E"/>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gridSpan w:val="2"/>
            <w:shd w:val="clear" w:color="auto" w:fill="DBDBDB"/>
          </w:tcPr>
          <w:p>
            <w:pPr>
              <w:jc w:val="right"/>
              <w:ind w:right="62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5"/>
              </w:rPr>
              <w:t>(305)</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gridSpan w:val="2"/>
            <w:shd w:val="clear" w:color="auto" w:fill="DBDBDB"/>
          </w:tcPr>
          <w:p>
            <w:pPr>
              <w:jc w:val="right"/>
              <w:ind w:right="628"/>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5"/>
              </w:rPr>
              <w:t>(213)</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8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gridSpan w:val="2"/>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20" w:type="dxa"/>
            <w:vAlign w:val="bottom"/>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800" w:type="dxa"/>
            <w:vAlign w:val="bottom"/>
            <w:tcBorders>
              <w:bottom w:val="single" w:sz="8" w:color="DC202E"/>
            </w:tcBorders>
          </w:tcPr>
          <w:p>
            <w:pPr>
              <w:spacing w:after="0"/>
              <w:rPr>
                <w:sz w:val="24"/>
                <w:szCs w:val="24"/>
                <w:color w:val="auto"/>
              </w:rPr>
            </w:pPr>
          </w:p>
        </w:tc>
        <w:tc>
          <w:tcPr>
            <w:tcW w:w="4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2460" w:type="dxa"/>
            <w:vAlign w:val="bottom"/>
            <w:tcBorders>
              <w:bottom w:val="single" w:sz="8" w:color="DC202E"/>
            </w:tcBorders>
            <w:gridSpan w:val="7"/>
          </w:tcPr>
          <w:p>
            <w:pPr>
              <w:jc w:val="center"/>
              <w:ind w:right="400"/>
              <w:spacing w:after="0"/>
              <w:rPr>
                <w:sz w:val="20"/>
                <w:szCs w:val="20"/>
                <w:color w:val="auto"/>
              </w:rPr>
            </w:pPr>
            <w:r>
              <w:rPr>
                <w:rFonts w:ascii="Arial" w:cs="Arial" w:eastAsia="Arial" w:hAnsi="Arial"/>
                <w:sz w:val="14"/>
                <w:szCs w:val="14"/>
                <w:b w:val="1"/>
                <w:bCs w:val="1"/>
                <w:color w:val="auto"/>
              </w:rPr>
              <w:t>Non-U.S. Plans</w:t>
            </w:r>
          </w:p>
        </w:tc>
        <w:tc>
          <w:tcPr>
            <w:tcW w:w="2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98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6"/>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DBDBDB"/>
            </w:tcBorders>
          </w:tcPr>
          <w:p>
            <w:pPr>
              <w:spacing w:after="0"/>
              <w:rPr>
                <w:sz w:val="17"/>
                <w:szCs w:val="17"/>
                <w:color w:val="auto"/>
              </w:rPr>
            </w:pPr>
          </w:p>
        </w:tc>
        <w:tc>
          <w:tcPr>
            <w:tcW w:w="820" w:type="dxa"/>
            <w:vAlign w:val="bottom"/>
            <w:tcBorders>
              <w:top w:val="single" w:sz="8" w:color="DC202E"/>
              <w:bottom w:val="single" w:sz="8" w:color="DC202E"/>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20" w:type="dxa"/>
            <w:vAlign w:val="bottom"/>
            <w:tcBorders>
              <w:top w:val="single" w:sz="8" w:color="DC202E"/>
              <w:bottom w:val="single" w:sz="8" w:color="DC202E"/>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20" w:type="dxa"/>
            <w:vAlign w:val="bottom"/>
            <w:tcBorders>
              <w:top w:val="single" w:sz="8" w:color="DC202E"/>
              <w:bottom w:val="single" w:sz="8" w:color="DC202E"/>
            </w:tcBorders>
          </w:tcPr>
          <w:p>
            <w:pPr>
              <w:spacing w:after="0"/>
              <w:rPr>
                <w:sz w:val="17"/>
                <w:szCs w:val="17"/>
                <w:color w:val="auto"/>
              </w:rPr>
            </w:pPr>
          </w:p>
        </w:tc>
        <w:tc>
          <w:tcPr>
            <w:tcW w:w="340" w:type="dxa"/>
            <w:vAlign w:val="bottom"/>
            <w:tcBorders>
              <w:top w:val="single" w:sz="8" w:color="DC202E"/>
              <w:bottom w:val="single" w:sz="8" w:color="DC202E"/>
            </w:tcBorders>
          </w:tcPr>
          <w:p>
            <w:pPr>
              <w:spacing w:after="0"/>
              <w:rPr>
                <w:sz w:val="17"/>
                <w:szCs w:val="17"/>
                <w:color w:val="auto"/>
              </w:rPr>
            </w:pPr>
          </w:p>
        </w:tc>
        <w:tc>
          <w:tcPr>
            <w:tcW w:w="900" w:type="dxa"/>
            <w:vAlign w:val="bottom"/>
            <w:tcBorders>
              <w:top w:val="single" w:sz="8" w:color="DC202E"/>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DC202E"/>
              <w:bottom w:val="single" w:sz="8" w:color="DBDBDB"/>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20" w:type="dxa"/>
            <w:vAlign w:val="bottom"/>
            <w:tcBorders>
              <w:top w:val="single" w:sz="8" w:color="DC202E"/>
              <w:bottom w:val="single" w:sz="8" w:color="DC202E"/>
            </w:tcBorders>
          </w:tcPr>
          <w:p>
            <w:pPr>
              <w:spacing w:after="0"/>
              <w:rPr>
                <w:sz w:val="17"/>
                <w:szCs w:val="17"/>
                <w:color w:val="auto"/>
              </w:rPr>
            </w:pPr>
          </w:p>
        </w:tc>
        <w:tc>
          <w:tcPr>
            <w:tcW w:w="28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gridSpan w:val="2"/>
            <w:shd w:val="clear" w:color="auto" w:fill="DBDBDB"/>
          </w:tcPr>
          <w:p>
            <w:pPr>
              <w:jc w:val="right"/>
              <w:ind w:right="628"/>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top w:val="single" w:sz="8" w:color="DBDBDB"/>
              <w:bottom w:val="single" w:sz="8" w:color="DBDBDB"/>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gridSpan w:val="2"/>
            <w:shd w:val="clear" w:color="auto" w:fill="DBDBDB"/>
          </w:tcPr>
          <w:p>
            <w:pPr>
              <w:jc w:val="right"/>
              <w:ind w:right="628"/>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8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29"/>
                <w:szCs w:val="29"/>
                <w:b w:val="1"/>
                <w:bCs w:val="1"/>
                <w:color w:val="DC202E"/>
              </w:rPr>
              <w:t>NOTE 17. OTHER (INCOME) EXPENSE</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40" w:type="dxa"/>
            <w:vAlign w:val="bottom"/>
            <w:tcBorders>
              <w:bottom w:val="single" w:sz="8" w:color="DC202E"/>
            </w:tcBorders>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DC202E"/>
            </w:tcBorders>
          </w:tcPr>
          <w:p>
            <w:pPr>
              <w:spacing w:after="0"/>
              <w:rPr>
                <w:sz w:val="18"/>
                <w:szCs w:val="18"/>
                <w:color w:val="auto"/>
              </w:rPr>
            </w:pPr>
          </w:p>
        </w:tc>
        <w:tc>
          <w:tcPr>
            <w:tcW w:w="2300" w:type="dxa"/>
            <w:vAlign w:val="bottom"/>
            <w:tcBorders>
              <w:bottom w:val="single" w:sz="8" w:color="DC202E"/>
            </w:tcBorders>
            <w:gridSpan w:val="6"/>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8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DC202E"/>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900" w:type="dxa"/>
            <w:vAlign w:val="bottom"/>
            <w:tcBorders>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gridSpan w:val="2"/>
            <w:shd w:val="clear" w:color="auto" w:fill="DBDBDB"/>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ongoing income – non-service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postretirement income – non-service</w:t>
            </w:r>
          </w:p>
        </w:tc>
        <w:tc>
          <w:tcPr>
            <w:tcW w:w="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Equity income of affiliated companies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 loss on sale of non-strategic businesses and assets</w:t>
            </w:r>
          </w:p>
        </w:tc>
        <w:tc>
          <w:tcPr>
            <w:tcW w:w="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8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(366)</w:t>
            </w:r>
          </w:p>
        </w:tc>
        <w:tc>
          <w:tcPr>
            <w:tcW w:w="10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18. SEGMENT FINANCIAL DATA</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spacing w:after="0"/>
              <w:rPr>
                <w:sz w:val="17"/>
                <w:szCs w:val="17"/>
                <w:color w:val="auto"/>
              </w:rPr>
            </w:pPr>
          </w:p>
        </w:tc>
        <w:tc>
          <w:tcPr>
            <w:tcW w:w="420" w:type="dxa"/>
            <w:vAlign w:val="bottom"/>
            <w:tcBorders>
              <w:bottom w:val="single" w:sz="8" w:color="DBDBDB"/>
            </w:tcBorders>
          </w:tcPr>
          <w:p>
            <w:pPr>
              <w:spacing w:after="0"/>
              <w:rPr>
                <w:sz w:val="17"/>
                <w:szCs w:val="17"/>
                <w:color w:val="auto"/>
              </w:rPr>
            </w:pPr>
          </w:p>
        </w:tc>
        <w:tc>
          <w:tcPr>
            <w:tcW w:w="4620" w:type="dxa"/>
            <w:vAlign w:val="bottom"/>
            <w:tcBorders>
              <w:bottom w:val="single" w:sz="8" w:color="DBDBDB"/>
            </w:tcBorders>
          </w:tcPr>
          <w:p>
            <w:pPr>
              <w:spacing w:after="0"/>
              <w:rPr>
                <w:sz w:val="17"/>
                <w:szCs w:val="17"/>
                <w:color w:val="auto"/>
              </w:rPr>
            </w:pPr>
          </w:p>
        </w:tc>
        <w:tc>
          <w:tcPr>
            <w:tcW w:w="200" w:type="dxa"/>
            <w:vAlign w:val="bottom"/>
            <w:tcBorders>
              <w:top w:val="single" w:sz="8" w:color="DC202E"/>
              <w:bottom w:val="single" w:sz="8" w:color="DC202E"/>
            </w:tcBorders>
          </w:tcPr>
          <w:p>
            <w:pPr>
              <w:spacing w:after="0"/>
              <w:rPr>
                <w:sz w:val="17"/>
                <w:szCs w:val="17"/>
                <w:color w:val="auto"/>
              </w:rPr>
            </w:pPr>
          </w:p>
        </w:tc>
        <w:tc>
          <w:tcPr>
            <w:tcW w:w="106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260" w:type="dxa"/>
            <w:vAlign w:val="bottom"/>
            <w:tcBorders>
              <w:top w:val="single" w:sz="8" w:color="DC202E"/>
              <w:bottom w:val="single" w:sz="8" w:color="DC202E"/>
            </w:tcBorders>
          </w:tcPr>
          <w:p>
            <w:pPr>
              <w:spacing w:after="0"/>
              <w:rPr>
                <w:sz w:val="17"/>
                <w:szCs w:val="17"/>
                <w:color w:val="auto"/>
              </w:rPr>
            </w:pPr>
          </w:p>
        </w:tc>
        <w:tc>
          <w:tcPr>
            <w:tcW w:w="102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spacing w:after="0" w:line="189" w:lineRule="exact"/>
              <w:rPr>
                <w:sz w:val="20"/>
                <w:szCs w:val="20"/>
                <w:color w:val="auto"/>
              </w:rPr>
            </w:pPr>
            <w:r>
              <w:rPr>
                <w:rFonts w:ascii="Arial" w:cs="Arial" w:eastAsia="Arial" w:hAnsi="Arial"/>
                <w:sz w:val="18"/>
                <w:szCs w:val="18"/>
                <w:color w:val="auto"/>
                <w:w w:val="98"/>
              </w:rPr>
              <w:t>Net sales</w:t>
            </w:r>
          </w:p>
        </w:tc>
        <w:tc>
          <w:tcPr>
            <w:tcW w:w="5040" w:type="dxa"/>
            <w:vAlign w:val="bottom"/>
            <w:tcBorders>
              <w:bottom w:val="single" w:sz="8" w:color="DBDBDB"/>
            </w:tcBorders>
            <w:gridSpan w:val="2"/>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3,712</w:t>
            </w:r>
          </w:p>
        </w:tc>
      </w:tr>
      <w:tr>
        <w:trPr>
          <w:trHeight w:val="230"/>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5,398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5,904</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Honeywell Building Technologies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2,458</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3,924</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3,707</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4,615</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Safety and Productivity Solutions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2,794</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4,201</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2,963</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DBDBDB"/>
            </w:tcBorders>
          </w:tcPr>
          <w:p>
            <w:pPr>
              <w:spacing w:after="0" w:line="20" w:lineRule="exact"/>
              <w:rPr>
                <w:sz w:val="1"/>
                <w:szCs w:val="1"/>
                <w:color w:val="auto"/>
              </w:rPr>
            </w:pPr>
          </w:p>
        </w:tc>
        <w:tc>
          <w:tcPr>
            <w:tcW w:w="46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auto"/>
            </w:tcBorders>
            <w:gridSpan w:val="2"/>
            <w:shd w:val="clear" w:color="auto" w:fill="DBDBDB"/>
          </w:tcPr>
          <w:p>
            <w:pPr>
              <w:spacing w:after="0" w:line="156" w:lineRule="exact"/>
              <w:rPr>
                <w:sz w:val="20"/>
                <w:szCs w:val="20"/>
                <w:color w:val="auto"/>
              </w:rPr>
            </w:pPr>
            <w:r>
              <w:rPr>
                <w:rFonts w:ascii="Arial" w:cs="Arial" w:eastAsia="Arial" w:hAnsi="Arial"/>
                <w:sz w:val="18"/>
                <w:szCs w:val="18"/>
                <w:color w:val="auto"/>
                <w:w w:val="99"/>
              </w:rPr>
              <w:t>Segment profit</w:t>
            </w:r>
          </w:p>
        </w:tc>
        <w:tc>
          <w:tcPr>
            <w:tcW w:w="46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Honeywell Building Technologies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Safety and Productivity Solutions</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20" w:type="dxa"/>
            <w:vAlign w:val="bottom"/>
            <w:tcBorders>
              <w:bottom w:val="single" w:sz="8" w:color="DBDBDB"/>
            </w:tcBorders>
          </w:tcPr>
          <w:p>
            <w:pPr>
              <w:spacing w:after="0"/>
              <w:rPr>
                <w:sz w:val="19"/>
                <w:szCs w:val="19"/>
                <w:color w:val="auto"/>
              </w:rPr>
            </w:pPr>
          </w:p>
        </w:tc>
        <w:tc>
          <w:tcPr>
            <w:tcW w:w="5800" w:type="dxa"/>
            <w:vAlign w:val="bottom"/>
            <w:tcBorders>
              <w:bottom w:val="single" w:sz="8" w:color="DBDBDB"/>
            </w:tcBorders>
            <w:gridSpan w:val="3"/>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Total segment profit</w:t>
            </w: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3,568</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3,233</w:t>
            </w: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financial charges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9"/>
                <w:szCs w:val="9"/>
                <w:color w:val="auto"/>
              </w:rPr>
              <w:t>(a)</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9"/>
                <w:szCs w:val="9"/>
                <w:color w:val="auto"/>
              </w:rPr>
              <w:t>(b)</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9"/>
                <w:szCs w:val="9"/>
                <w:color w:val="auto"/>
              </w:rPr>
              <w:t>(b)</w:t>
            </w: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9"/>
                <w:szCs w:val="9"/>
                <w:color w:val="auto"/>
              </w:rPr>
              <w:t>(c)</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20" w:type="dxa"/>
            <w:vAlign w:val="bottom"/>
            <w:shd w:val="clear" w:color="auto" w:fill="DBDBDB"/>
          </w:tcPr>
          <w:p>
            <w:pPr>
              <w:spacing w:after="0"/>
              <w:rPr>
                <w:sz w:val="19"/>
                <w:szCs w:val="19"/>
                <w:color w:val="auto"/>
              </w:rPr>
            </w:pPr>
          </w:p>
        </w:tc>
        <w:tc>
          <w:tcPr>
            <w:tcW w:w="5800" w:type="dxa"/>
            <w:vAlign w:val="bottom"/>
            <w:gridSpan w:val="3"/>
            <w:shd w:val="clear" w:color="auto" w:fill="DBDBDB"/>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(d)</w:t>
            </w:r>
          </w:p>
        </w:tc>
        <w:tc>
          <w:tcPr>
            <w:tcW w:w="2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660" w:hanging="652"/>
        <w:spacing w:after="0" w:line="250" w:lineRule="auto"/>
        <w:tabs>
          <w:tab w:leader="none" w:pos="54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 component) and Other (income) expense (non-service cost component).</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 expense.</w:t>
      </w:r>
    </w:p>
    <w:p>
      <w:pPr>
        <w:spacing w:after="0" w:line="9" w:lineRule="exact"/>
        <w:rPr>
          <w:rFonts w:ascii="Arial" w:cs="Arial" w:eastAsia="Arial" w:hAnsi="Arial"/>
          <w:sz w:val="18"/>
          <w:szCs w:val="18"/>
          <w:color w:val="auto"/>
        </w:rPr>
      </w:pPr>
    </w:p>
    <w:p>
      <w:pPr>
        <w:ind w:left="660" w:hanging="652"/>
        <w:spacing w:after="0" w:line="261" w:lineRule="auto"/>
        <w:tabs>
          <w:tab w:leader="none" w:pos="558"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0" w:name="page31"/>
    <w:bookmarkEnd w:id="30"/>
    <w:p>
      <w:pPr>
        <w:ind w:right="1600"/>
        <w:spacing w:after="0" w:line="278" w:lineRule="auto"/>
        <w:rPr>
          <w:sz w:val="20"/>
          <w:szCs w:val="20"/>
          <w:color w:val="auto"/>
        </w:rPr>
      </w:pPr>
      <w:r>
        <w:rPr>
          <w:rFonts w:ascii="Arial" w:cs="Arial" w:eastAsia="Arial" w:hAnsi="Arial"/>
          <w:sz w:val="29"/>
          <w:szCs w:val="29"/>
          <w:b w:val="1"/>
          <w:bCs w:val="1"/>
          <w:color w:val="DC202E"/>
        </w:rPr>
        <w:t>ITEM 2. MANAGEMENT'S DISCUSSION AND ANALYSIS OF FINANCIAL CONDITION AND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and graphs in millions)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and six months ended June 30, 2021. The financial information as of June 30, 2021, should be read in conjunction with the Consolidated Financial Statements for the year ended December 31, 2020, contained in our 2020 Annual Report on Form 10-K. See Note 3 Acquisitions and Divestitures of Notes to Consolidated Financial Statements for a discussion of acquisition and divestiture activity during the six months ended June 30, 2021.</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UPDATE</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faced significant disruptions due to the COVID-19 pandemic in 2020 and the resulting global recession, causing a slow-down in demand for many of our products and services. Although many jurisdictions worldwide authorized the use of vaccines as a method to limit and control infections, new variants of the virus continue to emerge. We remain cautious as many factors remain unpredictable. We actively monitor and respond to the changing conditions created by the pandemic, with focus on prioritizing the health and safety of our employees, dedicating resources to support our communities, and innovating to address our customers’ needs. We continue to monitor COVID-19 infection rates globally and respond to the risk of new surges in COVID-19 infections. See section titled Risk Factors in our 2020 Annual Report on Form 10-K for discussion of risks associated with the COVID-19 pandemic. A discussion of the impact of COVID-19 can also be found in the Results of Operations section of this Management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1" w:name="page32"/>
    <w:bookmarkEnd w:id="31"/>
    <w:p>
      <w:pPr>
        <w:spacing w:after="0"/>
        <w:rPr>
          <w:sz w:val="20"/>
          <w:szCs w:val="20"/>
          <w:color w:val="auto"/>
        </w:rPr>
      </w:pPr>
      <w:r>
        <w:rPr>
          <w:rFonts w:ascii="Arial" w:cs="Arial" w:eastAsia="Arial" w:hAnsi="Arial"/>
          <w:sz w:val="24"/>
          <w:szCs w:val="24"/>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151765</wp:posOffset>
            </wp:positionV>
            <wp:extent cx="5254625" cy="6711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54625" cy="6711950"/>
                    </a:xfrm>
                    <a:prstGeom prst="rect">
                      <a:avLst/>
                    </a:prstGeom>
                    <a:noFill/>
                  </pic:spPr>
                </pic:pic>
              </a:graphicData>
            </a:graphic>
          </wp:anchor>
        </w:drawing>
      </w:r>
    </w:p>
    <w:p>
      <w:pPr>
        <w:sectPr>
          <w:pgSz w:w="11900" w:h="16838" w:orient="portrait"/>
          <w:cols w:equalWidth="0" w:num="1">
            <w:col w:w="10139"/>
          </w:cols>
          <w:pgMar w:left="320" w:top="8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30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9"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1"/>
          <w:szCs w:val="21"/>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158750</wp:posOffset>
            </wp:positionV>
            <wp:extent cx="5254625" cy="6780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54625" cy="6780530"/>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31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1"/>
          <w:szCs w:val="21"/>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158750</wp:posOffset>
            </wp:positionV>
            <wp:extent cx="5254625" cy="6780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4625" cy="6780530"/>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32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4"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5"/>
          <w:szCs w:val="25"/>
          <w:b w:val="1"/>
          <w:bCs w:val="1"/>
          <w:color w:val="auto"/>
        </w:rPr>
        <w:t>CONSOLIDATED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151765</wp:posOffset>
            </wp:positionV>
            <wp:extent cx="3943350" cy="2057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433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sales was attributable to the following:</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Q2 2021 vs. Q2 2020</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Year to Date 2021 vs.</w:t>
            </w:r>
          </w:p>
        </w:tc>
        <w:tc>
          <w:tcPr>
            <w:tcW w:w="0" w:type="dxa"/>
            <w:vAlign w:val="bottom"/>
          </w:tcPr>
          <w:p>
            <w:pPr>
              <w:spacing w:after="0"/>
              <w:rPr>
                <w:sz w:val="1"/>
                <w:szCs w:val="1"/>
                <w:color w:val="auto"/>
              </w:rPr>
            </w:pPr>
          </w:p>
        </w:tc>
      </w:tr>
      <w:tr>
        <w:trPr>
          <w:trHeight w:val="183"/>
        </w:trPr>
        <w:tc>
          <w:tcPr>
            <w:tcW w:w="79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Volume</w:t>
            </w:r>
          </w:p>
        </w:tc>
        <w:tc>
          <w:tcPr>
            <w:tcW w:w="15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Price</w:t>
            </w:r>
          </w:p>
        </w:tc>
        <w:tc>
          <w:tcPr>
            <w:tcW w:w="15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7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Currency Translation</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sales volumes due to an increase in demand for certain products and services as the global economy showed signs of recovery from the COVID-19 pandemic,</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favorable impact of foreign currency translation, driven by the weakening of the U.S. Dollar against the currencies of the majority of our international markets, primarily the Euro, Canadian Dollar, Chinese Renminbi, British Pound, and Australian Dollar,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Favorable pricing.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Higher sales volumes due to an increase in demand for certain products and services as the global economy showed signs of recovery from the COVID-19 pandemic,</w:t>
      </w:r>
    </w:p>
    <w:p>
      <w:pPr>
        <w:spacing w:after="0" w:line="89"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favorable impact of foreign currency translation, driven by the weakening of the U.S. Dollar against the currencies of the majority of our international markets, primarily the Euro, Chinese Renminbi, British Pound, Canadian Dollar, and Australian Dollar,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pricing,</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Partially offset by lower sales volumes in Aerospace due to weakness in global travel and lower flight hours due to the COVID-19 pandemic.</w:t>
      </w: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 xml:space="preserve">33 </w:t>
      </w:r>
      <w:r>
        <w:rPr>
          <w:rFonts w:ascii="Arial" w:cs="Arial" w:eastAsia="Arial" w:hAnsi="Arial"/>
          <w:sz w:val="17"/>
          <w:szCs w:val="17"/>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151765</wp:posOffset>
            </wp:positionV>
            <wp:extent cx="3943350" cy="2057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433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the following:</w:t>
      </w:r>
    </w:p>
    <w:p>
      <w:pPr>
        <w:spacing w:after="0" w:line="117" w:lineRule="exact"/>
        <w:rPr>
          <w:sz w:val="20"/>
          <w:szCs w:val="20"/>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direct and indirect material costs of approximately $690 million and higher labor costs of approximately $90 million driven by higher volumes due to an increase in demand in certain of our products and services and the unfavorable impact of foreign currency translation,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lower repositioning and other charges of approximately $90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direct and indirect material costs of approximately $860 million driven by higher volumes due to an increase in demand in certain of our products and services and the unfavorable impact of foreign currency translation.</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151765</wp:posOffset>
            </wp:positionV>
            <wp:extent cx="5854700" cy="2057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Gross margin as a percentage of 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gross margins due to an increase in demand for certain products and services as the global economy showed signs of recovery from the COVID-19 pandemic,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6" w:name="page37"/>
    <w:bookmarkEnd w:id="36"/>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repositioning and other charges of approximately $90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Favorable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a larger portion of our sales being driven by our Safety and Productivity Solutions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and Gross margin as a percentage of net sales increased due to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gross margins due to an increase in demand for certain products and services as the global economy showed signs of recovery from the COVID-19 pandemic,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pricing,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a larger portion of our sales being driven by our Safety and Productivity Solutions segment.</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151765</wp:posOffset>
            </wp:positionV>
            <wp:extent cx="5854700" cy="2057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Selling, general and administrative expenses and Selling, general and administrative expenses as a percentage of net sales changed due to the following:</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savings from repositioning actions resulted in lower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higher expenses due to increased sales volumes and the unfavorable impact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Selling, general and administrative expenses and Selling, general and administrative expenses as a percentage of net sales changed due to the following:</w:t>
      </w:r>
    </w:p>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savings from repositioning actions resulted in lower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higher expenses due to increased sales volumes and the unfavorable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Other (Income) Expense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20" w:type="dxa"/>
            <w:vAlign w:val="bottom"/>
            <w:tcBorders>
              <w:bottom w:val="single" w:sz="8" w:color="DBDBDB"/>
            </w:tcBorders>
          </w:tcPr>
          <w:p>
            <w:pPr>
              <w:spacing w:after="0"/>
              <w:rPr>
                <w:sz w:val="17"/>
                <w:szCs w:val="17"/>
                <w:color w:val="auto"/>
              </w:rPr>
            </w:pPr>
          </w:p>
        </w:tc>
        <w:tc>
          <w:tcPr>
            <w:tcW w:w="82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260" w:type="dxa"/>
            <w:vAlign w:val="bottom"/>
            <w:tcBorders>
              <w:top w:val="single" w:sz="8" w:color="DC202E"/>
              <w:bottom w:val="single" w:sz="8" w:color="DC202E"/>
            </w:tcBorders>
          </w:tcPr>
          <w:p>
            <w:pPr>
              <w:spacing w:after="0"/>
              <w:rPr>
                <w:sz w:val="17"/>
                <w:szCs w:val="17"/>
                <w:color w:val="auto"/>
              </w:rPr>
            </w:pPr>
          </w:p>
        </w:tc>
        <w:tc>
          <w:tcPr>
            <w:tcW w:w="1000" w:type="dxa"/>
            <w:vAlign w:val="bottom"/>
            <w:tcBorders>
              <w:top w:val="single" w:sz="8" w:color="DC202E"/>
              <w:bottom w:val="single" w:sz="8" w:color="DC202E"/>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DC202E"/>
              <w:bottom w:val="single" w:sz="8" w:color="DBDBDB"/>
            </w:tcBorders>
          </w:tcPr>
          <w:p>
            <w:pPr>
              <w:spacing w:after="0"/>
              <w:rPr>
                <w:sz w:val="17"/>
                <w:szCs w:val="17"/>
                <w:color w:val="auto"/>
              </w:rPr>
            </w:pPr>
          </w:p>
        </w:tc>
        <w:tc>
          <w:tcPr>
            <w:tcW w:w="300" w:type="dxa"/>
            <w:vAlign w:val="bottom"/>
            <w:tcBorders>
              <w:top w:val="single" w:sz="8" w:color="DC202E"/>
              <w:bottom w:val="single" w:sz="8" w:color="DC202E"/>
            </w:tcBorders>
          </w:tcPr>
          <w:p>
            <w:pPr>
              <w:spacing w:after="0"/>
              <w:rPr>
                <w:sz w:val="17"/>
                <w:szCs w:val="17"/>
                <w:color w:val="auto"/>
              </w:rPr>
            </w:pPr>
          </w:p>
        </w:tc>
        <w:tc>
          <w:tcPr>
            <w:tcW w:w="980" w:type="dxa"/>
            <w:vAlign w:val="bottom"/>
            <w:tcBorders>
              <w:top w:val="single" w:sz="8" w:color="DC202E"/>
              <w:bottom w:val="single" w:sz="8" w:color="DC202E"/>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9"/>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DBDBDB"/>
          </w:tcPr>
          <w:p>
            <w:pPr>
              <w:jc w:val="right"/>
              <w:ind w:right="62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5"/>
              </w:rPr>
              <w:t>(366)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increased due to the following: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pension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Partially offset by foreign exchange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increased due to the following: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pension income and gain on sale of the retail footwear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foreign exchange expense and lower interest income.</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151765</wp:posOffset>
            </wp:positionV>
            <wp:extent cx="5854700" cy="2057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 xml:space="preserve">The effective tax rate increased due to the absence of tax benefits realized in the prior year as a result of the favorable resolution of a foreign tax matter related to the spin-off transactions partially offset by increased </w:t>
      </w:r>
      <w:r>
        <w:rPr>
          <w:rFonts w:ascii="Arial" w:cs="Arial" w:eastAsia="Arial" w:hAnsi="Arial"/>
          <w:sz w:val="18"/>
          <w:szCs w:val="18"/>
          <w:color w:val="000000"/>
        </w:rPr>
        <w:t>tax benefits for employee share-based compensation and the</w:t>
      </w:r>
      <w:r>
        <w:rPr>
          <w:rFonts w:ascii="Arial" w:cs="Arial" w:eastAsia="Arial" w:hAnsi="Arial"/>
          <w:sz w:val="18"/>
          <w:szCs w:val="18"/>
          <w:color w:val="212529"/>
        </w:rPr>
        <w:t xml:space="preserve"> </w:t>
      </w:r>
      <w:r>
        <w:rPr>
          <w:rFonts w:ascii="Arial" w:cs="Arial" w:eastAsia="Arial" w:hAnsi="Arial"/>
          <w:sz w:val="18"/>
          <w:szCs w:val="18"/>
          <w:color w:val="000000"/>
        </w:rPr>
        <w:t>resolution of certain foreign tax matters in the current year.</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The effective tax rate for the three months ended June 30, 2021, was higher than the U.S. federal statutory rate of 21% primarily due to incremental tax reserves and state taxes, partially offset by tax benefits for employee share-based compensation and the resolution of certain foreign tax matters.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The effective tax rate for the three months ended June 30, 2020, was lower than the U.S. federal statutory rate of 21% primarily from foreign earnings taxed at lower foreign tax rates and the favorable resolution of a foreign tax matter related to the spin-off transactions, partially offset by incremental tax reserves and state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effective tax rate </w:t>
      </w:r>
      <w:r>
        <w:rPr>
          <w:rFonts w:ascii="Arial" w:cs="Arial" w:eastAsia="Arial" w:hAnsi="Arial"/>
          <w:sz w:val="18"/>
          <w:szCs w:val="18"/>
          <w:color w:val="212529"/>
        </w:rPr>
        <w:t>increased due to the absence of tax benefits realized in the prior year as a result of the favorable resolution of a foreign</w:t>
      </w:r>
      <w:r>
        <w:rPr>
          <w:rFonts w:ascii="Arial" w:cs="Arial" w:eastAsia="Arial" w:hAnsi="Arial"/>
          <w:sz w:val="18"/>
          <w:szCs w:val="18"/>
          <w:color w:val="auto"/>
        </w:rPr>
        <w:t xml:space="preserve"> </w:t>
      </w:r>
      <w:r>
        <w:rPr>
          <w:rFonts w:ascii="Arial" w:cs="Arial" w:eastAsia="Arial" w:hAnsi="Arial"/>
          <w:sz w:val="18"/>
          <w:szCs w:val="18"/>
          <w:color w:val="212529"/>
        </w:rPr>
        <w:t xml:space="preserve">tax matter related to the spin-off transactions, tax law changes in India and the resolution of certain U.S. tax matters, partially offset by increased </w:t>
      </w:r>
      <w:r>
        <w:rPr>
          <w:rFonts w:ascii="Arial" w:cs="Arial" w:eastAsia="Arial" w:hAnsi="Arial"/>
          <w:sz w:val="18"/>
          <w:szCs w:val="18"/>
          <w:color w:val="000000"/>
        </w:rPr>
        <w:t>tax benefits for employee share-based compensation and the resolution of certain foreign tax matters in the current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8" w:name="page39"/>
    <w:bookmarkEnd w:id="38"/>
    <w:p>
      <w:pPr>
        <w:jc w:val="both"/>
        <w:spacing w:after="0" w:line="256" w:lineRule="auto"/>
        <w:rPr>
          <w:sz w:val="20"/>
          <w:szCs w:val="20"/>
          <w:color w:val="auto"/>
        </w:rPr>
      </w:pPr>
      <w:r>
        <w:rPr>
          <w:rFonts w:ascii="Arial" w:cs="Arial" w:eastAsia="Arial" w:hAnsi="Arial"/>
          <w:sz w:val="18"/>
          <w:szCs w:val="18"/>
          <w:color w:val="212529"/>
        </w:rPr>
        <w:t>The effective tax rate for the six months ended June 30, 2021, was higher than the U.S. federal statutory rate of 21% primarily due to incremental tax reserves and state taxes, partially offset by tax benefits for employee share-based compensation and the resolution of certain foreign tax matters.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529"/>
        </w:rPr>
        <w:t>The effective tax rate for the six months ended June 30, 2020, was lower than the U.S. federal statutory rate of 21% primarily from foreign earnings taxed at lower foreign tax rates, the favorable resolution of a foreign tax matter related to the spin-off transactions, tax law changes in India and the resolution of certain U.S. tax matters, partially offset by incremental tax reserves and state taxes.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219710</wp:posOffset>
            </wp:positionV>
            <wp:extent cx="5854700" cy="2057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547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of common stock–assuming dilution increased, driven by the following:</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segment profit,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repositioning and other charges,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pension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Partially offset by higher income taxes.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of common stock–assuming dilution increased, driven by the following:</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segment profit,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pension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repositioning and other charges,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Favorable impact of lower share count,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Partially offset by higher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color w:val="DC202E"/>
        </w:rPr>
        <w:t>REVIEW OF BUSINESS SEGMENTS</w:t>
      </w:r>
    </w:p>
    <w:p>
      <w:pPr>
        <w:spacing w:after="0" w:line="14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globally manage our business operations through four segments: Aerospace, Honeywell Building Technologies, Performance Materials and Technologies, and Safety and Productivity Solutions.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AEROSPACE</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center"/>
              <w:ind w:left="516"/>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gridSpan w:val="3"/>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7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98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800" w:type="dxa"/>
            <w:vAlign w:val="bottom"/>
            <w:tcBorders>
              <w:bottom w:val="single" w:sz="8" w:color="DC202E"/>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0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860" w:type="dxa"/>
            <w:vAlign w:val="bottom"/>
            <w:tcBorders>
              <w:bottom w:val="single" w:sz="8" w:color="DC202E"/>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5,398</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102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280" w:type="dxa"/>
            <w:vAlign w:val="bottom"/>
            <w:tcBorders>
              <w:bottom w:val="single" w:sz="8" w:color="DC202E"/>
            </w:tcBorders>
            <w:gridSpan w:val="4"/>
          </w:tcPr>
          <w:p>
            <w:pPr>
              <w:ind w:left="640"/>
              <w:spacing w:after="0"/>
              <w:rPr>
                <w:sz w:val="20"/>
                <w:szCs w:val="20"/>
                <w:color w:val="auto"/>
              </w:rPr>
            </w:pPr>
            <w:r>
              <w:rPr>
                <w:rFonts w:ascii="Arial" w:cs="Arial" w:eastAsia="Arial" w:hAnsi="Arial"/>
                <w:sz w:val="14"/>
                <w:szCs w:val="14"/>
                <w:b w:val="1"/>
                <w:bCs w:val="1"/>
                <w:color w:val="auto"/>
              </w:rPr>
              <w:t>2021 vs. 2020</w:t>
            </w:r>
          </w:p>
        </w:tc>
        <w:tc>
          <w:tcPr>
            <w:tcW w:w="10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3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2"/>
        </w:trPr>
        <w:tc>
          <w:tcPr>
            <w:tcW w:w="6760" w:type="dxa"/>
            <w:vAlign w:val="bottom"/>
          </w:tcPr>
          <w:p>
            <w:pPr>
              <w:spacing w:after="0"/>
              <w:rPr>
                <w:sz w:val="15"/>
                <w:szCs w:val="15"/>
                <w:color w:val="auto"/>
              </w:rPr>
            </w:pPr>
          </w:p>
        </w:tc>
        <w:tc>
          <w:tcPr>
            <w:tcW w:w="2180" w:type="dxa"/>
            <w:vAlign w:val="bottom"/>
            <w:tcBorders>
              <w:bottom w:val="single" w:sz="8" w:color="DC202E"/>
            </w:tcBorders>
            <w:gridSpan w:val="3"/>
          </w:tcPr>
          <w:p>
            <w:pPr>
              <w:jc w:val="right"/>
              <w:ind w:right="71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2180" w:type="dxa"/>
            <w:vAlign w:val="bottom"/>
            <w:tcBorders>
              <w:bottom w:val="single" w:sz="8" w:color="DC202E"/>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6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vMerge w:val="continue"/>
          </w:tcPr>
          <w:p>
            <w:pPr>
              <w:spacing w:after="0"/>
              <w:rPr>
                <w:sz w:val="15"/>
                <w:szCs w:val="15"/>
                <w:color w:val="auto"/>
              </w:rPr>
            </w:pPr>
          </w:p>
        </w:tc>
        <w:tc>
          <w:tcPr>
            <w:tcW w:w="1060" w:type="dxa"/>
            <w:vAlign w:val="bottom"/>
          </w:tcPr>
          <w:p>
            <w:pPr>
              <w:ind w:left="34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6760" w:type="dxa"/>
            <w:vAlign w:val="bottom"/>
            <w:tcBorders>
              <w:top w:val="single" w:sz="8" w:color="DC202E"/>
            </w:tcBorders>
            <w:shd w:val="clear" w:color="auto" w:fill="DBDBDB"/>
          </w:tcPr>
          <w:p>
            <w:pPr>
              <w:ind w:left="20"/>
              <w:spacing w:after="0" w:line="230" w:lineRule="exact"/>
              <w:rPr>
                <w:sz w:val="20"/>
                <w:szCs w:val="20"/>
                <w:color w:val="auto"/>
              </w:rPr>
            </w:pPr>
            <w:r>
              <w:rPr>
                <w:rFonts w:ascii="Arial" w:cs="Arial" w:eastAsia="Arial" w:hAnsi="Arial"/>
                <w:sz w:val="18"/>
                <w:szCs w:val="18"/>
                <w:color w:val="auto"/>
              </w:rPr>
              <w:t>Organic</w:t>
            </w:r>
            <w:r>
              <w:rPr>
                <w:rFonts w:ascii="Arial" w:cs="Arial" w:eastAsia="Arial" w:hAnsi="Arial"/>
                <w:sz w:val="23"/>
                <w:szCs w:val="23"/>
                <w:color w:val="auto"/>
                <w:vertAlign w:val="superscript"/>
              </w:rPr>
              <w:t>(1)</w:t>
            </w: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C202E"/>
            </w:tcBorders>
            <w:shd w:val="clear" w:color="auto" w:fill="DBDBDB"/>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060" w:type="dxa"/>
            <w:vAlign w:val="bottom"/>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DBDBDB"/>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260" w:hanging="252"/>
        <w:spacing w:after="0" w:line="249" w:lineRule="auto"/>
        <w:tabs>
          <w:tab w:leader="none" w:pos="241" w:val="left"/>
        </w:tabs>
        <w:numPr>
          <w:ilvl w:val="0"/>
          <w:numId w:val="18"/>
        </w:numPr>
        <w:rPr>
          <w:rFonts w:ascii="Arial" w:cs="Arial" w:eastAsia="Arial" w:hAnsi="Arial"/>
          <w:sz w:val="14"/>
          <w:szCs w:val="14"/>
          <w:color w:val="auto"/>
        </w:rPr>
      </w:pPr>
      <w:r>
        <w:rPr>
          <w:rFonts w:ascii="Arial" w:cs="Arial" w:eastAsia="Arial" w:hAnsi="Arial"/>
          <w:sz w:val="14"/>
          <w:szCs w:val="14"/>
          <w:color w:val="auto"/>
        </w:rPr>
        <w:t>Organic sales % change is defined as the change in net sales,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increased due to higher sales volumes as domestic travel and flight hours began to show signs of recovery from the COVID-19 pandemic, in addition to the favorable impact of pricing and foreign currency translation. Sales of our aftermarket products and services increased, while demand from commercial OEMs and domestic and international defense decreased.</w:t>
      </w:r>
    </w:p>
    <w:p>
      <w:pPr>
        <w:spacing w:after="0" w:line="94" w:lineRule="exact"/>
        <w:rPr>
          <w:sz w:val="20"/>
          <w:szCs w:val="20"/>
          <w:color w:val="auto"/>
        </w:rPr>
      </w:pPr>
    </w:p>
    <w:p>
      <w:pPr>
        <w:ind w:left="820" w:hanging="326"/>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2% (decreased 3% organic) due to lower demand from air transport, partially offset by increases in regional and business aviation.</w:t>
      </w:r>
    </w:p>
    <w:p>
      <w:pPr>
        <w:spacing w:after="0" w:line="89"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Aviation Aftermarket sales increased 54% (increased 53% organic) due to higher demand in air transport and regional and business aviation.</w:t>
      </w:r>
    </w:p>
    <w:p>
      <w:pPr>
        <w:spacing w:after="0" w:line="89" w:lineRule="exact"/>
        <w:rPr>
          <w:rFonts w:ascii="Arial" w:cs="Arial" w:eastAsia="Arial" w:hAnsi="Arial"/>
          <w:sz w:val="18"/>
          <w:szCs w:val="18"/>
          <w:color w:val="auto"/>
        </w:rPr>
      </w:pPr>
    </w:p>
    <w:p>
      <w:pPr>
        <w:ind w:right="440" w:firstLine="494"/>
        <w:spacing w:after="0" w:line="375" w:lineRule="auto"/>
        <w:tabs>
          <w:tab w:leader="none" w:pos="8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Defense and Space sales decreased 8% (decreased 10% organic) driven by lower demand in U.S. and international defense. Cost of products and services sold increased due to higher sales volumes, partially offset by higher productivity.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Segment profit increased due to higher sales volumes of aftermarket products, increased productivity, and favorable pricing.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decreased due to weakness in global travel and lower flight hours due to the COVID-19 pandemic, resulting in lower demand for our products and services from commercial OEMs and aftermarket customers, and as demand from domestic and international defense spend decreased.</w:t>
      </w:r>
    </w:p>
    <w:p>
      <w:pPr>
        <w:spacing w:after="0" w:line="94" w:lineRule="exact"/>
        <w:rPr>
          <w:sz w:val="20"/>
          <w:szCs w:val="20"/>
          <w:color w:val="auto"/>
        </w:rPr>
      </w:pPr>
    </w:p>
    <w:p>
      <w:pPr>
        <w:ind w:left="820" w:hanging="326"/>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23% (decreased 23% organic) due to lower demand from air transport and regional and business aviation.</w:t>
      </w:r>
    </w:p>
    <w:p>
      <w:pPr>
        <w:spacing w:after="0" w:line="89"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Aviation Aftermarket sales decreased 6% (decreased 6% organic) due to lower demand in air transport, partially offset by higher demand in regional and business aviation.</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Defense and Space sales decreased 5% (decreased 6% organic) driven by lower demand in U.S and international defense.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decreased due to lower sales volumes and higher productivity.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flat due to favorable pricing and higher productivity, offset by lower sales volumes.</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HONEYWELL BUILDING TECHNOLOGIES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83"/>
        </w:trPr>
        <w:tc>
          <w:tcPr>
            <w:tcW w:w="4820" w:type="dxa"/>
            <w:vAlign w:val="bottom"/>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66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40" w:type="dxa"/>
            <w:vAlign w:val="bottom"/>
            <w:tcBorders>
              <w:bottom w:val="single" w:sz="8" w:color="DC202E"/>
            </w:tcBorders>
          </w:tcPr>
          <w:p>
            <w:pPr>
              <w:jc w:val="right"/>
              <w:ind w:right="16"/>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gridSpan w:val="3"/>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Borders>
              <w:bottom w:val="single" w:sz="8" w:color="DC202E"/>
            </w:tcBorders>
          </w:tcPr>
          <w:p>
            <w:pPr>
              <w:spacing w:after="0"/>
              <w:rPr>
                <w:sz w:val="15"/>
                <w:szCs w:val="15"/>
                <w:color w:val="auto"/>
              </w:rPr>
            </w:pPr>
          </w:p>
        </w:tc>
      </w:tr>
      <w:tr>
        <w:trPr>
          <w:trHeight w:val="196"/>
        </w:trPr>
        <w:tc>
          <w:tcPr>
            <w:tcW w:w="4820" w:type="dxa"/>
            <w:vAlign w:val="bottom"/>
            <w:tcBorders>
              <w:bottom w:val="single" w:sz="8" w:color="DBDBDB"/>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DC202E"/>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740" w:type="dxa"/>
            <w:vAlign w:val="bottom"/>
            <w:tcBorders>
              <w:bottom w:val="single" w:sz="8" w:color="DC202E"/>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1080" w:type="dxa"/>
            <w:vAlign w:val="bottom"/>
            <w:tcBorders>
              <w:bottom w:val="single" w:sz="8" w:color="DC202E"/>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760" w:type="dxa"/>
            <w:vAlign w:val="bottom"/>
            <w:tcBorders>
              <w:bottom w:val="single" w:sz="8" w:color="DC202E"/>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920" w:type="dxa"/>
            <w:vAlign w:val="bottom"/>
            <w:tcBorders>
              <w:bottom w:val="single" w:sz="8" w:color="DC202E"/>
            </w:tcBorders>
          </w:tcPr>
          <w:p>
            <w:pPr>
              <w:jc w:val="right"/>
              <w:ind w:right="116"/>
              <w:spacing w:after="0"/>
              <w:rPr>
                <w:sz w:val="20"/>
                <w:szCs w:val="20"/>
                <w:color w:val="auto"/>
              </w:rPr>
            </w:pPr>
            <w:r>
              <w:rPr>
                <w:rFonts w:ascii="Arial" w:cs="Arial" w:eastAsia="Arial" w:hAnsi="Arial"/>
                <w:sz w:val="14"/>
                <w:szCs w:val="14"/>
                <w:b w:val="1"/>
                <w:bCs w:val="1"/>
                <w:color w:val="auto"/>
              </w:rPr>
              <w:t>% Change</w:t>
            </w: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1,407</w:t>
            </w:r>
          </w:p>
        </w:tc>
        <w:tc>
          <w:tcPr>
            <w:tcW w:w="360" w:type="dxa"/>
            <w:vAlign w:val="bottom"/>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1,177</w:t>
            </w: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2,765</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315</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1"/>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102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280" w:type="dxa"/>
            <w:vAlign w:val="bottom"/>
            <w:tcBorders>
              <w:bottom w:val="single" w:sz="8" w:color="DC202E"/>
            </w:tcBorders>
            <w:gridSpan w:val="4"/>
          </w:tcPr>
          <w:p>
            <w:pPr>
              <w:ind w:left="640"/>
              <w:spacing w:after="0"/>
              <w:rPr>
                <w:sz w:val="20"/>
                <w:szCs w:val="20"/>
                <w:color w:val="auto"/>
              </w:rPr>
            </w:pPr>
            <w:r>
              <w:rPr>
                <w:rFonts w:ascii="Arial" w:cs="Arial" w:eastAsia="Arial" w:hAnsi="Arial"/>
                <w:sz w:val="14"/>
                <w:szCs w:val="14"/>
                <w:b w:val="1"/>
                <w:bCs w:val="1"/>
                <w:color w:val="auto"/>
              </w:rPr>
              <w:t>2021 vs. 2020</w:t>
            </w:r>
          </w:p>
        </w:tc>
        <w:tc>
          <w:tcPr>
            <w:tcW w:w="10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23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76"/>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2180" w:type="dxa"/>
            <w:vAlign w:val="bottom"/>
            <w:tcBorders>
              <w:bottom w:val="single" w:sz="8" w:color="DC202E"/>
            </w:tcBorders>
            <w:gridSpan w:val="3"/>
          </w:tcPr>
          <w:p>
            <w:pPr>
              <w:jc w:val="right"/>
              <w:ind w:right="71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2180" w:type="dxa"/>
            <w:vAlign w:val="bottom"/>
            <w:tcBorders>
              <w:bottom w:val="single" w:sz="8" w:color="DC202E"/>
            </w:tcBorders>
            <w:gridSpan w:val="3"/>
          </w:tcPr>
          <w:p>
            <w:pPr>
              <w:jc w:val="right"/>
              <w:ind w:right="71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6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vMerge w:val="continue"/>
          </w:tcPr>
          <w:p>
            <w:pPr>
              <w:spacing w:after="0"/>
              <w:rPr>
                <w:sz w:val="15"/>
                <w:szCs w:val="15"/>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9"/>
        </w:trPr>
        <w:tc>
          <w:tcPr>
            <w:tcW w:w="676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Organic</w:t>
            </w: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2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6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1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increased due to higher sales volumes and the favorable impact of foreign currency translation. Customer demand increased as the global economy began to show signs of recovery.</w:t>
      </w:r>
    </w:p>
    <w:p>
      <w:pPr>
        <w:spacing w:after="0" w:line="90" w:lineRule="exact"/>
        <w:rPr>
          <w:sz w:val="20"/>
          <w:szCs w:val="20"/>
          <w:color w:val="auto"/>
        </w:rPr>
      </w:pPr>
    </w:p>
    <w:p>
      <w:pPr>
        <w:ind w:left="820" w:hanging="326"/>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in Products increased 26% (increased 20% organic) due to higher sales volumes, an increase in pricing, and the favorable impact of foreign currency translation.</w:t>
      </w:r>
    </w:p>
    <w:p>
      <w:pPr>
        <w:spacing w:after="0" w:line="89"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in Building Solutions increased 11% (increased 5% organic) due to the favorable impact of foreign currency translation, higher sales volumes, and an increase in pricing.</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products and services sold increased primarily due to higher sales volumes and the unfavorable impact of foreign currency translation, partially offset by higher productivity.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increased primarily due to higher sales volumes and the favorable impact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increased due to higher sales volumes and the favorable impact of foreign currency translation. Customer demand increased as the global economy began to show signs of recovery.</w:t>
      </w:r>
    </w:p>
    <w:p>
      <w:pPr>
        <w:spacing w:after="0" w:line="90" w:lineRule="exact"/>
        <w:rPr>
          <w:sz w:val="20"/>
          <w:szCs w:val="20"/>
          <w:color w:val="auto"/>
        </w:rPr>
      </w:pPr>
    </w:p>
    <w:p>
      <w:pPr>
        <w:ind w:left="820" w:hanging="326"/>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in Products increased 16% (increased 11% organic) due to higher sales volumes, favorable pricing, and the favorable impact of foreign currency translation.</w:t>
      </w:r>
    </w:p>
    <w:p>
      <w:pPr>
        <w:spacing w:after="0" w:line="89"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in Building Solutions increased 7% (increased 2% organic) due to the favorable impact of foreign currency translation, higher sales volumes, and favorable pricing.</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products and services sold increased primarily due to higher sales volumes and the unfavorable impact of foreign currency translation, partially offset by higher productivity.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increased primarily due to favorable pricing, the favorable impact of foreign currency translation, and higher sales volumes.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42" w:name="page43"/>
    <w:bookmarkEnd w:id="42"/>
    <w:p>
      <w:pPr>
        <w:spacing w:after="0"/>
        <w:rPr>
          <w:sz w:val="20"/>
          <w:szCs w:val="20"/>
          <w:color w:val="auto"/>
        </w:rPr>
      </w:pPr>
      <w:r>
        <w:rPr>
          <w:rFonts w:ascii="Arial" w:cs="Arial" w:eastAsia="Arial" w:hAnsi="Arial"/>
          <w:sz w:val="25"/>
          <w:szCs w:val="25"/>
          <w:b w:val="1"/>
          <w:bCs w:val="1"/>
          <w:color w:val="auto"/>
        </w:rPr>
        <w:t>PERFORMANCE MATERIALS AND TECHNOLOGIES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640" w:type="dxa"/>
            <w:vAlign w:val="bottom"/>
            <w:tcBorders>
              <w:bottom w:val="single" w:sz="8" w:color="DC202E"/>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gridSpan w:val="3"/>
          </w:tcPr>
          <w:p>
            <w:pPr>
              <w:jc w:val="center"/>
              <w:ind w:right="380"/>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640" w:type="dxa"/>
            <w:vAlign w:val="bottom"/>
            <w:tcBorders>
              <w:bottom w:val="single" w:sz="8" w:color="DC202E"/>
            </w:tcBorders>
            <w:vMerge w:val="continue"/>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6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840" w:type="dxa"/>
            <w:vAlign w:val="bottom"/>
            <w:tcBorders>
              <w:bottom w:val="single" w:sz="8" w:color="DC202E"/>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4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880" w:type="dxa"/>
            <w:vAlign w:val="bottom"/>
            <w:tcBorders>
              <w:bottom w:val="single" w:sz="8" w:color="DC202E"/>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2,552</w:t>
            </w:r>
          </w:p>
        </w:tc>
        <w:tc>
          <w:tcPr>
            <w:tcW w:w="360" w:type="dxa"/>
            <w:vAlign w:val="bottom"/>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4,898</w:t>
            </w:r>
          </w:p>
        </w:tc>
        <w:tc>
          <w:tcPr>
            <w:tcW w:w="3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10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340" w:type="dxa"/>
            <w:vAlign w:val="bottom"/>
            <w:tcBorders>
              <w:bottom w:val="single" w:sz="8" w:color="DC202E"/>
            </w:tcBorders>
            <w:gridSpan w:val="4"/>
          </w:tcPr>
          <w:p>
            <w:pPr>
              <w:ind w:left="660"/>
              <w:spacing w:after="0"/>
              <w:rPr>
                <w:sz w:val="20"/>
                <w:szCs w:val="20"/>
                <w:color w:val="auto"/>
              </w:rPr>
            </w:pPr>
            <w:r>
              <w:rPr>
                <w:rFonts w:ascii="Arial" w:cs="Arial" w:eastAsia="Arial" w:hAnsi="Arial"/>
                <w:sz w:val="14"/>
                <w:szCs w:val="14"/>
                <w:b w:val="1"/>
                <w:bCs w:val="1"/>
                <w:color w:val="auto"/>
              </w:rPr>
              <w:t>2021 vs. 2020</w:t>
            </w:r>
          </w:p>
        </w:tc>
        <w:tc>
          <w:tcPr>
            <w:tcW w:w="102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14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140" w:type="dxa"/>
            <w:vAlign w:val="bottom"/>
            <w:tcBorders>
              <w:bottom w:val="single" w:sz="8" w:color="DC202E"/>
            </w:tcBorders>
            <w:gridSpan w:val="3"/>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8"/>
        </w:trPr>
        <w:tc>
          <w:tcPr>
            <w:tcW w:w="67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Sales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02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670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vMerge w:val="continue"/>
          </w:tcPr>
          <w:p>
            <w:pPr>
              <w:spacing w:after="0"/>
              <w:rPr>
                <w:sz w:val="15"/>
                <w:szCs w:val="15"/>
                <w:color w:val="auto"/>
              </w:rPr>
            </w:pPr>
          </w:p>
        </w:tc>
        <w:tc>
          <w:tcPr>
            <w:tcW w:w="1020" w:type="dxa"/>
            <w:vAlign w:val="bottom"/>
          </w:tcPr>
          <w:p>
            <w:pPr>
              <w:jc w:val="right"/>
              <w:ind w:right="23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6700" w:type="dxa"/>
            <w:vAlign w:val="bottom"/>
            <w:tcBorders>
              <w:top w:val="single" w:sz="8" w:color="DC202E"/>
            </w:tcBorders>
            <w:shd w:val="clear" w:color="auto" w:fill="DBDBDB"/>
          </w:tcPr>
          <w:p>
            <w:pPr>
              <w:spacing w:after="0"/>
              <w:rPr>
                <w:sz w:val="20"/>
                <w:szCs w:val="20"/>
                <w:color w:val="auto"/>
              </w:rPr>
            </w:pPr>
            <w:r>
              <w:rPr>
                <w:rFonts w:ascii="Arial" w:cs="Arial" w:eastAsia="Arial" w:hAnsi="Arial"/>
                <w:sz w:val="18"/>
                <w:szCs w:val="18"/>
                <w:color w:val="auto"/>
              </w:rPr>
              <w:t>Organic</w:t>
            </w:r>
          </w:p>
        </w:tc>
        <w:tc>
          <w:tcPr>
            <w:tcW w:w="10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Acquisitions, divestitures, and other, net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 change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Sales increased due to higher sales volumes, the favorable impact of foreign currency translation, and an increase in pricing. Increased investment in the oil and gas industry and higher demand within Advanced Materials resulted in higher sales of our products and services.</w:t>
      </w:r>
    </w:p>
    <w:p>
      <w:pPr>
        <w:spacing w:after="0" w:line="66" w:lineRule="exact"/>
        <w:rPr>
          <w:sz w:val="20"/>
          <w:szCs w:val="20"/>
          <w:color w:val="auto"/>
        </w:rPr>
      </w:pPr>
    </w:p>
    <w:p>
      <w:pPr>
        <w:ind w:left="500" w:hanging="330"/>
        <w:spacing w:after="0" w:line="261" w:lineRule="auto"/>
        <w:tabs>
          <w:tab w:leader="none" w:pos="49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UOP sales increased 10% (increased 8% organic) due to higher demand for oil and gas products and the favorable impact of foreign currency translation.</w:t>
      </w:r>
    </w:p>
    <w:p>
      <w:pPr>
        <w:spacing w:after="0" w:line="35"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Process Solutions sales increased 7% (decreased 1% organic) driven by the favorable impact of foreign currency translation as well as the acquisition of Sparta Systems.</w:t>
      </w:r>
    </w:p>
    <w:p>
      <w:pPr>
        <w:spacing w:after="0" w:line="35"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Advanced Materials sales increased 34% (increased 30% organic) driven by increased demand in fluorine and specialty products and the favorable impact of foreign currency translation.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higher sales volumes and the unfavorable impact of foreign currency translation.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Segment profit increased due to higher productivity, higher sales volumes, and the favorable impact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increased due to the favorable impact of foreign currency translation and an increase in pricing. Higher demand within Advanced Materials was partially offset by decreased investment in the oil and gas industry which negatively impacted many of our customers.</w:t>
      </w:r>
    </w:p>
    <w:p>
      <w:pPr>
        <w:spacing w:after="0" w:line="90" w:lineRule="exact"/>
        <w:rPr>
          <w:sz w:val="20"/>
          <w:szCs w:val="20"/>
          <w:color w:val="auto"/>
        </w:rPr>
      </w:pPr>
    </w:p>
    <w:p>
      <w:pPr>
        <w:ind w:left="500" w:right="20" w:hanging="330"/>
        <w:spacing w:after="0" w:line="261" w:lineRule="auto"/>
        <w:tabs>
          <w:tab w:leader="none" w:pos="49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UOP sales decreased 1% (decreased 4% organic) due to lower demand for oil and gas products and services partially offset by the favorable impact of foreign currency translation.</w:t>
      </w:r>
    </w:p>
    <w:p>
      <w:pPr>
        <w:spacing w:after="0" w:line="89"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Process Solutions sales increased 1% (decreased 5% organic) driven by the favorable impact of foreign currency translation, partially offset by lower demand for products and services.</w:t>
      </w:r>
    </w:p>
    <w:p>
      <w:pPr>
        <w:spacing w:after="0" w:line="89" w:lineRule="exact"/>
        <w:rPr>
          <w:rFonts w:ascii="Arial" w:cs="Arial" w:eastAsia="Arial" w:hAnsi="Arial"/>
          <w:sz w:val="18"/>
          <w:szCs w:val="18"/>
          <w:b w:val="1"/>
          <w:bCs w:val="1"/>
          <w:color w:val="auto"/>
        </w:rPr>
      </w:pPr>
    </w:p>
    <w:p>
      <w:pPr>
        <w:ind w:left="500" w:hanging="330"/>
        <w:spacing w:after="0" w:line="261" w:lineRule="auto"/>
        <w:tabs>
          <w:tab w:leader="none" w:pos="49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Advanced Materials sales increased 22% (increased 18% organic) driven by increased demand in fluorine and specialty products and the favorable impact of foreign currency translation.</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products and services sold increased due to higher sales of lower margin products and the unfavorable impact of foreign currency translation.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increased due to higher productivity, offset by higher sales of lower margin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spacing w:after="0"/>
        <w:rPr>
          <w:sz w:val="20"/>
          <w:szCs w:val="20"/>
          <w:color w:val="auto"/>
        </w:rPr>
      </w:pPr>
      <w:r>
        <w:rPr>
          <w:rFonts w:ascii="Arial" w:cs="Arial" w:eastAsia="Arial" w:hAnsi="Arial"/>
          <w:sz w:val="25"/>
          <w:szCs w:val="25"/>
          <w:b w:val="1"/>
          <w:bCs w:val="1"/>
          <w:color w:val="auto"/>
        </w:rPr>
        <w:t>SAFETY AND PRODUCTIVITY SOLUTIONS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151130</wp:posOffset>
            </wp:positionV>
            <wp:extent cx="585470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547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660" w:type="dxa"/>
            <w:vAlign w:val="bottom"/>
            <w:tcBorders>
              <w:bottom w:val="single" w:sz="8" w:color="DC202E"/>
            </w:tcBorders>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gridSpan w:val="3"/>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DC202E"/>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660" w:type="dxa"/>
            <w:vAlign w:val="bottom"/>
            <w:tcBorders>
              <w:bottom w:val="single" w:sz="8" w:color="DC202E"/>
            </w:tcBorders>
            <w:vMerge w:val="continue"/>
          </w:tcPr>
          <w:p>
            <w:pPr>
              <w:spacing w:after="0"/>
              <w:rPr>
                <w:sz w:val="15"/>
                <w:szCs w:val="15"/>
                <w:color w:val="auto"/>
              </w:rPr>
            </w:pPr>
          </w:p>
        </w:tc>
        <w:tc>
          <w:tcPr>
            <w:tcW w:w="60" w:type="dxa"/>
            <w:vAlign w:val="bottom"/>
            <w:tcBorders>
              <w:bottom w:val="single" w:sz="8" w:color="DC202E"/>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4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840" w:type="dxa"/>
            <w:vAlign w:val="bottom"/>
            <w:tcBorders>
              <w:bottom w:val="single" w:sz="8" w:color="DC202E"/>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7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76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880" w:type="dxa"/>
            <w:vAlign w:val="bottom"/>
            <w:tcBorders>
              <w:bottom w:val="single" w:sz="8" w:color="DC202E"/>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2,083</w:t>
            </w:r>
          </w:p>
        </w:tc>
        <w:tc>
          <w:tcPr>
            <w:tcW w:w="360" w:type="dxa"/>
            <w:vAlign w:val="bottom"/>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4,201</w:t>
            </w: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102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280" w:type="dxa"/>
            <w:vAlign w:val="bottom"/>
            <w:tcBorders>
              <w:bottom w:val="single" w:sz="8" w:color="DC202E"/>
            </w:tcBorders>
            <w:gridSpan w:val="4"/>
          </w:tcPr>
          <w:p>
            <w:pPr>
              <w:ind w:left="640"/>
              <w:spacing w:after="0"/>
              <w:rPr>
                <w:sz w:val="20"/>
                <w:szCs w:val="20"/>
                <w:color w:val="auto"/>
              </w:rPr>
            </w:pPr>
            <w:r>
              <w:rPr>
                <w:rFonts w:ascii="Arial" w:cs="Arial" w:eastAsia="Arial" w:hAnsi="Arial"/>
                <w:sz w:val="14"/>
                <w:szCs w:val="14"/>
                <w:b w:val="1"/>
                <w:bCs w:val="1"/>
                <w:color w:val="auto"/>
              </w:rPr>
              <w:t>2021 vs. 2020</w:t>
            </w:r>
          </w:p>
        </w:tc>
        <w:tc>
          <w:tcPr>
            <w:tcW w:w="10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23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76"/>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2180" w:type="dxa"/>
            <w:vAlign w:val="bottom"/>
            <w:tcBorders>
              <w:bottom w:val="single" w:sz="8" w:color="DC202E"/>
            </w:tcBorders>
            <w:gridSpan w:val="3"/>
          </w:tcPr>
          <w:p>
            <w:pPr>
              <w:jc w:val="right"/>
              <w:ind w:right="71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2180" w:type="dxa"/>
            <w:vAlign w:val="bottom"/>
            <w:tcBorders>
              <w:bottom w:val="single" w:sz="8" w:color="DC202E"/>
            </w:tcBorders>
            <w:gridSpan w:val="3"/>
          </w:tcPr>
          <w:p>
            <w:pPr>
              <w:jc w:val="right"/>
              <w:ind w:right="71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67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67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Profit</w:t>
            </w:r>
          </w:p>
        </w:tc>
        <w:tc>
          <w:tcPr>
            <w:tcW w:w="1120" w:type="dxa"/>
            <w:vAlign w:val="bottom"/>
            <w:gridSpan w:val="2"/>
            <w:vMerge w:val="continue"/>
          </w:tcPr>
          <w:p>
            <w:pPr>
              <w:spacing w:after="0"/>
              <w:rPr>
                <w:sz w:val="15"/>
                <w:szCs w:val="15"/>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676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Organic</w:t>
            </w: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top w:val="single" w:sz="8" w:color="DBDBDB"/>
            </w:tcBorders>
            <w:shd w:val="clear" w:color="auto" w:fill="DBDBDB"/>
          </w:tcPr>
          <w:p>
            <w:pPr>
              <w:spacing w:after="0"/>
              <w:rPr>
                <w:sz w:val="19"/>
                <w:szCs w:val="19"/>
                <w:color w:val="auto"/>
              </w:rPr>
            </w:pPr>
          </w:p>
        </w:tc>
        <w:tc>
          <w:tcPr>
            <w:tcW w:w="10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6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2021 compared to Q2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increased due to higher sales volumes, favorable pricing, and the favorable impact of foreign currency translation, partially offset by the sale of the retail footwear business. The higher sales volumes in the quarter were primarily driven by warehouse automation services, Productivity Solutions and Services, and respiratory PPE.</w:t>
      </w:r>
    </w:p>
    <w:p>
      <w:pPr>
        <w:spacing w:after="0" w:line="94" w:lineRule="exact"/>
        <w:rPr>
          <w:sz w:val="20"/>
          <w:szCs w:val="20"/>
          <w:color w:val="auto"/>
        </w:rPr>
      </w:pPr>
    </w:p>
    <w:p>
      <w:pPr>
        <w:ind w:left="660" w:hanging="328"/>
        <w:spacing w:after="0" w:line="261" w:lineRule="auto"/>
        <w:tabs>
          <w:tab w:leader="none" w:pos="65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Sales in Safety and Retail increased 21% (increased 25% organic) due to higher sales volumes and the favorable impact of foreign currency translation, partially offset by the sale of the retail footwear business.</w:t>
      </w:r>
    </w:p>
    <w:p>
      <w:pPr>
        <w:spacing w:after="0" w:line="35" w:lineRule="exact"/>
        <w:rPr>
          <w:rFonts w:ascii="Arial" w:cs="Arial" w:eastAsia="Arial" w:hAnsi="Arial"/>
          <w:sz w:val="18"/>
          <w:szCs w:val="18"/>
          <w:b w:val="1"/>
          <w:bCs w:val="1"/>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Sales in Productivity Solutions and Services increased 43% (increased 38% organic) due to higher demand and the favorable impact of foreign currency translation.</w:t>
      </w:r>
    </w:p>
    <w:p>
      <w:pPr>
        <w:spacing w:after="0" w:line="35"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Sales in Warehouse and Workflow Solutions increased 59% (increased 57% organic) due to higher sales volumes and the favorable impact of foreign currency translation. Sales volume growth was driven by strong demand for our warehouse automation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5" w:name="page46"/>
    <w:bookmarkEnd w:id="45"/>
    <w:p>
      <w:pPr>
        <w:ind w:left="660" w:hanging="328"/>
        <w:spacing w:after="0" w:line="261"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Sales in Advanced Sensing Technologies decreased 1% (decreased 4% organic) due to lower sales volumes, partially offset by the favorable impact of foreign currency translation.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higher sales volumes and the unfavorable impact of foreign currency translation.</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Segment profit increased primarily due to higher sales volumes, favorable pricing, and higher productivity, partially offset by higher sales of lower margin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YTD 2021 compared to YTD 2020</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increased due to higher sales volumes, favorable pricing, and the favorable impact of foreign currency translation, partially offset by the sale of the retail footwear business. The higher sales volumes in the six months were primarily driven by warehouse automation services, respiratory PPE, and Productivity Solutions and Services.</w:t>
      </w:r>
    </w:p>
    <w:p>
      <w:pPr>
        <w:spacing w:after="0" w:line="94" w:lineRule="exact"/>
        <w:rPr>
          <w:sz w:val="20"/>
          <w:szCs w:val="20"/>
          <w:color w:val="auto"/>
        </w:rPr>
      </w:pPr>
    </w:p>
    <w:p>
      <w:pPr>
        <w:ind w:left="660" w:hanging="328"/>
        <w:spacing w:after="0" w:line="261"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Sales in Safety and Retail increased 34% (increased 36% organic) due to higher sales volumes and the favorable impact of foreign currency translation, partially offset by the sale of the retail footwear business.</w:t>
      </w:r>
    </w:p>
    <w:p>
      <w:pPr>
        <w:spacing w:after="0" w:line="89" w:lineRule="exact"/>
        <w:rPr>
          <w:rFonts w:ascii="Arial" w:cs="Arial" w:eastAsia="Arial" w:hAnsi="Arial"/>
          <w:sz w:val="18"/>
          <w:szCs w:val="18"/>
          <w:b w:val="1"/>
          <w:bCs w:val="1"/>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Sales in Productivity Solutions and Services increased 31% (increased 27% organic) due to higher demand and the favorable impact of foreign currency translation.</w:t>
      </w:r>
    </w:p>
    <w:p>
      <w:pPr>
        <w:spacing w:after="0" w:line="89"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Sales in Warehouse and Workflow Solutions increased 70% (increased 69% organic) due to higher sales volumes and the favorable impact of foreign currency translation. Sales volume growth was driven by strong demand for our warehouse automation services.</w:t>
      </w:r>
    </w:p>
    <w:p>
      <w:pPr>
        <w:spacing w:after="0" w:line="89"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Sales in Advanced Sensing Technologies increased 2% (decreased 1% organic) due to the favorable impact of foreign currency translation, partially offset by lower organic sales volumes.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increased due to higher sales volumes and the unfavorable impact of foreign currency translation.</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Segment profit increased primarily due to higher sales volumes, higher productivity, and favorable pricing, partially offset by higher sales of lower margin products.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REPOSITIONING CHARGES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Note 5 Repositioning and Other Charges of Notes to Consolidated Financial Statements for a discussion of our repositioning actions and related charges incurred in the six months ended June 30, 2021 and 2020. Cash spending related to our repositioning actions was $202 million in the six months ended June 30, 2021, and was funded through operating cash flows.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DC202E"/>
        </w:rPr>
        <w:t>LIQUIDITY AND CAPITAL RESOURCES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millions)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as a result of the U.S. Tax Cuts and Jobs Act.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June 30, 2021, and December 31, 2020, we held $12.3 billion and $15.2 billion, respectively, of cash and cash equivalents, including our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6" w:name="page47"/>
    <w:bookmarkEnd w:id="46"/>
    <w:p>
      <w:pPr>
        <w:spacing w:after="0"/>
        <w:rPr>
          <w:sz w:val="20"/>
          <w:szCs w:val="20"/>
          <w:color w:val="auto"/>
        </w:rPr>
      </w:pPr>
      <w:r>
        <w:rPr>
          <w:rFonts w:ascii="Arial" w:cs="Arial" w:eastAsia="Arial" w:hAnsi="Arial"/>
          <w:sz w:val="25"/>
          <w:szCs w:val="25"/>
          <w:b w:val="1"/>
          <w:bCs w:val="1"/>
          <w:color w:val="auto"/>
        </w:rPr>
        <w:t>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Consolidated total borrowings were $21.4 billion and $22.4 billion as of June 30, 2021, and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7"/>
                <w:szCs w:val="17"/>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Commercial paper and other short-term borrowings</w:t>
            </w:r>
          </w:p>
        </w:tc>
        <w:tc>
          <w:tcPr>
            <w:tcW w:w="260" w:type="dxa"/>
            <w:vAlign w:val="bottom"/>
            <w:tcBorders>
              <w:top w:val="single" w:sz="8" w:color="DC202E"/>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3,597</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Variable rate notes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9"/>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rate notes</w:t>
            </w:r>
          </w:p>
        </w:tc>
        <w:tc>
          <w:tcPr>
            <w:tcW w:w="26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16,464</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17,399</w:t>
            </w:r>
          </w:p>
        </w:tc>
      </w:tr>
      <w:tr>
        <w:trPr>
          <w:trHeight w:val="229"/>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48"/>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borrowings</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21,356</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22,384</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also have the following revolving credit agreements, which can provide financing for general corporate purposes:</w:t>
      </w:r>
    </w:p>
    <w:p>
      <w:pPr>
        <w:spacing w:after="0" w:line="131" w:lineRule="exact"/>
        <w:rPr>
          <w:sz w:val="20"/>
          <w:szCs w:val="20"/>
          <w:color w:val="auto"/>
        </w:rPr>
      </w:pPr>
    </w:p>
    <w:p>
      <w:pPr>
        <w:jc w:val="both"/>
        <w:ind w:left="660" w:hanging="328"/>
        <w:spacing w:after="0" w:line="206"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$1.5 billion 364-Day Credit Agreement (the 364-Day Credit Agreement) with a syndicate of banks, dated March 31, 2021. Amounts borrowed under the 364-Day Credit Agreement are required to be repaid no later than March 30, 2022, unless (i) we elect to convert all then outstanding amounts into a term loan, upon which such amounts shall be repaid in full on March 30, 2023, or (ii) the 364-Day Credit Agreement is terminated earlier pursuant to its terms. The 364-Day Credit Agreement replaces the previously reported $1.5 billion 364-day credit agreement dated as of April 10, 2020, which was terminated in accordance with its terms effective March 31, 2021. As of June 30, 2021, there were no outstanding borrowings under our 364-Day Credit Agreement.</w:t>
      </w:r>
    </w:p>
    <w:p>
      <w:pPr>
        <w:spacing w:after="0" w:line="96" w:lineRule="exact"/>
        <w:rPr>
          <w:rFonts w:ascii="Arial" w:cs="Arial" w:eastAsia="Arial" w:hAnsi="Arial"/>
          <w:sz w:val="22"/>
          <w:szCs w:val="22"/>
          <w:color w:val="auto"/>
        </w:rPr>
      </w:pPr>
    </w:p>
    <w:p>
      <w:pPr>
        <w:jc w:val="both"/>
        <w:ind w:left="660" w:hanging="328"/>
        <w:spacing w:after="0" w:line="207"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$4.0 billion Five Year Credit Agreement (the 5-Year Credit Agreement) with a syndicate of banks, dated March 31, 2021.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April 26, 2019. As of June 30, 2021, there were no outstanding borrowings under our 5-Year Credit Agreement.</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 current shelf registration statement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RATINGS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2021, Standard &amp; Poor's (S&amp;P), Fitch, and Moody’s have ratings on our debt set forth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Borders>
              <w:bottom w:val="single" w:sz="8" w:color="DBDBDB"/>
            </w:tcBorders>
          </w:tcPr>
          <w:p>
            <w:pPr>
              <w:spacing w:after="0"/>
              <w:rPr>
                <w:sz w:val="21"/>
                <w:szCs w:val="21"/>
                <w:color w:val="auto"/>
              </w:rPr>
            </w:pPr>
          </w:p>
        </w:tc>
        <w:tc>
          <w:tcPr>
            <w:tcW w:w="1420" w:type="dxa"/>
            <w:vAlign w:val="bottom"/>
            <w:tcBorders>
              <w:bottom w:val="single" w:sz="8" w:color="DC202E"/>
            </w:tcBorders>
          </w:tcPr>
          <w:p>
            <w:pPr>
              <w:jc w:val="center"/>
              <w:spacing w:after="0"/>
              <w:rPr>
                <w:sz w:val="20"/>
                <w:szCs w:val="20"/>
                <w:color w:val="auto"/>
              </w:rPr>
            </w:pPr>
            <w:r>
              <w:rPr>
                <w:rFonts w:ascii="Arial" w:cs="Arial" w:eastAsia="Arial" w:hAnsi="Arial"/>
                <w:sz w:val="18"/>
                <w:szCs w:val="18"/>
                <w:b w:val="1"/>
                <w:bCs w:val="1"/>
                <w:color w:val="auto"/>
              </w:rPr>
              <w:t>S&amp;P</w:t>
            </w:r>
          </w:p>
        </w:tc>
        <w:tc>
          <w:tcPr>
            <w:tcW w:w="100" w:type="dxa"/>
            <w:vAlign w:val="bottom"/>
            <w:tcBorders>
              <w:bottom w:val="single" w:sz="8" w:color="DBDBDB"/>
            </w:tcBorders>
          </w:tcPr>
          <w:p>
            <w:pPr>
              <w:spacing w:after="0"/>
              <w:rPr>
                <w:sz w:val="21"/>
                <w:szCs w:val="21"/>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8"/>
                <w:szCs w:val="18"/>
                <w:b w:val="1"/>
                <w:bCs w:val="1"/>
                <w:color w:val="auto"/>
                <w:w w:val="97"/>
              </w:rPr>
              <w:t>Fitch</w:t>
            </w:r>
          </w:p>
        </w:tc>
        <w:tc>
          <w:tcPr>
            <w:tcW w:w="100" w:type="dxa"/>
            <w:vAlign w:val="bottom"/>
            <w:tcBorders>
              <w:bottom w:val="single" w:sz="8" w:color="DBDBDB"/>
            </w:tcBorders>
          </w:tcPr>
          <w:p>
            <w:pPr>
              <w:spacing w:after="0"/>
              <w:rPr>
                <w:sz w:val="21"/>
                <w:szCs w:val="21"/>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8"/>
                <w:szCs w:val="18"/>
                <w:b w:val="1"/>
                <w:bCs w:val="1"/>
                <w:color w:val="auto"/>
                <w:w w:val="99"/>
              </w:rPr>
              <w:t>Moody's</w:t>
            </w:r>
          </w:p>
        </w:tc>
      </w:tr>
      <w:tr>
        <w:trPr>
          <w:trHeight w:val="230"/>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Outlook</w:t>
            </w:r>
          </w:p>
        </w:tc>
        <w:tc>
          <w:tcPr>
            <w:tcW w:w="152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7"/>
              </w:rPr>
              <w:t>Stable</w:t>
            </w:r>
          </w:p>
        </w:tc>
        <w:tc>
          <w:tcPr>
            <w:tcW w:w="1540" w:type="dxa"/>
            <w:vAlign w:val="bottom"/>
            <w:gridSpan w:val="2"/>
            <w:shd w:val="clear" w:color="auto" w:fill="DBDBDB"/>
          </w:tcPr>
          <w:p>
            <w:pPr>
              <w:jc w:val="center"/>
              <w:ind w:right="80"/>
              <w:spacing w:after="0"/>
              <w:rPr>
                <w:sz w:val="20"/>
                <w:szCs w:val="20"/>
                <w:color w:val="auto"/>
              </w:rPr>
            </w:pPr>
            <w:r>
              <w:rPr>
                <w:rFonts w:ascii="Arial" w:cs="Arial" w:eastAsia="Arial" w:hAnsi="Arial"/>
                <w:sz w:val="18"/>
                <w:szCs w:val="18"/>
                <w:color w:val="auto"/>
                <w:w w:val="97"/>
              </w:rPr>
              <w:t>Stable</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Stable</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Short-term</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A-1</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rPr>
              <w:t>F1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P1</w:t>
            </w:r>
          </w:p>
        </w:tc>
      </w:tr>
      <w:tr>
        <w:trPr>
          <w:trHeight w:val="22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w:t>
            </w:r>
          </w:p>
        </w:tc>
        <w:tc>
          <w:tcPr>
            <w:tcW w:w="15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A</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A</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A2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auto"/>
        </w:rPr>
        <w:t>CASH FLOW SUMMARY</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2720" w:type="dxa"/>
            <w:vAlign w:val="bottom"/>
            <w:tcBorders>
              <w:bottom w:val="single" w:sz="8" w:color="DC202E"/>
            </w:tcBorders>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20" w:type="dxa"/>
            <w:vAlign w:val="bottom"/>
            <w:tcBorders>
              <w:bottom w:val="single" w:sz="8" w:color="DBDBDB"/>
            </w:tcBorders>
          </w:tcPr>
          <w:p>
            <w:pPr>
              <w:spacing w:after="0"/>
              <w:rPr>
                <w:sz w:val="17"/>
                <w:szCs w:val="17"/>
                <w:color w:val="auto"/>
              </w:rPr>
            </w:pPr>
          </w:p>
        </w:tc>
        <w:tc>
          <w:tcPr>
            <w:tcW w:w="36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BDBDB"/>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8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(used for):</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2,419</w:t>
            </w:r>
          </w:p>
        </w:tc>
      </w:tr>
      <w:tr>
        <w:trPr>
          <w:trHeight w:val="230"/>
        </w:trPr>
        <w:tc>
          <w:tcPr>
            <w:tcW w:w="8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30"/>
        </w:trPr>
        <w:tc>
          <w:tcPr>
            <w:tcW w:w="8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r>
      <w:tr>
        <w:trPr>
          <w:trHeight w:val="21"/>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provided by operating activities decreased by $163 million due to a net unfavorable impact of changes in assets and liabilities, which resulted in a $350 million use of cash during the six months ended June 30, 2021, compared to providing cash of $161 million during the six months ended June 30, 2020. The change included an unfavorable impact to working capital of $77 million, which was partially offset by an increase in net income of $195 million.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for investing activities increased by $885 million primarily due to $1,327 million in cash paid for acquisitions and a $106 million decrease in cash receipts from settlements of derivative contracts, partially offset by a $375 million cash receipt from Garrett Motion Inc. (Garrett) and $190 million in proceeds from the sale of the retail footwear business.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for financing activities increased by $6,618 million primarily due to $ 7,101 of proceeds from the issuance of long-term debt during the six months ended June 30, 2020, partially offset by a $383 million decrease in repayments of long-term debt and a $136 million decrease in repurchases of common stock during the six months ended June 30, 2021.</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 of the exchange rate changes on cash reflects an overall weakening of the U.S. Dollar against the currencies of the majority of our international markets during the six months ended June 30, 2021 as compared to an overall strengthening of the U.S. Dollar during the six months ended June 30, 2020.</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REQUIREMENTS AND ASSESSMENT OF CURRENT LIQUIDITY</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our normal operating cash requirements, our principal future cash requirements will be to fund capital expenditures, share repurchases, dividends, strategic acquisitions and debt repayments. On February 12, 2021, the Board of Directors authorized the repurchase of up to a total of $10 billion of Honeywell common stock, which included amounts remaining under, and replaced, the previously approved share repurchase program. During the six months ended June 30, 2021, the Company repurchased common stock of $1,849 million. Refer to the section titled Liquidity and Capital Resources of our 2020 Form 10-K for a discussion of our expected capital expenditures, share repurchases and dividends for 2021.</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are not material to our overall liquidity.</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8"/>
          <w:szCs w:val="18"/>
          <w:color w:val="auto"/>
        </w:rPr>
        <w:t>See Note 9 Long-term Debt and Credit Agreements of Notes to Consolidated Financial Statements for additional discussion of items impacting our liquidity.</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DC202E"/>
        </w:rPr>
        <w:t>OTHER MATTERS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LITIGATION</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15 Commitments and Contingencies of Notes to Consolidated Financial Statements for further discussion of environmental, asbestos and other litigation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CRITICAL ACCOUNTING ESTIMATES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than as noted below, there have been no material changes to our Critical Accounting Estimates presented in our 2020 Annual Report on Form 10-K. For a discussion of the Company’s Critical Accounting Estimates, see the section titled Critical Accounting Estimates in our 2020 Annual Report on Form 10-K.</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26, 2021, the United States Bankruptcy Court for the Southern District of New York (the Bankruptcy Court) confirmed Garrett's amended Chapter 11 plan of reorganization (the Confirmed Plan) and on April 30, 2021, Garrett emerged from bankruptcy. In accordance with Garrett’s emergence from bankruptcy and the Confirmed Plan, the Company received from Garrett an initial payment of $375 million and 834.8 million shares of Series B Preferred Stock in full satisfaction of our indemnification and reimbursement agreement and tax matters agreement. As a result, we updated our Critical Accounting Estimate for Reimbursement Receivables to exclude receivable amounts from Garrett which were satisfied in full. See Note 15 Commitments and Contingencies of Notes to the Consolidated Financial Statements for further discussion on Garrett.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Reimbursement Receivables</w:t>
      </w:r>
      <w:r>
        <w:rPr>
          <w:rFonts w:ascii="Arial" w:cs="Arial" w:eastAsia="Arial" w:hAnsi="Arial"/>
          <w:sz w:val="18"/>
          <w:szCs w:val="18"/>
          <w:color w:val="auto"/>
        </w:rPr>
        <w:t>—In conjunction with the Resideo Technologies, Inc. (Resideo) spin-off, the Company entered into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agreement under which Honeywell receives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we monitor the recoverability of such receivables, which are subject to the terms of applicable credit agreements and general ability to pay.</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 Summary of Significant Accounting Policies of Notes to Consolidated Financial Statements for a discussion of recent accounting pronouncements.</w:t>
      </w:r>
    </w:p>
    <w:p>
      <w:pPr>
        <w:spacing w:after="0" w:line="267" w:lineRule="exact"/>
        <w:rPr>
          <w:sz w:val="20"/>
          <w:szCs w:val="20"/>
          <w:color w:val="auto"/>
        </w:rPr>
      </w:pPr>
    </w:p>
    <w:p>
      <w:pPr>
        <w:ind w:right="820"/>
        <w:spacing w:after="0" w:line="278" w:lineRule="auto"/>
        <w:rPr>
          <w:sz w:val="20"/>
          <w:szCs w:val="20"/>
          <w:color w:val="auto"/>
        </w:rPr>
      </w:pPr>
      <w:r>
        <w:rPr>
          <w:rFonts w:ascii="Arial" w:cs="Arial" w:eastAsia="Arial" w:hAnsi="Arial"/>
          <w:sz w:val="29"/>
          <w:szCs w:val="29"/>
          <w:b w:val="1"/>
          <w:bCs w:val="1"/>
          <w:color w:val="DC202E"/>
        </w:rPr>
        <w:t>ITEM 3. QUANTITATIVE AND QUALITATIVE DISCLOSURES ABOUT MARKET RISKS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the section titled Quantitative and Qualitative Disclosures About Market Risks in our 2020 Annual Report on Form 10-K. As of June 30, 2021, there has been no material change in this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spacing w:after="0"/>
        <w:rPr>
          <w:sz w:val="20"/>
          <w:szCs w:val="20"/>
          <w:color w:val="auto"/>
        </w:rPr>
      </w:pPr>
      <w:r>
        <w:rPr>
          <w:rFonts w:ascii="Arial" w:cs="Arial" w:eastAsia="Arial" w:hAnsi="Arial"/>
          <w:sz w:val="29"/>
          <w:szCs w:val="29"/>
          <w:b w:val="1"/>
          <w:bCs w:val="1"/>
          <w:color w:val="DC202E"/>
        </w:rPr>
        <w:t>ITEM 4. CONTROLS AND PROCEDURES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147"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w:t>
      </w:r>
      <w:hyperlink w:anchor="page23">
        <w:r>
          <w:rPr>
            <w:rFonts w:ascii="Arial" w:cs="Arial" w:eastAsia="Arial" w:hAnsi="Arial"/>
            <w:sz w:val="18"/>
            <w:szCs w:val="18"/>
            <w:u w:val="single" w:color="auto"/>
            <w:color w:val="0000FF"/>
          </w:rPr>
          <w:t>Note 15 Commitments and Contingencies of Notes to 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environmental, asbestos and other litigation matters.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matters requiring disclosure pursuant to the requirement to disclose certain environmental matters involving potential monetary sanctions in excess of $300,000.</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than as noted below, there have been no material changes to our Risk Factors presented in our 2020 Annual Report on Form 10-K under the section titled Risk Factors. For further discussion of our Risk Factors, refer to the section titled Risk Factors in our 2020 Annual Report on Form 10-K.</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26, 2021, the Bankruptcy Court confirmed Garrett's amended Chapter 11 plan of reorganization and on April 30, 2021, Garrett emerged from bankruptcy. As such, the risk factor discussing Garrett and the potential outcome of Garrett's bankruptcy proceedings as disclosed in our 2020 Annual Report on Form 10-K under the section titled Risk Factors is no longer a risk as of June 30, 2021. See Note 15 Commitments and Contingencies of Notes to the Consolidated Financial Statements for further discussion on Garrett.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Honeywell purchased 4,610,344 shares of its common stock, par value $1 per share, in the quarter ended June 30, 2021. On February 12, 2021, the Board of Directors authorized the repurchase of up to a total of $10 billion of Honeywell common stock, which included approximately $2.8 billion remaining under, and replaced, the previously approved share repurchase program, which was approved in April 2019, and authorized repurchases of up to $10 billion.</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As of June 30, 2021, $8.6 billion remained available for additional share repurchases. The following table summarizes Honeywell’s purchase of its common stock for the quarter ended June 30, 2021:</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00" w:type="dxa"/>
            <w:vAlign w:val="bottom"/>
            <w:tcBorders>
              <w:top w:val="single" w:sz="8" w:color="DC202E"/>
            </w:tcBorders>
          </w:tcPr>
          <w:p>
            <w:pPr>
              <w:spacing w:after="0"/>
              <w:rPr>
                <w:sz w:val="13"/>
                <w:szCs w:val="13"/>
                <w:color w:val="auto"/>
              </w:rPr>
            </w:pPr>
          </w:p>
        </w:tc>
        <w:tc>
          <w:tcPr>
            <w:tcW w:w="2600" w:type="dxa"/>
            <w:vAlign w:val="bottom"/>
            <w:tcBorders>
              <w:top w:val="single" w:sz="8" w:color="DC202E"/>
            </w:tcBorders>
          </w:tcPr>
          <w:p>
            <w:pPr>
              <w:spacing w:after="0"/>
              <w:rPr>
                <w:sz w:val="13"/>
                <w:szCs w:val="13"/>
                <w:color w:val="auto"/>
              </w:rPr>
            </w:pPr>
          </w:p>
        </w:tc>
        <w:tc>
          <w:tcPr>
            <w:tcW w:w="100" w:type="dxa"/>
            <w:vAlign w:val="bottom"/>
            <w:tcBorders>
              <w:top w:val="single" w:sz="8" w:color="DC202E"/>
            </w:tcBorders>
          </w:tcPr>
          <w:p>
            <w:pPr>
              <w:spacing w:after="0"/>
              <w:rPr>
                <w:sz w:val="13"/>
                <w:szCs w:val="13"/>
                <w:color w:val="auto"/>
              </w:rPr>
            </w:pPr>
          </w:p>
        </w:tc>
        <w:tc>
          <w:tcPr>
            <w:tcW w:w="140" w:type="dxa"/>
            <w:vAlign w:val="bottom"/>
            <w:tcBorders>
              <w:top w:val="single" w:sz="8" w:color="DC202E"/>
            </w:tcBorders>
          </w:tcPr>
          <w:p>
            <w:pPr>
              <w:spacing w:after="0"/>
              <w:rPr>
                <w:sz w:val="13"/>
                <w:szCs w:val="13"/>
                <w:color w:val="auto"/>
              </w:rPr>
            </w:pPr>
          </w:p>
        </w:tc>
        <w:tc>
          <w:tcPr>
            <w:tcW w:w="118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1320" w:type="dxa"/>
            <w:vAlign w:val="bottom"/>
            <w:tcBorders>
              <w:top w:val="single" w:sz="8" w:color="DC202E"/>
            </w:tcBorders>
          </w:tcPr>
          <w:p>
            <w:pPr>
              <w:spacing w:after="0"/>
              <w:rPr>
                <w:sz w:val="13"/>
                <w:szCs w:val="13"/>
                <w:color w:val="auto"/>
              </w:rPr>
            </w:pPr>
          </w:p>
        </w:tc>
        <w:tc>
          <w:tcPr>
            <w:tcW w:w="10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1220" w:type="dxa"/>
            <w:vAlign w:val="bottom"/>
            <w:tcBorders>
              <w:top w:val="single" w:sz="8" w:color="DC202E"/>
            </w:tcBorders>
          </w:tcPr>
          <w:p>
            <w:pPr>
              <w:jc w:val="center"/>
              <w:ind w:right="21"/>
              <w:spacing w:after="0" w:line="155"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22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Purchased</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700" w:type="dxa"/>
            <w:vAlign w:val="bottom"/>
            <w:gridSpan w:val="2"/>
            <w:vMerge w:val="restart"/>
          </w:tcPr>
          <w:p>
            <w:pPr>
              <w:jc w:val="center"/>
              <w:ind w:left="1077"/>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1"/>
                <w:szCs w:val="11"/>
                <w:color w:val="auto"/>
              </w:rPr>
            </w:pPr>
          </w:p>
        </w:tc>
        <w:tc>
          <w:tcPr>
            <w:tcW w:w="12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Under Plans or</w:t>
            </w:r>
          </w:p>
        </w:tc>
        <w:tc>
          <w:tcPr>
            <w:tcW w:w="0" w:type="dxa"/>
            <w:vAlign w:val="bottom"/>
          </w:tcPr>
          <w:p>
            <w:pPr>
              <w:spacing w:after="0"/>
              <w:rPr>
                <w:sz w:val="1"/>
                <w:szCs w:val="1"/>
                <w:color w:val="auto"/>
              </w:rPr>
            </w:pPr>
          </w:p>
        </w:tc>
      </w:tr>
      <w:tr>
        <w:trPr>
          <w:trHeight w:val="135"/>
        </w:trPr>
        <w:tc>
          <w:tcPr>
            <w:tcW w:w="430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Period</w:t>
            </w:r>
          </w:p>
        </w:tc>
        <w:tc>
          <w:tcPr>
            <w:tcW w:w="2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Announced Plans</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Programs (Dollars</w:t>
            </w:r>
          </w:p>
        </w:tc>
        <w:tc>
          <w:tcPr>
            <w:tcW w:w="0" w:type="dxa"/>
            <w:vAlign w:val="bottom"/>
          </w:tcPr>
          <w:p>
            <w:pPr>
              <w:spacing w:after="0"/>
              <w:rPr>
                <w:sz w:val="1"/>
                <w:szCs w:val="1"/>
                <w:color w:val="auto"/>
              </w:rPr>
            </w:pPr>
          </w:p>
        </w:tc>
      </w:tr>
      <w:tr>
        <w:trPr>
          <w:trHeight w:val="183"/>
        </w:trPr>
        <w:tc>
          <w:tcPr>
            <w:tcW w:w="4300" w:type="dxa"/>
            <w:vAlign w:val="bottom"/>
            <w:vMerge w:val="continue"/>
          </w:tcPr>
          <w:p>
            <w:pPr>
              <w:spacing w:after="0"/>
              <w:rPr>
                <w:sz w:val="15"/>
                <w:szCs w:val="15"/>
                <w:color w:val="auto"/>
              </w:rPr>
            </w:pPr>
          </w:p>
        </w:tc>
        <w:tc>
          <w:tcPr>
            <w:tcW w:w="2700" w:type="dxa"/>
            <w:vAlign w:val="bottom"/>
            <w:gridSpan w:val="2"/>
          </w:tcPr>
          <w:p>
            <w:pPr>
              <w:jc w:val="center"/>
              <w:ind w:left="1077"/>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 Share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Pr>
          <w:p>
            <w:pPr>
              <w:spacing w:after="0"/>
              <w:rPr>
                <w:sz w:val="15"/>
                <w:szCs w:val="15"/>
                <w:color w:val="auto"/>
              </w:rPr>
            </w:pPr>
          </w:p>
        </w:tc>
        <w:tc>
          <w:tcPr>
            <w:tcW w:w="1220" w:type="dxa"/>
            <w:vAlign w:val="bottom"/>
          </w:tcPr>
          <w:p>
            <w:pPr>
              <w:jc w:val="center"/>
              <w:ind w:right="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430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April 1-30, 2021</w:t>
            </w:r>
          </w:p>
        </w:tc>
        <w:tc>
          <w:tcPr>
            <w:tcW w:w="26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103,225</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223.41</w:t>
            </w:r>
          </w:p>
        </w:tc>
        <w:tc>
          <w:tcPr>
            <w:tcW w:w="120" w:type="dxa"/>
            <w:vAlign w:val="bottom"/>
            <w:tcBorders>
              <w:top w:val="single" w:sz="8" w:color="DBDBDB"/>
            </w:tcBorders>
            <w:shd w:val="clear" w:color="auto" w:fill="DBDBDB"/>
          </w:tcPr>
          <w:p>
            <w:pPr>
              <w:spacing w:after="0"/>
              <w:rPr>
                <w:sz w:val="19"/>
                <w:szCs w:val="19"/>
                <w:color w:val="auto"/>
              </w:rPr>
            </w:pPr>
          </w:p>
        </w:tc>
        <w:tc>
          <w:tcPr>
            <w:tcW w:w="1320" w:type="dxa"/>
            <w:vAlign w:val="bottom"/>
            <w:tcBorders>
              <w:top w:val="single" w:sz="8" w:color="DC202E"/>
            </w:tcBorders>
            <w:shd w:val="clear" w:color="auto" w:fill="DBDBDB"/>
          </w:tcPr>
          <w:p>
            <w:pPr>
              <w:jc w:val="right"/>
              <w:ind w:right="1"/>
              <w:spacing w:after="0"/>
              <w:rPr>
                <w:sz w:val="20"/>
                <w:szCs w:val="20"/>
                <w:color w:val="auto"/>
              </w:rPr>
            </w:pPr>
            <w:r>
              <w:rPr>
                <w:rFonts w:ascii="Arial" w:cs="Arial" w:eastAsia="Arial" w:hAnsi="Arial"/>
                <w:sz w:val="18"/>
                <w:szCs w:val="18"/>
                <w:color w:val="auto"/>
              </w:rPr>
              <w:t>103,225</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DC202E"/>
            </w:tcBorders>
            <w:shd w:val="clear" w:color="auto" w:fill="DBDBDB"/>
          </w:tcPr>
          <w:p>
            <w:pPr>
              <w:jc w:val="right"/>
              <w:ind w:right="1"/>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May 1-31, 2021</w:t>
            </w:r>
          </w:p>
        </w:tc>
        <w:tc>
          <w:tcPr>
            <w:tcW w:w="2600" w:type="dxa"/>
            <w:vAlign w:val="bottom"/>
          </w:tcPr>
          <w:p>
            <w:pPr>
              <w:jc w:val="right"/>
              <w:spacing w:after="0"/>
              <w:rPr>
                <w:sz w:val="20"/>
                <w:szCs w:val="20"/>
                <w:color w:val="auto"/>
              </w:rPr>
            </w:pPr>
            <w:r>
              <w:rPr>
                <w:rFonts w:ascii="Arial" w:cs="Arial" w:eastAsia="Arial" w:hAnsi="Arial"/>
                <w:sz w:val="18"/>
                <w:szCs w:val="18"/>
                <w:color w:val="auto"/>
              </w:rPr>
              <w:t>2,361,275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224.48</w:t>
            </w:r>
          </w:p>
        </w:tc>
        <w:tc>
          <w:tcPr>
            <w:tcW w:w="12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2,361,275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29"/>
        </w:trPr>
        <w:tc>
          <w:tcPr>
            <w:tcW w:w="4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June 1-30, 2021</w:t>
            </w:r>
          </w:p>
        </w:tc>
        <w:tc>
          <w:tcPr>
            <w:tcW w:w="2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2,145,844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220.98</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
              <w:spacing w:after="0"/>
              <w:rPr>
                <w:sz w:val="20"/>
                <w:szCs w:val="20"/>
                <w:color w:val="auto"/>
              </w:rPr>
            </w:pPr>
            <w:r>
              <w:rPr>
                <w:rFonts w:ascii="Arial" w:cs="Arial" w:eastAsia="Arial" w:hAnsi="Arial"/>
                <w:sz w:val="18"/>
                <w:szCs w:val="18"/>
                <w:color w:val="auto"/>
              </w:rPr>
              <w:t>2,145,844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ind w:right="1"/>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5. OTHER INFORMATION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10, 2021, Honeywell voluntarily withdrew the listing of its common stock, par value $1.00 per share (the Common Stock), and the listings of its 1.300% Senior Notes due 2023, 0.000% Senior Notes due 2024, 2.250% Senior Notes due 2028, and 0.750% Senior Notes due 2032 (collectively, the Notes), from the New York Stock Exchange (NYSE) and transferred the listings to The Nasdaq Stock Market LLC (Nasdaq). Exhibits 10.1 through 10.7 were all impacted by the transfer of our Common Stock and Notes to the Nasdaq.</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Mr. Rajeev Gautam, President and Chief Executive Officer of Performance Materials and Technologies will retire from the Company on August 13, 2021 (the Retirement Date). Following the Retirement Date and through January 31, 2022 (the Consulting Period), Mr. Gautam will serve as President Emeritus, Honeywell Performance Materials and Technologies, with responsibility for ensuring smooth customer transitions across Performance Materials and Technologies and helping enable growth within the Honeywell UOP business unit.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20, 2021, in consideration for Mr. Gautam’s agreement to serve in this capacity during the Consulting Period and extend the time period of his existing non-solicitation and non-compete covenants from two years to three years, the Company and Mr. Gautam entered into a Retirement Agreement and a Consulting Agreement that together provide Mr. Gautam with the following benefits: (i) Mr. Gautam will receive a service fee of $15,000 per month throughout the Consulting Period, (ii) the outstanding restricted stock units previously awarded to Mr. Gautam that are unvested at the time of his retirement shall remain outstanding and continue to vest as scheduled pursuant to their existing terms and conditions, including the satisfaction of any applicable Company performance requirements, (iii) all outstanding stock options that are unvested at the time of his retirement shall remain outstanding and continue to vest as scheduled and shall remain exercisable for the full term of the option, (iv) the outstanding performance stock units previously awarded to Mr. Gautam that are unvested at the time of his retirement shall remain outstanding and continue to vest as scheduled pursuant to their existing terms and conditions, including the satisfaction of any applicable Company performance requirements, and (v) Mr. Gautam shall be eligible to receive a short-term incentive award for the 2021 performance year at the funding levels to be authorized by the Company’s Board of Directors, pro -rated to the Retirement Date, based upon Mr. Gautam’s individual performance, Performance Materials and Technologies performance, and overall Company performance. The foregoing description of Mr. Gautam’s Retirement Agreement and Consulting Agreement is not intended to be complete and is qualified in its entirety by reference to the agreements,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spacing w:after="0"/>
        <w:rPr>
          <w:sz w:val="20"/>
          <w:szCs w:val="20"/>
          <w:color w:val="auto"/>
        </w:rPr>
      </w:pPr>
      <w:r>
        <w:rPr>
          <w:rFonts w:ascii="Arial" w:cs="Arial" w:eastAsia="Arial" w:hAnsi="Arial"/>
          <w:sz w:val="25"/>
          <w:szCs w:val="25"/>
          <w:b w:val="1"/>
          <w:bCs w:val="1"/>
          <w:color w:val="auto"/>
        </w:rPr>
        <w:t>ITEM 6. EXHIBITS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gridSpan w:val="13"/>
            <w:vMerge w:val="restart"/>
          </w:tcPr>
          <w:p>
            <w:pPr>
              <w:ind w:left="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1440" w:type="dxa"/>
            <w:vAlign w:val="bottom"/>
            <w:tcBorders>
              <w:bottom w:val="single" w:sz="8" w:color="EE2724"/>
            </w:tcBorders>
          </w:tcPr>
          <w:p>
            <w:pPr>
              <w:jc w:val="right"/>
              <w:ind w:right="650"/>
              <w:spacing w:after="0"/>
              <w:rPr>
                <w:sz w:val="20"/>
                <w:szCs w:val="20"/>
                <w:color w:val="auto"/>
              </w:rPr>
            </w:pPr>
            <w:r>
              <w:rPr>
                <w:rFonts w:ascii="Arial" w:cs="Arial" w:eastAsia="Arial" w:hAnsi="Arial"/>
                <w:sz w:val="18"/>
                <w:szCs w:val="18"/>
                <w:b w:val="1"/>
                <w:bCs w:val="1"/>
                <w:color w:val="auto"/>
              </w:rPr>
              <w:t>No.</w:t>
            </w:r>
          </w:p>
        </w:tc>
        <w:tc>
          <w:tcPr>
            <w:tcW w:w="20" w:type="dxa"/>
            <w:vAlign w:val="bottom"/>
            <w:tcBorders>
              <w:bottom w:val="single" w:sz="8" w:color="DC202E"/>
            </w:tcBorders>
          </w:tcPr>
          <w:p>
            <w:pPr>
              <w:spacing w:after="0"/>
              <w:rPr>
                <w:sz w:val="20"/>
                <w:szCs w:val="20"/>
                <w:color w:val="auto"/>
              </w:rPr>
            </w:pPr>
          </w:p>
        </w:tc>
        <w:tc>
          <w:tcPr>
            <w:tcW w:w="740" w:type="dxa"/>
            <w:vAlign w:val="bottom"/>
            <w:tcBorders>
              <w:bottom w:val="single" w:sz="8" w:color="DC202E"/>
            </w:tcBorders>
          </w:tcPr>
          <w:p>
            <w:pPr>
              <w:spacing w:after="0"/>
              <w:rPr>
                <w:sz w:val="20"/>
                <w:szCs w:val="20"/>
                <w:color w:val="auto"/>
              </w:rPr>
            </w:pPr>
          </w:p>
        </w:tc>
        <w:tc>
          <w:tcPr>
            <w:tcW w:w="440" w:type="dxa"/>
            <w:vAlign w:val="bottom"/>
            <w:tcBorders>
              <w:bottom w:val="single" w:sz="8" w:color="DC202E"/>
            </w:tcBorders>
          </w:tcPr>
          <w:p>
            <w:pPr>
              <w:spacing w:after="0"/>
              <w:rPr>
                <w:sz w:val="20"/>
                <w:szCs w:val="20"/>
                <w:color w:val="auto"/>
              </w:rPr>
            </w:pPr>
          </w:p>
        </w:tc>
        <w:tc>
          <w:tcPr>
            <w:tcW w:w="2560" w:type="dxa"/>
            <w:vAlign w:val="bottom"/>
            <w:tcBorders>
              <w:bottom w:val="single" w:sz="8" w:color="DC202E"/>
            </w:tcBorders>
          </w:tcPr>
          <w:p>
            <w:pPr>
              <w:spacing w:after="0"/>
              <w:rPr>
                <w:sz w:val="20"/>
                <w:szCs w:val="20"/>
                <w:color w:val="auto"/>
              </w:rPr>
            </w:pPr>
          </w:p>
        </w:tc>
        <w:tc>
          <w:tcPr>
            <w:tcW w:w="160" w:type="dxa"/>
            <w:vAlign w:val="bottom"/>
            <w:tcBorders>
              <w:bottom w:val="single" w:sz="8" w:color="DC202E"/>
            </w:tcBorders>
          </w:tcPr>
          <w:p>
            <w:pPr>
              <w:spacing w:after="0"/>
              <w:rPr>
                <w:sz w:val="20"/>
                <w:szCs w:val="20"/>
                <w:color w:val="auto"/>
              </w:rPr>
            </w:pPr>
          </w:p>
        </w:tc>
        <w:tc>
          <w:tcPr>
            <w:tcW w:w="5860" w:type="dxa"/>
            <w:vAlign w:val="bottom"/>
            <w:tcBorders>
              <w:bottom w:val="single" w:sz="8" w:color="DC202E"/>
            </w:tcBorders>
            <w:gridSpan w:val="1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4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9760" w:type="dxa"/>
            <w:vAlign w:val="bottom"/>
            <w:gridSpan w:val="17"/>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Omnibus Amendment to Certain Honeywell Plans and Agreements (filed herewith)</w:t>
              </w:r>
            </w:hyperlink>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56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660" w:type="dxa"/>
            <w:vAlign w:val="bottom"/>
            <w:tcBorders>
              <w:top w:val="single" w:sz="8" w:color="0000FF"/>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56">
              <w:r>
                <w:rPr>
                  <w:rFonts w:ascii="Arial" w:cs="Arial" w:eastAsia="Arial" w:hAnsi="Arial"/>
                  <w:sz w:val="18"/>
                  <w:szCs w:val="18"/>
                  <w:color w:val="0000FF"/>
                </w:rPr>
                <w:t>2016 Stock Incentive Plan of Honeywell International Inc. and its Affiliates – Form of Stock Option Award Agreement (filed</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herewith)</w:t>
              </w:r>
            </w:hyperlink>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64">
              <w:r>
                <w:rPr>
                  <w:rFonts w:ascii="Arial" w:cs="Arial" w:eastAsia="Arial" w:hAnsi="Arial"/>
                  <w:sz w:val="18"/>
                  <w:szCs w:val="18"/>
                  <w:color w:val="0000FF"/>
                </w:rPr>
                <w:t>2016 Stock Incentive Plan of Honeywell International Inc. and its Affiliates – Form of Restricted Unit Agreement (filed</w:t>
              </w:r>
            </w:hyperlink>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tcBorders>
              <w:top w:val="single" w:sz="8" w:color="0000FF"/>
            </w:tcBorders>
            <w:gridSpan w:val="6"/>
          </w:tcPr>
          <w:p>
            <w:pPr>
              <w:spacing w:after="0" w:line="149" w:lineRule="exact"/>
              <w:rPr>
                <w:rFonts w:ascii="Arial" w:cs="Arial" w:eastAsia="Arial" w:hAnsi="Arial"/>
                <w:sz w:val="17"/>
                <w:szCs w:val="17"/>
                <w:color w:val="0000FF"/>
              </w:rPr>
            </w:pPr>
            <w:hyperlink w:anchor="page64">
              <w:r>
                <w:rPr>
                  <w:rFonts w:ascii="Arial" w:cs="Arial" w:eastAsia="Arial" w:hAnsi="Arial"/>
                  <w:sz w:val="17"/>
                  <w:szCs w:val="17"/>
                  <w:color w:val="0000FF"/>
                </w:rPr>
                <w:t>herewith)</w:t>
              </w:r>
            </w:hyperlink>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2016 Stock Incentive Plan of Honeywell International Inc. and its Affiliates – Form of Restricted Unit Agreement, Form 2</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73">
              <w:r>
                <w:rPr>
                  <w:rFonts w:ascii="Arial" w:cs="Arial" w:eastAsia="Arial" w:hAnsi="Arial"/>
                  <w:sz w:val="18"/>
                  <w:szCs w:val="18"/>
                  <w:color w:val="0000FF"/>
                </w:rPr>
                <w:t>(filed herewith)</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83">
              <w:r>
                <w:rPr>
                  <w:rFonts w:ascii="Arial" w:cs="Arial" w:eastAsia="Arial" w:hAnsi="Arial"/>
                  <w:sz w:val="18"/>
                  <w:szCs w:val="18"/>
                  <w:color w:val="0000FF"/>
                </w:rPr>
                <w:t>2016 Stock Incentive Plan of Honeywell International Inc. and its Affiliates – Form of Performance Plan Grant Agreement</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83">
              <w:r>
                <w:rPr>
                  <w:rFonts w:ascii="Arial" w:cs="Arial" w:eastAsia="Arial" w:hAnsi="Arial"/>
                  <w:sz w:val="18"/>
                  <w:szCs w:val="18"/>
                  <w:color w:val="0000FF"/>
                </w:rPr>
                <w:t>(filed herewith)</w:t>
              </w:r>
            </w:hyperlink>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92">
              <w:r>
                <w:rPr>
                  <w:rFonts w:ascii="Arial" w:cs="Arial" w:eastAsia="Arial" w:hAnsi="Arial"/>
                  <w:sz w:val="18"/>
                  <w:szCs w:val="18"/>
                  <w:color w:val="0000FF"/>
                </w:rPr>
                <w:t>2016 Stock Plan for Non-Employee Directors of Honeywell International Inc. – Form of Stock Option Award Agreement</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(filed herewith)</w:t>
              </w:r>
            </w:hyperlink>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98">
              <w:r>
                <w:rPr>
                  <w:rFonts w:ascii="Arial" w:cs="Arial" w:eastAsia="Arial" w:hAnsi="Arial"/>
                  <w:sz w:val="18"/>
                  <w:szCs w:val="18"/>
                  <w:color w:val="0000FF"/>
                </w:rPr>
                <w:t>2016 Stock Plan for Non-Employee Directors of Honeywell International Inc. – Form of Restricted Unit Agreement (filed</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herewith)</w:t>
              </w:r>
            </w:hyperlink>
          </w:p>
        </w:tc>
        <w:tc>
          <w:tcPr>
            <w:tcW w:w="2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103">
              <w:r>
                <w:rPr>
                  <w:rFonts w:ascii="Arial" w:cs="Arial" w:eastAsia="Arial" w:hAnsi="Arial"/>
                  <w:sz w:val="18"/>
                  <w:szCs w:val="18"/>
                  <w:color w:val="0000FF"/>
                </w:rPr>
                <w:t>Retirement Agreement dated July 20, 2021 between Honeywell International Inc. and Rajeev Gautam, and Exhibit A</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w:anchor="page103">
              <w:r>
                <w:rPr>
                  <w:rFonts w:ascii="Arial" w:cs="Arial" w:eastAsia="Arial" w:hAnsi="Arial"/>
                  <w:sz w:val="18"/>
                  <w:szCs w:val="18"/>
                  <w:color w:val="0000FF"/>
                </w:rPr>
                <w:t>(Consulting Agreement) thereto (filed herewith)</w:t>
              </w:r>
            </w:hyperlink>
          </w:p>
        </w:tc>
        <w:tc>
          <w:tcPr>
            <w:tcW w:w="420" w:type="dxa"/>
            <w:vAlign w:val="bottom"/>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56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120">
              <w:r>
                <w:rPr>
                  <w:rFonts w:ascii="Arial" w:cs="Arial" w:eastAsia="Arial" w:hAnsi="Arial"/>
                  <w:sz w:val="18"/>
                  <w:szCs w:val="18"/>
                  <w:color w:val="0000FF"/>
                </w:rPr>
                <w:t>Certification of Principal Executive Officer Pursuant to Section 302 of the Sarbanes-Oxley Act of 2002 (furnished herewith)</w:t>
              </w:r>
            </w:hyperlink>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5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660" w:type="dxa"/>
            <w:vAlign w:val="bottom"/>
            <w:tcBorders>
              <w:top w:val="single" w:sz="8" w:color="0000FF"/>
              <w:bottom w:val="single" w:sz="8" w:color="auto"/>
            </w:tcBorders>
          </w:tcPr>
          <w:p>
            <w:pPr>
              <w:spacing w:after="0" w:line="20" w:lineRule="exact"/>
              <w:rPr>
                <w:sz w:val="1"/>
                <w:szCs w:val="1"/>
                <w:color w:val="auto"/>
              </w:rPr>
            </w:pPr>
          </w:p>
        </w:tc>
        <w:tc>
          <w:tcPr>
            <w:tcW w:w="23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121">
              <w:r>
                <w:rPr>
                  <w:rFonts w:ascii="Arial" w:cs="Arial" w:eastAsia="Arial" w:hAnsi="Arial"/>
                  <w:sz w:val="18"/>
                  <w:szCs w:val="18"/>
                  <w:color w:val="0000FF"/>
                </w:rPr>
                <w:t>Certification of Principal Financial Officer Pursuant to Section 302 of the Sarbanes-Oxley Act of 2002 (furnished herewith)</w:t>
              </w:r>
            </w:hyperlink>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5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660" w:type="dxa"/>
            <w:vAlign w:val="bottom"/>
            <w:tcBorders>
              <w:top w:val="single" w:sz="8" w:color="0000FF"/>
              <w:bottom w:val="single" w:sz="8" w:color="auto"/>
            </w:tcBorders>
          </w:tcPr>
          <w:p>
            <w:pPr>
              <w:spacing w:after="0" w:line="20" w:lineRule="exact"/>
              <w:rPr>
                <w:sz w:val="1"/>
                <w:szCs w:val="1"/>
                <w:color w:val="auto"/>
              </w:rPr>
            </w:pPr>
          </w:p>
        </w:tc>
        <w:tc>
          <w:tcPr>
            <w:tcW w:w="23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122">
              <w:r>
                <w:rPr>
                  <w:rFonts w:ascii="Arial" w:cs="Arial" w:eastAsia="Arial" w:hAnsi="Arial"/>
                  <w:sz w:val="18"/>
                  <w:szCs w:val="18"/>
                  <w:color w:val="0000FF"/>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22">
              <w:r>
                <w:rPr>
                  <w:rFonts w:ascii="Arial" w:cs="Arial" w:eastAsia="Arial" w:hAnsi="Arial"/>
                  <w:sz w:val="18"/>
                  <w:szCs w:val="18"/>
                  <w:color w:val="0000FF"/>
                </w:rPr>
                <w:t>Sarbanes-Oxley Act of 2002 (furnished herewith)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5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5"/>
                <w:szCs w:val="15"/>
                <w:color w:val="auto"/>
              </w:rPr>
            </w:pPr>
          </w:p>
        </w:tc>
        <w:tc>
          <w:tcPr>
            <w:tcW w:w="9760" w:type="dxa"/>
            <w:vAlign w:val="bottom"/>
            <w:gridSpan w:val="17"/>
          </w:tcPr>
          <w:p>
            <w:pPr>
              <w:spacing w:after="0" w:line="182" w:lineRule="exact"/>
              <w:rPr>
                <w:rFonts w:ascii="Arial" w:cs="Arial" w:eastAsia="Arial" w:hAnsi="Arial"/>
                <w:sz w:val="18"/>
                <w:szCs w:val="18"/>
                <w:color w:val="0000FF"/>
              </w:rPr>
            </w:pPr>
            <w:hyperlink w:anchor="page123">
              <w:r>
                <w:rPr>
                  <w:rFonts w:ascii="Arial" w:cs="Arial" w:eastAsia="Arial" w:hAnsi="Arial"/>
                  <w:sz w:val="18"/>
                  <w:szCs w:val="18"/>
                  <w:color w:val="0000FF"/>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23">
              <w:r>
                <w:rPr>
                  <w:rFonts w:ascii="Arial" w:cs="Arial" w:eastAsia="Arial" w:hAnsi="Arial"/>
                  <w:sz w:val="18"/>
                  <w:szCs w:val="18"/>
                  <w:color w:val="0000FF"/>
                </w:rPr>
                <w:t>Sarbanes-Oxley Act of 2002 (furnished herewith)</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5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80" w:hanging="583"/>
        <w:spacing w:after="0"/>
        <w:tabs>
          <w:tab w:leader="none" w:pos="1480" w:val="left"/>
        </w:tabs>
        <w:numPr>
          <w:ilvl w:val="0"/>
          <w:numId w:val="29"/>
        </w:numPr>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Mine Safety Disclosures (filed herewith)</w:t>
        </w:r>
      </w:hyperlink>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8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101.INS</w:t>
            </w:r>
          </w:p>
        </w:tc>
        <w:tc>
          <w:tcPr>
            <w:tcW w:w="9920" w:type="dxa"/>
            <w:vAlign w:val="bottom"/>
            <w:tcBorders>
              <w:top w:val="single" w:sz="8" w:color="auto"/>
            </w:tcBorders>
          </w:tcPr>
          <w:p>
            <w:pPr>
              <w:ind w:left="180"/>
              <w:spacing w:after="0" w:line="182" w:lineRule="exact"/>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w:t>
            </w:r>
          </w:p>
        </w:tc>
      </w:tr>
      <w:tr>
        <w:trPr>
          <w:trHeight w:val="217"/>
        </w:trPr>
        <w:tc>
          <w:tcPr>
            <w:tcW w:w="1280" w:type="dxa"/>
            <w:vAlign w:val="bottom"/>
            <w:tcBorders>
              <w:bottom w:val="single" w:sz="8" w:color="auto"/>
            </w:tcBorders>
          </w:tcPr>
          <w:p>
            <w:pPr>
              <w:spacing w:after="0"/>
              <w:rPr>
                <w:sz w:val="18"/>
                <w:szCs w:val="18"/>
                <w:color w:val="auto"/>
              </w:rPr>
            </w:pP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tags are embedded within the Inline XBRL document)</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101.SCH</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Schema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101.CAL</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101.DEF</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101.LAB</w:t>
            </w:r>
          </w:p>
        </w:tc>
        <w:tc>
          <w:tcPr>
            <w:tcW w:w="9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223"/>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101.PRE</w:t>
            </w:r>
          </w:p>
        </w:tc>
        <w:tc>
          <w:tcPr>
            <w:tcW w:w="992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 w:lineRule="exact"/>
        <w:rPr>
          <w:sz w:val="20"/>
          <w:szCs w:val="20"/>
          <w:color w:val="auto"/>
        </w:rPr>
      </w:pPr>
    </w:p>
    <w:p>
      <w:pPr>
        <w:ind w:right="2440" w:firstLine="797"/>
        <w:spacing w:after="0" w:line="637" w:lineRule="auto"/>
        <w:tabs>
          <w:tab w:leader="none" w:pos="14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in Exhibit 101) </w:t>
      </w:r>
      <w:r>
        <w:rPr>
          <w:rFonts w:ascii="Arial" w:cs="Arial" w:eastAsia="Arial" w:hAnsi="Arial"/>
          <w:sz w:val="18"/>
          <w:szCs w:val="18"/>
          <w:color w:val="212529"/>
        </w:rPr>
        <w:t>The Exhibits identified with an asterisk (*) are management contracts or compensatory plans or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auto"/>
        </w:rPr>
        <w:t>SIGNATURES</w:t>
      </w:r>
    </w:p>
    <w:p>
      <w:pPr>
        <w:spacing w:after="0" w:line="1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Honeywell International Inc.</w:t>
      </w:r>
    </w:p>
    <w:p>
      <w:pPr>
        <w:spacing w:after="0" w:line="252" w:lineRule="exact"/>
        <w:rPr>
          <w:sz w:val="20"/>
          <w:szCs w:val="20"/>
          <w:color w:val="auto"/>
        </w:rPr>
      </w:pPr>
    </w:p>
    <w:p>
      <w:pPr>
        <w:ind w:left="20"/>
        <w:spacing w:after="0"/>
        <w:tabs>
          <w:tab w:leader="none" w:pos="6760" w:val="left"/>
          <w:tab w:leader="none" w:pos="7280" w:val="left"/>
        </w:tabs>
        <w:rPr>
          <w:sz w:val="20"/>
          <w:szCs w:val="20"/>
          <w:color w:val="auto"/>
        </w:rPr>
      </w:pPr>
      <w:r>
        <w:rPr>
          <w:rFonts w:ascii="Arial" w:cs="Arial" w:eastAsia="Arial" w:hAnsi="Arial"/>
          <w:sz w:val="18"/>
          <w:szCs w:val="18"/>
          <w:color w:val="auto"/>
        </w:rPr>
        <w:t>Date: July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6350</wp:posOffset>
            </wp:positionV>
            <wp:extent cx="24949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8"/>
          <w:szCs w:val="18"/>
          <w:color w:val="auto"/>
        </w:rPr>
        <w:t>Robert D. Mailloux</w:t>
      </w:r>
    </w:p>
    <w:p>
      <w:pPr>
        <w:ind w:left="7300"/>
        <w:spacing w:after="0" w:line="203" w:lineRule="auto"/>
        <w:rPr>
          <w:sz w:val="20"/>
          <w:szCs w:val="20"/>
          <w:color w:val="auto"/>
        </w:rPr>
      </w:pPr>
      <w:r>
        <w:rPr>
          <w:rFonts w:ascii="Arial" w:cs="Arial" w:eastAsia="Arial" w:hAnsi="Arial"/>
          <w:sz w:val="18"/>
          <w:szCs w:val="18"/>
          <w:color w:val="auto"/>
        </w:rPr>
        <w:t>Vice President and Controller</w:t>
      </w:r>
    </w:p>
    <w:p>
      <w:pPr>
        <w:ind w:left="7300"/>
        <w:spacing w:after="0" w:line="203" w:lineRule="auto"/>
        <w:rPr>
          <w:sz w:val="20"/>
          <w:szCs w:val="20"/>
          <w:color w:val="auto"/>
        </w:rPr>
      </w:pPr>
      <w:r>
        <w:rPr>
          <w:rFonts w:ascii="Arial" w:cs="Arial" w:eastAsia="Arial" w:hAnsi="Arial"/>
          <w:sz w:val="18"/>
          <w:szCs w:val="18"/>
          <w:color w:val="auto"/>
        </w:rPr>
        <w:t>(on behalf of the Registrant</w:t>
      </w:r>
    </w:p>
    <w:p>
      <w:pPr>
        <w:ind w:left="7300"/>
        <w:spacing w:after="0" w:line="204" w:lineRule="auto"/>
        <w:rPr>
          <w:sz w:val="20"/>
          <w:szCs w:val="20"/>
          <w:color w:val="auto"/>
        </w:rPr>
      </w:pPr>
      <w:r>
        <w:rPr>
          <w:rFonts w:ascii="Arial" w:cs="Arial" w:eastAsia="Arial" w:hAnsi="Arial"/>
          <w:sz w:val="18"/>
          <w:szCs w:val="18"/>
          <w:color w:val="auto"/>
        </w:rPr>
        <w:t>and as the Registrant’s</w:t>
      </w:r>
    </w:p>
    <w:p>
      <w:pPr>
        <w:ind w:left="73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51 </w:t>
      </w:r>
      <w:r>
        <w:rPr>
          <w:rFonts w:ascii="Arial" w:cs="Arial" w:eastAsia="Arial" w:hAnsi="Arial"/>
          <w:sz w:val="18"/>
          <w:szCs w:val="18"/>
          <w:color w:val="000000"/>
        </w:rPr>
        <w:t>Honeywell International Inc.</w:t>
      </w:r>
    </w:p>
    <w:p>
      <w:pPr>
        <w:sectPr>
          <w:pgSz w:w="11900" w:h="16838" w:orient="portrait"/>
          <w:cols w:equalWidth="0" w:num="1">
            <w:col w:w="11220"/>
          </w:cols>
          <w:pgMar w:left="320" w:top="879"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AMENDMENT</w:t>
      </w:r>
    </w:p>
    <w:p>
      <w:pPr>
        <w:jc w:val="center"/>
        <w:spacing w:after="0" w:line="223" w:lineRule="auto"/>
        <w:rPr>
          <w:sz w:val="20"/>
          <w:szCs w:val="20"/>
          <w:color w:val="auto"/>
        </w:rPr>
      </w:pPr>
      <w:r>
        <w:rPr>
          <w:rFonts w:ascii="Arial" w:cs="Arial" w:eastAsia="Arial" w:hAnsi="Arial"/>
          <w:sz w:val="18"/>
          <w:szCs w:val="18"/>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HONEYWELL PLANS AND AGREEMENTS</w:t>
      </w:r>
    </w:p>
    <w:p>
      <w:pPr>
        <w:spacing w:after="0" w:line="225" w:lineRule="exact"/>
        <w:rPr>
          <w:sz w:val="20"/>
          <w:szCs w:val="20"/>
          <w:color w:val="auto"/>
        </w:rPr>
      </w:pPr>
    </w:p>
    <w:p>
      <w:pPr>
        <w:ind w:right="200" w:firstLine="648"/>
        <w:spacing w:after="0" w:line="229" w:lineRule="auto"/>
        <w:rPr>
          <w:sz w:val="20"/>
          <w:szCs w:val="20"/>
          <w:color w:val="auto"/>
        </w:rPr>
      </w:pPr>
      <w:r>
        <w:rPr>
          <w:rFonts w:ascii="Arial" w:cs="Arial" w:eastAsia="Arial" w:hAnsi="Arial"/>
          <w:sz w:val="18"/>
          <w:szCs w:val="18"/>
          <w:color w:val="auto"/>
        </w:rPr>
        <w:t>Pursuant to the authority granted to proper officers of Honeywell International Inc. by the Management Development and Compensation Committee of the Board of Directors on February 12, 2021, the plans and agreements listed in Item 2 below (the “Plans and Agreements”) shall be, and they hereby are, amended effective May 11, 2021, in the following particulars:</w:t>
      </w:r>
    </w:p>
    <w:p>
      <w:pPr>
        <w:spacing w:after="0" w:line="218" w:lineRule="exact"/>
        <w:rPr>
          <w:sz w:val="20"/>
          <w:szCs w:val="20"/>
          <w:color w:val="auto"/>
        </w:rPr>
      </w:pPr>
    </w:p>
    <w:p>
      <w:pPr>
        <w:ind w:right="60" w:firstLine="656"/>
        <w:spacing w:after="0" w:line="235" w:lineRule="auto"/>
        <w:tabs>
          <w:tab w:leader="none" w:pos="8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all references to the “New York Stock Exchange” or “NYSE” in the Plans and Agreements are replaced with references to the “The Nasdaq Stock Market LLC” or “Nasdaq,” as applicable.</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Plans and Agreements subject to this Amendment are the following:</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Incentive Plan of Honeywell International Inc. and its Affiliates,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2011 Stock Incentive Plan of Honeywell International Inc. and its Affiliates,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2006 Stock Incentive Plan of Honeywell International Inc. and its Affiliates,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Plan for Non-Employee Directors of Honeywell International Inc.,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2006 Stock Plan for Non-Employee Directors of Honeywell International Inc.,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Honeywell International Inc. Incentive Compensation Plan for Executive Employees,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2007 Honeywell Global Employee Stock Plan</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Deferred Compensation Plan for Non-Employee Directors of Honeywell International Inc., as amended</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Incentive Plan of Honeywell International Inc. and its Affiliates – Form of Stock Option Award Agreement</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Incentive Plan of Honeywell International Inc. and its Affiliates – Form of Restricted Unit Agreement</w:t>
      </w:r>
    </w:p>
    <w:p>
      <w:pPr>
        <w:ind w:left="1960" w:right="420" w:hanging="332"/>
        <w:spacing w:after="0" w:line="219"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Incentive Plan of Honeywell International Inc. and its Affiliates – Form of Restricted Unit Agreement, Form 2</w:t>
      </w:r>
    </w:p>
    <w:p>
      <w:pPr>
        <w:ind w:left="1960" w:right="640" w:hanging="332"/>
        <w:spacing w:after="0" w:line="219"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Incentive Plan of Honeywell International Inc. and its Affiliates – Form of Performance Plan Grant Agreement</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2011 Stock Incentive Plan of Honeywell International Inc. and its Affiliates – Form of Stock Option Award Agreement</w:t>
      </w:r>
    </w:p>
    <w:p>
      <w:pPr>
        <w:ind w:left="1960" w:hanging="332"/>
        <w:spacing w:after="0" w:line="219"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2011 Stock Incentive Plan of Honeywell International Inc. and its Affiliates – Form of Stock Option Award Agreement, Form 2</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2011 Stock Incentive Plan of Honeywell International Inc. and its Affiliates – Form of Restricted Unit Agreement</w:t>
      </w:r>
    </w:p>
    <w:p>
      <w:pPr>
        <w:ind w:left="1960" w:right="420" w:hanging="332"/>
        <w:spacing w:after="0" w:line="219"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2011 Stock Incentive Plan of Honeywell International Inc. and its Affiliates – Form of Restricted Unit Agreement, Form 2</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2006 Stock Incentive Plan of Honeywell International Inc. and its Affiliates - Form of Option Award Agreement</w:t>
      </w:r>
    </w:p>
    <w:p>
      <w:pPr>
        <w:ind w:left="1960" w:right="80" w:hanging="332"/>
        <w:spacing w:after="0" w:line="219"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2006 Stock Incentive Plan of Honeywell International Inc. and its Affiliates - Form of Option Award Agreement, Form 2</w:t>
      </w:r>
    </w:p>
    <w:p>
      <w:pPr>
        <w:ind w:left="1960" w:right="800" w:hanging="332"/>
        <w:spacing w:after="0" w:line="219"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Plan for Non-Employee Directors of Honeywell International Inc. – Form of Stock Option Award Agreement</w:t>
      </w:r>
    </w:p>
    <w:p>
      <w:pPr>
        <w:ind w:left="1940" w:hanging="312"/>
        <w:spacing w:after="0" w:line="219" w:lineRule="auto"/>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2016 Stock Plan for Non-Employee Directors of Honeywell International Inc. – Form of Restricted Unit Agreement</w:t>
      </w:r>
    </w:p>
    <w:p>
      <w:pPr>
        <w:ind w:left="1940" w:hanging="312"/>
        <w:spacing w:after="0"/>
        <w:tabs>
          <w:tab w:leader="none" w:pos="19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2006 Stock Plan for Non-Employee Directors of Honeywell International Inc. - Form of Option Agreement</w:t>
      </w:r>
    </w:p>
    <w:p>
      <w:pPr>
        <w:sectPr>
          <w:pgSz w:w="11900" w:h="16838" w:orient="portrait"/>
          <w:cols w:equalWidth="0" w:num="1">
            <w:col w:w="11240"/>
          </w:cols>
          <w:pgMar w:left="320" w:top="1413" w:right="339" w:bottom="1440" w:gutter="0" w:footer="0" w:header="0"/>
        </w:sectPr>
      </w:pPr>
    </w:p>
    <w:bookmarkStart w:id="54" w:name="page55"/>
    <w:bookmarkEnd w:id="54"/>
    <w:p>
      <w:pPr>
        <w:ind w:left="820" w:hanging="312"/>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2006 Stock Plan for Non-Employee Directors of Honeywell International Inc. - Form of Restricted Unit Agreement</w:t>
      </w:r>
    </w:p>
    <w:p>
      <w:pPr>
        <w:ind w:left="820" w:hanging="31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and all other Plans and Agreements that contain references to the “New York Stock Exchange” or “NYSE”.</w:t>
      </w:r>
    </w:p>
    <w:p>
      <w:pPr>
        <w:spacing w:after="0" w:line="200" w:lineRule="exact"/>
        <w:rPr>
          <w:sz w:val="20"/>
          <w:szCs w:val="20"/>
          <w:color w:val="auto"/>
        </w:rPr>
      </w:pPr>
    </w:p>
    <w:p>
      <w:pPr>
        <w:spacing w:after="0" w:line="24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HONEYWELL INTERNATIONAL INC.</w:t>
      </w:r>
    </w:p>
    <w:p>
      <w:pPr>
        <w:spacing w:after="0" w:line="200" w:lineRule="exact"/>
        <w:rPr>
          <w:sz w:val="20"/>
          <w:szCs w:val="20"/>
          <w:color w:val="auto"/>
        </w:rPr>
      </w:pPr>
    </w:p>
    <w:p>
      <w:pPr>
        <w:spacing w:after="0" w:line="286" w:lineRule="exact"/>
        <w:rPr>
          <w:sz w:val="20"/>
          <w:szCs w:val="20"/>
          <w:color w:val="auto"/>
        </w:rPr>
      </w:pPr>
    </w:p>
    <w:p>
      <w:pPr>
        <w:ind w:left="2120"/>
        <w:spacing w:after="0"/>
        <w:rPr>
          <w:sz w:val="20"/>
          <w:szCs w:val="20"/>
          <w:color w:val="auto"/>
        </w:rPr>
      </w:pPr>
      <w:r>
        <w:rPr>
          <w:rFonts w:ascii="Arial" w:cs="Arial" w:eastAsia="Arial" w:hAnsi="Arial"/>
          <w:sz w:val="18"/>
          <w:szCs w:val="18"/>
          <w:u w:val="single" w:color="auto"/>
          <w:color w:val="auto"/>
        </w:rPr>
        <w:t>/s/ Karen Mattimore</w:t>
      </w:r>
    </w:p>
    <w:p>
      <w:pPr>
        <w:ind w:left="2120"/>
        <w:spacing w:after="0" w:line="219" w:lineRule="auto"/>
        <w:rPr>
          <w:sz w:val="20"/>
          <w:szCs w:val="20"/>
          <w:color w:val="auto"/>
        </w:rPr>
      </w:pPr>
      <w:r>
        <w:rPr>
          <w:rFonts w:ascii="Arial" w:cs="Arial" w:eastAsia="Arial" w:hAnsi="Arial"/>
          <w:sz w:val="18"/>
          <w:szCs w:val="18"/>
          <w:color w:val="auto"/>
        </w:rPr>
        <w:t>Karen Mattimore</w:t>
      </w:r>
    </w:p>
    <w:p>
      <w:pPr>
        <w:ind w:left="2120"/>
        <w:spacing w:after="0"/>
        <w:rPr>
          <w:sz w:val="20"/>
          <w:szCs w:val="20"/>
          <w:color w:val="auto"/>
        </w:rPr>
      </w:pPr>
      <w:r>
        <w:rPr>
          <w:rFonts w:ascii="Arial" w:cs="Arial" w:eastAsia="Arial" w:hAnsi="Arial"/>
          <w:sz w:val="18"/>
          <w:szCs w:val="18"/>
          <w:color w:val="auto"/>
        </w:rPr>
        <w:t>Senior Vice President &amp; Chief Human Resources Officer</w:t>
      </w:r>
    </w:p>
    <w:p>
      <w:pPr>
        <w:sectPr>
          <w:pgSz w:w="11900" w:h="16838" w:orient="portrait"/>
          <w:cols w:equalWidth="0" w:num="1">
            <w:col w:w="9800"/>
          </w:cols>
          <w:pgMar w:left="1440" w:top="1415" w:right="6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2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STOCK OPTION AWARD AGREEMENT made in Charlotte, North Carolina, as of [DATE] (the “Grant Date”), between Honeywell International Inc. (the “Company”) and [EMPLOYEE NAME] (“Participant”).</w:t>
      </w:r>
    </w:p>
    <w:p>
      <w:pPr>
        <w:spacing w:after="0" w:line="192" w:lineRule="exact"/>
        <w:rPr>
          <w:sz w:val="20"/>
          <w:szCs w:val="20"/>
          <w:color w:val="auto"/>
        </w:rPr>
      </w:pPr>
    </w:p>
    <w:p>
      <w:pPr>
        <w:jc w:val="both"/>
        <w:ind w:firstLine="8"/>
        <w:spacing w:after="0" w:line="233" w:lineRule="auto"/>
        <w:tabs>
          <w:tab w:leader="none" w:pos="216"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The Company has granted you an Option to purchase [NUMBER] Shares of Common Stock,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this Agreement and the 2016 Stock Incentive Plan of Honeywell International Inc. and its Affiliates (the “Plan”). This Option is a nonqualified Option.</w:t>
      </w:r>
    </w:p>
    <w:p>
      <w:pPr>
        <w:spacing w:after="0" w:line="20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The Stock Option Plan Details for this grant can be found on the Morgan Stanley StockPlan Connect website at </w:t>
      </w:r>
      <w:r>
        <w:rPr>
          <w:rFonts w:ascii="Arial" w:cs="Arial" w:eastAsia="Arial" w:hAnsi="Arial"/>
          <w:sz w:val="22"/>
          <w:szCs w:val="22"/>
          <w:u w:val="single" w:color="auto"/>
          <w:color w:val="auto"/>
        </w:rPr>
        <w:t>www.stockplanconnect.com</w:t>
      </w:r>
      <w:r>
        <w:rPr>
          <w:rFonts w:ascii="Arial" w:cs="Arial" w:eastAsia="Arial" w:hAnsi="Arial"/>
          <w:sz w:val="22"/>
          <w:szCs w:val="22"/>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94" w:lineRule="exact"/>
        <w:rPr>
          <w:sz w:val="20"/>
          <w:szCs w:val="20"/>
          <w:color w:val="auto"/>
        </w:rPr>
      </w:pPr>
    </w:p>
    <w:p>
      <w:pPr>
        <w:ind w:firstLine="8"/>
        <w:spacing w:after="0" w:line="243" w:lineRule="auto"/>
        <w:tabs>
          <w:tab w:leader="none" w:pos="216"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The purchase price of the Shares covered by the Option will be [DOLLAR AMOUNT] per Share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Price” or “Grant Price”).</w:t>
      </w:r>
    </w:p>
    <w:p>
      <w:pPr>
        <w:spacing w:after="0" w:line="189" w:lineRule="exact"/>
        <w:rPr>
          <w:rFonts w:ascii="Arial" w:cs="Arial" w:eastAsia="Arial" w:hAnsi="Arial"/>
          <w:sz w:val="22"/>
          <w:szCs w:val="22"/>
          <w:color w:val="auto"/>
        </w:rPr>
      </w:pPr>
    </w:p>
    <w:p>
      <w:pPr>
        <w:jc w:val="both"/>
        <w:ind w:firstLine="8"/>
        <w:spacing w:after="0" w:line="233" w:lineRule="auto"/>
        <w:tabs>
          <w:tab w:leader="none" w:pos="216"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a Termination of Employment due to death or Disability or as otherwise provided in Section 8</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relating to a Change in Control, the Option will become exercisable as provided on the attached Vesting Schedule Table, which is incorporated into, and made a part of, this Agreement.</w:t>
      </w:r>
    </w:p>
    <w:p>
      <w:pPr>
        <w:spacing w:after="0" w:line="194" w:lineRule="exact"/>
        <w:rPr>
          <w:rFonts w:ascii="Arial" w:cs="Arial" w:eastAsia="Arial" w:hAnsi="Arial"/>
          <w:sz w:val="22"/>
          <w:szCs w:val="22"/>
          <w:color w:val="auto"/>
        </w:rPr>
      </w:pPr>
    </w:p>
    <w:p>
      <w:pPr>
        <w:jc w:val="both"/>
        <w:ind w:firstLine="8"/>
        <w:spacing w:after="0" w:line="229" w:lineRule="auto"/>
        <w:tabs>
          <w:tab w:leader="none" w:pos="229"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Term of Option. </w:t>
      </w:r>
      <w:r>
        <w:rPr>
          <w:rFonts w:ascii="Arial" w:cs="Arial" w:eastAsia="Arial" w:hAnsi="Arial"/>
          <w:sz w:val="22"/>
          <w:szCs w:val="22"/>
          <w:color w:val="auto"/>
        </w:rPr>
        <w:t>The Option must be exercised prior to the close of The Nasdaq Stock Market LLC (“Nasdaq”) on the day</w:t>
      </w:r>
      <w:r>
        <w:rPr>
          <w:rFonts w:ascii="Arial" w:cs="Arial" w:eastAsia="Arial" w:hAnsi="Arial"/>
          <w:sz w:val="22"/>
          <w:szCs w:val="22"/>
          <w:b w:val="1"/>
          <w:bCs w:val="1"/>
          <w:color w:val="auto"/>
        </w:rPr>
        <w:t xml:space="preserve"> </w:t>
      </w:r>
      <w:r>
        <w:rPr>
          <w:rFonts w:ascii="Arial" w:cs="Arial" w:eastAsia="Arial" w:hAnsi="Arial"/>
          <w:sz w:val="22"/>
          <w:szCs w:val="22"/>
          <w:color w:val="auto"/>
        </w:rPr>
        <w:t>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spacing w:after="0" w:line="195" w:lineRule="exact"/>
        <w:rPr>
          <w:rFonts w:ascii="Arial" w:cs="Arial" w:eastAsia="Arial" w:hAnsi="Arial"/>
          <w:sz w:val="22"/>
          <w:szCs w:val="22"/>
          <w:color w:val="auto"/>
        </w:rPr>
      </w:pPr>
    </w:p>
    <w:p>
      <w:pPr>
        <w:jc w:val="both"/>
        <w:ind w:firstLine="8"/>
        <w:spacing w:after="0" w:line="229" w:lineRule="auto"/>
        <w:tabs>
          <w:tab w:leader="none" w:pos="243"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Payment of Exercise Price. </w:t>
      </w:r>
      <w:r>
        <w:rPr>
          <w:rFonts w:ascii="Arial" w:cs="Arial" w:eastAsia="Arial" w:hAnsi="Arial"/>
          <w:sz w:val="22"/>
          <w:szCs w:val="22"/>
          <w:color w:val="auto"/>
        </w:rPr>
        <w:t>You may pay the Exercise Price by cash, certified check, bank draft, wire transfer, postal or</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95" w:lineRule="exact"/>
        <w:rPr>
          <w:rFonts w:ascii="Arial" w:cs="Arial" w:eastAsia="Arial" w:hAnsi="Arial"/>
          <w:sz w:val="22"/>
          <w:szCs w:val="22"/>
          <w:color w:val="auto"/>
        </w:rPr>
      </w:pPr>
    </w:p>
    <w:p>
      <w:pPr>
        <w:jc w:val="both"/>
        <w:ind w:firstLine="8"/>
        <w:spacing w:after="0" w:line="269" w:lineRule="auto"/>
        <w:tabs>
          <w:tab w:leader="none" w:pos="229"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Exercise of Option. </w:t>
      </w:r>
      <w:r>
        <w:rPr>
          <w:rFonts w:ascii="Arial" w:cs="Arial" w:eastAsia="Arial" w:hAnsi="Arial"/>
          <w:sz w:val="19"/>
          <w:szCs w:val="19"/>
          <w:color w:val="auto"/>
        </w:rPr>
        <w:t>Subject to the terms and conditions of this Agreement, the Option may be exercised by contacting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Honeywell Stock Option Service Center, managed by Morgan Stanley, by telephone at 1-888-723-3391 or 1-801-617-7414, or on the internet at www.stockplanconnect.com. If the Option is exercised after your death, the Company will deliver Shares only after the Company has determined that the person exercising the Option is the duly appointed executor or administrator of your estate or the person to whom the Option has been transferred by your will or by the applicable laws of descent and distribution.</w:t>
      </w:r>
    </w:p>
    <w:p>
      <w:pPr>
        <w:sectPr>
          <w:pgSz w:w="11900" w:h="16838" w:orient="portrait"/>
          <w:cols w:equalWidth="0" w:num="1">
            <w:col w:w="11240"/>
          </w:cols>
          <w:pgMar w:left="320" w:top="1417"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b w:val="1"/>
          <w:bCs w:val="1"/>
          <w:color w:val="auto"/>
        </w:rPr>
        <w:t>Termination, Retirement, Disability or Death.</w:t>
      </w:r>
      <w:r>
        <w:rPr>
          <w:rFonts w:ascii="Arial" w:cs="Arial" w:eastAsia="Arial" w:hAnsi="Arial"/>
          <w:sz w:val="22"/>
          <w:szCs w:val="22"/>
          <w:color w:val="auto"/>
        </w:rPr>
        <w:t xml:space="preserve"> The Option will vest and remain exercisable as follows: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Event</w:t>
            </w:r>
          </w:p>
        </w:tc>
        <w:tc>
          <w:tcPr>
            <w:tcW w:w="1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Vesting</w:t>
            </w:r>
          </w:p>
        </w:tc>
        <w:tc>
          <w:tcPr>
            <w:tcW w:w="8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right w:val="single" w:sz="8" w:color="auto"/>
            </w:tcBorders>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Exercise</w:t>
            </w:r>
          </w:p>
        </w:tc>
      </w:tr>
      <w:tr>
        <w:trPr>
          <w:trHeight w:val="230"/>
        </w:trPr>
        <w:tc>
          <w:tcPr>
            <w:tcW w:w="374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rPr>
              <w:t>Death</w:t>
            </w:r>
          </w:p>
        </w:tc>
        <w:tc>
          <w:tcPr>
            <w:tcW w:w="3440" w:type="dxa"/>
            <w:vAlign w:val="bottom"/>
            <w:gridSpan w:val="4"/>
          </w:tcPr>
          <w:p>
            <w:pPr>
              <w:ind w:left="20"/>
              <w:spacing w:after="0" w:line="230" w:lineRule="exact"/>
              <w:rPr>
                <w:sz w:val="20"/>
                <w:szCs w:val="20"/>
                <w:color w:val="auto"/>
              </w:rPr>
            </w:pPr>
            <w:r>
              <w:rPr>
                <w:rFonts w:ascii="Arial" w:cs="Arial" w:eastAsia="Arial" w:hAnsi="Arial"/>
                <w:sz w:val="22"/>
                <w:szCs w:val="22"/>
                <w:color w:val="auto"/>
                <w:w w:val="95"/>
              </w:rPr>
              <w:t>Immediate vesting as of Termination</w:t>
            </w:r>
          </w:p>
        </w:tc>
        <w:tc>
          <w:tcPr>
            <w:tcW w:w="280" w:type="dxa"/>
            <w:vAlign w:val="bottom"/>
            <w:tcBorders>
              <w:right w:val="single" w:sz="8" w:color="auto"/>
            </w:tcBorders>
          </w:tcPr>
          <w:p>
            <w:pPr>
              <w:ind w:left="60"/>
              <w:spacing w:after="0" w:line="230"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22"/>
                <w:szCs w:val="22"/>
                <w:color w:val="auto"/>
                <w:w w:val="99"/>
              </w:rPr>
              <w:t>Expires earlier of (i) original expiration</w:t>
            </w:r>
          </w:p>
        </w:tc>
      </w:tr>
      <w:tr>
        <w:trPr>
          <w:trHeight w:val="230"/>
        </w:trPr>
        <w:tc>
          <w:tcPr>
            <w:tcW w:w="3740" w:type="dxa"/>
            <w:vAlign w:val="bottom"/>
            <w:tcBorders>
              <w:left w:val="single" w:sz="8" w:color="auto"/>
              <w:right w:val="single" w:sz="8" w:color="auto"/>
            </w:tcBorders>
          </w:tcPr>
          <w:p>
            <w:pPr>
              <w:spacing w:after="0"/>
              <w:rPr>
                <w:sz w:val="19"/>
                <w:szCs w:val="19"/>
                <w:color w:val="auto"/>
              </w:rPr>
            </w:pPr>
          </w:p>
        </w:tc>
        <w:tc>
          <w:tcPr>
            <w:tcW w:w="292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Employment due to death.</w:t>
            </w:r>
          </w:p>
        </w:tc>
        <w:tc>
          <w:tcPr>
            <w:tcW w:w="5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2"/>
                <w:szCs w:val="22"/>
                <w:color w:val="auto"/>
                <w:w w:val="96"/>
              </w:rPr>
              <w:t>date, or (ii) 3 years after Termination of</w:t>
            </w:r>
          </w:p>
        </w:tc>
      </w:tr>
      <w:tr>
        <w:trPr>
          <w:trHeight w:val="274"/>
        </w:trPr>
        <w:tc>
          <w:tcPr>
            <w:tcW w:w="374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Employment.</w:t>
            </w:r>
          </w:p>
        </w:tc>
      </w:tr>
      <w:tr>
        <w:trPr>
          <w:trHeight w:val="246"/>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344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29"/>
        </w:trPr>
        <w:tc>
          <w:tcPr>
            <w:tcW w:w="37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rPr>
              <w:t>Disability</w:t>
            </w:r>
          </w:p>
        </w:tc>
        <w:tc>
          <w:tcPr>
            <w:tcW w:w="3440" w:type="dxa"/>
            <w:vAlign w:val="bottom"/>
            <w:gridSpan w:val="4"/>
          </w:tcPr>
          <w:p>
            <w:pPr>
              <w:ind w:left="20"/>
              <w:spacing w:after="0" w:line="228" w:lineRule="exact"/>
              <w:rPr>
                <w:sz w:val="20"/>
                <w:szCs w:val="20"/>
                <w:color w:val="auto"/>
              </w:rPr>
            </w:pPr>
            <w:r>
              <w:rPr>
                <w:rFonts w:ascii="Arial" w:cs="Arial" w:eastAsia="Arial" w:hAnsi="Arial"/>
                <w:sz w:val="22"/>
                <w:szCs w:val="22"/>
                <w:color w:val="auto"/>
                <w:w w:val="95"/>
              </w:rPr>
              <w:t>Immediate vesting as of Termination</w:t>
            </w:r>
          </w:p>
        </w:tc>
        <w:tc>
          <w:tcPr>
            <w:tcW w:w="2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9"/>
              </w:rPr>
              <w:t>Expires earlier of (i) original expiration</w:t>
            </w:r>
          </w:p>
        </w:tc>
      </w:tr>
      <w:tr>
        <w:trPr>
          <w:trHeight w:val="229"/>
        </w:trPr>
        <w:tc>
          <w:tcPr>
            <w:tcW w:w="3740" w:type="dxa"/>
            <w:vAlign w:val="bottom"/>
            <w:tcBorders>
              <w:left w:val="single" w:sz="8" w:color="auto"/>
              <w:right w:val="single" w:sz="8" w:color="auto"/>
            </w:tcBorders>
          </w:tcPr>
          <w:p>
            <w:pPr>
              <w:spacing w:after="0"/>
              <w:rPr>
                <w:sz w:val="19"/>
                <w:szCs w:val="19"/>
                <w:color w:val="auto"/>
              </w:rPr>
            </w:pPr>
          </w:p>
        </w:tc>
        <w:tc>
          <w:tcPr>
            <w:tcW w:w="2920" w:type="dxa"/>
            <w:vAlign w:val="bottom"/>
            <w:gridSpan w:val="3"/>
          </w:tcPr>
          <w:p>
            <w:pPr>
              <w:ind w:left="20"/>
              <w:spacing w:after="0" w:line="229" w:lineRule="exact"/>
              <w:rPr>
                <w:sz w:val="20"/>
                <w:szCs w:val="20"/>
                <w:color w:val="auto"/>
              </w:rPr>
            </w:pPr>
            <w:r>
              <w:rPr>
                <w:rFonts w:ascii="Arial" w:cs="Arial" w:eastAsia="Arial" w:hAnsi="Arial"/>
                <w:sz w:val="22"/>
                <w:szCs w:val="22"/>
                <w:color w:val="auto"/>
                <w:w w:val="99"/>
              </w:rPr>
              <w:t>Employment due to Disability.</w:t>
            </w:r>
          </w:p>
        </w:tc>
        <w:tc>
          <w:tcPr>
            <w:tcW w:w="5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2"/>
                <w:szCs w:val="22"/>
                <w:color w:val="auto"/>
                <w:w w:val="96"/>
              </w:rPr>
              <w:t>date, or (ii) 3 years after Termination of</w:t>
            </w:r>
          </w:p>
        </w:tc>
      </w:tr>
      <w:tr>
        <w:trPr>
          <w:trHeight w:val="274"/>
        </w:trPr>
        <w:tc>
          <w:tcPr>
            <w:tcW w:w="374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Employment.</w:t>
            </w:r>
          </w:p>
        </w:tc>
      </w:tr>
      <w:tr>
        <w:trPr>
          <w:trHeight w:val="247"/>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29"/>
        </w:trPr>
        <w:tc>
          <w:tcPr>
            <w:tcW w:w="37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w w:val="93"/>
              </w:rPr>
              <w:t>Retirement (Termination of Employment</w:t>
            </w:r>
          </w:p>
        </w:tc>
        <w:tc>
          <w:tcPr>
            <w:tcW w:w="1060" w:type="dxa"/>
            <w:vAlign w:val="bottom"/>
          </w:tcPr>
          <w:p>
            <w:pPr>
              <w:ind w:left="20"/>
              <w:spacing w:after="0" w:line="228" w:lineRule="exact"/>
              <w:rPr>
                <w:sz w:val="20"/>
                <w:szCs w:val="20"/>
                <w:color w:val="auto"/>
              </w:rPr>
            </w:pPr>
            <w:r>
              <w:rPr>
                <w:rFonts w:ascii="Arial" w:cs="Arial" w:eastAsia="Arial" w:hAnsi="Arial"/>
                <w:sz w:val="22"/>
                <w:szCs w:val="22"/>
                <w:color w:val="auto"/>
              </w:rPr>
              <w:t>Unvested</w:t>
            </w:r>
          </w:p>
        </w:tc>
        <w:tc>
          <w:tcPr>
            <w:tcW w:w="860" w:type="dxa"/>
            <w:vAlign w:val="bottom"/>
          </w:tcPr>
          <w:p>
            <w:pPr>
              <w:ind w:left="40"/>
              <w:spacing w:after="0" w:line="228" w:lineRule="exact"/>
              <w:rPr>
                <w:sz w:val="20"/>
                <w:szCs w:val="20"/>
                <w:color w:val="auto"/>
              </w:rPr>
            </w:pPr>
            <w:r>
              <w:rPr>
                <w:rFonts w:ascii="Arial" w:cs="Arial" w:eastAsia="Arial" w:hAnsi="Arial"/>
                <w:sz w:val="22"/>
                <w:szCs w:val="22"/>
                <w:color w:val="auto"/>
              </w:rPr>
              <w:t>Awards</w:t>
            </w:r>
          </w:p>
        </w:tc>
        <w:tc>
          <w:tcPr>
            <w:tcW w:w="1000" w:type="dxa"/>
            <w:vAlign w:val="bottom"/>
          </w:tcPr>
          <w:p>
            <w:pPr>
              <w:ind w:left="100"/>
              <w:spacing w:after="0" w:line="228" w:lineRule="exact"/>
              <w:rPr>
                <w:sz w:val="20"/>
                <w:szCs w:val="20"/>
                <w:color w:val="auto"/>
              </w:rPr>
            </w:pPr>
            <w:r>
              <w:rPr>
                <w:rFonts w:ascii="Arial" w:cs="Arial" w:eastAsia="Arial" w:hAnsi="Arial"/>
                <w:sz w:val="22"/>
                <w:szCs w:val="22"/>
                <w:color w:val="auto"/>
              </w:rPr>
              <w:t>forfeited</w:t>
            </w:r>
          </w:p>
        </w:tc>
        <w:tc>
          <w:tcPr>
            <w:tcW w:w="520" w:type="dxa"/>
            <w:vAlign w:val="bottom"/>
          </w:tcPr>
          <w:p>
            <w:pPr>
              <w:ind w:left="120"/>
              <w:spacing w:after="0" w:line="228" w:lineRule="exact"/>
              <w:rPr>
                <w:sz w:val="20"/>
                <w:szCs w:val="20"/>
                <w:color w:val="auto"/>
              </w:rPr>
            </w:pPr>
            <w:r>
              <w:rPr>
                <w:rFonts w:ascii="Arial" w:cs="Arial" w:eastAsia="Arial" w:hAnsi="Arial"/>
                <w:sz w:val="22"/>
                <w:szCs w:val="22"/>
                <w:color w:val="auto"/>
              </w:rPr>
              <w:t>as</w:t>
            </w:r>
          </w:p>
        </w:tc>
        <w:tc>
          <w:tcPr>
            <w:tcW w:w="2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9"/>
              </w:rPr>
              <w:t>Expires earlier of (i) original expiration</w:t>
            </w:r>
          </w:p>
        </w:tc>
      </w:tr>
      <w:tr>
        <w:trPr>
          <w:trHeight w:val="229"/>
        </w:trPr>
        <w:tc>
          <w:tcPr>
            <w:tcW w:w="374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2"/>
                <w:szCs w:val="22"/>
                <w:color w:val="auto"/>
              </w:rPr>
              <w:t>because  of  retirement  from  active</w:t>
            </w:r>
          </w:p>
        </w:tc>
        <w:tc>
          <w:tcPr>
            <w:tcW w:w="1060" w:type="dxa"/>
            <w:vAlign w:val="bottom"/>
          </w:tcPr>
          <w:p>
            <w:pPr>
              <w:ind w:left="20"/>
              <w:spacing w:after="0" w:line="229" w:lineRule="exact"/>
              <w:rPr>
                <w:sz w:val="20"/>
                <w:szCs w:val="20"/>
                <w:color w:val="auto"/>
              </w:rPr>
            </w:pPr>
            <w:r>
              <w:rPr>
                <w:rFonts w:ascii="Arial" w:cs="Arial" w:eastAsia="Arial" w:hAnsi="Arial"/>
                <w:sz w:val="22"/>
                <w:szCs w:val="22"/>
                <w:color w:val="auto"/>
                <w:w w:val="89"/>
              </w:rPr>
              <w:t>Retirement.</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2"/>
                <w:szCs w:val="22"/>
                <w:color w:val="auto"/>
              </w:rPr>
              <w:t>date, or (ii) 3 years after Retirement.</w:t>
            </w:r>
          </w:p>
        </w:tc>
      </w:tr>
      <w:tr>
        <w:trPr>
          <w:trHeight w:val="230"/>
        </w:trPr>
        <w:tc>
          <w:tcPr>
            <w:tcW w:w="374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2"/>
                <w:szCs w:val="22"/>
                <w:color w:val="auto"/>
                <w:w w:val="98"/>
              </w:rPr>
              <w:t>employment on or after age 55 and 10</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r>
      <w:tr>
        <w:trPr>
          <w:trHeight w:val="274"/>
        </w:trPr>
        <w:tc>
          <w:tcPr>
            <w:tcW w:w="3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Years of Service)</w:t>
            </w: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spacing w:after="0"/>
              <w:rPr>
                <w:sz w:val="23"/>
                <w:szCs w:val="23"/>
                <w:color w:val="auto"/>
              </w:rPr>
            </w:pPr>
          </w:p>
        </w:tc>
      </w:tr>
      <w:tr>
        <w:trPr>
          <w:trHeight w:val="247"/>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29"/>
        </w:trPr>
        <w:tc>
          <w:tcPr>
            <w:tcW w:w="37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w w:val="93"/>
              </w:rPr>
              <w:t>Voluntary termination [with notice period</w:t>
            </w:r>
          </w:p>
        </w:tc>
        <w:tc>
          <w:tcPr>
            <w:tcW w:w="1060" w:type="dxa"/>
            <w:vAlign w:val="bottom"/>
          </w:tcPr>
          <w:p>
            <w:pPr>
              <w:ind w:left="20"/>
              <w:spacing w:after="0" w:line="228" w:lineRule="exact"/>
              <w:rPr>
                <w:sz w:val="20"/>
                <w:szCs w:val="20"/>
                <w:color w:val="auto"/>
              </w:rPr>
            </w:pPr>
            <w:r>
              <w:rPr>
                <w:rFonts w:ascii="Arial" w:cs="Arial" w:eastAsia="Arial" w:hAnsi="Arial"/>
                <w:sz w:val="22"/>
                <w:szCs w:val="22"/>
                <w:color w:val="auto"/>
              </w:rPr>
              <w:t>Unvested</w:t>
            </w:r>
          </w:p>
        </w:tc>
        <w:tc>
          <w:tcPr>
            <w:tcW w:w="860" w:type="dxa"/>
            <w:vAlign w:val="bottom"/>
          </w:tcPr>
          <w:p>
            <w:pPr>
              <w:ind w:left="40"/>
              <w:spacing w:after="0" w:line="228" w:lineRule="exact"/>
              <w:rPr>
                <w:sz w:val="20"/>
                <w:szCs w:val="20"/>
                <w:color w:val="auto"/>
              </w:rPr>
            </w:pPr>
            <w:r>
              <w:rPr>
                <w:rFonts w:ascii="Arial" w:cs="Arial" w:eastAsia="Arial" w:hAnsi="Arial"/>
                <w:sz w:val="22"/>
                <w:szCs w:val="22"/>
                <w:color w:val="auto"/>
              </w:rPr>
              <w:t>Awards</w:t>
            </w:r>
          </w:p>
        </w:tc>
        <w:tc>
          <w:tcPr>
            <w:tcW w:w="1000" w:type="dxa"/>
            <w:vAlign w:val="bottom"/>
          </w:tcPr>
          <w:p>
            <w:pPr>
              <w:ind w:left="100"/>
              <w:spacing w:after="0" w:line="228" w:lineRule="exact"/>
              <w:rPr>
                <w:sz w:val="20"/>
                <w:szCs w:val="20"/>
                <w:color w:val="auto"/>
              </w:rPr>
            </w:pPr>
            <w:r>
              <w:rPr>
                <w:rFonts w:ascii="Arial" w:cs="Arial" w:eastAsia="Arial" w:hAnsi="Arial"/>
                <w:sz w:val="22"/>
                <w:szCs w:val="22"/>
                <w:color w:val="auto"/>
              </w:rPr>
              <w:t>forfeited</w:t>
            </w:r>
          </w:p>
        </w:tc>
        <w:tc>
          <w:tcPr>
            <w:tcW w:w="520" w:type="dxa"/>
            <w:vAlign w:val="bottom"/>
          </w:tcPr>
          <w:p>
            <w:pPr>
              <w:ind w:left="120"/>
              <w:spacing w:after="0" w:line="228" w:lineRule="exact"/>
              <w:rPr>
                <w:sz w:val="20"/>
                <w:szCs w:val="20"/>
                <w:color w:val="auto"/>
              </w:rPr>
            </w:pPr>
            <w:r>
              <w:rPr>
                <w:rFonts w:ascii="Arial" w:cs="Arial" w:eastAsia="Arial" w:hAnsi="Arial"/>
                <w:sz w:val="22"/>
                <w:szCs w:val="22"/>
                <w:color w:val="auto"/>
              </w:rPr>
              <w:t>as</w:t>
            </w:r>
          </w:p>
        </w:tc>
        <w:tc>
          <w:tcPr>
            <w:tcW w:w="2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9"/>
              </w:rPr>
              <w:t>Expires earlier of (i) original expiration</w:t>
            </w:r>
          </w:p>
        </w:tc>
      </w:tr>
      <w:tr>
        <w:trPr>
          <w:trHeight w:val="274"/>
        </w:trPr>
        <w:tc>
          <w:tcPr>
            <w:tcW w:w="3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of 45 days or more]</w:t>
            </w:r>
          </w:p>
        </w:tc>
        <w:tc>
          <w:tcPr>
            <w:tcW w:w="2920" w:type="dxa"/>
            <w:vAlign w:val="bottom"/>
            <w:gridSpan w:val="3"/>
          </w:tcPr>
          <w:p>
            <w:pPr>
              <w:ind w:left="20"/>
              <w:spacing w:after="0"/>
              <w:rPr>
                <w:sz w:val="20"/>
                <w:szCs w:val="20"/>
                <w:color w:val="auto"/>
              </w:rPr>
            </w:pPr>
            <w:r>
              <w:rPr>
                <w:rFonts w:ascii="Arial" w:cs="Arial" w:eastAsia="Arial" w:hAnsi="Arial"/>
                <w:sz w:val="22"/>
                <w:szCs w:val="22"/>
                <w:color w:val="auto"/>
              </w:rPr>
              <w:t>Termination of Employment.</w:t>
            </w: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date, or (ii) 30 days after termination.</w:t>
            </w:r>
          </w:p>
        </w:tc>
      </w:tr>
      <w:tr>
        <w:trPr>
          <w:trHeight w:val="246"/>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29"/>
        </w:trPr>
        <w:tc>
          <w:tcPr>
            <w:tcW w:w="37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w w:val="93"/>
              </w:rPr>
              <w:t>[Voluntary termination with notice period</w:t>
            </w:r>
          </w:p>
        </w:tc>
        <w:tc>
          <w:tcPr>
            <w:tcW w:w="1060" w:type="dxa"/>
            <w:vAlign w:val="bottom"/>
          </w:tcPr>
          <w:p>
            <w:pPr>
              <w:ind w:left="20"/>
              <w:spacing w:after="0" w:line="228" w:lineRule="exact"/>
              <w:rPr>
                <w:sz w:val="20"/>
                <w:szCs w:val="20"/>
                <w:color w:val="auto"/>
              </w:rPr>
            </w:pPr>
            <w:r>
              <w:rPr>
                <w:rFonts w:ascii="Arial" w:cs="Arial" w:eastAsia="Arial" w:hAnsi="Arial"/>
                <w:sz w:val="22"/>
                <w:szCs w:val="22"/>
                <w:color w:val="auto"/>
              </w:rPr>
              <w:t>[Unvested</w:t>
            </w:r>
          </w:p>
        </w:tc>
        <w:tc>
          <w:tcPr>
            <w:tcW w:w="860" w:type="dxa"/>
            <w:vAlign w:val="bottom"/>
          </w:tcPr>
          <w:p>
            <w:pPr>
              <w:ind w:left="100"/>
              <w:spacing w:after="0" w:line="228" w:lineRule="exact"/>
              <w:rPr>
                <w:sz w:val="20"/>
                <w:szCs w:val="20"/>
                <w:color w:val="auto"/>
              </w:rPr>
            </w:pPr>
            <w:r>
              <w:rPr>
                <w:rFonts w:ascii="Arial" w:cs="Arial" w:eastAsia="Arial" w:hAnsi="Arial"/>
                <w:sz w:val="22"/>
                <w:szCs w:val="22"/>
                <w:color w:val="auto"/>
              </w:rPr>
              <w:t>Awards</w:t>
            </w:r>
          </w:p>
        </w:tc>
        <w:tc>
          <w:tcPr>
            <w:tcW w:w="1000" w:type="dxa"/>
            <w:vAlign w:val="bottom"/>
          </w:tcPr>
          <w:p>
            <w:pPr>
              <w:ind w:left="140"/>
              <w:spacing w:after="0" w:line="228" w:lineRule="exact"/>
              <w:rPr>
                <w:sz w:val="20"/>
                <w:szCs w:val="20"/>
                <w:color w:val="auto"/>
              </w:rPr>
            </w:pPr>
            <w:r>
              <w:rPr>
                <w:rFonts w:ascii="Arial" w:cs="Arial" w:eastAsia="Arial" w:hAnsi="Arial"/>
                <w:sz w:val="22"/>
                <w:szCs w:val="22"/>
                <w:color w:val="auto"/>
              </w:rPr>
              <w:t>forfeited</w:t>
            </w:r>
          </w:p>
        </w:tc>
        <w:tc>
          <w:tcPr>
            <w:tcW w:w="520" w:type="dxa"/>
            <w:vAlign w:val="bottom"/>
          </w:tcPr>
          <w:p>
            <w:pPr>
              <w:ind w:left="140"/>
              <w:spacing w:after="0" w:line="228" w:lineRule="exact"/>
              <w:rPr>
                <w:sz w:val="20"/>
                <w:szCs w:val="20"/>
                <w:color w:val="auto"/>
              </w:rPr>
            </w:pPr>
            <w:r>
              <w:rPr>
                <w:rFonts w:ascii="Arial" w:cs="Arial" w:eastAsia="Arial" w:hAnsi="Arial"/>
                <w:sz w:val="22"/>
                <w:szCs w:val="22"/>
                <w:color w:val="auto"/>
              </w:rPr>
              <w:t>as</w:t>
            </w:r>
          </w:p>
        </w:tc>
        <w:tc>
          <w:tcPr>
            <w:tcW w:w="2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4"/>
              </w:rPr>
              <w:t>[Vested Awards immediately cancelled.]</w:t>
            </w:r>
          </w:p>
        </w:tc>
      </w:tr>
      <w:tr>
        <w:trPr>
          <w:trHeight w:val="274"/>
        </w:trPr>
        <w:tc>
          <w:tcPr>
            <w:tcW w:w="3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of less than 45 days]</w:t>
            </w:r>
          </w:p>
        </w:tc>
        <w:tc>
          <w:tcPr>
            <w:tcW w:w="2920" w:type="dxa"/>
            <w:vAlign w:val="bottom"/>
            <w:gridSpan w:val="3"/>
          </w:tcPr>
          <w:p>
            <w:pPr>
              <w:ind w:left="20"/>
              <w:spacing w:after="0"/>
              <w:rPr>
                <w:sz w:val="20"/>
                <w:szCs w:val="20"/>
                <w:color w:val="auto"/>
              </w:rPr>
            </w:pPr>
            <w:r>
              <w:rPr>
                <w:rFonts w:ascii="Arial" w:cs="Arial" w:eastAsia="Arial" w:hAnsi="Arial"/>
                <w:sz w:val="22"/>
                <w:szCs w:val="22"/>
                <w:color w:val="auto"/>
              </w:rPr>
              <w:t>Termination of Employment.]</w:t>
            </w: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spacing w:after="0"/>
              <w:rPr>
                <w:sz w:val="23"/>
                <w:szCs w:val="23"/>
                <w:color w:val="auto"/>
              </w:rPr>
            </w:pPr>
          </w:p>
        </w:tc>
      </w:tr>
      <w:tr>
        <w:trPr>
          <w:trHeight w:val="246"/>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29"/>
        </w:trPr>
        <w:tc>
          <w:tcPr>
            <w:tcW w:w="37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rPr>
              <w:t>Involuntary termination not for Cause</w:t>
            </w:r>
          </w:p>
        </w:tc>
        <w:tc>
          <w:tcPr>
            <w:tcW w:w="1060" w:type="dxa"/>
            <w:vAlign w:val="bottom"/>
          </w:tcPr>
          <w:p>
            <w:pPr>
              <w:ind w:left="20"/>
              <w:spacing w:after="0" w:line="228" w:lineRule="exact"/>
              <w:rPr>
                <w:sz w:val="20"/>
                <w:szCs w:val="20"/>
                <w:color w:val="auto"/>
              </w:rPr>
            </w:pPr>
            <w:r>
              <w:rPr>
                <w:rFonts w:ascii="Arial" w:cs="Arial" w:eastAsia="Arial" w:hAnsi="Arial"/>
                <w:sz w:val="22"/>
                <w:szCs w:val="22"/>
                <w:color w:val="auto"/>
              </w:rPr>
              <w:t>Unvested</w:t>
            </w:r>
          </w:p>
        </w:tc>
        <w:tc>
          <w:tcPr>
            <w:tcW w:w="860" w:type="dxa"/>
            <w:vAlign w:val="bottom"/>
          </w:tcPr>
          <w:p>
            <w:pPr>
              <w:ind w:left="40"/>
              <w:spacing w:after="0" w:line="228" w:lineRule="exact"/>
              <w:rPr>
                <w:sz w:val="20"/>
                <w:szCs w:val="20"/>
                <w:color w:val="auto"/>
              </w:rPr>
            </w:pPr>
            <w:r>
              <w:rPr>
                <w:rFonts w:ascii="Arial" w:cs="Arial" w:eastAsia="Arial" w:hAnsi="Arial"/>
                <w:sz w:val="22"/>
                <w:szCs w:val="22"/>
                <w:color w:val="auto"/>
              </w:rPr>
              <w:t>Awards</w:t>
            </w:r>
          </w:p>
        </w:tc>
        <w:tc>
          <w:tcPr>
            <w:tcW w:w="1000" w:type="dxa"/>
            <w:vAlign w:val="bottom"/>
          </w:tcPr>
          <w:p>
            <w:pPr>
              <w:ind w:left="100"/>
              <w:spacing w:after="0" w:line="228" w:lineRule="exact"/>
              <w:rPr>
                <w:sz w:val="20"/>
                <w:szCs w:val="20"/>
                <w:color w:val="auto"/>
              </w:rPr>
            </w:pPr>
            <w:r>
              <w:rPr>
                <w:rFonts w:ascii="Arial" w:cs="Arial" w:eastAsia="Arial" w:hAnsi="Arial"/>
                <w:sz w:val="22"/>
                <w:szCs w:val="22"/>
                <w:color w:val="auto"/>
              </w:rPr>
              <w:t>forfeited</w:t>
            </w:r>
          </w:p>
        </w:tc>
        <w:tc>
          <w:tcPr>
            <w:tcW w:w="520" w:type="dxa"/>
            <w:vAlign w:val="bottom"/>
          </w:tcPr>
          <w:p>
            <w:pPr>
              <w:ind w:left="120"/>
              <w:spacing w:after="0" w:line="228" w:lineRule="exact"/>
              <w:rPr>
                <w:sz w:val="20"/>
                <w:szCs w:val="20"/>
                <w:color w:val="auto"/>
              </w:rPr>
            </w:pPr>
            <w:r>
              <w:rPr>
                <w:rFonts w:ascii="Arial" w:cs="Arial" w:eastAsia="Arial" w:hAnsi="Arial"/>
                <w:sz w:val="22"/>
                <w:szCs w:val="22"/>
                <w:color w:val="auto"/>
              </w:rPr>
              <w:t>as</w:t>
            </w:r>
          </w:p>
        </w:tc>
        <w:tc>
          <w:tcPr>
            <w:tcW w:w="2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9"/>
              </w:rPr>
              <w:t>Expires earlier of (i) original expiration</w:t>
            </w:r>
          </w:p>
        </w:tc>
      </w:tr>
      <w:tr>
        <w:trPr>
          <w:trHeight w:val="274"/>
        </w:trPr>
        <w:tc>
          <w:tcPr>
            <w:tcW w:w="3740" w:type="dxa"/>
            <w:vAlign w:val="bottom"/>
            <w:tcBorders>
              <w:left w:val="single" w:sz="8" w:color="auto"/>
              <w:right w:val="single" w:sz="8" w:color="auto"/>
            </w:tcBorders>
          </w:tcPr>
          <w:p>
            <w:pPr>
              <w:spacing w:after="0"/>
              <w:rPr>
                <w:sz w:val="23"/>
                <w:szCs w:val="23"/>
                <w:color w:val="auto"/>
              </w:rPr>
            </w:pPr>
          </w:p>
        </w:tc>
        <w:tc>
          <w:tcPr>
            <w:tcW w:w="2920" w:type="dxa"/>
            <w:vAlign w:val="bottom"/>
            <w:gridSpan w:val="3"/>
          </w:tcPr>
          <w:p>
            <w:pPr>
              <w:ind w:left="20"/>
              <w:spacing w:after="0"/>
              <w:rPr>
                <w:sz w:val="20"/>
                <w:szCs w:val="20"/>
                <w:color w:val="auto"/>
              </w:rPr>
            </w:pPr>
            <w:r>
              <w:rPr>
                <w:rFonts w:ascii="Arial" w:cs="Arial" w:eastAsia="Arial" w:hAnsi="Arial"/>
                <w:sz w:val="22"/>
                <w:szCs w:val="22"/>
                <w:color w:val="auto"/>
              </w:rPr>
              <w:t>Termination of Employment.</w:t>
            </w: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date, or (ii) 1 year after termination.</w:t>
            </w:r>
          </w:p>
        </w:tc>
      </w:tr>
      <w:tr>
        <w:trPr>
          <w:trHeight w:val="246"/>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r>
        <w:trPr>
          <w:trHeight w:val="229"/>
        </w:trPr>
        <w:tc>
          <w:tcPr>
            <w:tcW w:w="37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rPr>
              <w:t>Involuntary termination for Cause</w:t>
            </w:r>
          </w:p>
        </w:tc>
        <w:tc>
          <w:tcPr>
            <w:tcW w:w="1060" w:type="dxa"/>
            <w:vAlign w:val="bottom"/>
          </w:tcPr>
          <w:p>
            <w:pPr>
              <w:ind w:left="20"/>
              <w:spacing w:after="0" w:line="228" w:lineRule="exact"/>
              <w:rPr>
                <w:sz w:val="20"/>
                <w:szCs w:val="20"/>
                <w:color w:val="auto"/>
              </w:rPr>
            </w:pPr>
            <w:r>
              <w:rPr>
                <w:rFonts w:ascii="Arial" w:cs="Arial" w:eastAsia="Arial" w:hAnsi="Arial"/>
                <w:sz w:val="22"/>
                <w:szCs w:val="22"/>
                <w:color w:val="auto"/>
              </w:rPr>
              <w:t>Unvested</w:t>
            </w:r>
          </w:p>
        </w:tc>
        <w:tc>
          <w:tcPr>
            <w:tcW w:w="860" w:type="dxa"/>
            <w:vAlign w:val="bottom"/>
          </w:tcPr>
          <w:p>
            <w:pPr>
              <w:ind w:left="40"/>
              <w:spacing w:after="0" w:line="228" w:lineRule="exact"/>
              <w:rPr>
                <w:sz w:val="20"/>
                <w:szCs w:val="20"/>
                <w:color w:val="auto"/>
              </w:rPr>
            </w:pPr>
            <w:r>
              <w:rPr>
                <w:rFonts w:ascii="Arial" w:cs="Arial" w:eastAsia="Arial" w:hAnsi="Arial"/>
                <w:sz w:val="22"/>
                <w:szCs w:val="22"/>
                <w:color w:val="auto"/>
              </w:rPr>
              <w:t>Awards</w:t>
            </w:r>
          </w:p>
        </w:tc>
        <w:tc>
          <w:tcPr>
            <w:tcW w:w="1000" w:type="dxa"/>
            <w:vAlign w:val="bottom"/>
          </w:tcPr>
          <w:p>
            <w:pPr>
              <w:ind w:left="100"/>
              <w:spacing w:after="0" w:line="228" w:lineRule="exact"/>
              <w:rPr>
                <w:sz w:val="20"/>
                <w:szCs w:val="20"/>
                <w:color w:val="auto"/>
              </w:rPr>
            </w:pPr>
            <w:r>
              <w:rPr>
                <w:rFonts w:ascii="Arial" w:cs="Arial" w:eastAsia="Arial" w:hAnsi="Arial"/>
                <w:sz w:val="22"/>
                <w:szCs w:val="22"/>
                <w:color w:val="auto"/>
              </w:rPr>
              <w:t>forfeited</w:t>
            </w:r>
          </w:p>
        </w:tc>
        <w:tc>
          <w:tcPr>
            <w:tcW w:w="520" w:type="dxa"/>
            <w:vAlign w:val="bottom"/>
          </w:tcPr>
          <w:p>
            <w:pPr>
              <w:ind w:left="120"/>
              <w:spacing w:after="0" w:line="228" w:lineRule="exact"/>
              <w:rPr>
                <w:sz w:val="20"/>
                <w:szCs w:val="20"/>
                <w:color w:val="auto"/>
              </w:rPr>
            </w:pPr>
            <w:r>
              <w:rPr>
                <w:rFonts w:ascii="Arial" w:cs="Arial" w:eastAsia="Arial" w:hAnsi="Arial"/>
                <w:sz w:val="22"/>
                <w:szCs w:val="22"/>
                <w:color w:val="auto"/>
              </w:rPr>
              <w:t>as</w:t>
            </w:r>
          </w:p>
        </w:tc>
        <w:tc>
          <w:tcPr>
            <w:tcW w:w="28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7"/>
              </w:rPr>
              <w:t>of</w:t>
            </w:r>
          </w:p>
        </w:tc>
        <w:tc>
          <w:tcPr>
            <w:tcW w:w="3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7"/>
              </w:rPr>
              <w:t>Vested Awards immediately cancelled.</w:t>
            </w:r>
          </w:p>
        </w:tc>
      </w:tr>
      <w:tr>
        <w:trPr>
          <w:trHeight w:val="274"/>
        </w:trPr>
        <w:tc>
          <w:tcPr>
            <w:tcW w:w="3740" w:type="dxa"/>
            <w:vAlign w:val="bottom"/>
            <w:tcBorders>
              <w:left w:val="single" w:sz="8" w:color="auto"/>
              <w:right w:val="single" w:sz="8" w:color="auto"/>
            </w:tcBorders>
          </w:tcPr>
          <w:p>
            <w:pPr>
              <w:spacing w:after="0"/>
              <w:rPr>
                <w:sz w:val="23"/>
                <w:szCs w:val="23"/>
                <w:color w:val="auto"/>
              </w:rPr>
            </w:pPr>
          </w:p>
        </w:tc>
        <w:tc>
          <w:tcPr>
            <w:tcW w:w="2920" w:type="dxa"/>
            <w:vAlign w:val="bottom"/>
            <w:gridSpan w:val="3"/>
          </w:tcPr>
          <w:p>
            <w:pPr>
              <w:ind w:left="20"/>
              <w:spacing w:after="0"/>
              <w:rPr>
                <w:sz w:val="20"/>
                <w:szCs w:val="20"/>
                <w:color w:val="auto"/>
              </w:rPr>
            </w:pPr>
            <w:r>
              <w:rPr>
                <w:rFonts w:ascii="Arial" w:cs="Arial" w:eastAsia="Arial" w:hAnsi="Arial"/>
                <w:sz w:val="22"/>
                <w:szCs w:val="22"/>
                <w:color w:val="auto"/>
              </w:rPr>
              <w:t>Termination of Employment.</w:t>
            </w:r>
          </w:p>
        </w:tc>
        <w:tc>
          <w:tcPr>
            <w:tcW w:w="5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740" w:type="dxa"/>
            <w:vAlign w:val="bottom"/>
            <w:tcBorders>
              <w:right w:val="single" w:sz="8" w:color="auto"/>
            </w:tcBorders>
          </w:tcPr>
          <w:p>
            <w:pPr>
              <w:spacing w:after="0"/>
              <w:rPr>
                <w:sz w:val="23"/>
                <w:szCs w:val="23"/>
                <w:color w:val="auto"/>
              </w:rPr>
            </w:pPr>
          </w:p>
        </w:tc>
      </w:tr>
      <w:tr>
        <w:trPr>
          <w:trHeight w:val="246"/>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180"/>
          </w:cols>
          <w:pgMar w:left="320" w:top="1408" w:right="399" w:bottom="1440" w:gutter="0" w:footer="0" w:header="0"/>
        </w:sectPr>
      </w:pPr>
    </w:p>
    <w:bookmarkStart w:id="57" w:name="page58"/>
    <w:bookmarkEnd w:id="57"/>
    <w:p>
      <w:pPr>
        <w:spacing w:after="0" w:line="200" w:lineRule="exact"/>
        <w:rPr>
          <w:sz w:val="20"/>
          <w:szCs w:val="20"/>
          <w:color w:val="auto"/>
        </w:rPr>
      </w:pPr>
    </w:p>
    <w:p>
      <w:pPr>
        <w:spacing w:after="0" w:line="26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spacing w:after="0" w:line="194" w:lineRule="exact"/>
        <w:rPr>
          <w:sz w:val="20"/>
          <w:szCs w:val="20"/>
          <w:color w:val="auto"/>
        </w:rPr>
      </w:pPr>
    </w:p>
    <w:p>
      <w:pPr>
        <w:jc w:val="both"/>
        <w:ind w:firstLine="8"/>
        <w:spacing w:after="0" w:line="236" w:lineRule="auto"/>
        <w:tabs>
          <w:tab w:leader="none" w:pos="229" w:val="left"/>
        </w:tabs>
        <w:numPr>
          <w:ilvl w:val="0"/>
          <w:numId w:val="35"/>
        </w:numPr>
        <w:rPr>
          <w:rFonts w:ascii="Arial" w:cs="Arial" w:eastAsia="Arial" w:hAnsi="Arial"/>
          <w:sz w:val="21"/>
          <w:szCs w:val="2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If you incur an involuntary Termination of Employment not for Cause (as defined in Section 2.7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or a voluntary Termination of Employment for Good Reason (as defined in 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spacing w:after="0" w:line="195" w:lineRule="exact"/>
        <w:rPr>
          <w:rFonts w:ascii="Arial" w:cs="Arial" w:eastAsia="Arial" w:hAnsi="Arial"/>
          <w:sz w:val="21"/>
          <w:szCs w:val="21"/>
          <w:color w:val="auto"/>
        </w:rPr>
      </w:pPr>
    </w:p>
    <w:p>
      <w:pPr>
        <w:jc w:val="both"/>
        <w:ind w:firstLine="8"/>
        <w:spacing w:after="0" w:line="236" w:lineRule="auto"/>
        <w:tabs>
          <w:tab w:leader="none" w:pos="216" w:val="left"/>
        </w:tabs>
        <w:numPr>
          <w:ilvl w:val="0"/>
          <w:numId w:val="35"/>
        </w:numPr>
        <w:rPr>
          <w:rFonts w:ascii="Arial" w:cs="Arial" w:eastAsia="Arial" w:hAnsi="Arial"/>
          <w:sz w:val="21"/>
          <w:szCs w:val="21"/>
          <w:color w:val="auto"/>
        </w:rPr>
      </w:pPr>
      <w:r>
        <w:rPr>
          <w:rFonts w:ascii="Arial" w:cs="Arial" w:eastAsia="Arial" w:hAnsi="Arial"/>
          <w:sz w:val="21"/>
          <w:szCs w:val="21"/>
          <w:b w:val="1"/>
          <w:bCs w:val="1"/>
          <w:color w:val="auto"/>
        </w:rPr>
        <w:t xml:space="preserve">Withholdings. </w:t>
      </w:r>
      <w:r>
        <w:rPr>
          <w:rFonts w:ascii="Arial" w:cs="Arial" w:eastAsia="Arial" w:hAnsi="Arial"/>
          <w:sz w:val="21"/>
          <w:szCs w:val="21"/>
          <w:color w:val="auto"/>
        </w:rPr>
        <w:t>The Company or your local employer shall have the power and the right to deduct or withhold, or require you</w:t>
      </w:r>
      <w:r>
        <w:rPr>
          <w:rFonts w:ascii="Arial" w:cs="Arial" w:eastAsia="Arial" w:hAnsi="Arial"/>
          <w:sz w:val="21"/>
          <w:szCs w:val="21"/>
          <w:b w:val="1"/>
          <w:bCs w:val="1"/>
          <w:color w:val="auto"/>
        </w:rPr>
        <w:t xml:space="preserve"> </w:t>
      </w:r>
      <w:r>
        <w:rPr>
          <w:rFonts w:ascii="Arial" w:cs="Arial" w:eastAsia="Arial" w:hAnsi="Arial"/>
          <w:sz w:val="21"/>
          <w:szCs w:val="21"/>
          <w:color w:val="auto"/>
        </w:rPr>
        <w:t>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spacing w:after="0" w:line="195" w:lineRule="exact"/>
        <w:rPr>
          <w:rFonts w:ascii="Arial" w:cs="Arial" w:eastAsia="Arial" w:hAnsi="Arial"/>
          <w:sz w:val="21"/>
          <w:szCs w:val="21"/>
          <w:color w:val="auto"/>
        </w:rPr>
      </w:pPr>
    </w:p>
    <w:p>
      <w:pPr>
        <w:jc w:val="both"/>
        <w:ind w:firstLine="8"/>
        <w:spacing w:after="0" w:line="233" w:lineRule="auto"/>
        <w:tabs>
          <w:tab w:leader="none" w:pos="32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Transfer of Option. </w:t>
      </w:r>
      <w:r>
        <w:rPr>
          <w:rFonts w:ascii="Arial" w:cs="Arial" w:eastAsia="Arial" w:hAnsi="Arial"/>
          <w:sz w:val="22"/>
          <w:szCs w:val="22"/>
          <w:color w:val="auto"/>
        </w:rPr>
        <w:t>You may not transfer the Option or any interest in the Option except by will or the laws of descent and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or except as permitted by the Committee and as specified in the Plan. Any other attempt to dispose of your interest will be null and void.</w:t>
      </w:r>
    </w:p>
    <w:p>
      <w:pPr>
        <w:spacing w:after="0" w:line="194" w:lineRule="exact"/>
        <w:rPr>
          <w:rFonts w:ascii="Arial" w:cs="Arial" w:eastAsia="Arial" w:hAnsi="Arial"/>
          <w:sz w:val="22"/>
          <w:szCs w:val="22"/>
          <w:color w:val="auto"/>
        </w:rPr>
      </w:pPr>
    </w:p>
    <w:p>
      <w:pPr>
        <w:ind w:left="320" w:hanging="312"/>
        <w:spacing w:after="0"/>
        <w:tabs>
          <w:tab w:leader="none" w:pos="32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jc w:val="both"/>
        <w:ind w:firstLine="656"/>
        <w:spacing w:after="0" w:line="252" w:lineRule="auto"/>
        <w:tabs>
          <w:tab w:leader="none" w:pos="852" w:val="left"/>
        </w:tabs>
        <w:numPr>
          <w:ilvl w:val="1"/>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Award is expressly contingent upon you complying with the terms, conditions and definitions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ind w:left="880" w:hanging="224"/>
        <w:spacing w:after="0" w:line="217" w:lineRule="auto"/>
        <w:tabs>
          <w:tab w:leader="none" w:pos="880"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Remedies.</w:t>
      </w:r>
    </w:p>
    <w:p>
      <w:pPr>
        <w:ind w:left="1540" w:hanging="236"/>
        <w:spacing w:after="0"/>
        <w:tabs>
          <w:tab w:leader="none" w:pos="1540" w:val="left"/>
        </w:tabs>
        <w:numPr>
          <w:ilvl w:val="2"/>
          <w:numId w:val="35"/>
        </w:numPr>
        <w:rPr>
          <w:rFonts w:ascii="Arial" w:cs="Arial" w:eastAsia="Arial" w:hAnsi="Arial"/>
          <w:sz w:val="19"/>
          <w:szCs w:val="19"/>
          <w:color w:val="auto"/>
        </w:rPr>
      </w:pPr>
      <w:r>
        <w:rPr>
          <w:rFonts w:ascii="Arial" w:cs="Arial" w:eastAsia="Arial" w:hAnsi="Arial"/>
          <w:sz w:val="19"/>
          <w:szCs w:val="19"/>
          <w:color w:val="auto"/>
        </w:rPr>
        <w:t>You expressly agree and acknowledge that the forfeiture provisions of subsection 11.b.2. of this Agreement</w:t>
      </w:r>
    </w:p>
    <w:p>
      <w:pPr>
        <w:spacing w:after="0" w:line="11" w:lineRule="exact"/>
        <w:rPr>
          <w:rFonts w:ascii="Arial" w:cs="Arial" w:eastAsia="Arial" w:hAnsi="Arial"/>
          <w:sz w:val="19"/>
          <w:szCs w:val="19"/>
          <w:color w:val="auto"/>
        </w:rPr>
      </w:pPr>
    </w:p>
    <w:p>
      <w:pPr>
        <w:jc w:val="both"/>
        <w:spacing w:after="0" w:line="262" w:lineRule="auto"/>
        <w:rPr>
          <w:rFonts w:ascii="Arial" w:cs="Arial" w:eastAsia="Arial" w:hAnsi="Arial"/>
          <w:sz w:val="19"/>
          <w:szCs w:val="19"/>
          <w:color w:val="auto"/>
        </w:rPr>
      </w:pPr>
      <w:r>
        <w:rPr>
          <w:rFonts w:ascii="Arial" w:cs="Arial" w:eastAsia="Arial" w:hAnsi="Arial"/>
          <w:sz w:val="19"/>
          <w:szCs w:val="19"/>
          <w:color w:val="auto"/>
        </w:rPr>
        <w:t>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w:t>
      </w:r>
    </w:p>
    <w:p>
      <w:pPr>
        <w:sectPr>
          <w:pgSz w:w="11900" w:h="16838" w:orient="portrait"/>
          <w:cols w:equalWidth="0" w:num="1">
            <w:col w:w="11240"/>
          </w:cols>
          <w:pgMar w:left="320" w:top="1440" w:right="339" w:bottom="1440" w:gutter="0" w:footer="0" w:header="0"/>
        </w:sectPr>
      </w:pPr>
    </w:p>
    <w:bookmarkStart w:id="58" w:name="page59"/>
    <w:bookmarkEnd w:id="58"/>
    <w:p>
      <w:pPr>
        <w:jc w:val="both"/>
        <w:spacing w:after="0" w:line="254" w:lineRule="auto"/>
        <w:rPr>
          <w:sz w:val="20"/>
          <w:szCs w:val="20"/>
          <w:color w:val="auto"/>
        </w:rPr>
      </w:pPr>
      <w:r>
        <w:rPr>
          <w:rFonts w:ascii="Arial" w:cs="Arial" w:eastAsia="Arial" w:hAnsi="Arial"/>
          <w:sz w:val="19"/>
          <w:szCs w:val="19"/>
          <w:color w:val="auto"/>
        </w:rPr>
        <w:t>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22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3" w:lineRule="exact"/>
        <w:rPr>
          <w:sz w:val="20"/>
          <w:szCs w:val="20"/>
          <w:color w:val="auto"/>
        </w:rPr>
      </w:pPr>
    </w:p>
    <w:p>
      <w:pPr>
        <w:jc w:val="both"/>
        <w:ind w:firstLine="1304"/>
        <w:spacing w:after="0" w:line="253" w:lineRule="auto"/>
        <w:tabs>
          <w:tab w:leader="none" w:pos="1525" w:val="left"/>
        </w:tabs>
        <w:numPr>
          <w:ilvl w:val="1"/>
          <w:numId w:val="36"/>
        </w:numPr>
        <w:rPr>
          <w:rFonts w:ascii="Arial" w:cs="Arial" w:eastAsia="Arial" w:hAnsi="Arial"/>
          <w:sz w:val="19"/>
          <w:szCs w:val="19"/>
          <w:color w:val="auto"/>
        </w:rPr>
      </w:pPr>
      <w:r>
        <w:rPr>
          <w:rFonts w:ascii="Arial" w:cs="Arial" w:eastAsia="Arial" w:hAnsi="Arial"/>
          <w:sz w:val="19"/>
          <w:szCs w:val="19"/>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[INCLUDE AS APPLICABLE or you voluntarily terminate your employment with less than a 45-day notice period], (i) any portion of the Option you have not exercised (whether vested or unvested) shall immediately be cancelled, and you shall forfeit any rights you have with respect to the Option as of the date of the CEO’s determination or the date of your Termination of Employment, as applicable, and (ii) you shall immediately deliver to the Company Shares equal in value to the amount of any profit you realized upon an exercise of the Option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219" w:lineRule="exact"/>
        <w:rPr>
          <w:rFonts w:ascii="Arial" w:cs="Arial" w:eastAsia="Arial" w:hAnsi="Arial"/>
          <w:sz w:val="19"/>
          <w:szCs w:val="19"/>
          <w:color w:val="auto"/>
        </w:rPr>
      </w:pPr>
    </w:p>
    <w:p>
      <w:pPr>
        <w:jc w:val="both"/>
        <w:ind w:firstLine="1304"/>
        <w:spacing w:after="0" w:line="224" w:lineRule="auto"/>
        <w:tabs>
          <w:tab w:leader="none" w:pos="1525"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92" w:lineRule="exact"/>
        <w:rPr>
          <w:rFonts w:ascii="Arial" w:cs="Arial" w:eastAsia="Arial" w:hAnsi="Arial"/>
          <w:sz w:val="22"/>
          <w:szCs w:val="22"/>
          <w:color w:val="auto"/>
        </w:rPr>
      </w:pPr>
    </w:p>
    <w:p>
      <w:pPr>
        <w:ind w:left="340" w:hanging="332"/>
        <w:spacing w:after="0"/>
        <w:tabs>
          <w:tab w:leader="none" w:pos="34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Option will be governed by Section 5.3 of the Plan.</w:t>
      </w:r>
    </w:p>
    <w:p>
      <w:pPr>
        <w:sectPr>
          <w:pgSz w:w="11900" w:h="16838" w:orient="portrait"/>
          <w:cols w:equalWidth="0" w:num="1">
            <w:col w:w="11240"/>
          </w:cols>
          <w:pgMar w:left="320" w:top="1414" w:right="339" w:bottom="1440" w:gutter="0" w:footer="0" w:header="0"/>
        </w:sectPr>
      </w:pPr>
    </w:p>
    <w:bookmarkStart w:id="59" w:name="page60"/>
    <w:bookmarkEnd w:id="59"/>
    <w:p>
      <w:pPr>
        <w:spacing w:after="0" w:line="212" w:lineRule="exact"/>
        <w:rPr>
          <w:sz w:val="20"/>
          <w:szCs w:val="20"/>
          <w:color w:val="auto"/>
        </w:rPr>
      </w:pPr>
    </w:p>
    <w:p>
      <w:pPr>
        <w:jc w:val="both"/>
        <w:ind w:left="-8" w:firstLine="8"/>
        <w:spacing w:after="0" w:line="269" w:lineRule="auto"/>
        <w:tabs>
          <w:tab w:leader="none" w:pos="343"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Restrictions on Exercise. </w:t>
      </w:r>
      <w:r>
        <w:rPr>
          <w:rFonts w:ascii="Arial" w:cs="Arial" w:eastAsia="Arial" w:hAnsi="Arial"/>
          <w:sz w:val="19"/>
          <w:szCs w:val="19"/>
          <w:color w:val="auto"/>
        </w:rPr>
        <w:t>Exercise of the Option is subject to the conditions that, to the extent required at the time of</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(i) the Shares covered by the Option will be duly listed, upon official notice of issuance, upon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66" w:lineRule="exact"/>
        <w:rPr>
          <w:rFonts w:ascii="Arial" w:cs="Arial" w:eastAsia="Arial" w:hAnsi="Arial"/>
          <w:sz w:val="19"/>
          <w:szCs w:val="19"/>
          <w:color w:val="auto"/>
        </w:rPr>
      </w:pPr>
    </w:p>
    <w:p>
      <w:pPr>
        <w:jc w:val="both"/>
        <w:ind w:left="-8" w:firstLine="8"/>
        <w:spacing w:after="0" w:line="234" w:lineRule="auto"/>
        <w:tabs>
          <w:tab w:leader="none" w:pos="329"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Disposition of Securities. </w:t>
      </w:r>
      <w:r>
        <w:rPr>
          <w:rFonts w:ascii="Arial" w:cs="Arial" w:eastAsia="Arial" w:hAnsi="Arial"/>
          <w:sz w:val="21"/>
          <w:szCs w:val="21"/>
          <w:color w:val="auto"/>
        </w:rPr>
        <w:t>By accepting the Award, you acknowledge that you have read and understand (i)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policy, and are aware of and understand your obligations under U.S. federal securities laws in respect of trading in the Company’s securities, and (ii) the Company’s stock ownership guidelines as they apply to this Award.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95" w:lineRule="exact"/>
        <w:rPr>
          <w:rFonts w:ascii="Arial" w:cs="Arial" w:eastAsia="Arial" w:hAnsi="Arial"/>
          <w:sz w:val="21"/>
          <w:szCs w:val="21"/>
          <w:color w:val="auto"/>
        </w:rPr>
      </w:pPr>
    </w:p>
    <w:p>
      <w:pPr>
        <w:jc w:val="both"/>
        <w:ind w:left="-8" w:firstLine="8"/>
        <w:spacing w:after="0" w:line="265" w:lineRule="auto"/>
        <w:tabs>
          <w:tab w:leader="none" w:pos="316"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Plan Terms Govern. </w:t>
      </w:r>
      <w:r>
        <w:rPr>
          <w:rFonts w:ascii="Arial" w:cs="Arial" w:eastAsia="Arial" w:hAnsi="Arial"/>
          <w:sz w:val="19"/>
          <w:szCs w:val="19"/>
          <w:color w:val="auto"/>
        </w:rPr>
        <w:t>The exercise of the Option, the disposition of any Shares received upon exercise of the Option,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72" w:lineRule="exact"/>
        <w:rPr>
          <w:rFonts w:ascii="Arial" w:cs="Arial" w:eastAsia="Arial" w:hAnsi="Arial"/>
          <w:sz w:val="19"/>
          <w:szCs w:val="19"/>
          <w:color w:val="auto"/>
        </w:rPr>
      </w:pPr>
    </w:p>
    <w:p>
      <w:pPr>
        <w:ind w:left="332" w:hanging="332"/>
        <w:spacing w:after="0"/>
        <w:tabs>
          <w:tab w:leader="none" w:pos="332"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jc w:val="both"/>
        <w:ind w:left="-8" w:firstLine="656"/>
        <w:spacing w:after="0" w:line="217" w:lineRule="auto"/>
        <w:tabs>
          <w:tab w:leader="none" w:pos="8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2" w:lineRule="exact"/>
        <w:rPr>
          <w:rFonts w:ascii="Arial" w:cs="Arial" w:eastAsia="Arial" w:hAnsi="Arial"/>
          <w:sz w:val="22"/>
          <w:szCs w:val="22"/>
          <w:color w:val="auto"/>
        </w:rPr>
      </w:pPr>
    </w:p>
    <w:p>
      <w:pPr>
        <w:jc w:val="both"/>
        <w:ind w:left="-8" w:firstLine="656"/>
        <w:spacing w:after="0" w:line="217" w:lineRule="auto"/>
        <w:tabs>
          <w:tab w:leader="none" w:pos="8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3" w:lineRule="exact"/>
        <w:rPr>
          <w:rFonts w:ascii="Arial" w:cs="Arial" w:eastAsia="Arial" w:hAnsi="Arial"/>
          <w:sz w:val="22"/>
          <w:szCs w:val="22"/>
          <w:color w:val="auto"/>
        </w:rPr>
      </w:pPr>
    </w:p>
    <w:p>
      <w:pPr>
        <w:jc w:val="both"/>
        <w:ind w:left="-8" w:firstLine="656"/>
        <w:spacing w:after="0" w:line="228" w:lineRule="auto"/>
        <w:tabs>
          <w:tab w:leader="none" w:pos="857" w:val="left"/>
        </w:tabs>
        <w:numPr>
          <w:ilvl w:val="1"/>
          <w:numId w:val="38"/>
        </w:numPr>
        <w:rPr>
          <w:rFonts w:ascii="Arial" w:cs="Arial" w:eastAsia="Arial" w:hAnsi="Arial"/>
          <w:sz w:val="21"/>
          <w:szCs w:val="21"/>
          <w:color w:val="auto"/>
        </w:rPr>
      </w:pPr>
      <w:r>
        <w:rPr>
          <w:rFonts w:ascii="Arial" w:cs="Arial" w:eastAsia="Arial" w:hAnsi="Arial"/>
          <w:sz w:val="21"/>
          <w:szCs w:val="21"/>
          <w:color w:val="auto"/>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jc w:val="both"/>
        <w:ind w:left="-8" w:firstLine="656"/>
        <w:spacing w:after="0" w:line="266" w:lineRule="auto"/>
        <w:tabs>
          <w:tab w:leader="none" w:pos="856" w:val="left"/>
        </w:tabs>
        <w:numPr>
          <w:ilvl w:val="1"/>
          <w:numId w:val="38"/>
        </w:numPr>
        <w:rPr>
          <w:rFonts w:ascii="Arial" w:cs="Arial" w:eastAsia="Arial" w:hAnsi="Arial"/>
          <w:sz w:val="19"/>
          <w:szCs w:val="19"/>
          <w:color w:val="auto"/>
        </w:rPr>
      </w:pPr>
      <w:r>
        <w:rPr>
          <w:rFonts w:ascii="Arial" w:cs="Arial" w:eastAsia="Arial" w:hAnsi="Arial"/>
          <w:sz w:val="19"/>
          <w:szCs w:val="19"/>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ectPr>
          <w:pgSz w:w="11900" w:h="16838" w:orient="portrait"/>
          <w:cols w:equalWidth="0" w:num="1">
            <w:col w:w="11232"/>
          </w:cols>
          <w:pgMar w:left="328" w:top="1440" w:right="339" w:bottom="1440" w:gutter="0" w:footer="0" w:header="0"/>
        </w:sectPr>
      </w:pPr>
    </w:p>
    <w:bookmarkStart w:id="60" w:name="page61"/>
    <w:bookmarkEnd w:id="60"/>
    <w:p>
      <w:pPr>
        <w:jc w:val="both"/>
        <w:ind w:firstLine="648"/>
        <w:spacing w:after="0" w:line="256" w:lineRule="auto"/>
        <w:rPr>
          <w:sz w:val="20"/>
          <w:szCs w:val="20"/>
          <w:color w:val="auto"/>
        </w:rPr>
      </w:pPr>
      <w:r>
        <w:rPr>
          <w:rFonts w:ascii="Arial" w:cs="Arial" w:eastAsia="Arial" w:hAnsi="Arial"/>
          <w:sz w:val="19"/>
          <w:szCs w:val="19"/>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jc w:val="both"/>
        <w:ind w:firstLine="648"/>
        <w:spacing w:after="0" w:line="272" w:lineRule="auto"/>
        <w:rPr>
          <w:sz w:val="20"/>
          <w:szCs w:val="20"/>
          <w:color w:val="auto"/>
        </w:rPr>
      </w:pPr>
      <w:r>
        <w:rPr>
          <w:rFonts w:ascii="Arial" w:cs="Arial" w:eastAsia="Arial" w:hAnsi="Arial"/>
          <w:sz w:val="19"/>
          <w:szCs w:val="19"/>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65" w:lineRule="exact"/>
        <w:rPr>
          <w:sz w:val="20"/>
          <w:szCs w:val="20"/>
          <w:color w:val="auto"/>
        </w:rPr>
      </w:pPr>
    </w:p>
    <w:p>
      <w:pPr>
        <w:ind w:firstLine="8"/>
        <w:spacing w:after="0" w:line="229" w:lineRule="auto"/>
        <w:tabs>
          <w:tab w:leader="none" w:pos="351"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ind w:firstLine="648"/>
        <w:spacing w:after="0" w:line="228" w:lineRule="auto"/>
        <w:rPr>
          <w:rFonts w:ascii="Arial" w:cs="Arial" w:eastAsia="Arial" w:hAnsi="Arial"/>
          <w:sz w:val="22"/>
          <w:szCs w:val="22"/>
          <w:color w:val="auto"/>
        </w:rPr>
      </w:pPr>
      <w:r>
        <w:rPr>
          <w:rFonts w:ascii="Arial" w:cs="Arial" w:eastAsia="Arial" w:hAnsi="Arial"/>
          <w:sz w:val="21"/>
          <w:szCs w:val="21"/>
          <w:color w:val="auto"/>
        </w:rPr>
        <w:t>a. The Company (and not your local employer) is granting your Option. Furthermore, this Agreement is not derived from any preexisting labor relationship between you and the Company, but rather from a mercantile relationship.</w:t>
      </w:r>
    </w:p>
    <w:p>
      <w:pPr>
        <w:spacing w:after="0" w:line="217" w:lineRule="auto"/>
        <w:rPr>
          <w:rFonts w:ascii="Arial" w:cs="Arial" w:eastAsia="Arial" w:hAnsi="Arial"/>
          <w:sz w:val="22"/>
          <w:szCs w:val="22"/>
          <w:color w:val="auto"/>
        </w:rPr>
      </w:pPr>
      <w:r>
        <w:rPr>
          <w:rFonts w:ascii="Arial" w:cs="Arial" w:eastAsia="Arial" w:hAnsi="Arial"/>
          <w:sz w:val="22"/>
          <w:szCs w:val="22"/>
          <w:color w:val="auto"/>
        </w:rPr>
        <w:t>b. The Company may administer the Plan from outside your country of residence and United States law will govern all options granted under the Plan.</w:t>
      </w:r>
    </w:p>
    <w:p>
      <w:pPr>
        <w:spacing w:after="0" w:line="1" w:lineRule="exact"/>
        <w:rPr>
          <w:rFonts w:ascii="Arial" w:cs="Arial" w:eastAsia="Arial" w:hAnsi="Arial"/>
          <w:sz w:val="22"/>
          <w:szCs w:val="22"/>
          <w:color w:val="auto"/>
        </w:rPr>
      </w:pPr>
    </w:p>
    <w:p>
      <w:pPr>
        <w:ind w:firstLine="648"/>
        <w:spacing w:after="0" w:line="217" w:lineRule="auto"/>
        <w:rPr>
          <w:rFonts w:ascii="Arial" w:cs="Arial" w:eastAsia="Arial" w:hAnsi="Arial"/>
          <w:sz w:val="22"/>
          <w:szCs w:val="22"/>
          <w:color w:val="auto"/>
        </w:rPr>
      </w:pPr>
      <w:r>
        <w:rPr>
          <w:rFonts w:ascii="Arial" w:cs="Arial" w:eastAsia="Arial" w:hAnsi="Arial"/>
          <w:sz w:val="22"/>
          <w:szCs w:val="22"/>
          <w:color w:val="auto"/>
        </w:rPr>
        <w:t>c. Benefits and rights provided under the Plan are wholly discretionary and, although provided by the Company, do not constitute regular or periodic payments.</w:t>
      </w:r>
    </w:p>
    <w:p>
      <w:pPr>
        <w:spacing w:after="0" w:line="1" w:lineRule="exact"/>
        <w:rPr>
          <w:rFonts w:ascii="Arial" w:cs="Arial" w:eastAsia="Arial" w:hAnsi="Arial"/>
          <w:sz w:val="22"/>
          <w:szCs w:val="22"/>
          <w:color w:val="auto"/>
        </w:rPr>
      </w:pPr>
    </w:p>
    <w:p>
      <w:pPr>
        <w:jc w:val="both"/>
        <w:ind w:firstLine="648"/>
        <w:spacing w:after="0" w:line="228" w:lineRule="auto"/>
        <w:rPr>
          <w:rFonts w:ascii="Arial" w:cs="Arial" w:eastAsia="Arial" w:hAnsi="Arial"/>
          <w:sz w:val="22"/>
          <w:szCs w:val="22"/>
          <w:color w:val="auto"/>
        </w:rPr>
      </w:pPr>
      <w:r>
        <w:rPr>
          <w:rFonts w:ascii="Arial" w:cs="Arial" w:eastAsia="Arial" w:hAnsi="Arial"/>
          <w:sz w:val="21"/>
          <w:szCs w:val="21"/>
          <w:color w:val="auto"/>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jc w:val="both"/>
        <w:ind w:firstLine="648"/>
        <w:spacing w:after="0" w:line="252" w:lineRule="auto"/>
        <w:rPr>
          <w:rFonts w:ascii="Arial" w:cs="Arial" w:eastAsia="Arial" w:hAnsi="Arial"/>
          <w:sz w:val="22"/>
          <w:szCs w:val="22"/>
          <w:color w:val="auto"/>
        </w:rPr>
      </w:pPr>
      <w:r>
        <w:rPr>
          <w:rFonts w:ascii="Arial" w:cs="Arial" w:eastAsia="Arial" w:hAnsi="Arial"/>
          <w:sz w:val="19"/>
          <w:szCs w:val="19"/>
          <w:color w:val="auto"/>
        </w:rPr>
        <w:t>e. 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jc w:val="both"/>
        <w:ind w:firstLine="648"/>
        <w:spacing w:after="0" w:line="217" w:lineRule="auto"/>
        <w:rPr>
          <w:rFonts w:ascii="Arial" w:cs="Arial" w:eastAsia="Arial" w:hAnsi="Arial"/>
          <w:sz w:val="22"/>
          <w:szCs w:val="22"/>
          <w:color w:val="auto"/>
        </w:rPr>
      </w:pPr>
      <w:r>
        <w:rPr>
          <w:rFonts w:ascii="Arial" w:cs="Arial" w:eastAsia="Arial" w:hAnsi="Arial"/>
          <w:sz w:val="22"/>
          <w:szCs w:val="22"/>
          <w:color w:val="auto"/>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2" w:lineRule="exact"/>
        <w:rPr>
          <w:rFonts w:ascii="Arial" w:cs="Arial" w:eastAsia="Arial" w:hAnsi="Arial"/>
          <w:sz w:val="22"/>
          <w:szCs w:val="22"/>
          <w:color w:val="auto"/>
        </w:rPr>
      </w:pPr>
    </w:p>
    <w:p>
      <w:pPr>
        <w:ind w:right="20" w:firstLine="648"/>
        <w:spacing w:after="0" w:line="230" w:lineRule="auto"/>
        <w:rPr>
          <w:rFonts w:ascii="Arial" w:cs="Arial" w:eastAsia="Arial" w:hAnsi="Arial"/>
          <w:sz w:val="22"/>
          <w:szCs w:val="22"/>
          <w:color w:val="auto"/>
        </w:rPr>
      </w:pPr>
      <w:r>
        <w:rPr>
          <w:rFonts w:ascii="Arial" w:cs="Arial" w:eastAsia="Arial" w:hAnsi="Arial"/>
          <w:sz w:val="22"/>
          <w:szCs w:val="22"/>
          <w:color w:val="auto"/>
        </w:rPr>
        <w:t>g. Participation in the Plan will not be deemed to constitute, and will not be deemed by you to constitute, an employment or labor relationship of any kind with the Company.</w:t>
      </w:r>
    </w:p>
    <w:p>
      <w:pPr>
        <w:spacing w:after="0" w:line="193" w:lineRule="exact"/>
        <w:rPr>
          <w:rFonts w:ascii="Arial" w:cs="Arial" w:eastAsia="Arial" w:hAnsi="Arial"/>
          <w:sz w:val="22"/>
          <w:szCs w:val="22"/>
          <w:color w:val="auto"/>
        </w:rPr>
      </w:pPr>
    </w:p>
    <w:p>
      <w:pPr>
        <w:jc w:val="both"/>
        <w:ind w:firstLine="8"/>
        <w:spacing w:after="0" w:line="227" w:lineRule="auto"/>
        <w:tabs>
          <w:tab w:leader="none" w:pos="324"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 Company or any of</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ectPr>
          <w:pgSz w:w="11900" w:h="16838" w:orient="portrait"/>
          <w:cols w:equalWidth="0" w:num="1">
            <w:col w:w="11240"/>
          </w:cols>
          <w:pgMar w:left="320" w:top="1414" w:right="339" w:bottom="1440" w:gutter="0" w:footer="0" w:header="0"/>
        </w:sectPr>
      </w:pPr>
    </w:p>
    <w:bookmarkStart w:id="61" w:name="page62"/>
    <w:bookmarkEnd w:id="61"/>
    <w:p>
      <w:pPr>
        <w:spacing w:after="0" w:line="212" w:lineRule="exact"/>
        <w:rPr>
          <w:sz w:val="20"/>
          <w:szCs w:val="20"/>
          <w:color w:val="auto"/>
        </w:rPr>
      </w:pPr>
    </w:p>
    <w:p>
      <w:pPr>
        <w:jc w:val="both"/>
        <w:ind w:firstLine="8"/>
        <w:spacing w:after="0" w:line="233" w:lineRule="auto"/>
        <w:tabs>
          <w:tab w:leader="none" w:pos="324"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 between you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regarding the Option. This Agreement supersedes any prior agreements, commitments or negotiations concerning the Option.</w:t>
      </w:r>
    </w:p>
    <w:p>
      <w:pPr>
        <w:spacing w:after="0" w:line="194" w:lineRule="exact"/>
        <w:rPr>
          <w:rFonts w:ascii="Arial" w:cs="Arial" w:eastAsia="Arial" w:hAnsi="Arial"/>
          <w:sz w:val="22"/>
          <w:szCs w:val="22"/>
          <w:color w:val="auto"/>
        </w:rPr>
      </w:pPr>
    </w:p>
    <w:p>
      <w:pPr>
        <w:jc w:val="both"/>
        <w:ind w:firstLine="8"/>
        <w:spacing w:after="0" w:line="229" w:lineRule="auto"/>
        <w:tabs>
          <w:tab w:leader="none" w:pos="391"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95" w:lineRule="exact"/>
        <w:rPr>
          <w:rFonts w:ascii="Arial" w:cs="Arial" w:eastAsia="Arial" w:hAnsi="Arial"/>
          <w:sz w:val="22"/>
          <w:szCs w:val="22"/>
          <w:color w:val="auto"/>
        </w:rPr>
      </w:pPr>
    </w:p>
    <w:p>
      <w:pPr>
        <w:jc w:val="both"/>
        <w:ind w:firstLine="8"/>
        <w:spacing w:after="0" w:line="233" w:lineRule="auto"/>
        <w:tabs>
          <w:tab w:leader="none" w:pos="324"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governed by the internal substantive laws, and not the choice of law rules, of the State of Delaware and construed accordingly, to the extent not superseded by applicable federal law.</w:t>
      </w:r>
    </w:p>
    <w:p>
      <w:pPr>
        <w:spacing w:after="0" w:line="194" w:lineRule="exact"/>
        <w:rPr>
          <w:rFonts w:ascii="Arial" w:cs="Arial" w:eastAsia="Arial" w:hAnsi="Arial"/>
          <w:sz w:val="22"/>
          <w:szCs w:val="22"/>
          <w:color w:val="auto"/>
        </w:rPr>
      </w:pPr>
    </w:p>
    <w:p>
      <w:pPr>
        <w:jc w:val="both"/>
        <w:ind w:firstLine="8"/>
        <w:spacing w:after="0" w:line="227" w:lineRule="auto"/>
        <w:tabs>
          <w:tab w:leader="none" w:pos="364"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 read, fully</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 xml:space="preserve">To retain this Award, you must accept it by signing and dating below. </w:t>
      </w:r>
      <w:r>
        <w:rPr>
          <w:rFonts w:ascii="Arial" w:cs="Arial" w:eastAsia="Arial" w:hAnsi="Arial"/>
          <w:sz w:val="21"/>
          <w:szCs w:val="21"/>
          <w:b w:val="1"/>
          <w:bCs w:val="1"/>
          <w:color w:val="auto"/>
        </w:rPr>
        <w:t>Return the signed Agreement to Honeywell</w:t>
      </w:r>
      <w:r>
        <w:rPr>
          <w:rFonts w:ascii="Arial" w:cs="Arial" w:eastAsia="Arial" w:hAnsi="Arial"/>
          <w:sz w:val="21"/>
          <w:szCs w:val="21"/>
          <w:color w:val="auto"/>
        </w:rPr>
        <w:t xml:space="preserve"> </w:t>
      </w:r>
      <w:r>
        <w:rPr>
          <w:rFonts w:ascii="Arial" w:cs="Arial" w:eastAsia="Arial" w:hAnsi="Arial"/>
          <w:sz w:val="21"/>
          <w:szCs w:val="21"/>
          <w:b w:val="1"/>
          <w:bCs w:val="1"/>
          <w:color w:val="auto"/>
        </w:rPr>
        <w:t>International Inc., Executive Compensation/4B, 115 Tabor Road, Morris Plains, New Jersey 07950.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 Accept: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Print Name</w:t>
            </w:r>
          </w:p>
        </w:tc>
        <w:tc>
          <w:tcPr>
            <w:tcW w:w="160" w:type="dxa"/>
            <w:vAlign w:val="bottom"/>
          </w:tcPr>
          <w:p>
            <w:pPr>
              <w:spacing w:after="0"/>
              <w:rPr>
                <w:sz w:val="24"/>
                <w:szCs w:val="24"/>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EID</w:t>
            </w:r>
          </w:p>
        </w:tc>
      </w:tr>
      <w:tr>
        <w:trPr>
          <w:trHeight w:val="266"/>
        </w:trPr>
        <w:tc>
          <w:tcPr>
            <w:tcW w:w="59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140" w:type="dxa"/>
            <w:vAlign w:val="bottom"/>
            <w:tcBorders>
              <w:bottom w:val="single" w:sz="8" w:color="auto"/>
            </w:tcBorders>
          </w:tcPr>
          <w:p>
            <w:pPr>
              <w:spacing w:after="0"/>
              <w:rPr>
                <w:sz w:val="23"/>
                <w:szCs w:val="23"/>
                <w:color w:val="auto"/>
              </w:rPr>
            </w:pPr>
          </w:p>
        </w:tc>
      </w:tr>
      <w:tr>
        <w:trPr>
          <w:trHeight w:val="268"/>
        </w:trPr>
        <w:tc>
          <w:tcPr>
            <w:tcW w:w="5940" w:type="dxa"/>
            <w:vAlign w:val="bottom"/>
          </w:tcPr>
          <w:p>
            <w:pPr>
              <w:ind w:left="20"/>
              <w:spacing w:after="0"/>
              <w:rPr>
                <w:sz w:val="20"/>
                <w:szCs w:val="20"/>
                <w:color w:val="auto"/>
              </w:rPr>
            </w:pPr>
            <w:r>
              <w:rPr>
                <w:rFonts w:ascii="Arial" w:cs="Arial" w:eastAsia="Arial" w:hAnsi="Arial"/>
                <w:sz w:val="22"/>
                <w:szCs w:val="22"/>
                <w:color w:val="auto"/>
              </w:rPr>
              <w:t>Signature</w:t>
            </w:r>
          </w:p>
        </w:tc>
        <w:tc>
          <w:tcPr>
            <w:tcW w:w="1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40" w:right="3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2"/>
          <w:szCs w:val="22"/>
          <w:b w:val="1"/>
          <w:bCs w:val="1"/>
          <w:color w:val="auto"/>
        </w:rPr>
        <w:t>VESTING SCHEDULE TABLE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[VESTING PROVISIONS CONSISTENT WITH THE PLAN]</w:t>
      </w:r>
    </w:p>
    <w:p>
      <w:pPr>
        <w:sectPr>
          <w:pgSz w:w="11900" w:h="16838" w:orient="portrait"/>
          <w:cols w:equalWidth="0" w:num="1">
            <w:col w:w="9019"/>
          </w:cols>
          <w:pgMar w:left="1440" w:top="1408" w:right="1440" w:bottom="1440" w:gutter="0" w:footer="0" w:header="0"/>
        </w:sectPr>
      </w:pPr>
    </w:p>
    <w:bookmarkStart w:id="63" w:name="page64"/>
    <w:bookmarkEnd w:id="63"/>
    <w:p>
      <w:pPr>
        <w:ind w:left="10120"/>
        <w:spacing w:after="0"/>
        <w:rPr>
          <w:sz w:val="20"/>
          <w:szCs w:val="20"/>
          <w:color w:val="auto"/>
        </w:rPr>
      </w:pPr>
      <w:r>
        <w:rPr>
          <w:rFonts w:ascii="Arial" w:cs="Arial" w:eastAsia="Arial" w:hAnsi="Arial"/>
          <w:sz w:val="18"/>
          <w:szCs w:val="18"/>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 FORM 1</w:t>
      </w:r>
    </w:p>
    <w:p>
      <w:pPr>
        <w:spacing w:after="0" w:line="22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This RESTRICTED STOCK UNIT AGREEMENT made in Charlotte, North Carolina, as of [DATE] (the “Grant Date”), between Honeywell International Inc. (the “Company”) and [EMPLOYEE NAME] (“Participant”).</w:t>
      </w:r>
    </w:p>
    <w:p>
      <w:pPr>
        <w:spacing w:after="0" w:line="192" w:lineRule="exact"/>
        <w:rPr>
          <w:sz w:val="20"/>
          <w:szCs w:val="20"/>
          <w:color w:val="auto"/>
        </w:rPr>
      </w:pPr>
    </w:p>
    <w:p>
      <w:pPr>
        <w:jc w:val="both"/>
        <w:ind w:firstLine="8"/>
        <w:spacing w:after="0" w:line="229" w:lineRule="auto"/>
        <w:tabs>
          <w:tab w:leader="none" w:pos="256"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 [NUMBER] Restricted Stock Units, subject to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2016 Stock Incentive Plan of Honeywell International Inc. and its Affiliates (the “Plan”). The Company will hold the Restricted Stock Units [and Additional Restricted Stock Units (as defined in Section 2)] in a bookkeeping account on your behalf until they become payable or are forfeited or cancelled.</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94" w:lineRule="exact"/>
        <w:rPr>
          <w:sz w:val="20"/>
          <w:szCs w:val="20"/>
          <w:color w:val="auto"/>
        </w:rPr>
      </w:pPr>
    </w:p>
    <w:p>
      <w:pPr>
        <w:jc w:val="both"/>
        <w:ind w:firstLine="8"/>
        <w:spacing w:after="0" w:line="256" w:lineRule="auto"/>
        <w:tabs>
          <w:tab w:leader="none" w:pos="31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[FOLLOWING INCLUDED AT COMMITTEE’S DISCRETION: Dividend Equivalents. </w:t>
      </w:r>
      <w:r>
        <w:rPr>
          <w:rFonts w:ascii="Arial" w:cs="Arial" w:eastAsia="Arial" w:hAnsi="Arial"/>
          <w:sz w:val="19"/>
          <w:szCs w:val="19"/>
          <w:color w:val="auto"/>
        </w:rPr>
        <w:t>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You will continue to earn Additional Restricted Stock Units on unpaid Restricted Stock Units and Additional Restricted Stock Units that are held in your bookkeeping account pursuant to a deferral election until the vested Shares are paid to you.]</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20" w:firstLine="8"/>
        <w:spacing w:after="0" w:line="243" w:lineRule="auto"/>
        <w:tabs>
          <w:tab w:leader="none" w:pos="229"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Stock Unit [and Additional Restricted Stock Unit] represents one (1) Share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w:t>
      </w:r>
    </w:p>
    <w:p>
      <w:pPr>
        <w:spacing w:after="0" w:line="189" w:lineRule="exact"/>
        <w:rPr>
          <w:rFonts w:ascii="Arial" w:cs="Arial" w:eastAsia="Arial" w:hAnsi="Arial"/>
          <w:sz w:val="22"/>
          <w:szCs w:val="22"/>
          <w:color w:val="auto"/>
        </w:rPr>
      </w:pPr>
    </w:p>
    <w:p>
      <w:pPr>
        <w:ind w:firstLine="8"/>
        <w:spacing w:after="0" w:line="243" w:lineRule="auto"/>
        <w:tabs>
          <w:tab w:leader="none" w:pos="243"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your Termination of Employment due to death or Disability, or as otherwise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8 of this Agreement relating to a Change in</w:t>
      </w:r>
    </w:p>
    <w:p>
      <w:pPr>
        <w:sectPr>
          <w:pgSz w:w="11900" w:h="16838" w:orient="portrait"/>
          <w:cols w:equalWidth="0" w:num="1">
            <w:col w:w="11240"/>
          </w:cols>
          <w:pgMar w:left="320" w:top="1417" w:right="339" w:bottom="1440" w:gutter="0" w:footer="0" w:header="0"/>
        </w:sectPr>
      </w:pPr>
    </w:p>
    <w:bookmarkStart w:id="64" w:name="page65"/>
    <w:bookmarkEnd w:id="64"/>
    <w:p>
      <w:pPr>
        <w:spacing w:after="0" w:line="239" w:lineRule="auto"/>
        <w:rPr>
          <w:sz w:val="20"/>
          <w:szCs w:val="20"/>
          <w:color w:val="auto"/>
        </w:rPr>
      </w:pPr>
      <w:r>
        <w:rPr>
          <w:rFonts w:ascii="Arial" w:cs="Arial" w:eastAsia="Arial" w:hAnsi="Arial"/>
          <w:sz w:val="22"/>
          <w:szCs w:val="22"/>
          <w:color w:val="auto"/>
        </w:rPr>
        <w:t>Control, the Restricted Stock Units [and Additional Restricted Stock Units] will vest as provided on the attached Vesting Schedule Table, which is incorporated into, and made a part of, this Agreement.</w:t>
      </w:r>
    </w:p>
    <w:p>
      <w:pPr>
        <w:spacing w:after="0" w:line="192" w:lineRule="exact"/>
        <w:rPr>
          <w:sz w:val="20"/>
          <w:szCs w:val="20"/>
          <w:color w:val="auto"/>
        </w:rPr>
      </w:pPr>
    </w:p>
    <w:p>
      <w:pPr>
        <w:jc w:val="both"/>
        <w:ind w:firstLine="8"/>
        <w:spacing w:after="0" w:line="261" w:lineRule="auto"/>
        <w:tabs>
          <w:tab w:leader="none" w:pos="270"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Form and Timing of Payment. </w:t>
      </w:r>
      <w:r>
        <w:rPr>
          <w:rFonts w:ascii="Arial" w:cs="Arial" w:eastAsia="Arial" w:hAnsi="Arial"/>
          <w:sz w:val="19"/>
          <w:szCs w:val="19"/>
          <w:color w:val="auto"/>
        </w:rPr>
        <w:t>Vested Restricted Stock Units will be redeemed solely for Shares.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AT COMPANY’S DISCRETION: Except as otherwise determined by the Company, in its sole discretion, vested Additional Restricted Stock Units will be redeemed solely for Shares.] [Subject to a deferral election made pursuant to Section 12, and] except as otherwise provided in Section 7(b)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spacing w:after="0" w:line="178" w:lineRule="exact"/>
        <w:rPr>
          <w:rFonts w:ascii="Arial" w:cs="Arial" w:eastAsia="Arial" w:hAnsi="Arial"/>
          <w:sz w:val="19"/>
          <w:szCs w:val="19"/>
          <w:color w:val="auto"/>
        </w:rPr>
      </w:pPr>
    </w:p>
    <w:p>
      <w:pPr>
        <w:jc w:val="both"/>
        <w:ind w:firstLine="8"/>
        <w:spacing w:after="0" w:line="286" w:lineRule="auto"/>
        <w:tabs>
          <w:tab w:leader="none" w:pos="229"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Except as otherwise provided in Sections 7(a) and 8 of this Agreement, any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[and Additional Restricted Stock Units] that have not vested as of your Termination of Employment will immediately be forfeited, and your rights with respect to these Restricted Stock Units [and Additional Restricted Stock Units] will end.</w:t>
      </w:r>
    </w:p>
    <w:p>
      <w:pPr>
        <w:spacing w:after="0" w:line="150" w:lineRule="exact"/>
        <w:rPr>
          <w:rFonts w:ascii="Arial" w:cs="Arial" w:eastAsia="Arial" w:hAnsi="Arial"/>
          <w:sz w:val="19"/>
          <w:szCs w:val="19"/>
          <w:color w:val="auto"/>
        </w:rPr>
      </w:pPr>
    </w:p>
    <w:p>
      <w:pPr>
        <w:ind w:left="220" w:hanging="212"/>
        <w:spacing w:after="0"/>
        <w:tabs>
          <w:tab w:leader="none" w:pos="22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Retirement, Death or Disability.</w:t>
      </w:r>
    </w:p>
    <w:p>
      <w:pPr>
        <w:jc w:val="both"/>
        <w:ind w:firstLine="648"/>
        <w:spacing w:after="0" w:line="266" w:lineRule="auto"/>
        <w:rPr>
          <w:rFonts w:ascii="Arial" w:cs="Arial" w:eastAsia="Arial" w:hAnsi="Arial"/>
          <w:sz w:val="22"/>
          <w:szCs w:val="22"/>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Vesting.</w:t>
      </w:r>
      <w:r>
        <w:rPr>
          <w:rFonts w:ascii="Arial" w:cs="Arial" w:eastAsia="Arial" w:hAnsi="Arial"/>
          <w:sz w:val="19"/>
          <w:szCs w:val="19"/>
          <w:color w:val="auto"/>
        </w:rPr>
        <w:t xml:space="preserve"> If your Termination of Employment occurs due to death or Disability before the vesting date described in Section 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spacing w:after="0" w:line="17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your Termination of Employment due to Retirement occurs before the vesting date described in Section 4 of this Agreement, all unvested Restricted Stock Units [and Additional Restricted Stock Units] will be forfeited and your rights with respect to any award under this Agreement will terminate.</w:t>
      </w:r>
    </w:p>
    <w:p>
      <w:pPr>
        <w:spacing w:after="0" w:line="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Payment.</w:t>
      </w:r>
      <w:r>
        <w:rPr>
          <w:rFonts w:ascii="Arial" w:cs="Arial" w:eastAsia="Arial" w:hAnsi="Arial"/>
          <w:sz w:val="22"/>
          <w:szCs w:val="22"/>
          <w:color w:val="auto"/>
        </w:rPr>
        <w:t xml:space="preserve"> If your Termination of Employment occurs due to death or Disability before the vesting date described in Section 4 of this Agreement, payment for vested Restricted Stock Units [and Additional Restricted Stock Units] will be made as soon as practicable following your Termination of Employment, but in no event later than the last day of the calendar year in which your Termination of Employment occurs.</w:t>
      </w:r>
    </w:p>
    <w:p>
      <w:pPr>
        <w:spacing w:after="0" w:line="193"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of a Change in Control (as defined in the Plan), the following provisions apply:</w:t>
      </w:r>
    </w:p>
    <w:p>
      <w:pPr>
        <w:jc w:val="both"/>
        <w:ind w:firstLine="648"/>
        <w:spacing w:after="0" w:line="259" w:lineRule="auto"/>
        <w:rPr>
          <w:rFonts w:ascii="Arial" w:cs="Arial" w:eastAsia="Arial" w:hAnsi="Arial"/>
          <w:sz w:val="22"/>
          <w:szCs w:val="22"/>
          <w:color w:val="auto"/>
        </w:rPr>
      </w:pPr>
      <w:r>
        <w:rPr>
          <w:rFonts w:ascii="Arial" w:cs="Arial" w:eastAsia="Arial" w:hAnsi="Arial"/>
          <w:sz w:val="19"/>
          <w:szCs w:val="19"/>
          <w:color w:val="auto"/>
        </w:rPr>
        <w:t>a. Unless adjusted or exchanged pursuant to Section 5.3(c) or 5.3(d)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w:t>
      </w:r>
    </w:p>
    <w:p>
      <w:pPr>
        <w:sectPr>
          <w:pgSz w:w="11900" w:h="16838" w:orient="portrait"/>
          <w:cols w:equalWidth="0" w:num="1">
            <w:col w:w="11240"/>
          </w:cols>
          <w:pgMar w:left="320" w:top="1414" w:right="339" w:bottom="1440" w:gutter="0" w:footer="0" w:header="0"/>
        </w:sectPr>
      </w:pPr>
    </w:p>
    <w:bookmarkStart w:id="65" w:name="page66"/>
    <w:bookmarkEnd w:id="65"/>
    <w:p>
      <w:pPr>
        <w:jc w:val="both"/>
        <w:spacing w:after="0" w:line="221" w:lineRule="auto"/>
        <w:rPr>
          <w:sz w:val="20"/>
          <w:szCs w:val="20"/>
          <w:color w:val="auto"/>
        </w:rPr>
      </w:pPr>
      <w:r>
        <w:rPr>
          <w:rFonts w:ascii="Arial" w:cs="Arial" w:eastAsia="Arial" w:hAnsi="Arial"/>
          <w:sz w:val="22"/>
          <w:szCs w:val="22"/>
          <w:color w:val="auto"/>
        </w:rPr>
        <w:t>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b. If adjusted or exchanged pursuant to Section 5.3(c) or 5.3(d)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voluntary Termination of Employment for Good Reason (as defined in Section 5.4(d) of the Plan) on or before the second anniversary of the date of the Change in Control, Restricted Stock Units [and Additional Restricted Stock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spacing w:after="0" w:line="198" w:lineRule="exact"/>
        <w:rPr>
          <w:sz w:val="20"/>
          <w:szCs w:val="20"/>
          <w:color w:val="auto"/>
        </w:rPr>
      </w:pPr>
    </w:p>
    <w:p>
      <w:pPr>
        <w:jc w:val="both"/>
        <w:ind w:firstLine="8"/>
        <w:spacing w:after="0" w:line="225" w:lineRule="auto"/>
        <w:tabs>
          <w:tab w:leader="none" w:pos="216"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 require you</w:t>
      </w:r>
      <w:r>
        <w:rPr>
          <w:rFonts w:ascii="Arial" w:cs="Arial" w:eastAsia="Arial" w:hAnsi="Arial"/>
          <w:sz w:val="22"/>
          <w:szCs w:val="22"/>
          <w:b w:val="1"/>
          <w:bCs w:val="1"/>
          <w:color w:val="auto"/>
        </w:rPr>
        <w:t xml:space="preserve"> </w:t>
      </w:r>
      <w:r>
        <w:rPr>
          <w:rFonts w:ascii="Arial" w:cs="Arial" w:eastAsia="Arial" w:hAnsi="Arial"/>
          <w:sz w:val="22"/>
          <w:szCs w:val="22"/>
          <w:color w:val="auto"/>
        </w:rPr>
        <w:t>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97" w:lineRule="exact"/>
        <w:rPr>
          <w:rFonts w:ascii="Arial" w:cs="Arial" w:eastAsia="Arial" w:hAnsi="Arial"/>
          <w:sz w:val="22"/>
          <w:szCs w:val="22"/>
          <w:color w:val="auto"/>
        </w:rPr>
      </w:pPr>
    </w:p>
    <w:p>
      <w:pPr>
        <w:jc w:val="both"/>
        <w:ind w:firstLine="8"/>
        <w:spacing w:after="0" w:line="233" w:lineRule="auto"/>
        <w:tabs>
          <w:tab w:leader="none" w:pos="337"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Stock Units[, Additional Restricted Stock Units] or any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such Units except by will or the laws of descent and distribution or except as permitted by the Committee and as specified in the Plan. Any other attempt to dispose of your interest will be null and void.</w:t>
      </w:r>
    </w:p>
    <w:p>
      <w:pPr>
        <w:spacing w:after="0" w:line="194" w:lineRule="exact"/>
        <w:rPr>
          <w:rFonts w:ascii="Arial" w:cs="Arial" w:eastAsia="Arial" w:hAnsi="Arial"/>
          <w:sz w:val="22"/>
          <w:szCs w:val="22"/>
          <w:color w:val="auto"/>
        </w:rPr>
      </w:pPr>
    </w:p>
    <w:p>
      <w:pPr>
        <w:ind w:left="320" w:hanging="312"/>
        <w:spacing w:after="0"/>
        <w:tabs>
          <w:tab w:leader="none" w:pos="32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jc w:val="both"/>
        <w:ind w:firstLine="656"/>
        <w:spacing w:after="0" w:line="252" w:lineRule="auto"/>
        <w:tabs>
          <w:tab w:leader="none" w:pos="852" w:val="left"/>
        </w:tabs>
        <w:numPr>
          <w:ilvl w:val="1"/>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Award is expressly contingent upon you complying with the terms, conditions and definitions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ind w:left="880" w:hanging="224"/>
        <w:spacing w:after="0" w:line="217" w:lineRule="auto"/>
        <w:tabs>
          <w:tab w:leader="none" w:pos="880" w:val="left"/>
        </w:tabs>
        <w:numPr>
          <w:ilvl w:val="1"/>
          <w:numId w:val="45"/>
        </w:numPr>
        <w:rPr>
          <w:rFonts w:ascii="Arial" w:cs="Arial" w:eastAsia="Arial" w:hAnsi="Arial"/>
          <w:sz w:val="22"/>
          <w:szCs w:val="22"/>
          <w:color w:val="auto"/>
        </w:rPr>
      </w:pPr>
      <w:r>
        <w:rPr>
          <w:rFonts w:ascii="Arial" w:cs="Arial" w:eastAsia="Arial" w:hAnsi="Arial"/>
          <w:sz w:val="22"/>
          <w:szCs w:val="22"/>
          <w:b w:val="1"/>
          <w:bCs w:val="1"/>
          <w:color w:val="auto"/>
        </w:rPr>
        <w:t>Remedies.</w:t>
      </w:r>
    </w:p>
    <w:p>
      <w:pPr>
        <w:ind w:left="1540" w:hanging="236"/>
        <w:spacing w:after="0"/>
        <w:tabs>
          <w:tab w:leader="none" w:pos="1540" w:val="left"/>
        </w:tabs>
        <w:numPr>
          <w:ilvl w:val="2"/>
          <w:numId w:val="45"/>
        </w:numPr>
        <w:rPr>
          <w:rFonts w:ascii="Arial" w:cs="Arial" w:eastAsia="Arial" w:hAnsi="Arial"/>
          <w:sz w:val="19"/>
          <w:szCs w:val="19"/>
          <w:color w:val="auto"/>
        </w:rPr>
      </w:pPr>
      <w:r>
        <w:rPr>
          <w:rFonts w:ascii="Arial" w:cs="Arial" w:eastAsia="Arial" w:hAnsi="Arial"/>
          <w:sz w:val="19"/>
          <w:szCs w:val="19"/>
          <w:color w:val="auto"/>
        </w:rPr>
        <w:t>You expressly agree and acknowledge that the forfeiture provisions of subsection 11.b.2. of this Agreement</w:t>
      </w:r>
    </w:p>
    <w:p>
      <w:pPr>
        <w:spacing w:after="0" w:line="11" w:lineRule="exact"/>
        <w:rPr>
          <w:rFonts w:ascii="Arial" w:cs="Arial" w:eastAsia="Arial" w:hAnsi="Arial"/>
          <w:sz w:val="19"/>
          <w:szCs w:val="19"/>
          <w:color w:val="auto"/>
        </w:rPr>
      </w:pPr>
    </w:p>
    <w:p>
      <w:pPr>
        <w:jc w:val="both"/>
        <w:spacing w:after="0" w:line="222" w:lineRule="auto"/>
        <w:rPr>
          <w:rFonts w:ascii="Arial" w:cs="Arial" w:eastAsia="Arial" w:hAnsi="Arial"/>
          <w:sz w:val="19"/>
          <w:szCs w:val="19"/>
          <w:color w:val="auto"/>
        </w:rPr>
      </w:pPr>
      <w:r>
        <w:rPr>
          <w:rFonts w:ascii="Arial" w:cs="Arial" w:eastAsia="Arial" w:hAnsi="Arial"/>
          <w:sz w:val="22"/>
          <w:szCs w:val="22"/>
          <w:color w:val="auto"/>
        </w:rPr>
        <w:t>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w:t>
      </w:r>
    </w:p>
    <w:p>
      <w:pPr>
        <w:sectPr>
          <w:pgSz w:w="11900" w:h="16838" w:orient="portrait"/>
          <w:cols w:equalWidth="0" w:num="1">
            <w:col w:w="11240"/>
          </w:cols>
          <w:pgMar w:left="320" w:top="1414" w:right="339" w:bottom="1440" w:gutter="0" w:footer="0" w:header="0"/>
        </w:sectPr>
      </w:pPr>
    </w:p>
    <w:bookmarkStart w:id="66" w:name="page67"/>
    <w:bookmarkEnd w:id="66"/>
    <w:p>
      <w:pPr>
        <w:ind w:right="20"/>
        <w:spacing w:after="0" w:line="261" w:lineRule="auto"/>
        <w:rPr>
          <w:sz w:val="20"/>
          <w:szCs w:val="20"/>
          <w:color w:val="auto"/>
        </w:rPr>
      </w:pPr>
      <w:r>
        <w:rPr>
          <w:rFonts w:ascii="Arial" w:cs="Arial" w:eastAsia="Arial" w:hAnsi="Arial"/>
          <w:sz w:val="19"/>
          <w:szCs w:val="19"/>
          <w:color w:val="auto"/>
        </w:rPr>
        <w:t>engaged in a business in which Honeywell is engaged if the business is competitive (in the sole judgment of the Honeywell International Inc. Chief Executive Officer (“CEO”)) and the CEO has not approved the agreement or arrangement in writing, or</w:t>
      </w:r>
    </w:p>
    <w:p>
      <w:pPr>
        <w:spacing w:after="0" w:line="2" w:lineRule="exact"/>
        <w:rPr>
          <w:sz w:val="20"/>
          <w:szCs w:val="20"/>
          <w:color w:val="auto"/>
        </w:rPr>
      </w:pPr>
    </w:p>
    <w:p>
      <w:pPr>
        <w:jc w:val="both"/>
        <w:ind w:firstLine="8"/>
        <w:spacing w:after="0" w:line="230" w:lineRule="auto"/>
        <w:tabs>
          <w:tab w:leader="none" w:pos="343" w:val="left"/>
        </w:tabs>
        <w:numPr>
          <w:ilvl w:val="0"/>
          <w:numId w:val="46"/>
        </w:numPr>
        <w:rPr>
          <w:rFonts w:ascii="Arial" w:cs="Arial" w:eastAsia="Arial" w:hAnsi="Arial"/>
          <w:sz w:val="21"/>
          <w:szCs w:val="21"/>
          <w:color w:val="auto"/>
        </w:rPr>
      </w:pPr>
      <w:r>
        <w:rPr>
          <w:rFonts w:ascii="Arial" w:cs="Arial" w:eastAsia="Arial" w:hAnsi="Arial"/>
          <w:sz w:val="21"/>
          <w:szCs w:val="21"/>
          <w:color w:val="auto"/>
        </w:rPr>
        <w:t>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98"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200" w:lineRule="exact"/>
        <w:rPr>
          <w:sz w:val="20"/>
          <w:szCs w:val="20"/>
          <w:color w:val="auto"/>
        </w:rPr>
      </w:pPr>
    </w:p>
    <w:p>
      <w:pPr>
        <w:jc w:val="both"/>
        <w:ind w:firstLine="1304"/>
        <w:spacing w:after="0" w:line="256" w:lineRule="auto"/>
        <w:tabs>
          <w:tab w:leader="none" w:pos="1525"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[INCLUDE AS APPLICABLE or you voluntarily terminate your employment with less than a 45-day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[INCLUDE AS APPLICABLE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right="20" w:firstLine="1304"/>
        <w:spacing w:after="0" w:line="239" w:lineRule="auto"/>
        <w:tabs>
          <w:tab w:leader="none" w:pos="1525"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w:t>
      </w:r>
    </w:p>
    <w:p>
      <w:pPr>
        <w:sectPr>
          <w:pgSz w:w="11900" w:h="16838" w:orient="portrait"/>
          <w:cols w:equalWidth="0" w:num="1">
            <w:col w:w="11240"/>
          </w:cols>
          <w:pgMar w:left="320" w:top="1414" w:right="339" w:bottom="1440" w:gutter="0" w:footer="0" w:header="0"/>
        </w:sectPr>
      </w:pPr>
    </w:p>
    <w:bookmarkStart w:id="67" w:name="page68"/>
    <w:bookmarkEnd w:id="67"/>
    <w:p>
      <w:pPr>
        <w:ind w:right="20"/>
        <w:spacing w:after="0" w:line="239" w:lineRule="auto"/>
        <w:rPr>
          <w:sz w:val="20"/>
          <w:szCs w:val="20"/>
          <w:color w:val="auto"/>
        </w:rPr>
      </w:pPr>
      <w:r>
        <w:rPr>
          <w:rFonts w:ascii="Arial" w:cs="Arial" w:eastAsia="Arial" w:hAnsi="Arial"/>
          <w:sz w:val="22"/>
          <w:szCs w:val="22"/>
          <w:color w:val="auto"/>
        </w:rPr>
        <w:t>requirements of an exchange on which the Shares are listed for trading, to recoup compensation paid to you pursuant to the Plan, and you agree to comply with any Company request or demand for recoupment.</w:t>
      </w:r>
    </w:p>
    <w:p>
      <w:pPr>
        <w:spacing w:after="0" w:line="192" w:lineRule="exact"/>
        <w:rPr>
          <w:sz w:val="20"/>
          <w:szCs w:val="20"/>
          <w:color w:val="auto"/>
        </w:rPr>
      </w:pPr>
    </w:p>
    <w:p>
      <w:pPr>
        <w:jc w:val="both"/>
        <w:ind w:firstLine="8"/>
        <w:spacing w:after="0" w:line="235" w:lineRule="auto"/>
        <w:tabs>
          <w:tab w:leader="none" w:pos="337"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Restrictions on Payment of Shares. </w:t>
      </w:r>
      <w:r>
        <w:rPr>
          <w:rFonts w:ascii="Arial" w:cs="Arial" w:eastAsia="Arial" w:hAnsi="Arial"/>
          <w:sz w:val="21"/>
          <w:szCs w:val="21"/>
          <w:color w:val="auto"/>
        </w:rPr>
        <w:t>Payment of Shares for your Restricted Stock Units [and Additional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94" w:lineRule="exact"/>
        <w:rPr>
          <w:rFonts w:ascii="Arial" w:cs="Arial" w:eastAsia="Arial" w:hAnsi="Arial"/>
          <w:sz w:val="21"/>
          <w:szCs w:val="21"/>
          <w:color w:val="auto"/>
        </w:rPr>
      </w:pPr>
    </w:p>
    <w:p>
      <w:pPr>
        <w:ind w:firstLine="8"/>
        <w:spacing w:after="0" w:line="243" w:lineRule="auto"/>
        <w:tabs>
          <w:tab w:leader="none" w:pos="337"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Any adjustments to the Restricted Stock Units [and Additional Restricted Stock Units] will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5.3 of the Plan.</w:t>
      </w:r>
    </w:p>
    <w:p>
      <w:pPr>
        <w:spacing w:after="0" w:line="189" w:lineRule="exact"/>
        <w:rPr>
          <w:rFonts w:ascii="Arial" w:cs="Arial" w:eastAsia="Arial" w:hAnsi="Arial"/>
          <w:sz w:val="22"/>
          <w:szCs w:val="22"/>
          <w:color w:val="auto"/>
        </w:rPr>
      </w:pPr>
    </w:p>
    <w:p>
      <w:pPr>
        <w:jc w:val="both"/>
        <w:ind w:firstLine="8"/>
        <w:spacing w:after="0" w:line="225" w:lineRule="auto"/>
        <w:tabs>
          <w:tab w:leader="none" w:pos="337"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197" w:lineRule="exact"/>
        <w:rPr>
          <w:rFonts w:ascii="Arial" w:cs="Arial" w:eastAsia="Arial" w:hAnsi="Arial"/>
          <w:sz w:val="22"/>
          <w:szCs w:val="22"/>
          <w:color w:val="auto"/>
        </w:rPr>
      </w:pPr>
    </w:p>
    <w:p>
      <w:pPr>
        <w:jc w:val="both"/>
        <w:ind w:firstLine="8"/>
        <w:spacing w:after="0" w:line="234" w:lineRule="auto"/>
        <w:tabs>
          <w:tab w:leader="none" w:pos="351"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The vesting and redemption of Restricted Stock Units [or Additional Restricted Stock Units], the</w:t>
      </w:r>
      <w:r>
        <w:rPr>
          <w:rFonts w:ascii="Arial" w:cs="Arial" w:eastAsia="Arial" w:hAnsi="Arial"/>
          <w:sz w:val="21"/>
          <w:szCs w:val="21"/>
          <w:b w:val="1"/>
          <w:bCs w:val="1"/>
          <w:color w:val="auto"/>
        </w:rPr>
        <w:t xml:space="preserve"> </w:t>
      </w:r>
      <w:r>
        <w:rPr>
          <w:rFonts w:ascii="Arial" w:cs="Arial" w:eastAsia="Arial" w:hAnsi="Arial"/>
          <w:sz w:val="21"/>
          <w:szCs w:val="21"/>
          <w:color w:val="auto"/>
        </w:rPr>
        <w:t>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w:t>
      </w:r>
    </w:p>
    <w:p>
      <w:pPr>
        <w:spacing w:after="0" w:line="195" w:lineRule="exact"/>
        <w:rPr>
          <w:rFonts w:ascii="Arial" w:cs="Arial" w:eastAsia="Arial" w:hAnsi="Arial"/>
          <w:sz w:val="21"/>
          <w:szCs w:val="21"/>
          <w:color w:val="auto"/>
        </w:rPr>
      </w:pPr>
    </w:p>
    <w:p>
      <w:pPr>
        <w:ind w:left="340" w:hanging="332"/>
        <w:spacing w:after="0"/>
        <w:tabs>
          <w:tab w:leader="none" w:pos="34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jc w:val="both"/>
        <w:ind w:firstLine="656"/>
        <w:spacing w:after="0" w:line="217" w:lineRule="auto"/>
        <w:tabs>
          <w:tab w:leader="none" w:pos="852" w:val="left"/>
        </w:tabs>
        <w:numPr>
          <w:ilvl w:val="1"/>
          <w:numId w:val="48"/>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2" w:lineRule="exact"/>
        <w:rPr>
          <w:rFonts w:ascii="Arial" w:cs="Arial" w:eastAsia="Arial" w:hAnsi="Arial"/>
          <w:sz w:val="22"/>
          <w:szCs w:val="22"/>
          <w:color w:val="auto"/>
        </w:rPr>
      </w:pPr>
    </w:p>
    <w:p>
      <w:pPr>
        <w:jc w:val="both"/>
        <w:ind w:firstLine="656"/>
        <w:spacing w:after="0" w:line="217" w:lineRule="auto"/>
        <w:tabs>
          <w:tab w:leader="none" w:pos="864" w:val="left"/>
        </w:tabs>
        <w:numPr>
          <w:ilvl w:val="1"/>
          <w:numId w:val="48"/>
        </w:numPr>
        <w:rPr>
          <w:rFonts w:ascii="Arial" w:cs="Arial" w:eastAsia="Arial" w:hAnsi="Arial"/>
          <w:sz w:val="22"/>
          <w:szCs w:val="22"/>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3" w:lineRule="exact"/>
        <w:rPr>
          <w:rFonts w:ascii="Arial" w:cs="Arial" w:eastAsia="Arial" w:hAnsi="Arial"/>
          <w:sz w:val="22"/>
          <w:szCs w:val="22"/>
          <w:color w:val="auto"/>
        </w:rPr>
      </w:pPr>
    </w:p>
    <w:p>
      <w:pPr>
        <w:ind w:firstLine="656"/>
        <w:spacing w:after="0" w:line="230" w:lineRule="auto"/>
        <w:tabs>
          <w:tab w:leader="none" w:pos="865" w:val="left"/>
        </w:tabs>
        <w:numPr>
          <w:ilvl w:val="1"/>
          <w:numId w:val="48"/>
        </w:numPr>
        <w:rPr>
          <w:rFonts w:ascii="Arial" w:cs="Arial" w:eastAsia="Arial" w:hAnsi="Arial"/>
          <w:sz w:val="22"/>
          <w:szCs w:val="22"/>
          <w:color w:val="auto"/>
        </w:rPr>
      </w:pPr>
      <w:r>
        <w:rPr>
          <w:rFonts w:ascii="Arial" w:cs="Arial" w:eastAsia="Arial" w:hAnsi="Arial"/>
          <w:sz w:val="22"/>
          <w:szCs w:val="22"/>
          <w:color w:val="auto"/>
        </w:rPr>
        <w:t>You further understand that part or all of your Data may be also held by the Company or its Affiliates, pursuant to a transfer made in the past with your consent, in respect of</w:t>
      </w:r>
    </w:p>
    <w:p>
      <w:pPr>
        <w:sectPr>
          <w:pgSz w:w="11900" w:h="16838" w:orient="portrait"/>
          <w:cols w:equalWidth="0" w:num="1">
            <w:col w:w="11240"/>
          </w:cols>
          <w:pgMar w:left="320" w:top="1414" w:right="339" w:bottom="1440" w:gutter="0" w:footer="0" w:header="0"/>
        </w:sectPr>
      </w:pPr>
    </w:p>
    <w:bookmarkStart w:id="68" w:name="page69"/>
    <w:bookmarkEnd w:id="68"/>
    <w:p>
      <w:pPr>
        <w:jc w:val="both"/>
        <w:spacing w:after="0" w:line="226" w:lineRule="auto"/>
        <w:rPr>
          <w:sz w:val="20"/>
          <w:szCs w:val="20"/>
          <w:color w:val="auto"/>
        </w:rPr>
      </w:pPr>
      <w:r>
        <w:rPr>
          <w:rFonts w:ascii="Arial" w:cs="Arial" w:eastAsia="Arial" w:hAnsi="Arial"/>
          <w:sz w:val="22"/>
          <w:szCs w:val="22"/>
          <w:color w:val="auto"/>
        </w:rPr>
        <w:t>any previous grant of Restricted Stock Units or awards, which was made for the same purposes of managing and administering of previous award/incentive plans, or for other purposes.</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jc w:val="both"/>
        <w:ind w:firstLine="648"/>
        <w:spacing w:after="0" w:line="252" w:lineRule="auto"/>
        <w:rPr>
          <w:sz w:val="20"/>
          <w:szCs w:val="20"/>
          <w:color w:val="auto"/>
        </w:rPr>
      </w:pPr>
      <w:r>
        <w:rPr>
          <w:rFonts w:ascii="Arial" w:cs="Arial" w:eastAsia="Arial" w:hAnsi="Arial"/>
          <w:sz w:val="19"/>
          <w:szCs w:val="19"/>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jc w:val="both"/>
        <w:ind w:firstLine="648"/>
        <w:spacing w:after="0" w:line="272" w:lineRule="auto"/>
        <w:rPr>
          <w:sz w:val="20"/>
          <w:szCs w:val="20"/>
          <w:color w:val="auto"/>
        </w:rPr>
      </w:pPr>
      <w:r>
        <w:rPr>
          <w:rFonts w:ascii="Arial" w:cs="Arial" w:eastAsia="Arial" w:hAnsi="Arial"/>
          <w:sz w:val="19"/>
          <w:szCs w:val="19"/>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65" w:lineRule="exact"/>
        <w:rPr>
          <w:sz w:val="20"/>
          <w:szCs w:val="20"/>
          <w:color w:val="auto"/>
        </w:rPr>
      </w:pPr>
    </w:p>
    <w:p>
      <w:pPr>
        <w:ind w:firstLine="8"/>
        <w:spacing w:after="0" w:line="229" w:lineRule="auto"/>
        <w:tabs>
          <w:tab w:leader="none" w:pos="351"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jc w:val="both"/>
        <w:ind w:firstLine="656"/>
        <w:spacing w:after="0" w:line="217" w:lineRule="auto"/>
        <w:tabs>
          <w:tab w:leader="none" w:pos="85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2" w:lineRule="exact"/>
        <w:rPr>
          <w:rFonts w:ascii="Arial" w:cs="Arial" w:eastAsia="Arial" w:hAnsi="Arial"/>
          <w:sz w:val="22"/>
          <w:szCs w:val="22"/>
          <w:color w:val="auto"/>
        </w:rPr>
      </w:pPr>
    </w:p>
    <w:p>
      <w:pPr>
        <w:ind w:firstLine="656"/>
        <w:spacing w:after="0" w:line="217" w:lineRule="auto"/>
        <w:tabs>
          <w:tab w:leader="none" w:pos="877"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Restricted Stock Units [and Additional Restricted Stock Units] granted under the Plan.</w:t>
      </w:r>
    </w:p>
    <w:p>
      <w:pPr>
        <w:spacing w:after="0" w:line="1" w:lineRule="exact"/>
        <w:rPr>
          <w:rFonts w:ascii="Arial" w:cs="Arial" w:eastAsia="Arial" w:hAnsi="Arial"/>
          <w:sz w:val="22"/>
          <w:szCs w:val="22"/>
          <w:color w:val="auto"/>
        </w:rPr>
      </w:pPr>
    </w:p>
    <w:p>
      <w:pPr>
        <w:ind w:firstLine="656"/>
        <w:spacing w:after="0" w:line="217" w:lineRule="auto"/>
        <w:tabs>
          <w:tab w:leader="none" w:pos="865" w:val="left"/>
        </w:tabs>
        <w:numPr>
          <w:ilvl w:val="1"/>
          <w:numId w:val="49"/>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1" w:lineRule="exact"/>
        <w:rPr>
          <w:rFonts w:ascii="Arial" w:cs="Arial" w:eastAsia="Arial" w:hAnsi="Arial"/>
          <w:sz w:val="22"/>
          <w:szCs w:val="22"/>
          <w:color w:val="auto"/>
        </w:rPr>
      </w:pPr>
    </w:p>
    <w:p>
      <w:pPr>
        <w:jc w:val="both"/>
        <w:ind w:firstLine="656"/>
        <w:spacing w:after="0" w:line="228" w:lineRule="auto"/>
        <w:tabs>
          <w:tab w:leader="none" w:pos="864"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jc w:val="both"/>
        <w:ind w:firstLine="656"/>
        <w:spacing w:after="0" w:line="221" w:lineRule="auto"/>
        <w:tabs>
          <w:tab w:leader="none" w:pos="89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ectPr>
          <w:pgSz w:w="11900" w:h="16838" w:orient="portrait"/>
          <w:cols w:equalWidth="0" w:num="1">
            <w:col w:w="11240"/>
          </w:cols>
          <w:pgMar w:left="320" w:top="1414" w:right="339" w:bottom="1440" w:gutter="0" w:footer="0" w:header="0"/>
        </w:sectPr>
      </w:pPr>
    </w:p>
    <w:bookmarkStart w:id="69" w:name="page70"/>
    <w:bookmarkEnd w:id="69"/>
    <w:p>
      <w:pPr>
        <w:jc w:val="both"/>
        <w:ind w:firstLine="648"/>
        <w:spacing w:after="0" w:line="223" w:lineRule="auto"/>
        <w:rPr>
          <w:sz w:val="20"/>
          <w:szCs w:val="20"/>
          <w:color w:val="auto"/>
        </w:rPr>
      </w:pPr>
      <w:r>
        <w:rPr>
          <w:rFonts w:ascii="Arial" w:cs="Arial" w:eastAsia="Arial" w:hAnsi="Arial"/>
          <w:sz w:val="22"/>
          <w:szCs w:val="22"/>
          <w:color w:val="auto"/>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2"/>
          <w:szCs w:val="22"/>
          <w:color w:val="auto"/>
        </w:rPr>
        <w:t>g. Participation in the Plan will not be deemed to constitute, and will not be deemed by you to constitute, an employment or labor relationship of any kind with the Company.</w:t>
      </w:r>
    </w:p>
    <w:p>
      <w:pPr>
        <w:spacing w:after="0" w:line="193" w:lineRule="exact"/>
        <w:rPr>
          <w:sz w:val="20"/>
          <w:szCs w:val="20"/>
          <w:color w:val="auto"/>
        </w:rPr>
      </w:pPr>
    </w:p>
    <w:p>
      <w:pPr>
        <w:jc w:val="both"/>
        <w:ind w:firstLine="8"/>
        <w:spacing w:after="0" w:line="265" w:lineRule="auto"/>
        <w:tabs>
          <w:tab w:leader="none" w:pos="324"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 xml:space="preserve">Limitations. </w:t>
      </w:r>
      <w:r>
        <w:rPr>
          <w:rFonts w:ascii="Arial" w:cs="Arial" w:eastAsia="Arial" w:hAnsi="Arial"/>
          <w:sz w:val="19"/>
          <w:szCs w:val="19"/>
          <w:color w:val="auto"/>
        </w:rPr>
        <w:t>Nothing in this Agreement or the Plan gives you any right to continue in the employ of the Company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72" w:lineRule="exact"/>
        <w:rPr>
          <w:rFonts w:ascii="Arial" w:cs="Arial" w:eastAsia="Arial" w:hAnsi="Arial"/>
          <w:sz w:val="19"/>
          <w:szCs w:val="19"/>
          <w:color w:val="auto"/>
        </w:rPr>
      </w:pPr>
    </w:p>
    <w:p>
      <w:pPr>
        <w:jc w:val="both"/>
        <w:ind w:firstLine="8"/>
        <w:spacing w:after="0" w:line="247" w:lineRule="auto"/>
        <w:tabs>
          <w:tab w:leader="none" w:pos="324"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 between you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regarding the Restricted Stock Units. This Agreement supersedes any prior agreements, commitments or negotiations concerning the Restricted Stock Units [and the Additional Restricted Stock Units].</w:t>
      </w:r>
    </w:p>
    <w:p>
      <w:pPr>
        <w:spacing w:after="0" w:line="185" w:lineRule="exact"/>
        <w:rPr>
          <w:rFonts w:ascii="Arial" w:cs="Arial" w:eastAsia="Arial" w:hAnsi="Arial"/>
          <w:sz w:val="21"/>
          <w:szCs w:val="21"/>
          <w:color w:val="auto"/>
        </w:rPr>
      </w:pPr>
    </w:p>
    <w:p>
      <w:pPr>
        <w:jc w:val="both"/>
        <w:ind w:firstLine="8"/>
        <w:spacing w:after="0" w:line="229" w:lineRule="auto"/>
        <w:tabs>
          <w:tab w:leader="none" w:pos="378"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95" w:lineRule="exact"/>
        <w:rPr>
          <w:rFonts w:ascii="Arial" w:cs="Arial" w:eastAsia="Arial" w:hAnsi="Arial"/>
          <w:sz w:val="22"/>
          <w:szCs w:val="22"/>
          <w:color w:val="auto"/>
        </w:rPr>
      </w:pPr>
    </w:p>
    <w:p>
      <w:pPr>
        <w:jc w:val="both"/>
        <w:ind w:firstLine="8"/>
        <w:spacing w:after="0" w:line="233" w:lineRule="auto"/>
        <w:tabs>
          <w:tab w:leader="none" w:pos="324"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governed by the internal substantive laws, and not the choice of law rules, of the State of Delaware and construed accordingly, to the extent not superseded by applicable federal law.</w:t>
      </w:r>
    </w:p>
    <w:p>
      <w:pPr>
        <w:spacing w:after="0" w:line="194" w:lineRule="exact"/>
        <w:rPr>
          <w:rFonts w:ascii="Arial" w:cs="Arial" w:eastAsia="Arial" w:hAnsi="Arial"/>
          <w:sz w:val="22"/>
          <w:szCs w:val="22"/>
          <w:color w:val="auto"/>
        </w:rPr>
      </w:pPr>
    </w:p>
    <w:p>
      <w:pPr>
        <w:jc w:val="both"/>
        <w:ind w:firstLine="8"/>
        <w:spacing w:after="0" w:line="233" w:lineRule="auto"/>
        <w:tabs>
          <w:tab w:leader="none" w:pos="351"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 without your</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to the extent necessary or desirable to comply with the requirements of Code section 409A, the Treasury regulations and other guidance thereunder.</w:t>
      </w:r>
    </w:p>
    <w:p>
      <w:pPr>
        <w:spacing w:after="0" w:line="194" w:lineRule="exact"/>
        <w:rPr>
          <w:rFonts w:ascii="Arial" w:cs="Arial" w:eastAsia="Arial" w:hAnsi="Arial"/>
          <w:sz w:val="22"/>
          <w:szCs w:val="22"/>
          <w:color w:val="auto"/>
        </w:rPr>
      </w:pPr>
    </w:p>
    <w:p>
      <w:pPr>
        <w:jc w:val="both"/>
        <w:ind w:firstLine="8"/>
        <w:spacing w:after="0" w:line="227" w:lineRule="auto"/>
        <w:tabs>
          <w:tab w:leader="none" w:pos="364"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 read, fully</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 xml:space="preserve">To retain this Award, you must accept it by signing and dating below. </w:t>
      </w:r>
      <w:r>
        <w:rPr>
          <w:rFonts w:ascii="Arial" w:cs="Arial" w:eastAsia="Arial" w:hAnsi="Arial"/>
          <w:sz w:val="21"/>
          <w:szCs w:val="21"/>
          <w:b w:val="1"/>
          <w:bCs w:val="1"/>
          <w:color w:val="auto"/>
        </w:rPr>
        <w:t>Return the signed Agreement to Honeywell</w:t>
      </w:r>
      <w:r>
        <w:rPr>
          <w:rFonts w:ascii="Arial" w:cs="Arial" w:eastAsia="Arial" w:hAnsi="Arial"/>
          <w:sz w:val="21"/>
          <w:szCs w:val="21"/>
          <w:color w:val="auto"/>
        </w:rPr>
        <w:t xml:space="preserve"> </w:t>
      </w:r>
      <w:r>
        <w:rPr>
          <w:rFonts w:ascii="Arial" w:cs="Arial" w:eastAsia="Arial" w:hAnsi="Arial"/>
          <w:sz w:val="21"/>
          <w:szCs w:val="21"/>
          <w:b w:val="1"/>
          <w:bCs w:val="1"/>
          <w:color w:val="auto"/>
        </w:rPr>
        <w:t>International Inc., Executive Compensation/4B, 115 Tabor Road, Morris Plains, New Jersey 07950.</w:t>
      </w:r>
    </w:p>
    <w:p>
      <w:pPr>
        <w:sectPr>
          <w:pgSz w:w="11900" w:h="16838" w:orient="portrait"/>
          <w:cols w:equalWidth="0" w:num="1">
            <w:col w:w="11240"/>
          </w:cols>
          <w:pgMar w:left="320" w:top="141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74"/>
        </w:trPr>
        <w:tc>
          <w:tcPr>
            <w:tcW w:w="6100" w:type="dxa"/>
            <w:vAlign w:val="bottom"/>
            <w:gridSpan w:val="2"/>
          </w:tcPr>
          <w:p>
            <w:pPr>
              <w:spacing w:after="0"/>
              <w:rPr>
                <w:sz w:val="20"/>
                <w:szCs w:val="20"/>
                <w:color w:val="auto"/>
              </w:rPr>
            </w:pPr>
            <w:r>
              <w:rPr>
                <w:rFonts w:ascii="Arial" w:cs="Arial" w:eastAsia="Arial" w:hAnsi="Arial"/>
                <w:sz w:val="22"/>
                <w:szCs w:val="22"/>
                <w:color w:val="auto"/>
              </w:rPr>
              <w:t>I Accept:</w:t>
            </w:r>
          </w:p>
        </w:tc>
        <w:tc>
          <w:tcPr>
            <w:tcW w:w="5140" w:type="dxa"/>
            <w:vAlign w:val="bottom"/>
          </w:tcPr>
          <w:p>
            <w:pPr>
              <w:spacing w:after="0"/>
              <w:rPr>
                <w:sz w:val="23"/>
                <w:szCs w:val="23"/>
                <w:color w:val="auto"/>
              </w:rPr>
            </w:pPr>
          </w:p>
        </w:tc>
      </w:tr>
      <w:tr>
        <w:trPr>
          <w:trHeight w:val="517"/>
        </w:trPr>
        <w:tc>
          <w:tcPr>
            <w:tcW w:w="6100" w:type="dxa"/>
            <w:vAlign w:val="bottom"/>
            <w:gridSpan w:val="2"/>
          </w:tcPr>
          <w:p>
            <w:pPr>
              <w:spacing w:after="0"/>
              <w:rPr>
                <w:sz w:val="24"/>
                <w:szCs w:val="24"/>
                <w:color w:val="auto"/>
              </w:rPr>
            </w:pPr>
          </w:p>
        </w:tc>
        <w:tc>
          <w:tcPr>
            <w:tcW w:w="5140" w:type="dxa"/>
            <w:vAlign w:val="bottom"/>
          </w:tcPr>
          <w:p>
            <w:pPr>
              <w:spacing w:after="0"/>
              <w:rPr>
                <w:sz w:val="24"/>
                <w:szCs w:val="24"/>
                <w:color w:val="auto"/>
              </w:rPr>
            </w:pPr>
          </w:p>
        </w:tc>
      </w:tr>
      <w:tr>
        <w:trPr>
          <w:trHeight w:val="268"/>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Print Name</w:t>
            </w:r>
          </w:p>
        </w:tc>
        <w:tc>
          <w:tcPr>
            <w:tcW w:w="160" w:type="dxa"/>
            <w:vAlign w:val="bottom"/>
          </w:tcPr>
          <w:p>
            <w:pPr>
              <w:spacing w:after="0"/>
              <w:rPr>
                <w:sz w:val="23"/>
                <w:szCs w:val="23"/>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EID</w:t>
            </w:r>
          </w:p>
        </w:tc>
      </w:tr>
      <w:tr>
        <w:trPr>
          <w:trHeight w:val="266"/>
        </w:trPr>
        <w:tc>
          <w:tcPr>
            <w:tcW w:w="59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140" w:type="dxa"/>
            <w:vAlign w:val="bottom"/>
            <w:tcBorders>
              <w:bottom w:val="single" w:sz="8" w:color="auto"/>
            </w:tcBorders>
          </w:tcPr>
          <w:p>
            <w:pPr>
              <w:spacing w:after="0"/>
              <w:rPr>
                <w:sz w:val="23"/>
                <w:szCs w:val="23"/>
                <w:color w:val="auto"/>
              </w:rPr>
            </w:pPr>
          </w:p>
        </w:tc>
      </w:tr>
      <w:tr>
        <w:trPr>
          <w:trHeight w:val="268"/>
        </w:trPr>
        <w:tc>
          <w:tcPr>
            <w:tcW w:w="5940" w:type="dxa"/>
            <w:vAlign w:val="bottom"/>
          </w:tcPr>
          <w:p>
            <w:pPr>
              <w:ind w:left="20"/>
              <w:spacing w:after="0"/>
              <w:rPr>
                <w:sz w:val="20"/>
                <w:szCs w:val="20"/>
                <w:color w:val="auto"/>
              </w:rPr>
            </w:pPr>
            <w:r>
              <w:rPr>
                <w:rFonts w:ascii="Arial" w:cs="Arial" w:eastAsia="Arial" w:hAnsi="Arial"/>
                <w:sz w:val="22"/>
                <w:szCs w:val="22"/>
                <w:color w:val="auto"/>
              </w:rPr>
              <w:t>Signature</w:t>
            </w:r>
          </w:p>
        </w:tc>
        <w:tc>
          <w:tcPr>
            <w:tcW w:w="1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14" w:right="339" w:bottom="1440" w:gutter="0" w:footer="0" w:header="0"/>
        </w:sectPr>
      </w:pPr>
    </w:p>
    <w:bookmarkStart w:id="71" w:name="page72"/>
    <w:bookmarkEnd w:id="71"/>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VESTING SCHEDULE TABLE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[VESTING PROVISIONS CONSISTENT WITH THE PLAN]</w:t>
      </w:r>
    </w:p>
    <w:p>
      <w:pPr>
        <w:sectPr>
          <w:pgSz w:w="11900" w:h="16838" w:orient="portrait"/>
          <w:cols w:equalWidth="0" w:num="1">
            <w:col w:w="9019"/>
          </w:cols>
          <w:pgMar w:left="1440" w:top="144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 FORM 2</w:t>
      </w:r>
    </w:p>
    <w:p>
      <w:pPr>
        <w:spacing w:after="0" w:line="22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This RESTRICTED STOCK UNIT AGREEMENT made in Charlotte, North Carolina, as of [DATE] (the “Grant Date”), between Honeywell International Inc. (the “Company”) and [EMPLOYEE NAME] (“Participant”).</w:t>
      </w:r>
    </w:p>
    <w:p>
      <w:pPr>
        <w:spacing w:after="0" w:line="192" w:lineRule="exact"/>
        <w:rPr>
          <w:sz w:val="20"/>
          <w:szCs w:val="20"/>
          <w:color w:val="auto"/>
        </w:rPr>
      </w:pPr>
    </w:p>
    <w:p>
      <w:pPr>
        <w:jc w:val="both"/>
        <w:ind w:firstLine="8"/>
        <w:spacing w:after="0" w:line="229" w:lineRule="auto"/>
        <w:tabs>
          <w:tab w:leader="none" w:pos="256"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 [NUMBER] Restricted Stock Units, subject to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2016 Stock Incentive Plan of Honeywell International Inc. and its Affiliates (the “Plan”). The Company will hold the Restricted Stock Units [and Additional Restricted Stock Units (as defined in Section 4)] in a bookkeeping account on your behalf until they become payable or are forfeited or cancelled.</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94"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Agreement, the following definitions apply:</w:t>
      </w:r>
    </w:p>
    <w:p>
      <w:pPr>
        <w:ind w:firstLine="656"/>
        <w:spacing w:after="0" w:line="217" w:lineRule="auto"/>
        <w:tabs>
          <w:tab w:leader="none" w:pos="865" w:val="left"/>
        </w:tabs>
        <w:numPr>
          <w:ilvl w:val="1"/>
          <w:numId w:val="52"/>
        </w:numPr>
        <w:rPr>
          <w:rFonts w:ascii="Arial" w:cs="Arial" w:eastAsia="Arial" w:hAnsi="Arial"/>
          <w:sz w:val="22"/>
          <w:szCs w:val="22"/>
          <w:color w:val="auto"/>
        </w:rPr>
      </w:pPr>
      <w:r>
        <w:rPr>
          <w:rFonts w:ascii="Arial" w:cs="Arial" w:eastAsia="Arial" w:hAnsi="Arial"/>
          <w:sz w:val="22"/>
          <w:szCs w:val="22"/>
          <w:color w:val="auto"/>
        </w:rPr>
        <w:t>“Actual Award” means the product of (i) the Plan Payout Percentage (as determined under Section 3), and (ii) your Target Award.</w:t>
      </w:r>
    </w:p>
    <w:p>
      <w:pPr>
        <w:spacing w:after="0" w:line="1" w:lineRule="exact"/>
        <w:rPr>
          <w:rFonts w:ascii="Arial" w:cs="Arial" w:eastAsia="Arial" w:hAnsi="Arial"/>
          <w:sz w:val="22"/>
          <w:szCs w:val="22"/>
          <w:color w:val="auto"/>
        </w:rPr>
      </w:pPr>
    </w:p>
    <w:p>
      <w:pPr>
        <w:jc w:val="both"/>
        <w:ind w:firstLine="656"/>
        <w:spacing w:after="0" w:line="217" w:lineRule="auto"/>
        <w:tabs>
          <w:tab w:leader="none" w:pos="931" w:val="left"/>
        </w:tabs>
        <w:numPr>
          <w:ilvl w:val="1"/>
          <w:numId w:val="52"/>
        </w:numPr>
        <w:rPr>
          <w:rFonts w:ascii="Arial" w:cs="Arial" w:eastAsia="Arial" w:hAnsi="Arial"/>
          <w:sz w:val="22"/>
          <w:szCs w:val="22"/>
          <w:color w:val="auto"/>
        </w:rPr>
      </w:pPr>
      <w:r>
        <w:rPr>
          <w:rFonts w:ascii="Arial" w:cs="Arial" w:eastAsia="Arial" w:hAnsi="Arial"/>
          <w:sz w:val="22"/>
          <w:szCs w:val="22"/>
          <w:color w:val="auto"/>
        </w:rPr>
        <w:t>“Compensation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5" w:lineRule="exact"/>
        <w:rPr>
          <w:rFonts w:ascii="Arial" w:cs="Arial" w:eastAsia="Arial" w:hAnsi="Arial"/>
          <w:sz w:val="22"/>
          <w:szCs w:val="22"/>
          <w:color w:val="auto"/>
        </w:rPr>
      </w:pPr>
    </w:p>
    <w:p>
      <w:pPr>
        <w:spacing w:after="0" w:line="217" w:lineRule="auto"/>
        <w:rPr>
          <w:rFonts w:ascii="Arial" w:cs="Arial" w:eastAsia="Arial" w:hAnsi="Arial"/>
          <w:sz w:val="22"/>
          <w:szCs w:val="22"/>
          <w:color w:val="auto"/>
        </w:rPr>
      </w:pPr>
      <w:r>
        <w:rPr>
          <w:rFonts w:ascii="Arial" w:cs="Arial" w:eastAsia="Arial" w:hAnsi="Arial"/>
          <w:sz w:val="22"/>
          <w:szCs w:val="22"/>
          <w:color w:val="auto"/>
        </w:rPr>
        <w:t>c. “Measurement Period” means [DESCRIBE MEASUREMENT PERIOD].</w:t>
      </w:r>
    </w:p>
    <w:p>
      <w:pPr>
        <w:ind w:left="880" w:hanging="224"/>
        <w:spacing w:after="0" w:line="217" w:lineRule="auto"/>
        <w:tabs>
          <w:tab w:leader="none" w:pos="8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“Performance Cycle” means the period beginning on [DATE] and ending on [DATE].</w:t>
      </w:r>
    </w:p>
    <w:p>
      <w:pPr>
        <w:ind w:firstLine="656"/>
        <w:spacing w:after="0" w:line="217" w:lineRule="auto"/>
        <w:tabs>
          <w:tab w:leader="none" w:pos="852" w:val="left"/>
        </w:tabs>
        <w:numPr>
          <w:ilvl w:val="1"/>
          <w:numId w:val="53"/>
        </w:numPr>
        <w:rPr>
          <w:rFonts w:ascii="Arial" w:cs="Arial" w:eastAsia="Arial" w:hAnsi="Arial"/>
          <w:sz w:val="22"/>
          <w:szCs w:val="22"/>
          <w:color w:val="auto"/>
        </w:rPr>
      </w:pPr>
      <w:r>
        <w:rPr>
          <w:rFonts w:ascii="Arial" w:cs="Arial" w:eastAsia="Arial" w:hAnsi="Arial"/>
          <w:sz w:val="22"/>
          <w:szCs w:val="22"/>
          <w:color w:val="auto"/>
        </w:rPr>
        <w:t>“Target Award” means the number of Restricted Stock Units awarded to you for the Performance Cycle under Section 1 of this Agreement.</w:t>
      </w:r>
    </w:p>
    <w:p>
      <w:pPr>
        <w:spacing w:after="0" w:line="1" w:lineRule="exact"/>
        <w:rPr>
          <w:rFonts w:ascii="Arial" w:cs="Arial" w:eastAsia="Arial" w:hAnsi="Arial"/>
          <w:sz w:val="22"/>
          <w:szCs w:val="22"/>
          <w:color w:val="auto"/>
        </w:rPr>
      </w:pPr>
    </w:p>
    <w:p>
      <w:pPr>
        <w:jc w:val="both"/>
        <w:ind w:firstLine="656"/>
        <w:spacing w:after="0" w:line="217" w:lineRule="auto"/>
        <w:tabs>
          <w:tab w:leader="none" w:pos="828" w:val="left"/>
        </w:tabs>
        <w:numPr>
          <w:ilvl w:val="1"/>
          <w:numId w:val="53"/>
        </w:numPr>
        <w:rPr>
          <w:rFonts w:ascii="Arial" w:cs="Arial" w:eastAsia="Arial" w:hAnsi="Arial"/>
          <w:sz w:val="22"/>
          <w:szCs w:val="22"/>
          <w:color w:val="auto"/>
        </w:rPr>
      </w:pPr>
      <w:r>
        <w:rPr>
          <w:rFonts w:ascii="Arial" w:cs="Arial" w:eastAsia="Arial" w:hAnsi="Arial"/>
          <w:sz w:val="22"/>
          <w:szCs w:val="22"/>
          <w:color w:val="auto"/>
        </w:rPr>
        <w:t>“Total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 average closing share price over the 30 preceding trading days). Dividends are assumed earned and reinvested on the ex-dividend date.</w:t>
      </w:r>
    </w:p>
    <w:p>
      <w:pPr>
        <w:spacing w:after="0" w:line="3" w:lineRule="exact"/>
        <w:rPr>
          <w:rFonts w:ascii="Arial" w:cs="Arial" w:eastAsia="Arial" w:hAnsi="Arial"/>
          <w:sz w:val="22"/>
          <w:szCs w:val="22"/>
          <w:color w:val="auto"/>
        </w:rPr>
      </w:pPr>
    </w:p>
    <w:p>
      <w:pPr>
        <w:ind w:left="880" w:hanging="224"/>
        <w:spacing w:after="0"/>
        <w:tabs>
          <w:tab w:leader="none" w:pos="8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[INSERT ADDITIONAL BUSINESS-RELATED DEFINITIONS AS APPLICABLE].</w:t>
      </w:r>
    </w:p>
    <w:p>
      <w:pPr>
        <w:sectPr>
          <w:pgSz w:w="11900" w:h="16838" w:orient="portrait"/>
          <w:cols w:equalWidth="0" w:num="1">
            <w:col w:w="11240"/>
          </w:cols>
          <w:pgMar w:left="320" w:top="1417" w:right="339" w:bottom="1440" w:gutter="0" w:footer="0" w:header="0"/>
        </w:sectPr>
      </w:pPr>
    </w:p>
    <w:bookmarkStart w:id="73" w:name="page74"/>
    <w:bookmarkEnd w:id="73"/>
    <w:p>
      <w:pPr>
        <w:jc w:val="both"/>
        <w:ind w:firstLine="8"/>
        <w:spacing w:after="0" w:line="229" w:lineRule="auto"/>
        <w:tabs>
          <w:tab w:leader="none" w:pos="243"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Performance Measures. </w:t>
      </w:r>
      <w:r>
        <w:rPr>
          <w:rFonts w:ascii="Arial" w:cs="Arial" w:eastAsia="Arial" w:hAnsi="Arial"/>
          <w:sz w:val="22"/>
          <w:szCs w:val="22"/>
          <w:color w:val="auto"/>
        </w:rPr>
        <w:t>For each Measurement Period, the Company’s Total Shareholder Return will be compared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Total Shareholder Return of each company in the Compensation Peer Group, and the Total Shareholder Return of the Compensation Peer Group and the Company shall be ranked. [DESCRIBE OTHER BUSINESS-RELATED PERFORMANCE MEASURES AS APPLICABLE].</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Plan Payout Percentage shall be determined based on the following for the Performance Cycle: [DESCRIBE HOW PLAN PAYOUT PERCENTAGE IS DETERMINED].</w:t>
      </w:r>
    </w:p>
    <w:p>
      <w:pPr>
        <w:spacing w:after="0" w:line="192" w:lineRule="exact"/>
        <w:rPr>
          <w:sz w:val="20"/>
          <w:szCs w:val="20"/>
          <w:color w:val="auto"/>
        </w:rPr>
      </w:pPr>
    </w:p>
    <w:p>
      <w:pPr>
        <w:jc w:val="both"/>
        <w:ind w:firstLine="8"/>
        <w:spacing w:after="0" w:line="256" w:lineRule="auto"/>
        <w:tabs>
          <w:tab w:leader="none" w:pos="310"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[FOLLOWING INCLUDED AT COMMITTEE’S DISCRETION: Dividend Equivalents. </w:t>
      </w:r>
      <w:r>
        <w:rPr>
          <w:rFonts w:ascii="Arial" w:cs="Arial" w:eastAsia="Arial" w:hAnsi="Arial"/>
          <w:sz w:val="19"/>
          <w:szCs w:val="19"/>
          <w:color w:val="auto"/>
        </w:rPr>
        <w:t>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with any fractional Shares rounded up to the nearest whole Share. You will continue to earn Additional Restricted Stock Units on unpaid Restricted Stock Units and Additional Restricted Stock Units that are held in your bookkeeping account pursuant to a deferral election until the vested Shares are paid to you.]</w:t>
      </w:r>
    </w:p>
    <w:p>
      <w:pPr>
        <w:spacing w:after="0" w:line="182" w:lineRule="exact"/>
        <w:rPr>
          <w:rFonts w:ascii="Arial" w:cs="Arial" w:eastAsia="Arial" w:hAnsi="Arial"/>
          <w:sz w:val="19"/>
          <w:szCs w:val="19"/>
          <w:color w:val="auto"/>
        </w:rPr>
      </w:pPr>
    </w:p>
    <w:p>
      <w:pPr>
        <w:ind w:right="20" w:firstLine="8"/>
        <w:spacing w:after="0" w:line="243" w:lineRule="auto"/>
        <w:tabs>
          <w:tab w:leader="none" w:pos="229"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Stock Unit [and Additional Restricted Stock Unit] represents one (1) Share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w:t>
      </w:r>
    </w:p>
    <w:p>
      <w:pPr>
        <w:spacing w:after="0" w:line="189" w:lineRule="exact"/>
        <w:rPr>
          <w:rFonts w:ascii="Arial" w:cs="Arial" w:eastAsia="Arial" w:hAnsi="Arial"/>
          <w:sz w:val="22"/>
          <w:szCs w:val="22"/>
          <w:color w:val="auto"/>
        </w:rPr>
      </w:pPr>
    </w:p>
    <w:p>
      <w:pPr>
        <w:jc w:val="both"/>
        <w:ind w:firstLine="8"/>
        <w:spacing w:after="0" w:line="236" w:lineRule="auto"/>
        <w:tabs>
          <w:tab w:leader="none" w:pos="216"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 xml:space="preserve">Vesting and Payment. </w:t>
      </w:r>
      <w:r>
        <w:rPr>
          <w:rFonts w:ascii="Arial" w:cs="Arial" w:eastAsia="Arial" w:hAnsi="Arial"/>
          <w:sz w:val="21"/>
          <w:szCs w:val="21"/>
          <w:color w:val="auto"/>
        </w:rPr>
        <w:t>Except as otherwise provided in Sections 8, 9, and 10 and a deferral election, the vesting and payment</w:t>
      </w:r>
      <w:r>
        <w:rPr>
          <w:rFonts w:ascii="Arial" w:cs="Arial" w:eastAsia="Arial" w:hAnsi="Arial"/>
          <w:sz w:val="21"/>
          <w:szCs w:val="21"/>
          <w:b w:val="1"/>
          <w:bCs w:val="1"/>
          <w:color w:val="auto"/>
        </w:rPr>
        <w:t xml:space="preserve"> </w:t>
      </w:r>
      <w:r>
        <w:rPr>
          <w:rFonts w:ascii="Arial" w:cs="Arial" w:eastAsia="Arial" w:hAnsi="Arial"/>
          <w:sz w:val="21"/>
          <w:szCs w:val="21"/>
          <w:color w:val="auto"/>
        </w:rPr>
        <w:t>of Restricted Stock Units [and related Additional Restricted Stock Units] is/are contingent upon you remaining actively employed by the Company on the applicable vesting date(s) specified below: [DESCRIBE VESTING DATE(S)].</w:t>
      </w:r>
    </w:p>
    <w:p>
      <w:pPr>
        <w:spacing w:after="0" w:line="293" w:lineRule="auto"/>
        <w:rPr>
          <w:rFonts w:ascii="Arial" w:cs="Arial" w:eastAsia="Arial" w:hAnsi="Arial"/>
          <w:sz w:val="21"/>
          <w:szCs w:val="21"/>
          <w:color w:val="auto"/>
        </w:rPr>
      </w:pPr>
      <w:r>
        <w:rPr>
          <w:rFonts w:ascii="Arial" w:cs="Arial" w:eastAsia="Arial" w:hAnsi="Arial"/>
          <w:sz w:val="19"/>
          <w:szCs w:val="19"/>
          <w:color w:val="auto"/>
        </w:rPr>
        <w:t>Except as otherwise provided in Sections 8, 9, and 10 and a deferral election, payment will be made as soon as practicable following the vesting date, but in no event later than 2-1/2 months after the end of the calendar year in which vesting occurs.</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Actual Award [and related Additional Restricted Stock Units] will be paid solely in Shares. [In no event will Additional Restricted Stock Units be paid if the related Restricted Stock Units have not vested.]</w:t>
      </w:r>
    </w:p>
    <w:p>
      <w:pPr>
        <w:spacing w:after="0" w:line="192" w:lineRule="exact"/>
        <w:rPr>
          <w:sz w:val="20"/>
          <w:szCs w:val="20"/>
          <w:color w:val="auto"/>
        </w:rPr>
      </w:pPr>
    </w:p>
    <w:p>
      <w:pPr>
        <w:ind w:right="20" w:firstLine="8"/>
        <w:spacing w:after="0" w:line="243" w:lineRule="auto"/>
        <w:tabs>
          <w:tab w:leader="none" w:pos="216"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Except as otherwise provided in this Agreement, if your Termination of Employment occurs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before the vesting date(s) specified above,</w:t>
      </w:r>
    </w:p>
    <w:p>
      <w:pPr>
        <w:sectPr>
          <w:pgSz w:w="11900" w:h="16838" w:orient="portrait"/>
          <w:cols w:equalWidth="0" w:num="1">
            <w:col w:w="11240"/>
          </w:cols>
          <w:pgMar w:left="320" w:top="1408" w:right="339" w:bottom="1440" w:gutter="0" w:footer="0" w:header="0"/>
        </w:sectPr>
      </w:pPr>
    </w:p>
    <w:bookmarkStart w:id="74" w:name="page75"/>
    <w:bookmarkEnd w:id="74"/>
    <w:p>
      <w:pPr>
        <w:spacing w:after="0" w:line="239" w:lineRule="auto"/>
        <w:rPr>
          <w:sz w:val="20"/>
          <w:szCs w:val="20"/>
          <w:color w:val="auto"/>
        </w:rPr>
      </w:pPr>
      <w:r>
        <w:rPr>
          <w:rFonts w:ascii="Arial" w:cs="Arial" w:eastAsia="Arial" w:hAnsi="Arial"/>
          <w:sz w:val="22"/>
          <w:szCs w:val="22"/>
          <w:color w:val="auto"/>
        </w:rPr>
        <w:t>any unvested Restricted Stock Units [and Additional Restricted Stock Units] will immediately be forfeited, and your rights with respect to these Restricted Stock Units [and Additional Restricted Stock Units] will end.</w:t>
      </w:r>
    </w:p>
    <w:p>
      <w:pPr>
        <w:spacing w:after="0" w:line="192" w:lineRule="exact"/>
        <w:rPr>
          <w:sz w:val="20"/>
          <w:szCs w:val="20"/>
          <w:color w:val="auto"/>
        </w:rPr>
      </w:pPr>
    </w:p>
    <w:p>
      <w:pPr>
        <w:jc w:val="both"/>
        <w:ind w:firstLine="8"/>
        <w:spacing w:after="0" w:line="229" w:lineRule="auto"/>
        <w:tabs>
          <w:tab w:leader="none" w:pos="216"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Death or Disability. </w:t>
      </w:r>
      <w:r>
        <w:rPr>
          <w:rFonts w:ascii="Arial" w:cs="Arial" w:eastAsia="Arial" w:hAnsi="Arial"/>
          <w:sz w:val="22"/>
          <w:szCs w:val="22"/>
          <w:color w:val="auto"/>
        </w:rPr>
        <w:t>If your Termination of Employment occurs because of your death or Disability before the last day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Cycle, you or your estate will receive your Target Award as your Actual Award for the Performance Cycle. [No Additional Restricted Stock Units will be paid in this case. OR Additional Restricted Stock Units will be calculated as provided in Section 4.]</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If your Termination of Employment occurs because of your death or Disability after the last day of the Performance Cycle but before the Actual Award is fully paid, you or your estate will receive the remainder of your unpaid Actual Award for the Performance Cycle. [No Additional Restricted Stock Units will be paid in this case. OR Additional Restricted Stock Units will be calculated as provided in Section 4.]</w:t>
      </w:r>
    </w:p>
    <w:p>
      <w:pPr>
        <w:spacing w:after="0" w:line="194" w:lineRule="exact"/>
        <w:rPr>
          <w:sz w:val="20"/>
          <w:szCs w:val="20"/>
          <w:color w:val="auto"/>
        </w:rPr>
      </w:pPr>
    </w:p>
    <w:p>
      <w:pPr>
        <w:jc w:val="both"/>
        <w:ind w:firstLine="8"/>
        <w:spacing w:after="0" w:line="286" w:lineRule="auto"/>
        <w:tabs>
          <w:tab w:leader="none" w:pos="216"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 xml:space="preserve">[INCLUDE AS APPLICABLE: Retirement. </w:t>
      </w:r>
      <w:r>
        <w:rPr>
          <w:rFonts w:ascii="Arial" w:cs="Arial" w:eastAsia="Arial" w:hAnsi="Arial"/>
          <w:sz w:val="19"/>
          <w:szCs w:val="19"/>
          <w:color w:val="auto"/>
        </w:rPr>
        <w:t>For the avoidance of doubt, if your Termination of Employment occurs solely</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of your Retirement at any age before the last day of the Performance Cycle, all unvested Restricted Stock Units [and Additional Restricted Stock Units] will be forfeited and your rights with respect to any award under this Agreement will end.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If your Termination of Employment occurs solely because of your Retirement on or after age [AGE] before the last day of the Performance Cycle, you will receive a pro-rata payment of your Target Award as your Actual Award equal to the product of (a) times (b), minus (c), where (a) equals the total number of Restricted Stock Units set forth in Section 1 above [plus the total number of Additional Restricted Stock Units credited to you as of your Termination of Employment], (b) equals the ratio of your complete years of service as an employee of the Company or its Affiliates between the Award Date and your Termination of Employment, and the number of complete years of service required under this Agreement to be fully vested in all Restricted Stock Units [and Additional Restricted Stock Units], and (c) equals the number of Restricted Stock Units [and Additional Restricted Stock Units] that vested before your Termination of Employment.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your Termination of Employment occurs solely because of your Retirement on or after age [AGE] before the last day of the Performance Cycle, you will be vested in an additional number of Restricted Stock Units [and related Additional Restricted Stock Units] equal to [INSERT VESTING PROVISION ON RETIREMENT AT OR AFTER THE SPECIFIED AGE].]</w:t>
      </w:r>
    </w:p>
    <w:p>
      <w:pPr>
        <w:spacing w:after="0" w:line="16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[INCLUDE AS APPLICABLE: If your Termination of Employment occurs solely because of your Retirement on or after age [AGE] after the last day of the Performance Cycle but before the Actual Award is fully paid, you will receive the remainder of your unpaid Actual Award for the Performance Cycle.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ectPr>
          <w:pgSz w:w="11900" w:h="16838" w:orient="portrait"/>
          <w:cols w:equalWidth="0" w:num="1">
            <w:col w:w="11240"/>
          </w:cols>
          <w:pgMar w:left="320" w:top="1414"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If your Termination of Employment occurs solely because of your Retirement on or after age [AGE] after the last day of the Performance Cycle but before the Actual Award is fully paid, any unpaid Actual Award will be forfeited and your rights with respect to any such Actual Award under this Agreement will terminate. OR</w:t>
      </w:r>
    </w:p>
    <w:p>
      <w:pPr>
        <w:spacing w:after="0" w:line="200" w:lineRule="exact"/>
        <w:rPr>
          <w:sz w:val="20"/>
          <w:szCs w:val="20"/>
          <w:color w:val="auto"/>
        </w:rPr>
      </w:pP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If your Termination of Employment occurs solely because of your Retirement on or after age [AGE] after the last day of the Performance Cycle but before the Actual Award is fully paid, any unpaid Actual Award will be paid as follows: [INSERT VESTING PROVISION ON RETIREMENT ON OR AFTER AGE [AGE]].]</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[No Additional Restricted Stock Units will be paid in this case. OR Additional Restricted Stock Units will be calculated as provided in Section 4.]</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[INCLUDE AS APPLICABLE: Notwithstanding the preceding sentence, if you are a “specified employee” under Section 409A of the Code as of the date your Termination of Employment occurs due to Retirement, payment for vested Restricted Stock Units [and Additional Restricted Stock Units] will be made on the first business day of the first calendar month that begins after the six-month anniversary of your Termination of Employment, or, if earlier, your death.</w:t>
      </w:r>
    </w:p>
    <w:p>
      <w:pPr>
        <w:spacing w:after="0" w:line="199"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Subject to a deferral election, if (i) you are eligible for Retirement on or after age [AGE] on the Award Date or you become eligible for Retirement on or after age [AGE] before the last vesting date described in Section 6 of this Agreement and (ii) your Termination of Employment does not occur before the last vesting date described in Section 6 of this Agreement, payment for vested Restricted Stock Units [and Additional Restricted Stock Units] will be made as soon as practicable following the applicable vesting date described in Section 6 of this Agreement but in no event later than the last day of the calendar year in which each such vesting date occurs.]</w:t>
      </w:r>
    </w:p>
    <w:p>
      <w:pPr>
        <w:spacing w:after="0" w:line="197" w:lineRule="exact"/>
        <w:rPr>
          <w:sz w:val="20"/>
          <w:szCs w:val="20"/>
          <w:color w:val="auto"/>
        </w:rPr>
      </w:pPr>
    </w:p>
    <w:p>
      <w:pPr>
        <w:ind w:firstLine="8"/>
        <w:spacing w:after="0" w:line="229" w:lineRule="auto"/>
        <w:tabs>
          <w:tab w:leader="none" w:pos="33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anything in Sections 2 through 9 above to the contrary, in the event of a 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defined in the Plan), the following provisions apply:</w:t>
      </w:r>
    </w:p>
    <w:p>
      <w:pPr>
        <w:jc w:val="both"/>
        <w:ind w:firstLine="648"/>
        <w:spacing w:after="0" w:line="252" w:lineRule="auto"/>
        <w:rPr>
          <w:rFonts w:ascii="Arial" w:cs="Arial" w:eastAsia="Arial" w:hAnsi="Arial"/>
          <w:sz w:val="22"/>
          <w:szCs w:val="22"/>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Rollover of Awards.</w:t>
      </w:r>
      <w:r>
        <w:rPr>
          <w:rFonts w:ascii="Arial" w:cs="Arial" w:eastAsia="Arial" w:hAnsi="Arial"/>
          <w:sz w:val="19"/>
          <w:szCs w:val="19"/>
          <w:color w:val="auto"/>
        </w:rPr>
        <w:t xml:space="preserve"> If adjusted or exchanged pursuant to Section 5.3(c), 5.3(d), 5.3(e) or 5.3(f) of the Plan, Restricted Stock Units [and Additional Restricted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w:t>
      </w:r>
    </w:p>
    <w:p>
      <w:pPr>
        <w:jc w:val="both"/>
        <w:ind w:firstLine="8"/>
        <w:spacing w:after="0" w:line="259" w:lineRule="auto"/>
        <w:tabs>
          <w:tab w:leader="none" w:pos="309" w:val="left"/>
        </w:tabs>
        <w:numPr>
          <w:ilvl w:val="0"/>
          <w:numId w:val="60"/>
        </w:numPr>
        <w:rPr>
          <w:rFonts w:ascii="Arial" w:cs="Arial" w:eastAsia="Arial" w:hAnsi="Arial"/>
          <w:sz w:val="19"/>
          <w:szCs w:val="19"/>
          <w:color w:val="auto"/>
        </w:rPr>
      </w:pPr>
      <w:r>
        <w:rPr>
          <w:rFonts w:ascii="Arial" w:cs="Arial" w:eastAsia="Arial" w:hAnsi="Arial"/>
          <w:sz w:val="19"/>
          <w:szCs w:val="19"/>
          <w:color w:val="auto"/>
        </w:rPr>
        <w:t>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pro-rated to reflect the portion of the Performance Cycle that elapsed prior to such Termination of Employment, will be paid in Shares no later than the earlier of 90 days after the Termination of Employment or two and one-half months after the end of the calendar year in which the Termination of Employment occurs.</w:t>
      </w:r>
    </w:p>
    <w:p>
      <w:pPr>
        <w:sectPr>
          <w:pgSz w:w="11900" w:h="16838" w:orient="portrait"/>
          <w:cols w:equalWidth="0" w:num="1">
            <w:col w:w="11240"/>
          </w:cols>
          <w:pgMar w:left="320" w:top="1414" w:right="339" w:bottom="1440" w:gutter="0" w:footer="0" w:header="0"/>
        </w:sectPr>
      </w:pPr>
    </w:p>
    <w:bookmarkStart w:id="76" w:name="page77"/>
    <w:bookmarkEnd w:id="76"/>
    <w:p>
      <w:pPr>
        <w:jc w:val="both"/>
        <w:ind w:firstLine="648"/>
        <w:spacing w:after="0" w:line="253"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color w:val="auto"/>
        </w:rPr>
        <w:t>Cashout of Awards.</w:t>
      </w:r>
      <w:r>
        <w:rPr>
          <w:rFonts w:ascii="Arial" w:cs="Arial" w:eastAsia="Arial" w:hAnsi="Arial"/>
          <w:sz w:val="19"/>
          <w:szCs w:val="19"/>
          <w:color w:val="auto"/>
        </w:rPr>
        <w:t xml:space="preserve"> Unless adjusted or exchanged pursuant to Section 5.3(c), 5.3(d)(ii), 5.3(e) or 5.3(f) of the Plan (concerning rollover of outstanding awards in certain circumstances), Restricted Stock Units [and Additional Restricted Stock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vested and outstanding Restricted Stock Units [and Additional Restricted Stock Units] as of the date of the Change in Control (including any Restricted Stock Units [and Additional Restricted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w:t>
      </w:r>
    </w:p>
    <w:p>
      <w:pPr>
        <w:spacing w:after="0" w:line="12"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valuation placed on the securities or property by any entity that is a party with the Company to the Change in Control, or</w:t>
      </w:r>
    </w:p>
    <w:p>
      <w:pPr>
        <w:spacing w:after="0" w:line="11" w:lineRule="exact"/>
        <w:rPr>
          <w:rFonts w:ascii="Arial" w:cs="Arial" w:eastAsia="Arial" w:hAnsi="Arial"/>
          <w:sz w:val="19"/>
          <w:szCs w:val="19"/>
          <w:color w:val="auto"/>
        </w:rPr>
      </w:pPr>
    </w:p>
    <w:p>
      <w:pPr>
        <w:ind w:left="320" w:hanging="312"/>
        <w:spacing w:after="0"/>
        <w:tabs>
          <w:tab w:leader="none" w:pos="3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valuation placed on the securities or property by the Committee.</w:t>
      </w:r>
    </w:p>
    <w:p>
      <w:pPr>
        <w:spacing w:after="0" w:line="196" w:lineRule="exact"/>
        <w:rPr>
          <w:sz w:val="20"/>
          <w:szCs w:val="20"/>
          <w:color w:val="auto"/>
        </w:rPr>
      </w:pPr>
    </w:p>
    <w:p>
      <w:pPr>
        <w:jc w:val="both"/>
        <w:ind w:firstLine="8"/>
        <w:spacing w:after="0" w:line="224" w:lineRule="auto"/>
        <w:tabs>
          <w:tab w:leader="none" w:pos="343"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[FOLLOWING INCLUDED AT COMMITTEE’S DISCRETION: Deferral of Payment. </w:t>
      </w:r>
      <w:r>
        <w:rPr>
          <w:rFonts w:ascii="Arial" w:cs="Arial" w:eastAsia="Arial" w:hAnsi="Arial"/>
          <w:sz w:val="22"/>
          <w:szCs w:val="22"/>
          <w:color w:val="auto"/>
        </w:rPr>
        <w:t>If you would like to defer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on the Restricted Stock Units and related Additional Restricted Stock Units, you may do so in writing on the deferral form provided with this grant setting forth your desired payment schedule. The deferral shall not be permitted if, within the determination of the Company, such deferral would result in a violation of Section 409A of the Internal Revenue Code of 1986, as amended (the “Code”) and the regulations promulgated thereunder. If the deferral is not permitted, then payment shall be made as provided in this Agreement. All Additional Restricted Stock Units shall be subject to the same deferral restrictions as the Restricted Stock Units to which they relate.]</w:t>
      </w:r>
    </w:p>
    <w:p>
      <w:pPr>
        <w:spacing w:after="0" w:line="196" w:lineRule="exact"/>
        <w:rPr>
          <w:rFonts w:ascii="Arial" w:cs="Arial" w:eastAsia="Arial" w:hAnsi="Arial"/>
          <w:sz w:val="22"/>
          <w:szCs w:val="22"/>
          <w:color w:val="auto"/>
        </w:rPr>
      </w:pPr>
    </w:p>
    <w:p>
      <w:pPr>
        <w:jc w:val="both"/>
        <w:ind w:firstLine="8"/>
        <w:spacing w:after="0" w:line="225" w:lineRule="auto"/>
        <w:tabs>
          <w:tab w:leader="none" w:pos="324"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 require you</w:t>
      </w:r>
      <w:r>
        <w:rPr>
          <w:rFonts w:ascii="Arial" w:cs="Arial" w:eastAsia="Arial" w:hAnsi="Arial"/>
          <w:sz w:val="22"/>
          <w:szCs w:val="22"/>
          <w:b w:val="1"/>
          <w:bCs w:val="1"/>
          <w:color w:val="auto"/>
        </w:rPr>
        <w:t xml:space="preserve"> </w:t>
      </w:r>
      <w:r>
        <w:rPr>
          <w:rFonts w:ascii="Arial" w:cs="Arial" w:eastAsia="Arial" w:hAnsi="Arial"/>
          <w:sz w:val="22"/>
          <w:szCs w:val="22"/>
          <w:color w:val="auto"/>
        </w:rPr>
        <w:t>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97" w:lineRule="exact"/>
        <w:rPr>
          <w:rFonts w:ascii="Arial" w:cs="Arial" w:eastAsia="Arial" w:hAnsi="Arial"/>
          <w:sz w:val="22"/>
          <w:szCs w:val="22"/>
          <w:color w:val="auto"/>
        </w:rPr>
      </w:pPr>
    </w:p>
    <w:p>
      <w:pPr>
        <w:jc w:val="both"/>
        <w:ind w:firstLine="8"/>
        <w:spacing w:after="0" w:line="233" w:lineRule="auto"/>
        <w:tabs>
          <w:tab w:leader="none" w:pos="324"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Stock Units [, Additional Restricted Stock Units] or any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such Units except by will or the laws of descent and distribution or except as permitted by the Committee and as specified in the Plan. Any other attempt to dispose of your interest will be null and void.</w:t>
      </w:r>
    </w:p>
    <w:p>
      <w:pPr>
        <w:spacing w:after="0" w:line="194" w:lineRule="exact"/>
        <w:rPr>
          <w:rFonts w:ascii="Arial" w:cs="Arial" w:eastAsia="Arial" w:hAnsi="Arial"/>
          <w:sz w:val="22"/>
          <w:szCs w:val="22"/>
          <w:color w:val="auto"/>
        </w:rPr>
      </w:pPr>
    </w:p>
    <w:p>
      <w:pPr>
        <w:ind w:left="340" w:hanging="332"/>
        <w:spacing w:after="0"/>
        <w:tabs>
          <w:tab w:leader="none" w:pos="34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jc w:val="both"/>
        <w:ind w:firstLine="648"/>
        <w:spacing w:after="0" w:line="226"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General.</w:t>
      </w:r>
      <w:r>
        <w:rPr>
          <w:rFonts w:ascii="Arial" w:cs="Arial" w:eastAsia="Arial" w:hAnsi="Arial"/>
          <w:sz w:val="22"/>
          <w:szCs w:val="22"/>
          <w:color w:val="auto"/>
        </w:rPr>
        <w:t xml:space="preserve"> The Award is expressly contingent upon you complying with the terms, conditions and definitions contained in this Section 14 and in any other agreement that governs your noncompetition with Honeywell, your nonsolicitation of Honeywell’s employees,</w:t>
      </w:r>
    </w:p>
    <w:p>
      <w:pPr>
        <w:sectPr>
          <w:pgSz w:w="11900" w:h="16838" w:orient="portrait"/>
          <w:cols w:equalWidth="0" w:num="1">
            <w:col w:w="11240"/>
          </w:cols>
          <w:pgMar w:left="320" w:top="1408" w:right="339" w:bottom="1440" w:gutter="0" w:footer="0" w:header="0"/>
        </w:sectPr>
      </w:pPr>
    </w:p>
    <w:bookmarkStart w:id="77" w:name="page78"/>
    <w:bookmarkEnd w:id="77"/>
    <w:p>
      <w:pPr>
        <w:jc w:val="both"/>
        <w:spacing w:after="0" w:line="237" w:lineRule="auto"/>
        <w:rPr>
          <w:sz w:val="20"/>
          <w:szCs w:val="20"/>
          <w:color w:val="auto"/>
        </w:rPr>
      </w:pPr>
      <w:r>
        <w:rPr>
          <w:rFonts w:ascii="Arial" w:cs="Arial" w:eastAsia="Arial" w:hAnsi="Arial"/>
          <w:sz w:val="21"/>
          <w:szCs w:val="21"/>
          <w:color w:val="auto"/>
        </w:rPr>
        <w:t>customers, suppliers, business partners and vendors, and/or your conduct with respect to Honeywell’s trade secrets and proprietary and confidential information. For purposes of this Section 14,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92" w:lineRule="exact"/>
        <w:rPr>
          <w:sz w:val="20"/>
          <w:szCs w:val="20"/>
          <w:color w:val="auto"/>
        </w:rPr>
      </w:pPr>
    </w:p>
    <w:p>
      <w:pPr>
        <w:ind w:left="880" w:hanging="224"/>
        <w:spacing w:after="0"/>
        <w:tabs>
          <w:tab w:leader="none" w:pos="880"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Remedies.</w:t>
      </w:r>
    </w:p>
    <w:p>
      <w:pPr>
        <w:ind w:left="1540" w:hanging="236"/>
        <w:spacing w:after="0"/>
        <w:tabs>
          <w:tab w:leader="none" w:pos="1540" w:val="left"/>
        </w:tabs>
        <w:numPr>
          <w:ilvl w:val="2"/>
          <w:numId w:val="63"/>
        </w:numPr>
        <w:rPr>
          <w:rFonts w:ascii="Arial" w:cs="Arial" w:eastAsia="Arial" w:hAnsi="Arial"/>
          <w:sz w:val="19"/>
          <w:szCs w:val="19"/>
          <w:color w:val="auto"/>
        </w:rPr>
      </w:pPr>
      <w:r>
        <w:rPr>
          <w:rFonts w:ascii="Arial" w:cs="Arial" w:eastAsia="Arial" w:hAnsi="Arial"/>
          <w:sz w:val="19"/>
          <w:szCs w:val="19"/>
          <w:color w:val="auto"/>
        </w:rPr>
        <w:t>You expressly agree and acknowledge that the forfeiture provisions of subsection 14.b.2. of this Agreement</w:t>
      </w:r>
    </w:p>
    <w:p>
      <w:pPr>
        <w:spacing w:after="0" w:line="11" w:lineRule="exact"/>
        <w:rPr>
          <w:rFonts w:ascii="Arial" w:cs="Arial" w:eastAsia="Arial" w:hAnsi="Arial"/>
          <w:sz w:val="19"/>
          <w:szCs w:val="19"/>
          <w:color w:val="auto"/>
        </w:rPr>
      </w:pPr>
    </w:p>
    <w:p>
      <w:pPr>
        <w:jc w:val="both"/>
        <w:ind w:right="20"/>
        <w:spacing w:after="0" w:line="252" w:lineRule="auto"/>
        <w:rPr>
          <w:rFonts w:ascii="Arial" w:cs="Arial" w:eastAsia="Arial" w:hAnsi="Arial"/>
          <w:sz w:val="19"/>
          <w:szCs w:val="19"/>
          <w:color w:val="auto"/>
        </w:rPr>
      </w:pPr>
      <w:r>
        <w:rPr>
          <w:rFonts w:ascii="Arial" w:cs="Arial" w:eastAsia="Arial" w:hAnsi="Arial"/>
          <w:sz w:val="19"/>
          <w:szCs w:val="19"/>
          <w:color w:val="auto"/>
        </w:rPr>
        <w:t>shall apply if: (A) you are terminated for Cause (as defined in the Plan) [INCLUDE AS APPLICABLE: or you voluntarily terminate your employment with less than a 45-day notice period], or (B) from the Grant Date until the date that is twenty-four</w:t>
      </w:r>
    </w:p>
    <w:p>
      <w:pPr>
        <w:jc w:val="both"/>
        <w:ind w:firstLine="8"/>
        <w:spacing w:after="0" w:line="254" w:lineRule="auto"/>
        <w:tabs>
          <w:tab w:leader="none" w:pos="4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200" w:lineRule="exact"/>
        <w:rPr>
          <w:sz w:val="20"/>
          <w:szCs w:val="20"/>
          <w:color w:val="auto"/>
        </w:rPr>
      </w:pP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200" w:lineRule="exact"/>
        <w:rPr>
          <w:sz w:val="20"/>
          <w:szCs w:val="20"/>
          <w:color w:val="auto"/>
        </w:rPr>
      </w:pPr>
    </w:p>
    <w:p>
      <w:pPr>
        <w:jc w:val="both"/>
        <w:ind w:firstLine="1304"/>
        <w:spacing w:after="0" w:line="226" w:lineRule="auto"/>
        <w:tabs>
          <w:tab w:leader="none" w:pos="1525"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14.b.1. of this Agreement or you are terminated for Cause (as defined in</w:t>
      </w:r>
    </w:p>
    <w:p>
      <w:pPr>
        <w:sectPr>
          <w:pgSz w:w="11900" w:h="16838" w:orient="portrait"/>
          <w:cols w:equalWidth="0" w:num="1">
            <w:col w:w="11240"/>
          </w:cols>
          <w:pgMar w:left="320" w:top="1414" w:right="339" w:bottom="1440" w:gutter="0" w:footer="0" w:header="0"/>
        </w:sectPr>
      </w:pPr>
    </w:p>
    <w:bookmarkStart w:id="78" w:name="page79"/>
    <w:bookmarkEnd w:id="78"/>
    <w:p>
      <w:pPr>
        <w:jc w:val="both"/>
        <w:spacing w:after="0" w:line="254" w:lineRule="auto"/>
        <w:rPr>
          <w:sz w:val="20"/>
          <w:szCs w:val="20"/>
          <w:color w:val="auto"/>
        </w:rPr>
      </w:pPr>
      <w:r>
        <w:rPr>
          <w:rFonts w:ascii="Arial" w:cs="Arial" w:eastAsia="Arial" w:hAnsi="Arial"/>
          <w:sz w:val="19"/>
          <w:szCs w:val="19"/>
          <w:color w:val="auto"/>
        </w:rPr>
        <w:t>the Plan) [INCLUDE AS APPLICABLE or you voluntarily terminate your employment with less than a 45-day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[INCLUDE AS APPLICABLE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2" w:lineRule="exact"/>
        <w:rPr>
          <w:sz w:val="20"/>
          <w:szCs w:val="20"/>
          <w:color w:val="auto"/>
        </w:rPr>
      </w:pPr>
    </w:p>
    <w:p>
      <w:pPr>
        <w:jc w:val="both"/>
        <w:ind w:firstLine="1304"/>
        <w:spacing w:after="0" w:line="224" w:lineRule="auto"/>
        <w:tabs>
          <w:tab w:leader="none" w:pos="1525" w:val="left"/>
        </w:tabs>
        <w:numPr>
          <w:ilvl w:val="1"/>
          <w:numId w:val="66"/>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92" w:lineRule="exact"/>
        <w:rPr>
          <w:rFonts w:ascii="Arial" w:cs="Arial" w:eastAsia="Arial" w:hAnsi="Arial"/>
          <w:sz w:val="22"/>
          <w:szCs w:val="22"/>
          <w:color w:val="auto"/>
        </w:rPr>
      </w:pPr>
    </w:p>
    <w:p>
      <w:pPr>
        <w:jc w:val="both"/>
        <w:ind w:firstLine="8"/>
        <w:spacing w:after="0" w:line="235" w:lineRule="auto"/>
        <w:tabs>
          <w:tab w:leader="none" w:pos="337"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 xml:space="preserve">Restrictions on Payment of Shares. </w:t>
      </w:r>
      <w:r>
        <w:rPr>
          <w:rFonts w:ascii="Arial" w:cs="Arial" w:eastAsia="Arial" w:hAnsi="Arial"/>
          <w:sz w:val="21"/>
          <w:szCs w:val="21"/>
          <w:color w:val="auto"/>
        </w:rPr>
        <w:t>Payment of Shares for your Restricted Stock Units [and Additional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94" w:lineRule="exact"/>
        <w:rPr>
          <w:rFonts w:ascii="Arial" w:cs="Arial" w:eastAsia="Arial" w:hAnsi="Arial"/>
          <w:sz w:val="21"/>
          <w:szCs w:val="21"/>
          <w:color w:val="auto"/>
        </w:rPr>
      </w:pPr>
    </w:p>
    <w:p>
      <w:pPr>
        <w:ind w:firstLine="8"/>
        <w:spacing w:after="0" w:line="243" w:lineRule="auto"/>
        <w:tabs>
          <w:tab w:leader="none" w:pos="337"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Restricted Stock Units [and Additional Restricted Stock Units] will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5.3 of the Plan.</w:t>
      </w:r>
    </w:p>
    <w:p>
      <w:pPr>
        <w:spacing w:after="0" w:line="189" w:lineRule="exact"/>
        <w:rPr>
          <w:rFonts w:ascii="Arial" w:cs="Arial" w:eastAsia="Arial" w:hAnsi="Arial"/>
          <w:sz w:val="22"/>
          <w:szCs w:val="22"/>
          <w:color w:val="auto"/>
        </w:rPr>
      </w:pPr>
    </w:p>
    <w:p>
      <w:pPr>
        <w:jc w:val="both"/>
        <w:ind w:firstLine="8"/>
        <w:spacing w:after="0" w:line="225" w:lineRule="auto"/>
        <w:tabs>
          <w:tab w:leader="none" w:pos="337"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197" w:lineRule="exact"/>
        <w:rPr>
          <w:rFonts w:ascii="Arial" w:cs="Arial" w:eastAsia="Arial" w:hAnsi="Arial"/>
          <w:sz w:val="22"/>
          <w:szCs w:val="22"/>
          <w:color w:val="auto"/>
        </w:rPr>
      </w:pPr>
    </w:p>
    <w:p>
      <w:pPr>
        <w:jc w:val="both"/>
        <w:ind w:firstLine="8"/>
        <w:spacing w:after="0" w:line="263" w:lineRule="auto"/>
        <w:tabs>
          <w:tab w:leader="none" w:pos="351"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 xml:space="preserve">Plan Terms Govern. </w:t>
      </w:r>
      <w:r>
        <w:rPr>
          <w:rFonts w:ascii="Arial" w:cs="Arial" w:eastAsia="Arial" w:hAnsi="Arial"/>
          <w:sz w:val="19"/>
          <w:szCs w:val="19"/>
          <w:color w:val="auto"/>
        </w:rPr>
        <w:t>The vesting and redemption of Restricted Stock Units [or Additional Restricted Stock Units], the</w:t>
      </w:r>
      <w:r>
        <w:rPr>
          <w:rFonts w:ascii="Arial" w:cs="Arial" w:eastAsia="Arial" w:hAnsi="Arial"/>
          <w:sz w:val="19"/>
          <w:szCs w:val="19"/>
          <w:b w:val="1"/>
          <w:bCs w:val="1"/>
          <w:color w:val="auto"/>
        </w:rPr>
        <w:t xml:space="preserve"> </w:t>
      </w:r>
      <w:r>
        <w:rPr>
          <w:rFonts w:ascii="Arial" w:cs="Arial" w:eastAsia="Arial" w:hAnsi="Arial"/>
          <w:sz w:val="19"/>
          <w:szCs w:val="19"/>
          <w:color w:val="auto"/>
        </w:rPr>
        <w:t>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w:t>
      </w:r>
    </w:p>
    <w:p>
      <w:pPr>
        <w:sectPr>
          <w:pgSz w:w="11900" w:h="16838" w:orient="portrait"/>
          <w:cols w:equalWidth="0" w:num="1">
            <w:col w:w="11240"/>
          </w:cols>
          <w:pgMar w:left="320" w:top="1414" w:right="339" w:bottom="1440" w:gutter="0" w:footer="0" w:header="0"/>
        </w:sectPr>
      </w:pPr>
    </w:p>
    <w:bookmarkStart w:id="79" w:name="page80"/>
    <w:bookmarkEnd w:id="79"/>
    <w:p>
      <w:pPr>
        <w:jc w:val="both"/>
        <w:spacing w:after="0" w:line="244" w:lineRule="auto"/>
        <w:rPr>
          <w:sz w:val="20"/>
          <w:szCs w:val="20"/>
          <w:color w:val="auto"/>
        </w:rPr>
      </w:pPr>
      <w:r>
        <w:rPr>
          <w:rFonts w:ascii="Arial" w:cs="Arial" w:eastAsia="Arial" w:hAnsi="Arial"/>
          <w:sz w:val="21"/>
          <w:szCs w:val="21"/>
          <w:color w:val="auto"/>
        </w:rPr>
        <w:t>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spacing w:after="0" w:line="189"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jc w:val="both"/>
        <w:ind w:firstLine="656"/>
        <w:spacing w:after="0" w:line="217" w:lineRule="auto"/>
        <w:tabs>
          <w:tab w:leader="none" w:pos="852" w:val="left"/>
        </w:tabs>
        <w:numPr>
          <w:ilvl w:val="1"/>
          <w:numId w:val="68"/>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2" w:lineRule="exact"/>
        <w:rPr>
          <w:rFonts w:ascii="Arial" w:cs="Arial" w:eastAsia="Arial" w:hAnsi="Arial"/>
          <w:sz w:val="22"/>
          <w:szCs w:val="22"/>
          <w:color w:val="auto"/>
        </w:rPr>
      </w:pPr>
    </w:p>
    <w:p>
      <w:pPr>
        <w:jc w:val="both"/>
        <w:ind w:firstLine="656"/>
        <w:spacing w:after="0" w:line="217" w:lineRule="auto"/>
        <w:tabs>
          <w:tab w:leader="none" w:pos="864" w:val="left"/>
        </w:tabs>
        <w:numPr>
          <w:ilvl w:val="1"/>
          <w:numId w:val="68"/>
        </w:numPr>
        <w:rPr>
          <w:rFonts w:ascii="Arial" w:cs="Arial" w:eastAsia="Arial" w:hAnsi="Arial"/>
          <w:sz w:val="22"/>
          <w:szCs w:val="22"/>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3" w:lineRule="exact"/>
        <w:rPr>
          <w:rFonts w:ascii="Arial" w:cs="Arial" w:eastAsia="Arial" w:hAnsi="Arial"/>
          <w:sz w:val="22"/>
          <w:szCs w:val="22"/>
          <w:color w:val="auto"/>
        </w:rPr>
      </w:pPr>
    </w:p>
    <w:p>
      <w:pPr>
        <w:jc w:val="both"/>
        <w:ind w:firstLine="656"/>
        <w:spacing w:after="0" w:line="252" w:lineRule="auto"/>
        <w:tabs>
          <w:tab w:leader="none" w:pos="865" w:val="left"/>
        </w:tabs>
        <w:numPr>
          <w:ilvl w:val="1"/>
          <w:numId w:val="68"/>
        </w:numPr>
        <w:rPr>
          <w:rFonts w:ascii="Arial" w:cs="Arial" w:eastAsia="Arial" w:hAnsi="Arial"/>
          <w:sz w:val="19"/>
          <w:szCs w:val="19"/>
          <w:color w:val="auto"/>
        </w:rPr>
      </w:pPr>
      <w:r>
        <w:rPr>
          <w:rFonts w:ascii="Arial" w:cs="Arial" w:eastAsia="Arial" w:hAnsi="Arial"/>
          <w:sz w:val="19"/>
          <w:szCs w:val="19"/>
          <w:color w:val="auto"/>
        </w:rPr>
        <w:t>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jc w:val="both"/>
        <w:ind w:firstLine="656"/>
        <w:spacing w:after="0" w:line="252" w:lineRule="auto"/>
        <w:tabs>
          <w:tab w:leader="none" w:pos="864" w:val="left"/>
        </w:tabs>
        <w:numPr>
          <w:ilvl w:val="1"/>
          <w:numId w:val="68"/>
        </w:numPr>
        <w:rPr>
          <w:rFonts w:ascii="Arial" w:cs="Arial" w:eastAsia="Arial" w:hAnsi="Arial"/>
          <w:sz w:val="19"/>
          <w:szCs w:val="19"/>
          <w:color w:val="auto"/>
        </w:rPr>
      </w:pPr>
      <w:r>
        <w:rPr>
          <w:rFonts w:ascii="Arial" w:cs="Arial" w:eastAsia="Arial" w:hAnsi="Arial"/>
          <w:sz w:val="19"/>
          <w:szCs w:val="19"/>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jc w:val="both"/>
        <w:ind w:firstLine="656"/>
        <w:spacing w:after="0" w:line="252" w:lineRule="auto"/>
        <w:tabs>
          <w:tab w:leader="none" w:pos="852" w:val="left"/>
        </w:tabs>
        <w:numPr>
          <w:ilvl w:val="1"/>
          <w:numId w:val="68"/>
        </w:numPr>
        <w:rPr>
          <w:rFonts w:ascii="Arial" w:cs="Arial" w:eastAsia="Arial" w:hAnsi="Arial"/>
          <w:sz w:val="19"/>
          <w:szCs w:val="19"/>
          <w:color w:val="auto"/>
        </w:rPr>
      </w:pPr>
      <w:r>
        <w:rPr>
          <w:rFonts w:ascii="Arial" w:cs="Arial" w:eastAsia="Arial" w:hAnsi="Arial"/>
          <w:sz w:val="19"/>
          <w:szCs w:val="19"/>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jc w:val="both"/>
        <w:ind w:firstLine="656"/>
        <w:spacing w:after="0" w:line="272" w:lineRule="auto"/>
        <w:tabs>
          <w:tab w:leader="none" w:pos="828" w:val="left"/>
        </w:tabs>
        <w:numPr>
          <w:ilvl w:val="1"/>
          <w:numId w:val="68"/>
        </w:numPr>
        <w:rPr>
          <w:rFonts w:ascii="Arial" w:cs="Arial" w:eastAsia="Arial" w:hAnsi="Arial"/>
          <w:sz w:val="19"/>
          <w:szCs w:val="19"/>
          <w:color w:val="auto"/>
        </w:rPr>
      </w:pPr>
      <w:r>
        <w:rPr>
          <w:rFonts w:ascii="Arial" w:cs="Arial" w:eastAsia="Arial" w:hAnsi="Arial"/>
          <w:sz w:val="19"/>
          <w:szCs w:val="19"/>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64" w:lineRule="exact"/>
        <w:rPr>
          <w:rFonts w:ascii="Arial" w:cs="Arial" w:eastAsia="Arial" w:hAnsi="Arial"/>
          <w:sz w:val="19"/>
          <w:szCs w:val="19"/>
          <w:color w:val="auto"/>
        </w:rPr>
      </w:pPr>
    </w:p>
    <w:p>
      <w:pPr>
        <w:ind w:firstLine="8"/>
        <w:spacing w:after="0" w:line="229" w:lineRule="auto"/>
        <w:tabs>
          <w:tab w:leader="none" w:pos="351"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jc w:val="both"/>
        <w:ind w:firstLine="656"/>
        <w:spacing w:after="0" w:line="217" w:lineRule="auto"/>
        <w:tabs>
          <w:tab w:leader="none" w:pos="852"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2" w:lineRule="exact"/>
        <w:rPr>
          <w:rFonts w:ascii="Arial" w:cs="Arial" w:eastAsia="Arial" w:hAnsi="Arial"/>
          <w:sz w:val="22"/>
          <w:szCs w:val="22"/>
          <w:color w:val="auto"/>
        </w:rPr>
      </w:pPr>
    </w:p>
    <w:p>
      <w:pPr>
        <w:ind w:firstLine="656"/>
        <w:spacing w:after="0" w:line="217" w:lineRule="auto"/>
        <w:tabs>
          <w:tab w:leader="none" w:pos="877"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Restricted Stock Units [and Additional Restricted Stock Units] granted under the Plan.</w:t>
      </w:r>
    </w:p>
    <w:p>
      <w:pPr>
        <w:spacing w:after="0" w:line="1" w:lineRule="exact"/>
        <w:rPr>
          <w:rFonts w:ascii="Arial" w:cs="Arial" w:eastAsia="Arial" w:hAnsi="Arial"/>
          <w:sz w:val="22"/>
          <w:szCs w:val="22"/>
          <w:color w:val="auto"/>
        </w:rPr>
      </w:pPr>
    </w:p>
    <w:p>
      <w:pPr>
        <w:ind w:firstLine="656"/>
        <w:spacing w:after="0" w:line="230" w:lineRule="auto"/>
        <w:tabs>
          <w:tab w:leader="none" w:pos="865" w:val="left"/>
        </w:tabs>
        <w:numPr>
          <w:ilvl w:val="1"/>
          <w:numId w:val="68"/>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ectPr>
          <w:pgSz w:w="11900" w:h="16838" w:orient="portrait"/>
          <w:cols w:equalWidth="0" w:num="1">
            <w:col w:w="11240"/>
          </w:cols>
          <w:pgMar w:left="320" w:top="1414" w:right="339" w:bottom="1440" w:gutter="0" w:footer="0" w:header="0"/>
        </w:sectPr>
      </w:pPr>
    </w:p>
    <w:bookmarkStart w:id="80" w:name="page81"/>
    <w:bookmarkEnd w:id="80"/>
    <w:p>
      <w:pPr>
        <w:jc w:val="both"/>
        <w:ind w:firstLine="648"/>
        <w:spacing w:after="0" w:line="230" w:lineRule="auto"/>
        <w:rPr>
          <w:sz w:val="20"/>
          <w:szCs w:val="20"/>
          <w:color w:val="auto"/>
        </w:rPr>
      </w:pPr>
      <w:r>
        <w:rPr>
          <w:rFonts w:ascii="Arial" w:cs="Arial" w:eastAsia="Arial" w:hAnsi="Arial"/>
          <w:sz w:val="21"/>
          <w:szCs w:val="21"/>
          <w:color w:val="auto"/>
        </w:rPr>
        <w:t>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e. 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f. 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2"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2"/>
          <w:szCs w:val="22"/>
          <w:color w:val="auto"/>
        </w:rPr>
        <w:t>g. Participation in the Plan will not be deemed to constitute, and will not be deemed by you to constitute, an employment or labor relationship of any kind with the Company.</w:t>
      </w:r>
    </w:p>
    <w:p>
      <w:pPr>
        <w:spacing w:after="0" w:line="193" w:lineRule="exact"/>
        <w:rPr>
          <w:sz w:val="20"/>
          <w:szCs w:val="20"/>
          <w:color w:val="auto"/>
        </w:rPr>
      </w:pPr>
    </w:p>
    <w:p>
      <w:pPr>
        <w:jc w:val="both"/>
        <w:ind w:firstLine="8"/>
        <w:spacing w:after="0" w:line="265" w:lineRule="auto"/>
        <w:tabs>
          <w:tab w:leader="none" w:pos="324"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 xml:space="preserve">Limitations. </w:t>
      </w:r>
      <w:r>
        <w:rPr>
          <w:rFonts w:ascii="Arial" w:cs="Arial" w:eastAsia="Arial" w:hAnsi="Arial"/>
          <w:sz w:val="19"/>
          <w:szCs w:val="19"/>
          <w:color w:val="auto"/>
        </w:rPr>
        <w:t>Nothing in this Agreement or the Plan gives you any right to continue in the employ of the Company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72" w:lineRule="exact"/>
        <w:rPr>
          <w:rFonts w:ascii="Arial" w:cs="Arial" w:eastAsia="Arial" w:hAnsi="Arial"/>
          <w:sz w:val="19"/>
          <w:szCs w:val="19"/>
          <w:color w:val="auto"/>
        </w:rPr>
      </w:pPr>
    </w:p>
    <w:p>
      <w:pPr>
        <w:jc w:val="both"/>
        <w:ind w:firstLine="8"/>
        <w:spacing w:after="0" w:line="247" w:lineRule="auto"/>
        <w:tabs>
          <w:tab w:leader="none" w:pos="324" w:val="left"/>
        </w:tabs>
        <w:numPr>
          <w:ilvl w:val="0"/>
          <w:numId w:val="69"/>
        </w:numPr>
        <w:rPr>
          <w:rFonts w:ascii="Arial" w:cs="Arial" w:eastAsia="Arial" w:hAnsi="Arial"/>
          <w:sz w:val="21"/>
          <w:szCs w:val="2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 between you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regarding the Restricted Stock Units. This Agreement supersedes any prior agreements, commitments or negotiations concerning the Restricted Stock Units [and Additional Restricted Stock Units].</w:t>
      </w:r>
    </w:p>
    <w:p>
      <w:pPr>
        <w:spacing w:after="0" w:line="185" w:lineRule="exact"/>
        <w:rPr>
          <w:rFonts w:ascii="Arial" w:cs="Arial" w:eastAsia="Arial" w:hAnsi="Arial"/>
          <w:sz w:val="21"/>
          <w:szCs w:val="21"/>
          <w:color w:val="auto"/>
        </w:rPr>
      </w:pPr>
    </w:p>
    <w:p>
      <w:pPr>
        <w:jc w:val="both"/>
        <w:ind w:firstLine="8"/>
        <w:spacing w:after="0" w:line="229" w:lineRule="auto"/>
        <w:tabs>
          <w:tab w:leader="none" w:pos="378"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95" w:lineRule="exact"/>
        <w:rPr>
          <w:rFonts w:ascii="Arial" w:cs="Arial" w:eastAsia="Arial" w:hAnsi="Arial"/>
          <w:sz w:val="22"/>
          <w:szCs w:val="22"/>
          <w:color w:val="auto"/>
        </w:rPr>
      </w:pPr>
    </w:p>
    <w:p>
      <w:pPr>
        <w:jc w:val="both"/>
        <w:ind w:firstLine="8"/>
        <w:spacing w:after="0" w:line="233" w:lineRule="auto"/>
        <w:tabs>
          <w:tab w:leader="none" w:pos="324"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governed by the internal substantive laws, and not the choice of law rules, of the State of Delaware and construed accordingly, to the extent not superseded by applicable federal law.</w:t>
      </w:r>
    </w:p>
    <w:p>
      <w:pPr>
        <w:sectPr>
          <w:pgSz w:w="11900" w:h="16838" w:orient="portrait"/>
          <w:cols w:equalWidth="0" w:num="1">
            <w:col w:w="11240"/>
          </w:cols>
          <w:pgMar w:left="320" w:top="1414" w:right="339" w:bottom="1440" w:gutter="0" w:footer="0" w:header="0"/>
        </w:sectPr>
      </w:pPr>
    </w:p>
    <w:bookmarkStart w:id="81" w:name="page82"/>
    <w:bookmarkEnd w:id="81"/>
    <w:p>
      <w:pPr>
        <w:jc w:val="both"/>
        <w:ind w:firstLine="8"/>
        <w:spacing w:after="0" w:line="233" w:lineRule="auto"/>
        <w:tabs>
          <w:tab w:leader="none" w:pos="351"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 without your</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to the extent necessary or desirable to comply with the requirements of Code section 409A, the Treasury regulations and other guidance thereunder.</w:t>
      </w:r>
    </w:p>
    <w:p>
      <w:pPr>
        <w:spacing w:after="0" w:line="194" w:lineRule="exact"/>
        <w:rPr>
          <w:rFonts w:ascii="Arial" w:cs="Arial" w:eastAsia="Arial" w:hAnsi="Arial"/>
          <w:sz w:val="22"/>
          <w:szCs w:val="22"/>
          <w:color w:val="auto"/>
        </w:rPr>
      </w:pPr>
    </w:p>
    <w:p>
      <w:pPr>
        <w:jc w:val="both"/>
        <w:ind w:firstLine="8"/>
        <w:spacing w:after="0" w:line="227" w:lineRule="auto"/>
        <w:tabs>
          <w:tab w:leader="none" w:pos="364"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 read, fully</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 xml:space="preserve">To retain this Award, you must accept it by signing and dating below. </w:t>
      </w:r>
      <w:r>
        <w:rPr>
          <w:rFonts w:ascii="Arial" w:cs="Arial" w:eastAsia="Arial" w:hAnsi="Arial"/>
          <w:sz w:val="21"/>
          <w:szCs w:val="21"/>
          <w:b w:val="1"/>
          <w:bCs w:val="1"/>
          <w:color w:val="auto"/>
        </w:rPr>
        <w:t>Return the signed Agreement to Honeywell</w:t>
      </w:r>
      <w:r>
        <w:rPr>
          <w:rFonts w:ascii="Arial" w:cs="Arial" w:eastAsia="Arial" w:hAnsi="Arial"/>
          <w:sz w:val="21"/>
          <w:szCs w:val="21"/>
          <w:color w:val="auto"/>
        </w:rPr>
        <w:t xml:space="preserve"> </w:t>
      </w:r>
      <w:r>
        <w:rPr>
          <w:rFonts w:ascii="Arial" w:cs="Arial" w:eastAsia="Arial" w:hAnsi="Arial"/>
          <w:sz w:val="21"/>
          <w:szCs w:val="21"/>
          <w:b w:val="1"/>
          <w:bCs w:val="1"/>
          <w:color w:val="auto"/>
        </w:rPr>
        <w:t>International Inc., Executive Compensation/4B, 115 Tabor Road, Morris Plains, New Jersey 07950.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100" w:type="dxa"/>
            <w:vAlign w:val="bottom"/>
            <w:gridSpan w:val="2"/>
          </w:tcPr>
          <w:p>
            <w:pPr>
              <w:spacing w:after="0"/>
              <w:rPr>
                <w:sz w:val="20"/>
                <w:szCs w:val="20"/>
                <w:color w:val="auto"/>
              </w:rPr>
            </w:pPr>
            <w:r>
              <w:rPr>
                <w:rFonts w:ascii="Arial" w:cs="Arial" w:eastAsia="Arial" w:hAnsi="Arial"/>
                <w:sz w:val="22"/>
                <w:szCs w:val="22"/>
                <w:color w:val="auto"/>
              </w:rPr>
              <w:t>I Accept:</w:t>
            </w:r>
          </w:p>
        </w:tc>
        <w:tc>
          <w:tcPr>
            <w:tcW w:w="5140" w:type="dxa"/>
            <w:vAlign w:val="bottom"/>
          </w:tcPr>
          <w:p>
            <w:pPr>
              <w:spacing w:after="0"/>
              <w:rPr>
                <w:sz w:val="23"/>
                <w:szCs w:val="23"/>
                <w:color w:val="auto"/>
              </w:rPr>
            </w:pPr>
          </w:p>
        </w:tc>
      </w:tr>
      <w:tr>
        <w:trPr>
          <w:trHeight w:val="273"/>
        </w:trPr>
        <w:tc>
          <w:tcPr>
            <w:tcW w:w="6100" w:type="dxa"/>
            <w:vAlign w:val="bottom"/>
            <w:gridSpan w:val="2"/>
          </w:tcPr>
          <w:p>
            <w:pPr>
              <w:spacing w:after="0"/>
              <w:rPr>
                <w:sz w:val="23"/>
                <w:szCs w:val="23"/>
                <w:color w:val="auto"/>
              </w:rPr>
            </w:pPr>
          </w:p>
        </w:tc>
        <w:tc>
          <w:tcPr>
            <w:tcW w:w="5140" w:type="dxa"/>
            <w:vAlign w:val="bottom"/>
          </w:tcPr>
          <w:p>
            <w:pPr>
              <w:spacing w:after="0"/>
              <w:rPr>
                <w:sz w:val="23"/>
                <w:szCs w:val="23"/>
                <w:color w:val="auto"/>
              </w:rPr>
            </w:pPr>
          </w:p>
        </w:tc>
      </w:tr>
      <w:tr>
        <w:trPr>
          <w:trHeight w:val="268"/>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Print Name</w:t>
            </w:r>
          </w:p>
        </w:tc>
        <w:tc>
          <w:tcPr>
            <w:tcW w:w="160" w:type="dxa"/>
            <w:vAlign w:val="bottom"/>
          </w:tcPr>
          <w:p>
            <w:pPr>
              <w:spacing w:after="0"/>
              <w:rPr>
                <w:sz w:val="23"/>
                <w:szCs w:val="23"/>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EID</w:t>
            </w:r>
          </w:p>
        </w:tc>
      </w:tr>
      <w:tr>
        <w:trPr>
          <w:trHeight w:val="266"/>
        </w:trPr>
        <w:tc>
          <w:tcPr>
            <w:tcW w:w="59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140" w:type="dxa"/>
            <w:vAlign w:val="bottom"/>
            <w:tcBorders>
              <w:bottom w:val="single" w:sz="8" w:color="auto"/>
            </w:tcBorders>
          </w:tcPr>
          <w:p>
            <w:pPr>
              <w:spacing w:after="0"/>
              <w:rPr>
                <w:sz w:val="23"/>
                <w:szCs w:val="23"/>
                <w:color w:val="auto"/>
              </w:rPr>
            </w:pPr>
          </w:p>
        </w:tc>
      </w:tr>
      <w:tr>
        <w:trPr>
          <w:trHeight w:val="268"/>
        </w:trPr>
        <w:tc>
          <w:tcPr>
            <w:tcW w:w="5940" w:type="dxa"/>
            <w:vAlign w:val="bottom"/>
          </w:tcPr>
          <w:p>
            <w:pPr>
              <w:ind w:left="20"/>
              <w:spacing w:after="0"/>
              <w:rPr>
                <w:sz w:val="20"/>
                <w:szCs w:val="20"/>
                <w:color w:val="auto"/>
              </w:rPr>
            </w:pPr>
            <w:r>
              <w:rPr>
                <w:rFonts w:ascii="Arial" w:cs="Arial" w:eastAsia="Arial" w:hAnsi="Arial"/>
                <w:sz w:val="22"/>
                <w:szCs w:val="22"/>
                <w:color w:val="auto"/>
              </w:rPr>
              <w:t>Signature</w:t>
            </w:r>
          </w:p>
        </w:tc>
        <w:tc>
          <w:tcPr>
            <w:tcW w:w="1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jc w:val="center"/>
        <w:spacing w:after="0" w:line="218" w:lineRule="auto"/>
        <w:rPr>
          <w:sz w:val="20"/>
          <w:szCs w:val="20"/>
          <w:color w:val="auto"/>
        </w:rPr>
      </w:pPr>
      <w:r>
        <w:rPr>
          <w:rFonts w:ascii="Arial" w:cs="Arial" w:eastAsia="Arial" w:hAnsi="Arial"/>
          <w:sz w:val="22"/>
          <w:szCs w:val="22"/>
          <w:b w:val="1"/>
          <w:bCs w:val="1"/>
          <w:color w:val="auto"/>
        </w:rPr>
        <w:t>OF HONEYWELL INTERNATIONAL INC. AND ITS AFFILIATES</w:t>
      </w:r>
    </w:p>
    <w:p>
      <w:pPr>
        <w:jc w:val="center"/>
        <w:spacing w:after="0"/>
        <w:rPr>
          <w:sz w:val="20"/>
          <w:szCs w:val="20"/>
          <w:color w:val="auto"/>
        </w:rPr>
      </w:pPr>
      <w:r>
        <w:rPr>
          <w:rFonts w:ascii="Arial" w:cs="Arial" w:eastAsia="Arial" w:hAnsi="Arial"/>
          <w:sz w:val="22"/>
          <w:szCs w:val="22"/>
          <w:b w:val="1"/>
          <w:bCs w:val="1"/>
          <w:color w:val="auto"/>
        </w:rPr>
        <w:t>PERFORMANCE PLAN GRANT AGREEMENT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color w:val="auto"/>
        </w:rPr>
        <w:t>EID: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22"/>
          <w:szCs w:val="22"/>
          <w:color w:val="auto"/>
        </w:rPr>
        <w:t>Employee Name: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of Performance Stock Units Granted:</w:t>
      </w:r>
    </w:p>
    <w:p>
      <w:pPr>
        <w:spacing w:after="0" w:line="34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This PERFORMANCE STOCK UNIT AGREEMENT made in Charlotte, North Carolina, as of the [GRANT DATE] (the “Grant Date”), between Honeywell International Inc. (the “Company”) and the Company senior executive named above (the “Participant”).</w:t>
      </w:r>
    </w:p>
    <w:p>
      <w:pPr>
        <w:spacing w:after="0" w:line="195" w:lineRule="exact"/>
        <w:rPr>
          <w:sz w:val="20"/>
          <w:szCs w:val="20"/>
          <w:color w:val="auto"/>
        </w:rPr>
      </w:pPr>
    </w:p>
    <w:p>
      <w:pPr>
        <w:jc w:val="both"/>
        <w:ind w:firstLine="8"/>
        <w:spacing w:after="0" w:line="233" w:lineRule="auto"/>
        <w:tabs>
          <w:tab w:leader="none" w:pos="216"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Grant of Performance Award. </w:t>
      </w:r>
      <w:r>
        <w:rPr>
          <w:rFonts w:ascii="Arial" w:cs="Arial" w:eastAsia="Arial" w:hAnsi="Arial"/>
          <w:sz w:val="22"/>
          <w:szCs w:val="22"/>
          <w:color w:val="auto"/>
        </w:rPr>
        <w:t>The Company has granted you a target number (“Target Award”) of Restricted Stock Units as</w:t>
      </w:r>
      <w:r>
        <w:rPr>
          <w:rFonts w:ascii="Arial" w:cs="Arial" w:eastAsia="Arial" w:hAnsi="Arial"/>
          <w:sz w:val="22"/>
          <w:szCs w:val="22"/>
          <w:b w:val="1"/>
          <w:bCs w:val="1"/>
          <w:color w:val="auto"/>
        </w:rPr>
        <w:t xml:space="preserve"> </w:t>
      </w:r>
      <w:r>
        <w:rPr>
          <w:rFonts w:ascii="Arial" w:cs="Arial" w:eastAsia="Arial" w:hAnsi="Arial"/>
          <w:sz w:val="22"/>
          <w:szCs w:val="22"/>
          <w:color w:val="auto"/>
        </w:rPr>
        <w:t>a Performance Award (“Performance Stock Units”), subject to the provisions of this Agreement and the 2016 Stock Incentive Plan of Honeywell International Inc. and Its Affiliates (the “Plan”).</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Company will hold the Performance Stock Units and [Additional Performance Stock Units (as defined in Section 4)] in a bookkeeping account on your behalf until they become payable or are forfeited or cancelled.</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details for this grant can be found on the Morgan Stanley StockPlan Connect website at </w:t>
      </w:r>
      <w:r>
        <w:rPr>
          <w:rFonts w:ascii="Arial" w:cs="Arial" w:eastAsia="Arial" w:hAnsi="Arial"/>
          <w:sz w:val="19"/>
          <w:szCs w:val="19"/>
          <w:u w:val="single" w:color="auto"/>
          <w:color w:val="auto"/>
        </w:rPr>
        <w:t>www.stockplanconnect.com</w:t>
      </w:r>
      <w:r>
        <w:rPr>
          <w:rFonts w:ascii="Arial" w:cs="Arial" w:eastAsia="Arial" w:hAnsi="Arial"/>
          <w:sz w:val="19"/>
          <w:szCs w:val="19"/>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55"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Agreement, the following definitions apply:</w:t>
      </w:r>
    </w:p>
    <w:p>
      <w:pPr>
        <w:jc w:val="both"/>
        <w:ind w:firstLine="656"/>
        <w:spacing w:after="0" w:line="252" w:lineRule="auto"/>
        <w:tabs>
          <w:tab w:leader="none" w:pos="852" w:val="left"/>
        </w:tabs>
        <w:numPr>
          <w:ilvl w:val="1"/>
          <w:numId w:val="72"/>
        </w:numPr>
        <w:rPr>
          <w:rFonts w:ascii="Arial" w:cs="Arial" w:eastAsia="Arial" w:hAnsi="Arial"/>
          <w:sz w:val="19"/>
          <w:szCs w:val="19"/>
          <w:color w:val="auto"/>
        </w:rPr>
      </w:pPr>
      <w:r>
        <w:rPr>
          <w:rFonts w:ascii="Arial" w:cs="Arial" w:eastAsia="Arial" w:hAnsi="Arial"/>
          <w:sz w:val="19"/>
          <w:szCs w:val="19"/>
          <w:color w:val="auto"/>
        </w:rPr>
        <w:t>“Actual Award” means (A) the product of (i) the Plan Payout Percentage (as determined under Section 3), and (ii) your Target Award[; plus (B) any Additional Performance Stock Units (as determined under Section 4)]. Notwithstanding anything in this Agreement to the contrary, the Committee may reduce the amount of your Actual Award in its sole discretion.</w:t>
      </w:r>
    </w:p>
    <w:p>
      <w:pPr>
        <w:ind w:left="880" w:hanging="224"/>
        <w:spacing w:after="0"/>
        <w:tabs>
          <w:tab w:leader="none" w:pos="8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“Performance Cycle” means the [INSERT PERFORMANCE CYCLE DATES].</w:t>
      </w:r>
    </w:p>
    <w:p>
      <w:pPr>
        <w:spacing w:after="0" w:line="195" w:lineRule="exact"/>
        <w:rPr>
          <w:rFonts w:ascii="Arial" w:cs="Arial" w:eastAsia="Arial" w:hAnsi="Arial"/>
          <w:sz w:val="22"/>
          <w:szCs w:val="22"/>
          <w:color w:val="auto"/>
        </w:rPr>
      </w:pPr>
    </w:p>
    <w:p>
      <w:pPr>
        <w:jc w:val="both"/>
        <w:ind w:firstLine="8"/>
        <w:spacing w:after="0" w:line="259" w:lineRule="auto"/>
        <w:tabs>
          <w:tab w:leader="none" w:pos="270"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 xml:space="preserve">Performance Measures. </w:t>
      </w:r>
      <w:r>
        <w:rPr>
          <w:rFonts w:ascii="Arial" w:cs="Arial" w:eastAsia="Arial" w:hAnsi="Arial"/>
          <w:sz w:val="19"/>
          <w:szCs w:val="19"/>
          <w:color w:val="auto"/>
        </w:rPr>
        <w:t>The Plan Payout Percentage shall be determined based on [INCLUDE IF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MEASURES ARE THE SAME, OTHERWISE DESCRIBE PERFORMANCE MEASURES: actual performance against pre-set goals of (a) total revenue, (b) average return on investment, (c) average segment margin rate, and (d) Total Shareholder Return (collectively the “Performance Measures”) for the Performance Cycle, with each Performance Measure equally weighted (25% each). The Plan Payout for each Performance Measure other than Total Shareholder Return shall be determined at the Company level (“Corporate”) for eligible employees not assigned to one of the Company’s strategic business groups or the Honeywell Connected Enterprise business unit (collectively, an “SBG”), and 50% at the Company level and 50% at the SBG level for other eligible employees; provided, however, that the average return on investment Performance Measure for eligible employees assigned to the Honeywell Connected Enterprise business unit shall be determined 100% at the Company level.] For purposes of this determination, if an eligible employee transfers from one of the Company’s business units (i.e., an SBG or Corporate) to another during the Performance Cycle,</w:t>
      </w:r>
    </w:p>
    <w:p>
      <w:pPr>
        <w:sectPr>
          <w:pgSz w:w="11900" w:h="16838" w:orient="portrait"/>
          <w:cols w:equalWidth="0" w:num="1">
            <w:col w:w="11240"/>
          </w:cols>
          <w:pgMar w:left="320" w:top="1417" w:right="339" w:bottom="1440" w:gutter="0" w:footer="0" w:header="0"/>
        </w:sectPr>
      </w:pPr>
    </w:p>
    <w:bookmarkStart w:id="83" w:name="page84"/>
    <w:bookmarkEnd w:id="83"/>
    <w:p>
      <w:pPr>
        <w:spacing w:after="0" w:line="239" w:lineRule="auto"/>
        <w:rPr>
          <w:sz w:val="20"/>
          <w:szCs w:val="20"/>
          <w:color w:val="auto"/>
        </w:rPr>
      </w:pPr>
      <w:r>
        <w:rPr>
          <w:rFonts w:ascii="Arial" w:cs="Arial" w:eastAsia="Arial" w:hAnsi="Arial"/>
          <w:sz w:val="22"/>
          <w:szCs w:val="22"/>
          <w:color w:val="auto"/>
        </w:rPr>
        <w:t>their Actual Award will be prorated for the number of days actively employed in each business unit during the Performance Cycle.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[DESCRIBE ADDITIONAL PERFORMANCE MEASURES]</w:t>
      </w:r>
    </w:p>
    <w:p>
      <w:pPr>
        <w:spacing w:after="0" w:line="214" w:lineRule="exact"/>
        <w:rPr>
          <w:sz w:val="20"/>
          <w:szCs w:val="20"/>
          <w:color w:val="auto"/>
        </w:rPr>
      </w:pPr>
    </w:p>
    <w:p>
      <w:pPr>
        <w:jc w:val="both"/>
        <w:ind w:firstLine="8"/>
        <w:spacing w:after="0" w:line="256" w:lineRule="auto"/>
        <w:tabs>
          <w:tab w:leader="none" w:pos="256"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 xml:space="preserve">[INCLUDE IF DIVIDEND EQUIVALENTS ARE PROVIDED UNDER GRANT: Dividend Equivalents. </w:t>
      </w:r>
      <w:r>
        <w:rPr>
          <w:rFonts w:ascii="Arial" w:cs="Arial" w:eastAsia="Arial" w:hAnsi="Arial"/>
          <w:sz w:val="19"/>
          <w:szCs w:val="19"/>
          <w:color w:val="auto"/>
        </w:rPr>
        <w:t>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Performance Stock Unit or Additional Performance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Performance Stock Units (“Additional Performance Stock Units”) equal to (a) divided by (b), where (a) equals the total number of unvested Performance Stock Units and Additional Performance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 Additional Performance Stock Units equal to the total number of unvested Performance Stock Units and Additional Performance Stock Units subject to this Agreement on such date multiplied by the Share dividend paid per Share of Common Stock on such date. Additional Performance Stock Units are subject to the same restrictions, including but not limited to vesting, transferability and payment restrictions, that apply to the Performance Stock Units to which they relate. You will continue to earn Additional Performance Stock Units on unpaid Performance Stock Units and Additional Performance Stock Units that are held in your bookkeeping account until the vested Shares are paid to you.]</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20" w:firstLine="8"/>
        <w:spacing w:after="0" w:line="243" w:lineRule="auto"/>
        <w:tabs>
          <w:tab w:leader="none" w:pos="256"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Performance Stock Unit [and Additional Performance Stock Unit] represents one (1)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Your Actual Award will not exceed 200% of your Target Award.</w:t>
      </w:r>
    </w:p>
    <w:p>
      <w:pPr>
        <w:spacing w:after="0" w:line="189" w:lineRule="exact"/>
        <w:rPr>
          <w:rFonts w:ascii="Arial" w:cs="Arial" w:eastAsia="Arial" w:hAnsi="Arial"/>
          <w:sz w:val="22"/>
          <w:szCs w:val="22"/>
          <w:color w:val="auto"/>
        </w:rPr>
      </w:pPr>
    </w:p>
    <w:p>
      <w:pPr>
        <w:jc w:val="both"/>
        <w:ind w:firstLine="8"/>
        <w:spacing w:after="0" w:line="274" w:lineRule="auto"/>
        <w:tabs>
          <w:tab w:leader="none" w:pos="243"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 xml:space="preserve">Vesting and Payment. </w:t>
      </w:r>
      <w:r>
        <w:rPr>
          <w:rFonts w:ascii="Arial" w:cs="Arial" w:eastAsia="Arial" w:hAnsi="Arial"/>
          <w:sz w:val="19"/>
          <w:szCs w:val="19"/>
          <w:color w:val="auto"/>
        </w:rPr>
        <w:t>Except as otherwise provided in this Agreement, the vesting and payment of an Actual Award is</w:t>
      </w:r>
      <w:r>
        <w:rPr>
          <w:rFonts w:ascii="Arial" w:cs="Arial" w:eastAsia="Arial" w:hAnsi="Arial"/>
          <w:sz w:val="19"/>
          <w:szCs w:val="19"/>
          <w:b w:val="1"/>
          <w:bCs w:val="1"/>
          <w:color w:val="auto"/>
        </w:rPr>
        <w:t xml:space="preserve"> </w:t>
      </w:r>
      <w:r>
        <w:rPr>
          <w:rFonts w:ascii="Arial" w:cs="Arial" w:eastAsia="Arial" w:hAnsi="Arial"/>
          <w:sz w:val="19"/>
          <w:szCs w:val="19"/>
          <w:color w:val="auto"/>
        </w:rPr>
        <w:t>contingent upon (i) the achievement of a Plan Payout Percentage based on performance as described in Section 3 and Attachment A, and (ii) you remaining actively employed by the Company on [DESCRIBE VESTING PROVISIONS] (“Vesting Date”). [In no event will Additional Performance Stock Units be paid if the related Performance Stock Units have not vested.]</w:t>
      </w:r>
    </w:p>
    <w:p>
      <w:pPr>
        <w:spacing w:after="0" w:line="16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[INCLUDE IF PAYMENT PROVISIONS ARE THE SAME, OTHERWISE DESCRIBE PAYMENT PROVISIONS Except as otherwise provided in Sections 8 and 10, if earned, the Actual Award will be paid 50% in Shares rounded up to the nearest whole Share, with the net Shares held by you for at least one year from the Vesting Date. The remaining Actual Award will be converted and paid in cash, calculated by multiplying 50% of the Actual Award, stated in Shares, by the Fair Market Value of the Shares on the last trading day of the Performance Cycle.</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If an Actual Award is due, payment in cash and Shares will be made as soon as practicable following the Vesting Date, but in no event later than two and one-half months following the end of the year in which vesting occurs.</w:t>
      </w:r>
    </w:p>
    <w:p>
      <w:pPr>
        <w:sectPr>
          <w:pgSz w:w="11900" w:h="16838" w:orient="portrait"/>
          <w:cols w:equalWidth="0" w:num="1">
            <w:col w:w="11240"/>
          </w:cols>
          <w:pgMar w:left="320" w:top="1414" w:right="339" w:bottom="1440" w:gutter="0" w:footer="0" w:header="0"/>
        </w:sectPr>
      </w:pPr>
    </w:p>
    <w:bookmarkStart w:id="84" w:name="page85"/>
    <w:bookmarkEnd w:id="84"/>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cash portion of your Actual Award shall be expressed in U.S. dollars. Cash payment shall be made in the same currency as your pay (“Local Currency”). In the event you receive pay in more than one Local Currency, the currency used for payment will be at the discretion of the Company or your employer. The Company will convert the cash portion of your Actual Award from U.S. dollars to your Local Currency using the exchange rate in effect for the compensation planning cycle in the year of payment (i.e., the same rate used for converting annual bonuses to local currency in the first quarter of the year of payment). No payments will be credited with interest, and you may not defer any portion of the Actual Award hereunder.]</w:t>
      </w:r>
    </w:p>
    <w:p>
      <w:pPr>
        <w:spacing w:after="0" w:line="172" w:lineRule="exact"/>
        <w:rPr>
          <w:sz w:val="20"/>
          <w:szCs w:val="20"/>
          <w:color w:val="auto"/>
        </w:rPr>
      </w:pPr>
    </w:p>
    <w:p>
      <w:pPr>
        <w:jc w:val="both"/>
        <w:ind w:firstLine="8"/>
        <w:spacing w:after="0" w:line="229" w:lineRule="auto"/>
        <w:tabs>
          <w:tab w:leader="none" w:pos="216"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Except as otherwise provided in this Agreement, if your Termination of Employment occurs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 death or Disability before the Vesting Date, any unvested Performance Stock Units [and Additional Performance Stock Units] will immediately be forfeited and your rights with respect to future payments under this Agreement will end.</w:t>
      </w:r>
    </w:p>
    <w:p>
      <w:pPr>
        <w:spacing w:after="0" w:line="195" w:lineRule="exact"/>
        <w:rPr>
          <w:rFonts w:ascii="Arial" w:cs="Arial" w:eastAsia="Arial" w:hAnsi="Arial"/>
          <w:sz w:val="22"/>
          <w:szCs w:val="22"/>
          <w:color w:val="auto"/>
        </w:rPr>
      </w:pPr>
    </w:p>
    <w:p>
      <w:pPr>
        <w:jc w:val="both"/>
        <w:ind w:firstLine="8"/>
        <w:spacing w:after="0" w:line="233" w:lineRule="auto"/>
        <w:tabs>
          <w:tab w:leader="none" w:pos="216" w:val="left"/>
        </w:tabs>
        <w:numPr>
          <w:ilvl w:val="0"/>
          <w:numId w:val="74"/>
        </w:numPr>
        <w:rPr>
          <w:rFonts w:ascii="Arial" w:cs="Arial" w:eastAsia="Arial" w:hAnsi="Arial"/>
          <w:sz w:val="21"/>
          <w:szCs w:val="21"/>
          <w:color w:val="auto"/>
        </w:rPr>
      </w:pPr>
      <w:r>
        <w:rPr>
          <w:rFonts w:ascii="Arial" w:cs="Arial" w:eastAsia="Arial" w:hAnsi="Arial"/>
          <w:sz w:val="21"/>
          <w:szCs w:val="21"/>
          <w:b w:val="1"/>
          <w:bCs w:val="1"/>
          <w:color w:val="auto"/>
        </w:rPr>
        <w:t xml:space="preserve">Death or Disability. </w:t>
      </w:r>
      <w:r>
        <w:rPr>
          <w:rFonts w:ascii="Arial" w:cs="Arial" w:eastAsia="Arial" w:hAnsi="Arial"/>
          <w:sz w:val="21"/>
          <w:szCs w:val="21"/>
          <w:color w:val="auto"/>
        </w:rPr>
        <w:t>If your Termination of Employment occurs because of your death or Disability before the Vesting Date,</w:t>
      </w:r>
      <w:r>
        <w:rPr>
          <w:rFonts w:ascii="Arial" w:cs="Arial" w:eastAsia="Arial" w:hAnsi="Arial"/>
          <w:sz w:val="21"/>
          <w:szCs w:val="21"/>
          <w:b w:val="1"/>
          <w:bCs w:val="1"/>
          <w:color w:val="auto"/>
        </w:rPr>
        <w:t xml:space="preserve"> </w:t>
      </w:r>
      <w:r>
        <w:rPr>
          <w:rFonts w:ascii="Arial" w:cs="Arial" w:eastAsia="Arial" w:hAnsi="Arial"/>
          <w:sz w:val="21"/>
          <w:szCs w:val="21"/>
          <w:color w:val="auto"/>
        </w:rPr>
        <w:t>you or your estate will receive the prorated value of your Actual Award. The prorated value of the Actual Award shall be determined by multiplying the Actual Award by a fraction, the numerator of which is the number of days you were actively employed before your Termination of Employment from your first eligibility date to the last day of the Performance Cycle, and the denominator of which is the total number of days from your first eligibility date to the last day of the Performance Cycle. Such prorated Actual Award, stated in Shares, shall be multiplied by the Fair Market Value of the Shares on the last trading day of the Performance Cycle and paid in cash as soon as practicable, but in no event later than two and one-half months following the end of the Performance Cycle. [Additional Performance Stock Units will be calculated on the prorated Actual Award as provided in Section 4.]</w:t>
      </w:r>
    </w:p>
    <w:p>
      <w:pPr>
        <w:spacing w:after="0" w:line="198" w:lineRule="exact"/>
        <w:rPr>
          <w:rFonts w:ascii="Arial" w:cs="Arial" w:eastAsia="Arial" w:hAnsi="Arial"/>
          <w:sz w:val="21"/>
          <w:szCs w:val="21"/>
          <w:color w:val="auto"/>
        </w:rPr>
      </w:pPr>
    </w:p>
    <w:p>
      <w:pPr>
        <w:jc w:val="both"/>
        <w:ind w:firstLine="8"/>
        <w:spacing w:after="0" w:line="229" w:lineRule="auto"/>
        <w:tabs>
          <w:tab w:leader="none" w:pos="216"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the avoidance of doubt, if your Termination of Employment occurs solely because of your Retirement at any</w:t>
      </w:r>
      <w:r>
        <w:rPr>
          <w:rFonts w:ascii="Arial" w:cs="Arial" w:eastAsia="Arial" w:hAnsi="Arial"/>
          <w:sz w:val="22"/>
          <w:szCs w:val="22"/>
          <w:b w:val="1"/>
          <w:bCs w:val="1"/>
          <w:color w:val="auto"/>
        </w:rPr>
        <w:t xml:space="preserve"> </w:t>
      </w:r>
      <w:r>
        <w:rPr>
          <w:rFonts w:ascii="Arial" w:cs="Arial" w:eastAsia="Arial" w:hAnsi="Arial"/>
          <w:sz w:val="22"/>
          <w:szCs w:val="22"/>
          <w:color w:val="auto"/>
        </w:rPr>
        <w:t>age before the Vesting Date specified above, any unvested Performance Stock Units [and Additional Performance Stock Units] or unpaid Actual Award, as applicable, will immediately be forfeited and your rights with respect to future payments under this Agreement will end.</w:t>
      </w:r>
    </w:p>
    <w:p>
      <w:pPr>
        <w:spacing w:after="0" w:line="195" w:lineRule="exact"/>
        <w:rPr>
          <w:rFonts w:ascii="Arial" w:cs="Arial" w:eastAsia="Arial" w:hAnsi="Arial"/>
          <w:sz w:val="22"/>
          <w:szCs w:val="22"/>
          <w:color w:val="auto"/>
        </w:rPr>
      </w:pPr>
    </w:p>
    <w:p>
      <w:pPr>
        <w:ind w:right="20" w:firstLine="8"/>
        <w:spacing w:after="0" w:line="243" w:lineRule="auto"/>
        <w:tabs>
          <w:tab w:leader="none" w:pos="324"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anything in Sections 2 through 9 to the contrary, in the event of a Change in Control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the Plan), the following provisions apply:</w:t>
      </w:r>
    </w:p>
    <w:p>
      <w:pPr>
        <w:spacing w:after="0" w:line="189" w:lineRule="exact"/>
        <w:rPr>
          <w:rFonts w:ascii="Arial" w:cs="Arial" w:eastAsia="Arial" w:hAnsi="Arial"/>
          <w:sz w:val="22"/>
          <w:szCs w:val="22"/>
          <w:color w:val="auto"/>
        </w:rPr>
      </w:pPr>
    </w:p>
    <w:p>
      <w:pPr>
        <w:jc w:val="both"/>
        <w:ind w:firstLine="656"/>
        <w:spacing w:after="0" w:line="259" w:lineRule="auto"/>
        <w:tabs>
          <w:tab w:leader="none" w:pos="852" w:val="left"/>
        </w:tabs>
        <w:numPr>
          <w:ilvl w:val="1"/>
          <w:numId w:val="74"/>
        </w:numPr>
        <w:rPr>
          <w:rFonts w:ascii="Arial" w:cs="Arial" w:eastAsia="Arial" w:hAnsi="Arial"/>
          <w:sz w:val="19"/>
          <w:szCs w:val="19"/>
          <w:color w:val="auto"/>
        </w:rPr>
      </w:pPr>
      <w:r>
        <w:rPr>
          <w:rFonts w:ascii="Arial" w:cs="Arial" w:eastAsia="Arial" w:hAnsi="Arial"/>
          <w:sz w:val="19"/>
          <w:szCs w:val="19"/>
          <w:b w:val="1"/>
          <w:bCs w:val="1"/>
          <w:color w:val="auto"/>
        </w:rPr>
        <w:t xml:space="preserve">Rollover of Performance Awards. </w:t>
      </w:r>
      <w:r>
        <w:rPr>
          <w:rFonts w:ascii="Arial" w:cs="Arial" w:eastAsia="Arial" w:hAnsi="Arial"/>
          <w:sz w:val="19"/>
          <w:szCs w:val="19"/>
          <w:color w:val="auto"/>
        </w:rPr>
        <w:t>If adjusted or exchanged pursuant to Section 5.3(c) – (f) of the Plan,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[and Additional Performance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in full and be paid in cash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w:t>
      </w:r>
    </w:p>
    <w:p>
      <w:pPr>
        <w:sectPr>
          <w:pgSz w:w="11900" w:h="16838" w:orient="portrait"/>
          <w:cols w:equalWidth="0" w:num="1">
            <w:col w:w="11240"/>
          </w:cols>
          <w:pgMar w:left="320" w:top="1440" w:right="339" w:bottom="1440" w:gutter="0" w:footer="0" w:header="0"/>
        </w:sectPr>
      </w:pPr>
    </w:p>
    <w:bookmarkStart w:id="85" w:name="page86"/>
    <w:bookmarkEnd w:id="85"/>
    <w:p>
      <w:pPr>
        <w:jc w:val="both"/>
        <w:spacing w:after="0" w:line="228" w:lineRule="auto"/>
        <w:rPr>
          <w:sz w:val="20"/>
          <w:szCs w:val="20"/>
          <w:color w:val="auto"/>
        </w:rPr>
      </w:pPr>
      <w:r>
        <w:rPr>
          <w:rFonts w:ascii="Arial" w:cs="Arial" w:eastAsia="Arial" w:hAnsi="Arial"/>
          <w:sz w:val="22"/>
          <w:szCs w:val="22"/>
          <w:color w:val="auto"/>
        </w:rPr>
        <w:t>period following the Change in Control and before the Performance Cycle has ended, an amount equal to the Target Award, pro-rated to reflect the portion of the Performance Cycle that elapsed before such Termination of Employment, will be paid in cash no later than the earlier of 90 days after the Termination of Employment or two and one-half months after the end of the calendar year in which the Termination of Employment occurs.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color w:val="auto"/>
        </w:rPr>
        <w:t>Cashout of Performance Awards.</w:t>
      </w:r>
      <w:r>
        <w:rPr>
          <w:rFonts w:ascii="Arial" w:cs="Arial" w:eastAsia="Arial" w:hAnsi="Arial"/>
          <w:sz w:val="19"/>
          <w:szCs w:val="19"/>
          <w:color w:val="auto"/>
        </w:rPr>
        <w:t xml:space="preserve"> Unless adjusted or exchanged pursuant to Section 5.3(a) or 5.3(b) of the Plan (concerning rollover of outstanding awards in certain circumstances), Performance Stock Units [and Additional Performance Stock Units] that have not vested or terminated as of the date of the Change in Control will immediately vest. If the Change in Control occurs after the Performance Cycle has ended, you will receive your unpaid Actual Award. If the Change in Control occurs before the Performance Cycle has ended,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Performance Stock Units [and Additional Performance Stock Units] a single cash payment equal to the product of the number of vested and outstanding Performance Stock Units [and Additional Performance Stock Units] as of the date of the Change in Control (including any Performance Stock Units [and Additional Performance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90" w:lineRule="exact"/>
        <w:rPr>
          <w:sz w:val="20"/>
          <w:szCs w:val="20"/>
          <w:color w:val="auto"/>
        </w:rPr>
      </w:pPr>
    </w:p>
    <w:p>
      <w:pPr>
        <w:jc w:val="both"/>
        <w:ind w:firstLine="8"/>
        <w:spacing w:after="0" w:line="238" w:lineRule="auto"/>
        <w:tabs>
          <w:tab w:leader="none" w:pos="316" w:val="left"/>
        </w:tabs>
        <w:numPr>
          <w:ilvl w:val="0"/>
          <w:numId w:val="75"/>
        </w:numPr>
        <w:rPr>
          <w:rFonts w:ascii="Arial" w:cs="Arial" w:eastAsia="Arial" w:hAnsi="Arial"/>
          <w:sz w:val="21"/>
          <w:szCs w:val="21"/>
          <w:color w:val="auto"/>
        </w:rPr>
      </w:pPr>
      <w:r>
        <w:rPr>
          <w:rFonts w:ascii="Arial" w:cs="Arial" w:eastAsia="Arial" w:hAnsi="Arial"/>
          <w:sz w:val="21"/>
          <w:szCs w:val="21"/>
          <w:b w:val="1"/>
          <w:bCs w:val="1"/>
          <w:color w:val="auto"/>
        </w:rPr>
        <w:t xml:space="preserve">Withholdings. </w:t>
      </w:r>
      <w:r>
        <w:rPr>
          <w:rFonts w:ascii="Arial" w:cs="Arial" w:eastAsia="Arial" w:hAnsi="Arial"/>
          <w:sz w:val="21"/>
          <w:szCs w:val="21"/>
          <w:color w:val="auto"/>
        </w:rPr>
        <w:t>The Company or your local employer shall have the power and the right to deduct or withhold, or require you</w:t>
      </w:r>
      <w:r>
        <w:rPr>
          <w:rFonts w:ascii="Arial" w:cs="Arial" w:eastAsia="Arial" w:hAnsi="Arial"/>
          <w:sz w:val="21"/>
          <w:szCs w:val="21"/>
          <w:b w:val="1"/>
          <w:bCs w:val="1"/>
          <w:color w:val="auto"/>
        </w:rPr>
        <w:t xml:space="preserve"> </w:t>
      </w:r>
      <w:r>
        <w:rPr>
          <w:rFonts w:ascii="Arial" w:cs="Arial" w:eastAsia="Arial" w:hAnsi="Arial"/>
          <w:sz w:val="21"/>
          <w:szCs w:val="21"/>
          <w:color w:val="auto"/>
        </w:rPr>
        <w:t>to remit to the Company or to your local employer, prior to any issuance or delivery of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93" w:lineRule="exact"/>
        <w:rPr>
          <w:rFonts w:ascii="Arial" w:cs="Arial" w:eastAsia="Arial" w:hAnsi="Arial"/>
          <w:sz w:val="21"/>
          <w:szCs w:val="21"/>
          <w:color w:val="auto"/>
        </w:rPr>
      </w:pPr>
    </w:p>
    <w:p>
      <w:pPr>
        <w:jc w:val="both"/>
        <w:ind w:firstLine="8"/>
        <w:spacing w:after="0" w:line="260" w:lineRule="auto"/>
        <w:tabs>
          <w:tab w:leader="none" w:pos="324"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Transfer of Performance Award. </w:t>
      </w:r>
      <w:r>
        <w:rPr>
          <w:rFonts w:ascii="Arial" w:cs="Arial" w:eastAsia="Arial" w:hAnsi="Arial"/>
          <w:sz w:val="19"/>
          <w:szCs w:val="19"/>
          <w:color w:val="auto"/>
        </w:rPr>
        <w:t>You may not transfer the Performance Stock Units[, Additional Performance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or any interest in such Units or any portion of your Actual Award except by will or the laws of descent and distribution or except as permitted by the Committee and as specified in the Plan. Any other attempt to dispose of your interest will be null and void.</w:t>
      </w:r>
    </w:p>
    <w:p>
      <w:pPr>
        <w:spacing w:after="0" w:line="2" w:lineRule="exact"/>
        <w:rPr>
          <w:rFonts w:ascii="Arial" w:cs="Arial" w:eastAsia="Arial" w:hAnsi="Arial"/>
          <w:sz w:val="19"/>
          <w:szCs w:val="19"/>
          <w:color w:val="auto"/>
        </w:rPr>
      </w:pPr>
    </w:p>
    <w:p>
      <w:pPr>
        <w:ind w:left="340" w:hanging="332"/>
        <w:spacing w:after="0" w:line="217" w:lineRule="auto"/>
        <w:tabs>
          <w:tab w:leader="none" w:pos="34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jc w:val="both"/>
        <w:ind w:firstLine="648"/>
        <w:spacing w:after="0" w:line="260" w:lineRule="auto"/>
        <w:rPr>
          <w:rFonts w:ascii="Arial" w:cs="Arial" w:eastAsia="Arial" w:hAnsi="Arial"/>
          <w:sz w:val="22"/>
          <w:szCs w:val="22"/>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General.</w:t>
      </w:r>
      <w:r>
        <w:rPr>
          <w:rFonts w:ascii="Arial" w:cs="Arial" w:eastAsia="Arial" w:hAnsi="Arial"/>
          <w:sz w:val="19"/>
          <w:szCs w:val="19"/>
          <w:color w:val="auto"/>
        </w:rPr>
        <w:t xml:space="preserve"> This Award is expressly contingent upon you complying with the terms, conditions and definitions contained in this Section 13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13, the term “Honeywell” is defined as Honeywell International Inc. (a Delaware corporation having a place of business in Charlotte, North Carolina), its predecessors, designees and successors, as well as its past, present and future operating companies, divisions,</w:t>
      </w:r>
    </w:p>
    <w:p>
      <w:pPr>
        <w:sectPr>
          <w:pgSz w:w="11900" w:h="16838" w:orient="portrait"/>
          <w:cols w:equalWidth="0" w:num="1">
            <w:col w:w="11240"/>
          </w:cols>
          <w:pgMar w:left="320" w:top="1414" w:right="33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subsidiaries, affiliates and other business units, including businesses acquired by purchase of assets, stock, merger or otherwise.</w:t>
      </w:r>
    </w:p>
    <w:p>
      <w:pPr>
        <w:spacing w:after="0" w:line="6" w:lineRule="exact"/>
        <w:rPr>
          <w:sz w:val="20"/>
          <w:szCs w:val="20"/>
          <w:color w:val="auto"/>
        </w:rPr>
      </w:pPr>
    </w:p>
    <w:p>
      <w:pPr>
        <w:ind w:left="880" w:hanging="224"/>
        <w:spacing w:after="0"/>
        <w:tabs>
          <w:tab w:leader="none" w:pos="880" w:val="left"/>
        </w:tabs>
        <w:numPr>
          <w:ilvl w:val="1"/>
          <w:numId w:val="76"/>
        </w:numPr>
        <w:rPr>
          <w:rFonts w:ascii="Arial" w:cs="Arial" w:eastAsia="Arial" w:hAnsi="Arial"/>
          <w:sz w:val="22"/>
          <w:szCs w:val="22"/>
          <w:color w:val="auto"/>
        </w:rPr>
      </w:pPr>
      <w:r>
        <w:rPr>
          <w:rFonts w:ascii="Arial" w:cs="Arial" w:eastAsia="Arial" w:hAnsi="Arial"/>
          <w:sz w:val="22"/>
          <w:szCs w:val="22"/>
          <w:b w:val="1"/>
          <w:bCs w:val="1"/>
          <w:color w:val="auto"/>
        </w:rPr>
        <w:t>Remedies.</w:t>
      </w:r>
    </w:p>
    <w:p>
      <w:pPr>
        <w:jc w:val="both"/>
        <w:ind w:firstLine="8"/>
        <w:spacing w:after="0" w:line="254" w:lineRule="auto"/>
        <w:tabs>
          <w:tab w:leader="none" w:pos="2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You expressly agree and acknowledge that the forfeiture provisions of subsection 13.b.2. of this Agreement 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200" w:lineRule="exact"/>
        <w:rPr>
          <w:sz w:val="20"/>
          <w:szCs w:val="20"/>
          <w:color w:val="auto"/>
        </w:rPr>
      </w:pPr>
    </w:p>
    <w:p>
      <w:pPr>
        <w:spacing w:after="0" w:line="22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For purposes of this subsection 13.b.1,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200" w:lineRule="exact"/>
        <w:rPr>
          <w:sz w:val="20"/>
          <w:szCs w:val="20"/>
          <w:color w:val="auto"/>
        </w:rPr>
      </w:pPr>
    </w:p>
    <w:p>
      <w:pPr>
        <w:jc w:val="both"/>
        <w:ind w:firstLine="1304"/>
        <w:spacing w:after="0" w:line="259" w:lineRule="auto"/>
        <w:tabs>
          <w:tab w:leader="none" w:pos="1525"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their sole judgment, that you have violated the terms of any such agreement or you have engaged in an act that violates subsection 13.b.1. of this Agreement, or you are terminated for Cause (as defined in the Plan) [INCLUDE AS APPLICABLE or you voluntarily terminate your employment with less than a 45-day notice period], (i) any Performance Stock Units [and Additional Performance Stock Units] that have not vested under this Agreement shall immediately be cancelled, and you shall forfeit any rights you have with respect to such Units as of the date of the CEO’s determination or the date of your Termination of Employment for Cause [INCLUDE AS APPLICABLE or voluntary Termination of Employment, as applicable], and (ii) you shall</w:t>
      </w:r>
    </w:p>
    <w:p>
      <w:pPr>
        <w:sectPr>
          <w:pgSz w:w="11900" w:h="16838" w:orient="portrait"/>
          <w:cols w:equalWidth="0" w:num="1">
            <w:col w:w="11240"/>
          </w:cols>
          <w:pgMar w:left="320" w:top="1414" w:right="339" w:bottom="1440" w:gutter="0" w:footer="0" w:header="0"/>
        </w:sectPr>
      </w:pPr>
    </w:p>
    <w:bookmarkStart w:id="87" w:name="page88"/>
    <w:bookmarkEnd w:id="87"/>
    <w:p>
      <w:pPr>
        <w:jc w:val="both"/>
        <w:spacing w:after="0" w:line="221" w:lineRule="auto"/>
        <w:rPr>
          <w:sz w:val="20"/>
          <w:szCs w:val="20"/>
          <w:color w:val="auto"/>
        </w:rPr>
      </w:pPr>
      <w:r>
        <w:rPr>
          <w:rFonts w:ascii="Arial" w:cs="Arial" w:eastAsia="Arial" w:hAnsi="Arial"/>
          <w:sz w:val="22"/>
          <w:szCs w:val="22"/>
          <w:color w:val="auto"/>
        </w:rPr>
        <w:t>immediately deliver to the Company Shares and cash equal in value to the Actual Award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 w:lineRule="exact"/>
        <w:rPr>
          <w:sz w:val="20"/>
          <w:szCs w:val="20"/>
          <w:color w:val="auto"/>
        </w:rPr>
      </w:pPr>
    </w:p>
    <w:p>
      <w:pPr>
        <w:jc w:val="both"/>
        <w:ind w:firstLine="1304"/>
        <w:spacing w:after="0" w:line="224" w:lineRule="auto"/>
        <w:tabs>
          <w:tab w:leader="none" w:pos="1525" w:val="left"/>
        </w:tabs>
        <w:numPr>
          <w:ilvl w:val="1"/>
          <w:numId w:val="79"/>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92" w:lineRule="exact"/>
        <w:rPr>
          <w:rFonts w:ascii="Arial" w:cs="Arial" w:eastAsia="Arial" w:hAnsi="Arial"/>
          <w:sz w:val="22"/>
          <w:szCs w:val="22"/>
          <w:color w:val="auto"/>
        </w:rPr>
      </w:pPr>
    </w:p>
    <w:p>
      <w:pPr>
        <w:jc w:val="both"/>
        <w:ind w:firstLine="8"/>
        <w:spacing w:after="0" w:line="236" w:lineRule="auto"/>
        <w:tabs>
          <w:tab w:leader="none" w:pos="324" w:val="left"/>
        </w:tabs>
        <w:numPr>
          <w:ilvl w:val="0"/>
          <w:numId w:val="80"/>
        </w:numPr>
        <w:rPr>
          <w:rFonts w:ascii="Arial" w:cs="Arial" w:eastAsia="Arial" w:hAnsi="Arial"/>
          <w:sz w:val="21"/>
          <w:szCs w:val="21"/>
          <w:color w:val="auto"/>
        </w:rPr>
      </w:pPr>
      <w:r>
        <w:rPr>
          <w:rFonts w:ascii="Arial" w:cs="Arial" w:eastAsia="Arial" w:hAnsi="Arial"/>
          <w:sz w:val="21"/>
          <w:szCs w:val="21"/>
          <w:b w:val="1"/>
          <w:bCs w:val="1"/>
          <w:color w:val="auto"/>
        </w:rPr>
        <w:t xml:space="preserve">Restrictions on Payment of Shares. </w:t>
      </w:r>
      <w:r>
        <w:rPr>
          <w:rFonts w:ascii="Arial" w:cs="Arial" w:eastAsia="Arial" w:hAnsi="Arial"/>
          <w:sz w:val="21"/>
          <w:szCs w:val="21"/>
          <w:color w:val="auto"/>
        </w:rPr>
        <w:t>Payment of Shares is subject to the conditions that, to the extent required at the time of</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(i) the Shares underlying the Award and/or Actual Award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95" w:lineRule="exact"/>
        <w:rPr>
          <w:rFonts w:ascii="Arial" w:cs="Arial" w:eastAsia="Arial" w:hAnsi="Arial"/>
          <w:sz w:val="21"/>
          <w:szCs w:val="21"/>
          <w:color w:val="auto"/>
        </w:rPr>
      </w:pPr>
    </w:p>
    <w:p>
      <w:pPr>
        <w:ind w:left="34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this Performance Award will be governed by Section 5.3 of the Plan.</w:t>
      </w:r>
    </w:p>
    <w:p>
      <w:pPr>
        <w:spacing w:after="0" w:line="219" w:lineRule="exact"/>
        <w:rPr>
          <w:rFonts w:ascii="Arial" w:cs="Arial" w:eastAsia="Arial" w:hAnsi="Arial"/>
          <w:sz w:val="22"/>
          <w:szCs w:val="22"/>
          <w:color w:val="auto"/>
        </w:rPr>
      </w:pPr>
    </w:p>
    <w:p>
      <w:pPr>
        <w:jc w:val="both"/>
        <w:ind w:firstLine="8"/>
        <w:spacing w:after="0" w:line="269" w:lineRule="auto"/>
        <w:tabs>
          <w:tab w:leader="none" w:pos="324" w:val="left"/>
        </w:tabs>
        <w:numPr>
          <w:ilvl w:val="0"/>
          <w:numId w:val="80"/>
        </w:numPr>
        <w:rPr>
          <w:rFonts w:ascii="Arial" w:cs="Arial" w:eastAsia="Arial" w:hAnsi="Arial"/>
          <w:sz w:val="19"/>
          <w:szCs w:val="19"/>
          <w:color w:val="auto"/>
        </w:rPr>
      </w:pPr>
      <w:r>
        <w:rPr>
          <w:rFonts w:ascii="Arial" w:cs="Arial" w:eastAsia="Arial" w:hAnsi="Arial"/>
          <w:sz w:val="19"/>
          <w:szCs w:val="19"/>
          <w:b w:val="1"/>
          <w:bCs w:val="1"/>
          <w:color w:val="auto"/>
        </w:rPr>
        <w:t xml:space="preserve">Disposition of Securities. </w:t>
      </w:r>
      <w:r>
        <w:rPr>
          <w:rFonts w:ascii="Arial" w:cs="Arial" w:eastAsia="Arial" w:hAnsi="Arial"/>
          <w:sz w:val="19"/>
          <w:szCs w:val="19"/>
          <w:color w:val="auto"/>
        </w:rPr>
        <w:t>By accepting the Performance Award, you acknowledge that you have read and understand (i)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policy, and are aware of and understand your obligations under applicable securities laws in respect of trading in the Company’s securities, and (ii) the Company’s stock ownership guidelines as they apply to this Performance Award. The Company shall have the right to recover, or receive reimbursement for, any compensation or profit you realize on the disposition of Shares received to the extent that the Company has a right of recovery or reimbursement under applicable securities laws.</w:t>
      </w:r>
    </w:p>
    <w:p>
      <w:pPr>
        <w:spacing w:after="0" w:line="166" w:lineRule="exact"/>
        <w:rPr>
          <w:rFonts w:ascii="Arial" w:cs="Arial" w:eastAsia="Arial" w:hAnsi="Arial"/>
          <w:sz w:val="19"/>
          <w:szCs w:val="19"/>
          <w:color w:val="auto"/>
        </w:rPr>
      </w:pPr>
    </w:p>
    <w:p>
      <w:pPr>
        <w:jc w:val="both"/>
        <w:ind w:firstLine="8"/>
        <w:spacing w:after="0" w:line="259" w:lineRule="auto"/>
        <w:tabs>
          <w:tab w:leader="none" w:pos="378" w:val="left"/>
        </w:tabs>
        <w:numPr>
          <w:ilvl w:val="0"/>
          <w:numId w:val="80"/>
        </w:numPr>
        <w:rPr>
          <w:rFonts w:ascii="Arial" w:cs="Arial" w:eastAsia="Arial" w:hAnsi="Arial"/>
          <w:sz w:val="19"/>
          <w:szCs w:val="19"/>
          <w:color w:val="auto"/>
        </w:rPr>
      </w:pPr>
      <w:r>
        <w:rPr>
          <w:rFonts w:ascii="Arial" w:cs="Arial" w:eastAsia="Arial" w:hAnsi="Arial"/>
          <w:sz w:val="19"/>
          <w:szCs w:val="19"/>
          <w:b w:val="1"/>
          <w:bCs w:val="1"/>
          <w:color w:val="auto"/>
        </w:rPr>
        <w:t xml:space="preserve">Plan Terms Govern. </w:t>
      </w:r>
      <w:r>
        <w:rPr>
          <w:rFonts w:ascii="Arial" w:cs="Arial" w:eastAsia="Arial" w:hAnsi="Arial"/>
          <w:sz w:val="19"/>
          <w:szCs w:val="19"/>
          <w:color w:val="auto"/>
        </w:rPr>
        <w:t>This Award (including the vesting and redemption of Performance Stock Units [or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Stock Units], the disposition of any Shares received,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Performance Award, you acknowledge that the Plan and the Plan prospectus, as in effect on the date of this Agreement, have been made available to you for your review. Without limiting the generality of the foregoing, you agree that all determinations made by the Committee of the Performance Measures described in Section 3 (including but not limited to, Total Shareholder Return and the Company’s ranking within the Compensation Peer Group) shall be final, binding and conclusive on you in accordance with Article III of the Plan.</w:t>
      </w:r>
    </w:p>
    <w:p>
      <w:pPr>
        <w:spacing w:after="0" w:line="180" w:lineRule="exact"/>
        <w:rPr>
          <w:rFonts w:ascii="Arial" w:cs="Arial" w:eastAsia="Arial" w:hAnsi="Arial"/>
          <w:sz w:val="19"/>
          <w:szCs w:val="19"/>
          <w:color w:val="auto"/>
        </w:rPr>
      </w:pPr>
    </w:p>
    <w:p>
      <w:pPr>
        <w:ind w:left="34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ectPr>
          <w:pgSz w:w="11900" w:h="16838" w:orient="portrait"/>
          <w:cols w:equalWidth="0" w:num="1">
            <w:col w:w="11240"/>
          </w:cols>
          <w:pgMar w:left="320" w:top="1414" w:right="339" w:bottom="1440" w:gutter="0" w:footer="0" w:header="0"/>
        </w:sectPr>
      </w:pPr>
    </w:p>
    <w:bookmarkStart w:id="88" w:name="page89"/>
    <w:bookmarkEnd w:id="88"/>
    <w:p>
      <w:pPr>
        <w:jc w:val="both"/>
        <w:ind w:firstLine="648"/>
        <w:spacing w:after="0" w:line="223" w:lineRule="auto"/>
        <w:rPr>
          <w:sz w:val="20"/>
          <w:szCs w:val="20"/>
          <w:color w:val="auto"/>
        </w:rPr>
      </w:pPr>
      <w:r>
        <w:rPr>
          <w:rFonts w:ascii="Arial" w:cs="Arial" w:eastAsia="Arial" w:hAnsi="Arial"/>
          <w:sz w:val="22"/>
          <w:szCs w:val="22"/>
          <w:color w:val="auto"/>
        </w:rPr>
        <w:t>a. By entering into this Agreement, and as a condition of the grant of this Performance Award, you expressly consent to the collection, use, and transfer of personal data as described in this Section to the full extent permitted by and in full compliance with applicable law.</w:t>
      </w:r>
    </w:p>
    <w:p>
      <w:pPr>
        <w:spacing w:after="0" w:line="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Stock Units or other entitlement to shares awarded, canceled, exercised, vested, unvested, or outstanding in your favor, for the purpose of managing and administering the Plan (“Data”).</w:t>
      </w:r>
    </w:p>
    <w:p>
      <w:pPr>
        <w:spacing w:after="0" w:line="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c. You understand that part or all of your Data may be also held by the Company or its Affiliates, pursuant to a transfer made in the past with your consent, in respect of any previous grant of Performance Stock Units or awards, which was made for the same purposes of managing and administering of previous award/incentive plans, or for other purposes.</w:t>
      </w:r>
    </w:p>
    <w:p>
      <w:pPr>
        <w:jc w:val="both"/>
        <w:ind w:firstLine="648"/>
        <w:spacing w:after="0" w:line="252" w:lineRule="auto"/>
        <w:rPr>
          <w:sz w:val="20"/>
          <w:szCs w:val="20"/>
          <w:color w:val="auto"/>
        </w:rPr>
      </w:pPr>
      <w:r>
        <w:rPr>
          <w:rFonts w:ascii="Arial" w:cs="Arial" w:eastAsia="Arial" w:hAnsi="Arial"/>
          <w:sz w:val="19"/>
          <w:szCs w:val="19"/>
          <w:color w:val="auto"/>
        </w:rPr>
        <w:t>d. 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jc w:val="both"/>
        <w:ind w:firstLine="648"/>
        <w:spacing w:after="0" w:line="252" w:lineRule="auto"/>
        <w:rPr>
          <w:sz w:val="20"/>
          <w:szCs w:val="20"/>
          <w:color w:val="auto"/>
        </w:rPr>
      </w:pPr>
      <w:r>
        <w:rPr>
          <w:rFonts w:ascii="Arial" w:cs="Arial" w:eastAsia="Arial" w:hAnsi="Arial"/>
          <w:sz w:val="19"/>
          <w:szCs w:val="19"/>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jc w:val="both"/>
        <w:ind w:firstLine="648"/>
        <w:spacing w:after="0" w:line="272" w:lineRule="auto"/>
        <w:rPr>
          <w:sz w:val="20"/>
          <w:szCs w:val="20"/>
          <w:color w:val="auto"/>
        </w:rPr>
      </w:pPr>
      <w:r>
        <w:rPr>
          <w:rFonts w:ascii="Arial" w:cs="Arial" w:eastAsia="Arial" w:hAnsi="Arial"/>
          <w:sz w:val="19"/>
          <w:szCs w:val="19"/>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spacing w:after="0" w:line="165" w:lineRule="exact"/>
        <w:rPr>
          <w:sz w:val="20"/>
          <w:szCs w:val="20"/>
          <w:color w:val="auto"/>
        </w:rPr>
      </w:pPr>
    </w:p>
    <w:p>
      <w:pPr>
        <w:ind w:firstLine="8"/>
        <w:spacing w:after="0" w:line="229" w:lineRule="auto"/>
        <w:tabs>
          <w:tab w:leader="none" w:pos="351"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Performance Award. </w:t>
      </w:r>
      <w:r>
        <w:rPr>
          <w:rFonts w:ascii="Arial" w:cs="Arial" w:eastAsia="Arial" w:hAnsi="Arial"/>
          <w:sz w:val="22"/>
          <w:szCs w:val="22"/>
          <w:color w:val="auto"/>
        </w:rPr>
        <w:t>By accepting this Performance Award, you agree to be</w:t>
      </w:r>
      <w:r>
        <w:rPr>
          <w:rFonts w:ascii="Arial" w:cs="Arial" w:eastAsia="Arial" w:hAnsi="Arial"/>
          <w:sz w:val="22"/>
          <w:szCs w:val="22"/>
          <w:b w:val="1"/>
          <w:bCs w:val="1"/>
          <w:color w:val="auto"/>
        </w:rPr>
        <w:t xml:space="preserve"> </w:t>
      </w:r>
      <w:r>
        <w:rPr>
          <w:rFonts w:ascii="Arial" w:cs="Arial" w:eastAsia="Arial" w:hAnsi="Arial"/>
          <w:sz w:val="22"/>
          <w:szCs w:val="22"/>
          <w:color w:val="auto"/>
        </w:rPr>
        <w:t>bound by the terms of this Agreement and acknowledge that:</w:t>
      </w:r>
    </w:p>
    <w:p>
      <w:pPr>
        <w:jc w:val="both"/>
        <w:ind w:firstLine="656"/>
        <w:spacing w:after="0" w:line="217" w:lineRule="auto"/>
        <w:tabs>
          <w:tab w:leader="none" w:pos="865"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these Performance Stock Units [and Additional Performance Stock Units]. This Agreement is not derived from any preexisting labor relationship between you and the Company, but rather from a mercantile relationship.</w:t>
      </w:r>
    </w:p>
    <w:p>
      <w:pPr>
        <w:spacing w:after="0" w:line="2" w:lineRule="exact"/>
        <w:rPr>
          <w:rFonts w:ascii="Arial" w:cs="Arial" w:eastAsia="Arial" w:hAnsi="Arial"/>
          <w:sz w:val="22"/>
          <w:szCs w:val="22"/>
          <w:color w:val="auto"/>
        </w:rPr>
      </w:pPr>
    </w:p>
    <w:p>
      <w:pPr>
        <w:ind w:firstLine="656"/>
        <w:spacing w:after="0" w:line="217" w:lineRule="auto"/>
        <w:tabs>
          <w:tab w:leader="none" w:pos="877"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Performance Stock Units [and Additional Performance Stock Units] granted under the Plan.</w:t>
      </w:r>
    </w:p>
    <w:p>
      <w:pPr>
        <w:spacing w:after="0" w:line="1" w:lineRule="exact"/>
        <w:rPr>
          <w:rFonts w:ascii="Arial" w:cs="Arial" w:eastAsia="Arial" w:hAnsi="Arial"/>
          <w:sz w:val="22"/>
          <w:szCs w:val="22"/>
          <w:color w:val="auto"/>
        </w:rPr>
      </w:pPr>
    </w:p>
    <w:p>
      <w:pPr>
        <w:ind w:firstLine="656"/>
        <w:spacing w:after="0" w:line="217" w:lineRule="auto"/>
        <w:tabs>
          <w:tab w:leader="none" w:pos="865" w:val="left"/>
        </w:tabs>
        <w:numPr>
          <w:ilvl w:val="1"/>
          <w:numId w:val="81"/>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1" w:lineRule="exact"/>
        <w:rPr>
          <w:rFonts w:ascii="Arial" w:cs="Arial" w:eastAsia="Arial" w:hAnsi="Arial"/>
          <w:sz w:val="22"/>
          <w:szCs w:val="22"/>
          <w:color w:val="auto"/>
        </w:rPr>
      </w:pPr>
    </w:p>
    <w:p>
      <w:pPr>
        <w:jc w:val="both"/>
        <w:ind w:firstLine="656"/>
        <w:spacing w:after="0" w:line="233" w:lineRule="auto"/>
        <w:tabs>
          <w:tab w:leader="none" w:pos="864"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w:t>
      </w:r>
    </w:p>
    <w:p>
      <w:pPr>
        <w:sectPr>
          <w:pgSz w:w="11900" w:h="16838" w:orient="portrait"/>
          <w:cols w:equalWidth="0" w:num="1">
            <w:col w:w="11240"/>
          </w:cols>
          <w:pgMar w:left="320" w:top="1414" w:right="339" w:bottom="1440" w:gutter="0" w:footer="0" w:header="0"/>
        </w:sectPr>
      </w:pPr>
    </w:p>
    <w:bookmarkStart w:id="89" w:name="page90"/>
    <w:bookmarkEnd w:id="89"/>
    <w:p>
      <w:pPr>
        <w:jc w:val="both"/>
        <w:ind w:right="20"/>
        <w:spacing w:after="0" w:line="261" w:lineRule="auto"/>
        <w:rPr>
          <w:sz w:val="20"/>
          <w:szCs w:val="20"/>
          <w:color w:val="auto"/>
        </w:rPr>
      </w:pPr>
      <w:r>
        <w:rPr>
          <w:rFonts w:ascii="Arial" w:cs="Arial" w:eastAsia="Arial" w:hAnsi="Arial"/>
          <w:sz w:val="19"/>
          <w:szCs w:val="19"/>
          <w:color w:val="auto"/>
        </w:rPr>
        <w:t>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e. The grant of this Performance Award, and any future grant of Performance Stock Units [or Additional Performance Stock Units] under the Plan, is entirely voluntary, and at the complete discretion of the Company. Neither the grant of the Performance Stock Units[, the Additional Performance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f. The Plan will not be deemed to constitute, and will not be construed by you to constitute, part of the terms and conditions of employment. Neither The Company Inc. nor your local employer will incur any liability of any kind to you as a result of any change or amendment, or any cancellation, of the Plan at any time.</w:t>
      </w:r>
    </w:p>
    <w:p>
      <w:pPr>
        <w:spacing w:after="0" w:line="2"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22"/>
          <w:szCs w:val="22"/>
          <w:color w:val="auto"/>
        </w:rPr>
        <w:t>g. Participation in the Plan will not be deemed to constitute, and will not be deemed by you to constitute, an employment or labor relationship of any kind with the Company.</w:t>
      </w:r>
    </w:p>
    <w:p>
      <w:pPr>
        <w:spacing w:after="0" w:line="193" w:lineRule="exact"/>
        <w:rPr>
          <w:sz w:val="20"/>
          <w:szCs w:val="20"/>
          <w:color w:val="auto"/>
        </w:rPr>
      </w:pPr>
    </w:p>
    <w:p>
      <w:pPr>
        <w:jc w:val="both"/>
        <w:ind w:firstLine="8"/>
        <w:spacing w:after="0" w:line="265" w:lineRule="auto"/>
        <w:tabs>
          <w:tab w:leader="none" w:pos="324"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 xml:space="preserve">Limitations. </w:t>
      </w:r>
      <w:r>
        <w:rPr>
          <w:rFonts w:ascii="Arial" w:cs="Arial" w:eastAsia="Arial" w:hAnsi="Arial"/>
          <w:sz w:val="19"/>
          <w:szCs w:val="19"/>
          <w:color w:val="auto"/>
        </w:rPr>
        <w:t>Nothing in this Agreement or the Plan gives you any right to continue in the employ of the Company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or to interfere in any way with the right of the Company or any Affiliate to terminate your employment at any time. Payment of your Performance Stock Units [and Additional Performance Stock Units] is not secured by a trust, insurance contract or other funding medium, and you do not have any interest in any fund or specific asset of the Company by reason of this Performance Award or the account established on your behalf. You have no rights as a shareowner of the Company pursuant to the Performance Stock Units [and Additional Performance Stock Units] until Shares are actually delivered to you.</w:t>
      </w:r>
    </w:p>
    <w:p>
      <w:pPr>
        <w:spacing w:after="0" w:line="172" w:lineRule="exact"/>
        <w:rPr>
          <w:rFonts w:ascii="Arial" w:cs="Arial" w:eastAsia="Arial" w:hAnsi="Arial"/>
          <w:sz w:val="19"/>
          <w:szCs w:val="19"/>
          <w:color w:val="auto"/>
        </w:rPr>
      </w:pPr>
    </w:p>
    <w:p>
      <w:pPr>
        <w:jc w:val="both"/>
        <w:ind w:right="20" w:firstLine="8"/>
        <w:spacing w:after="0" w:line="247" w:lineRule="auto"/>
        <w:tabs>
          <w:tab w:leader="none" w:pos="324" w:val="left"/>
        </w:tabs>
        <w:numPr>
          <w:ilvl w:val="0"/>
          <w:numId w:val="82"/>
        </w:numPr>
        <w:rPr>
          <w:rFonts w:ascii="Arial" w:cs="Arial" w:eastAsia="Arial" w:hAnsi="Arial"/>
          <w:sz w:val="21"/>
          <w:szCs w:val="2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 between you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regarding the Performance Stock Units. This Agreement supersedes any prior agreements, commitments or negotiations concerning the Performance Stock Units [and Additional Performance Stock Units].</w:t>
      </w:r>
    </w:p>
    <w:p>
      <w:pPr>
        <w:spacing w:after="0" w:line="185" w:lineRule="exact"/>
        <w:rPr>
          <w:rFonts w:ascii="Arial" w:cs="Arial" w:eastAsia="Arial" w:hAnsi="Arial"/>
          <w:sz w:val="21"/>
          <w:szCs w:val="21"/>
          <w:color w:val="auto"/>
        </w:rPr>
      </w:pPr>
    </w:p>
    <w:p>
      <w:pPr>
        <w:jc w:val="both"/>
        <w:ind w:firstLine="8"/>
        <w:spacing w:after="0" w:line="229" w:lineRule="auto"/>
        <w:tabs>
          <w:tab w:leader="none" w:pos="378"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95" w:lineRule="exact"/>
        <w:rPr>
          <w:rFonts w:ascii="Arial" w:cs="Arial" w:eastAsia="Arial" w:hAnsi="Arial"/>
          <w:sz w:val="22"/>
          <w:szCs w:val="22"/>
          <w:color w:val="auto"/>
        </w:rPr>
      </w:pPr>
    </w:p>
    <w:p>
      <w:pPr>
        <w:jc w:val="both"/>
        <w:ind w:firstLine="8"/>
        <w:spacing w:after="0" w:line="233" w:lineRule="auto"/>
        <w:tabs>
          <w:tab w:leader="none" w:pos="324"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governed by the internal substantive laws, and not the choice of law rules, of the State of Delaware and construed accordingly, to the extent not superseded by applicable federal law.</w:t>
      </w:r>
    </w:p>
    <w:p>
      <w:pPr>
        <w:spacing w:after="0" w:line="194" w:lineRule="exact"/>
        <w:rPr>
          <w:rFonts w:ascii="Arial" w:cs="Arial" w:eastAsia="Arial" w:hAnsi="Arial"/>
          <w:sz w:val="22"/>
          <w:szCs w:val="22"/>
          <w:color w:val="auto"/>
        </w:rPr>
      </w:pPr>
    </w:p>
    <w:p>
      <w:pPr>
        <w:jc w:val="both"/>
        <w:ind w:firstLine="8"/>
        <w:spacing w:after="0" w:line="233" w:lineRule="auto"/>
        <w:tabs>
          <w:tab w:leader="none" w:pos="351"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 without your</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to the extent necessary or desirable to comply with the requirements of Code section 409A, the Treasury regulations and other guidance thereunder.</w:t>
      </w:r>
    </w:p>
    <w:p>
      <w:pPr>
        <w:spacing w:after="0" w:line="194" w:lineRule="exact"/>
        <w:rPr>
          <w:rFonts w:ascii="Arial" w:cs="Arial" w:eastAsia="Arial" w:hAnsi="Arial"/>
          <w:sz w:val="22"/>
          <w:szCs w:val="22"/>
          <w:color w:val="auto"/>
        </w:rPr>
      </w:pPr>
    </w:p>
    <w:p>
      <w:pPr>
        <w:jc w:val="both"/>
        <w:ind w:firstLine="8"/>
        <w:spacing w:after="0" w:line="233" w:lineRule="auto"/>
        <w:tabs>
          <w:tab w:leader="none" w:pos="324"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Acknowledgments and Acceptance. </w:t>
      </w:r>
      <w:r>
        <w:rPr>
          <w:rFonts w:ascii="Arial" w:cs="Arial" w:eastAsia="Arial" w:hAnsi="Arial"/>
          <w:sz w:val="22"/>
          <w:szCs w:val="22"/>
          <w:color w:val="auto"/>
        </w:rPr>
        <w:t>By signing this Agreement (including via electronic signature), you agree that: (i) you</w:t>
      </w:r>
      <w:r>
        <w:rPr>
          <w:rFonts w:ascii="Arial" w:cs="Arial" w:eastAsia="Arial" w:hAnsi="Arial"/>
          <w:sz w:val="22"/>
          <w:szCs w:val="22"/>
          <w:b w:val="1"/>
          <w:bCs w:val="1"/>
          <w:color w:val="auto"/>
        </w:rPr>
        <w:t xml:space="preserve"> </w:t>
      </w:r>
      <w:r>
        <w:rPr>
          <w:rFonts w:ascii="Arial" w:cs="Arial" w:eastAsia="Arial" w:hAnsi="Arial"/>
          <w:sz w:val="22"/>
          <w:szCs w:val="22"/>
          <w:color w:val="auto"/>
        </w:rPr>
        <w:t>have carefully read, fully understand and agree to all of the terms and conditions described in this Agreement, the Plan, the Plan’s prospectus and all</w:t>
      </w:r>
    </w:p>
    <w:p>
      <w:pPr>
        <w:sectPr>
          <w:pgSz w:w="11900" w:h="16838" w:orient="portrait"/>
          <w:cols w:equalWidth="0" w:num="1">
            <w:col w:w="11240"/>
          </w:cols>
          <w:pgMar w:left="320" w:top="1414" w:right="339" w:bottom="1440" w:gutter="0" w:footer="0" w:header="0"/>
        </w:sectPr>
      </w:pPr>
    </w:p>
    <w:bookmarkStart w:id="90" w:name="page91"/>
    <w:bookmarkEnd w:id="90"/>
    <w:p>
      <w:pPr>
        <w:jc w:val="both"/>
        <w:spacing w:after="0" w:line="231" w:lineRule="auto"/>
        <w:rPr>
          <w:sz w:val="20"/>
          <w:szCs w:val="20"/>
          <w:color w:val="auto"/>
        </w:rPr>
      </w:pPr>
      <w:r>
        <w:rPr>
          <w:rFonts w:ascii="Arial" w:cs="Arial" w:eastAsia="Arial" w:hAnsi="Arial"/>
          <w:sz w:val="22"/>
          <w:szCs w:val="22"/>
          <w:color w:val="auto"/>
        </w:rPr>
        <w:t>accompanying documentation; and (ii) you understand and agree that this Agreement and the Plan constitute the entire understanding between you and the Company regarding the Performance Award, and that any prior agreements, commitments, or negotiations concerning the Performance Award are replaced and superseded.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 xml:space="preserve">To retain this Award, you must accept it by signing and dating below. </w:t>
      </w:r>
      <w:r>
        <w:rPr>
          <w:rFonts w:ascii="Arial" w:cs="Arial" w:eastAsia="Arial" w:hAnsi="Arial"/>
          <w:sz w:val="21"/>
          <w:szCs w:val="21"/>
          <w:b w:val="1"/>
          <w:bCs w:val="1"/>
          <w:color w:val="auto"/>
        </w:rPr>
        <w:t>Return the signed Agreement to Honeywell</w:t>
      </w:r>
      <w:r>
        <w:rPr>
          <w:rFonts w:ascii="Arial" w:cs="Arial" w:eastAsia="Arial" w:hAnsi="Arial"/>
          <w:sz w:val="21"/>
          <w:szCs w:val="21"/>
          <w:color w:val="auto"/>
        </w:rPr>
        <w:t xml:space="preserve"> </w:t>
      </w:r>
      <w:r>
        <w:rPr>
          <w:rFonts w:ascii="Arial" w:cs="Arial" w:eastAsia="Arial" w:hAnsi="Arial"/>
          <w:sz w:val="21"/>
          <w:szCs w:val="21"/>
          <w:b w:val="1"/>
          <w:bCs w:val="1"/>
          <w:color w:val="auto"/>
        </w:rPr>
        <w:t>International Inc., Executive Compensation/4B, 115 Tabor Road, Morris Plains, New Jersey 07950.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100" w:type="dxa"/>
            <w:vAlign w:val="bottom"/>
            <w:gridSpan w:val="2"/>
          </w:tcPr>
          <w:p>
            <w:pPr>
              <w:spacing w:after="0"/>
              <w:rPr>
                <w:sz w:val="20"/>
                <w:szCs w:val="20"/>
                <w:color w:val="auto"/>
              </w:rPr>
            </w:pPr>
            <w:r>
              <w:rPr>
                <w:rFonts w:ascii="Arial" w:cs="Arial" w:eastAsia="Arial" w:hAnsi="Arial"/>
                <w:sz w:val="22"/>
                <w:szCs w:val="22"/>
                <w:color w:val="auto"/>
              </w:rPr>
              <w:t>I Accept:</w:t>
            </w:r>
          </w:p>
        </w:tc>
        <w:tc>
          <w:tcPr>
            <w:tcW w:w="5140" w:type="dxa"/>
            <w:vAlign w:val="bottom"/>
          </w:tcPr>
          <w:p>
            <w:pPr>
              <w:spacing w:after="0"/>
              <w:rPr>
                <w:sz w:val="23"/>
                <w:szCs w:val="23"/>
                <w:color w:val="auto"/>
              </w:rPr>
            </w:pPr>
          </w:p>
        </w:tc>
      </w:tr>
      <w:tr>
        <w:trPr>
          <w:trHeight w:val="273"/>
        </w:trPr>
        <w:tc>
          <w:tcPr>
            <w:tcW w:w="6100" w:type="dxa"/>
            <w:vAlign w:val="bottom"/>
            <w:gridSpan w:val="2"/>
          </w:tcPr>
          <w:p>
            <w:pPr>
              <w:spacing w:after="0"/>
              <w:rPr>
                <w:sz w:val="23"/>
                <w:szCs w:val="23"/>
                <w:color w:val="auto"/>
              </w:rPr>
            </w:pPr>
          </w:p>
        </w:tc>
        <w:tc>
          <w:tcPr>
            <w:tcW w:w="5140" w:type="dxa"/>
            <w:vAlign w:val="bottom"/>
          </w:tcPr>
          <w:p>
            <w:pPr>
              <w:spacing w:after="0"/>
              <w:rPr>
                <w:sz w:val="23"/>
                <w:szCs w:val="23"/>
                <w:color w:val="auto"/>
              </w:rPr>
            </w:pPr>
          </w:p>
        </w:tc>
      </w:tr>
      <w:tr>
        <w:trPr>
          <w:trHeight w:val="268"/>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Print Name</w:t>
            </w:r>
          </w:p>
        </w:tc>
        <w:tc>
          <w:tcPr>
            <w:tcW w:w="160" w:type="dxa"/>
            <w:vAlign w:val="bottom"/>
          </w:tcPr>
          <w:p>
            <w:pPr>
              <w:spacing w:after="0"/>
              <w:rPr>
                <w:sz w:val="23"/>
                <w:szCs w:val="23"/>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EID</w:t>
            </w:r>
          </w:p>
        </w:tc>
      </w:tr>
      <w:tr>
        <w:trPr>
          <w:trHeight w:val="266"/>
        </w:trPr>
        <w:tc>
          <w:tcPr>
            <w:tcW w:w="59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140" w:type="dxa"/>
            <w:vAlign w:val="bottom"/>
            <w:tcBorders>
              <w:bottom w:val="single" w:sz="8" w:color="auto"/>
            </w:tcBorders>
          </w:tcPr>
          <w:p>
            <w:pPr>
              <w:spacing w:after="0"/>
              <w:rPr>
                <w:sz w:val="23"/>
                <w:szCs w:val="23"/>
                <w:color w:val="auto"/>
              </w:rPr>
            </w:pPr>
          </w:p>
        </w:tc>
      </w:tr>
      <w:tr>
        <w:trPr>
          <w:trHeight w:val="268"/>
        </w:trPr>
        <w:tc>
          <w:tcPr>
            <w:tcW w:w="5940" w:type="dxa"/>
            <w:vAlign w:val="bottom"/>
          </w:tcPr>
          <w:p>
            <w:pPr>
              <w:ind w:left="20"/>
              <w:spacing w:after="0"/>
              <w:rPr>
                <w:sz w:val="20"/>
                <w:szCs w:val="20"/>
                <w:color w:val="auto"/>
              </w:rPr>
            </w:pPr>
            <w:r>
              <w:rPr>
                <w:rFonts w:ascii="Arial" w:cs="Arial" w:eastAsia="Arial" w:hAnsi="Arial"/>
                <w:sz w:val="22"/>
                <w:szCs w:val="22"/>
                <w:color w:val="auto"/>
              </w:rPr>
              <w:t>Signature</w:t>
            </w:r>
          </w:p>
        </w:tc>
        <w:tc>
          <w:tcPr>
            <w:tcW w:w="16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1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w:t>
      </w:r>
    </w:p>
    <w:p>
      <w:pPr>
        <w:jc w:val="center"/>
        <w:spacing w:after="0" w:line="218" w:lineRule="auto"/>
        <w:rPr>
          <w:sz w:val="20"/>
          <w:szCs w:val="20"/>
          <w:color w:val="auto"/>
        </w:rPr>
      </w:pPr>
      <w:r>
        <w:rPr>
          <w:rFonts w:ascii="Arial" w:cs="Arial" w:eastAsia="Arial" w:hAnsi="Arial"/>
          <w:sz w:val="22"/>
          <w:szCs w:val="22"/>
          <w:b w:val="1"/>
          <w:bCs w:val="1"/>
          <w:color w:val="auto"/>
        </w:rPr>
        <w:t>FOR NON-EMPLOYEE DIRECTORS</w:t>
      </w: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20" w:lineRule="exact"/>
        <w:rPr>
          <w:sz w:val="20"/>
          <w:szCs w:val="20"/>
          <w:color w:val="auto"/>
        </w:rPr>
      </w:pPr>
    </w:p>
    <w:p>
      <w:pPr>
        <w:ind w:right="20" w:firstLine="842"/>
        <w:spacing w:after="0" w:line="243" w:lineRule="auto"/>
        <w:rPr>
          <w:sz w:val="20"/>
          <w:szCs w:val="20"/>
          <w:color w:val="auto"/>
        </w:rPr>
      </w:pPr>
      <w:r>
        <w:rPr>
          <w:rFonts w:ascii="Arial" w:cs="Arial" w:eastAsia="Arial" w:hAnsi="Arial"/>
          <w:sz w:val="22"/>
          <w:szCs w:val="22"/>
          <w:color w:val="auto"/>
        </w:rPr>
        <w:t xml:space="preserve">STOCK OPTION AWARD AGREEMENT made in Charlotte, North Carolina, as of </w:t>
      </w:r>
      <w:r>
        <w:rPr>
          <w:rFonts w:ascii="Arial" w:cs="Arial" w:eastAsia="Arial" w:hAnsi="Arial"/>
          <w:sz w:val="22"/>
          <w:szCs w:val="22"/>
          <w:b w:val="1"/>
          <w:bCs w:val="1"/>
          <w:color w:val="auto"/>
        </w:rPr>
        <w:t>[GRANT DATE]</w:t>
      </w:r>
      <w:r>
        <w:rPr>
          <w:rFonts w:ascii="Arial" w:cs="Arial" w:eastAsia="Arial" w:hAnsi="Arial"/>
          <w:sz w:val="22"/>
          <w:szCs w:val="22"/>
          <w:color w:val="auto"/>
        </w:rPr>
        <w:t xml:space="preserve"> (“Grant Date”), between Honeywell International Inc. (the “Company”) and </w:t>
      </w:r>
      <w:r>
        <w:rPr>
          <w:rFonts w:ascii="Arial" w:cs="Arial" w:eastAsia="Arial" w:hAnsi="Arial"/>
          <w:sz w:val="22"/>
          <w:szCs w:val="22"/>
          <w:b w:val="1"/>
          <w:bCs w:val="1"/>
          <w:color w:val="auto"/>
        </w:rPr>
        <w:t>[DIRECTOR NAME]</w:t>
      </w:r>
      <w:r>
        <w:rPr>
          <w:rFonts w:ascii="Arial" w:cs="Arial" w:eastAsia="Arial" w:hAnsi="Arial"/>
          <w:sz w:val="22"/>
          <w:szCs w:val="22"/>
          <w:color w:val="auto"/>
        </w:rPr>
        <w:t xml:space="preserve"> (“Director”).</w:t>
      </w:r>
    </w:p>
    <w:p>
      <w:pPr>
        <w:spacing w:after="0" w:line="190" w:lineRule="exact"/>
        <w:rPr>
          <w:sz w:val="20"/>
          <w:szCs w:val="20"/>
          <w:color w:val="auto"/>
        </w:rPr>
      </w:pPr>
    </w:p>
    <w:p>
      <w:pPr>
        <w:jc w:val="both"/>
        <w:ind w:left="660" w:hanging="328"/>
        <w:spacing w:after="0" w:line="233"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The Company has granted you an Option to purchase</w:t>
      </w:r>
      <w:r>
        <w:rPr>
          <w:rFonts w:ascii="Arial" w:cs="Arial" w:eastAsia="Arial" w:hAnsi="Arial"/>
          <w:sz w:val="22"/>
          <w:szCs w:val="22"/>
          <w:b w:val="1"/>
          <w:bCs w:val="1"/>
          <w:color w:val="auto"/>
        </w:rPr>
        <w:t xml:space="preserve"> [NUMBER] </w:t>
      </w:r>
      <w:r>
        <w:rPr>
          <w:rFonts w:ascii="Arial" w:cs="Arial" w:eastAsia="Arial" w:hAnsi="Arial"/>
          <w:sz w:val="22"/>
          <w:szCs w:val="22"/>
          <w:color w:val="auto"/>
        </w:rPr>
        <w:t>Shares of Common Stock,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this Agreement and the 2016 Stock Plan for Non-Employee Directors of Honeywell International Inc. This Option is a nonqualified Option for federal income tax purposes.</w:t>
      </w:r>
    </w:p>
    <w:p>
      <w:pPr>
        <w:spacing w:after="0" w:line="200" w:lineRule="exact"/>
        <w:rPr>
          <w:rFonts w:ascii="Arial" w:cs="Arial" w:eastAsia="Arial" w:hAnsi="Arial"/>
          <w:sz w:val="22"/>
          <w:szCs w:val="22"/>
          <w:color w:val="auto"/>
        </w:rPr>
      </w:pPr>
    </w:p>
    <w:p>
      <w:pPr>
        <w:jc w:val="both"/>
        <w:ind w:left="660"/>
        <w:spacing w:after="0" w:line="228" w:lineRule="auto"/>
        <w:rPr>
          <w:rFonts w:ascii="Arial" w:cs="Arial" w:eastAsia="Arial" w:hAnsi="Arial"/>
          <w:sz w:val="22"/>
          <w:szCs w:val="22"/>
          <w:color w:val="auto"/>
        </w:rPr>
      </w:pPr>
      <w:r>
        <w:rPr>
          <w:rFonts w:ascii="Arial" w:cs="Arial" w:eastAsia="Arial" w:hAnsi="Arial"/>
          <w:sz w:val="22"/>
          <w:szCs w:val="22"/>
          <w:color w:val="auto"/>
        </w:rPr>
        <w:t>The Stock Option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Exercise Price. </w:t>
      </w:r>
      <w:r>
        <w:rPr>
          <w:rFonts w:ascii="Arial" w:cs="Arial" w:eastAsia="Arial" w:hAnsi="Arial"/>
          <w:sz w:val="21"/>
          <w:szCs w:val="21"/>
          <w:color w:val="auto"/>
        </w:rPr>
        <w:t>The purchase price of the Shares covered by the Option will be</w:t>
      </w:r>
      <w:r>
        <w:rPr>
          <w:rFonts w:ascii="Arial" w:cs="Arial" w:eastAsia="Arial" w:hAnsi="Arial"/>
          <w:sz w:val="21"/>
          <w:szCs w:val="21"/>
          <w:b w:val="1"/>
          <w:bCs w:val="1"/>
          <w:color w:val="auto"/>
        </w:rPr>
        <w:t xml:space="preserve"> $[EXERCISE PRICE] </w:t>
      </w:r>
      <w:r>
        <w:rPr>
          <w:rFonts w:ascii="Arial" w:cs="Arial" w:eastAsia="Arial" w:hAnsi="Arial"/>
          <w:sz w:val="21"/>
          <w:szCs w:val="21"/>
          <w:color w:val="auto"/>
        </w:rPr>
        <w:t>per Share.</w:t>
      </w:r>
    </w:p>
    <w:p>
      <w:pPr>
        <w:spacing w:after="0" w:line="231" w:lineRule="exact"/>
        <w:rPr>
          <w:rFonts w:ascii="Arial" w:cs="Arial" w:eastAsia="Arial" w:hAnsi="Arial"/>
          <w:sz w:val="21"/>
          <w:szCs w:val="21"/>
          <w:color w:val="auto"/>
        </w:rPr>
      </w:pPr>
    </w:p>
    <w:p>
      <w:pPr>
        <w:jc w:val="both"/>
        <w:ind w:left="660" w:hanging="328"/>
        <w:spacing w:after="0" w:line="265"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Subject to the earlier vesting of the Option as provided below upon your voluntary termination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Board of Directors on or after your 10</w:t>
      </w:r>
      <w:r>
        <w:rPr>
          <w:rFonts w:ascii="Arial" w:cs="Arial" w:eastAsia="Arial" w:hAnsi="Arial"/>
          <w:sz w:val="10"/>
          <w:szCs w:val="10"/>
          <w:color w:val="auto"/>
        </w:rPr>
        <w:t>th</w:t>
      </w:r>
      <w:r>
        <w:rPr>
          <w:rFonts w:ascii="Arial" w:cs="Arial" w:eastAsia="Arial" w:hAnsi="Arial"/>
          <w:sz w:val="19"/>
          <w:szCs w:val="19"/>
          <w:color w:val="auto"/>
        </w:rPr>
        <w:t xml:space="preserve"> anniversary as a Board member in good standing, death or Disability, or a Change in Control, the Option will become exercisable as follows: </w:t>
      </w:r>
      <w:r>
        <w:rPr>
          <w:rFonts w:ascii="Arial" w:cs="Arial" w:eastAsia="Arial" w:hAnsi="Arial"/>
          <w:sz w:val="19"/>
          <w:szCs w:val="19"/>
          <w:b w:val="1"/>
          <w:bCs w:val="1"/>
          <w:color w:val="auto"/>
        </w:rPr>
        <w:t>to the extent of 25% of the Shares specified in</w:t>
      </w:r>
      <w:r>
        <w:rPr>
          <w:rFonts w:ascii="Arial" w:cs="Arial" w:eastAsia="Arial" w:hAnsi="Arial"/>
          <w:sz w:val="19"/>
          <w:szCs w:val="19"/>
          <w:color w:val="auto"/>
        </w:rPr>
        <w:t xml:space="preserve"> </w:t>
      </w:r>
      <w:r>
        <w:rPr>
          <w:rFonts w:ascii="Arial" w:cs="Arial" w:eastAsia="Arial" w:hAnsi="Arial"/>
          <w:sz w:val="19"/>
          <w:szCs w:val="19"/>
          <w:b w:val="1"/>
          <w:bCs w:val="1"/>
          <w:color w:val="auto"/>
        </w:rPr>
        <w:t>paragraph 1 of this Agreement on each of [April 15</w:t>
      </w:r>
      <w:r>
        <w:rPr>
          <w:rFonts w:ascii="Arial" w:cs="Arial" w:eastAsia="Arial" w:hAnsi="Arial"/>
          <w:sz w:val="10"/>
          <w:szCs w:val="10"/>
          <w:b w:val="1"/>
          <w:bCs w:val="1"/>
          <w:color w:val="auto"/>
        </w:rPr>
        <w:t>th</w:t>
      </w:r>
      <w:r>
        <w:rPr>
          <w:rFonts w:ascii="Arial" w:cs="Arial" w:eastAsia="Arial" w:hAnsi="Arial"/>
          <w:sz w:val="19"/>
          <w:szCs w:val="19"/>
          <w:b w:val="1"/>
          <w:bCs w:val="1"/>
          <w:color w:val="auto"/>
        </w:rPr>
        <w:t xml:space="preserve"> immediately preceding the 1</w:t>
      </w:r>
      <w:r>
        <w:rPr>
          <w:rFonts w:ascii="Arial" w:cs="Arial" w:eastAsia="Arial" w:hAnsi="Arial"/>
          <w:sz w:val="10"/>
          <w:szCs w:val="10"/>
          <w:b w:val="1"/>
          <w:bCs w:val="1"/>
          <w:color w:val="auto"/>
        </w:rPr>
        <w:t>st</w:t>
      </w:r>
      <w:r>
        <w:rPr>
          <w:rFonts w:ascii="Arial" w:cs="Arial" w:eastAsia="Arial" w:hAnsi="Arial"/>
          <w:sz w:val="19"/>
          <w:szCs w:val="19"/>
          <w:b w:val="1"/>
          <w:bCs w:val="1"/>
          <w:color w:val="auto"/>
        </w:rPr>
        <w:t xml:space="preserve"> anniversary of Grant Date], [April 15</w:t>
      </w:r>
      <w:r>
        <w:rPr>
          <w:rFonts w:ascii="Arial" w:cs="Arial" w:eastAsia="Arial" w:hAnsi="Arial"/>
          <w:sz w:val="10"/>
          <w:szCs w:val="10"/>
          <w:b w:val="1"/>
          <w:bCs w:val="1"/>
          <w:color w:val="auto"/>
        </w:rPr>
        <w:t>th</w:t>
      </w:r>
      <w:r>
        <w:rPr>
          <w:rFonts w:ascii="Arial" w:cs="Arial" w:eastAsia="Arial" w:hAnsi="Arial"/>
          <w:sz w:val="19"/>
          <w:szCs w:val="19"/>
          <w:b w:val="1"/>
          <w:bCs w:val="1"/>
          <w:color w:val="auto"/>
        </w:rPr>
        <w:t xml:space="preserve"> immediately preceding the 2</w:t>
      </w:r>
      <w:r>
        <w:rPr>
          <w:rFonts w:ascii="Arial" w:cs="Arial" w:eastAsia="Arial" w:hAnsi="Arial"/>
          <w:sz w:val="10"/>
          <w:szCs w:val="10"/>
          <w:b w:val="1"/>
          <w:bCs w:val="1"/>
          <w:color w:val="auto"/>
        </w:rPr>
        <w:t>nd</w:t>
      </w:r>
      <w:r>
        <w:rPr>
          <w:rFonts w:ascii="Arial" w:cs="Arial" w:eastAsia="Arial" w:hAnsi="Arial"/>
          <w:sz w:val="19"/>
          <w:szCs w:val="19"/>
          <w:b w:val="1"/>
          <w:bCs w:val="1"/>
          <w:color w:val="auto"/>
        </w:rPr>
        <w:t xml:space="preserve"> anniversary of Grant Date], [April 15</w:t>
      </w:r>
      <w:r>
        <w:rPr>
          <w:rFonts w:ascii="Arial" w:cs="Arial" w:eastAsia="Arial" w:hAnsi="Arial"/>
          <w:sz w:val="10"/>
          <w:szCs w:val="10"/>
          <w:b w:val="1"/>
          <w:bCs w:val="1"/>
          <w:color w:val="auto"/>
        </w:rPr>
        <w:t>th</w:t>
      </w:r>
      <w:r>
        <w:rPr>
          <w:rFonts w:ascii="Arial" w:cs="Arial" w:eastAsia="Arial" w:hAnsi="Arial"/>
          <w:sz w:val="19"/>
          <w:szCs w:val="19"/>
          <w:b w:val="1"/>
          <w:bCs w:val="1"/>
          <w:color w:val="auto"/>
        </w:rPr>
        <w:t xml:space="preserve"> immediately preceding the 3</w:t>
      </w:r>
      <w:r>
        <w:rPr>
          <w:rFonts w:ascii="Arial" w:cs="Arial" w:eastAsia="Arial" w:hAnsi="Arial"/>
          <w:sz w:val="10"/>
          <w:szCs w:val="10"/>
          <w:b w:val="1"/>
          <w:bCs w:val="1"/>
          <w:color w:val="auto"/>
        </w:rPr>
        <w:t>rd</w:t>
      </w:r>
      <w:r>
        <w:rPr>
          <w:rFonts w:ascii="Arial" w:cs="Arial" w:eastAsia="Arial" w:hAnsi="Arial"/>
          <w:sz w:val="19"/>
          <w:szCs w:val="19"/>
          <w:b w:val="1"/>
          <w:bCs w:val="1"/>
          <w:color w:val="auto"/>
        </w:rPr>
        <w:t xml:space="preserve"> anniversary of Grant Date], [April 15</w:t>
      </w:r>
      <w:r>
        <w:rPr>
          <w:rFonts w:ascii="Arial" w:cs="Arial" w:eastAsia="Arial" w:hAnsi="Arial"/>
          <w:sz w:val="10"/>
          <w:szCs w:val="10"/>
          <w:b w:val="1"/>
          <w:bCs w:val="1"/>
          <w:color w:val="auto"/>
        </w:rPr>
        <w:t>th</w:t>
      </w:r>
      <w:r>
        <w:rPr>
          <w:rFonts w:ascii="Arial" w:cs="Arial" w:eastAsia="Arial" w:hAnsi="Arial"/>
          <w:sz w:val="19"/>
          <w:szCs w:val="19"/>
          <w:b w:val="1"/>
          <w:bCs w:val="1"/>
          <w:color w:val="auto"/>
        </w:rPr>
        <w:t xml:space="preserve"> immediately preceding the 4</w:t>
      </w:r>
      <w:r>
        <w:rPr>
          <w:rFonts w:ascii="Arial" w:cs="Arial" w:eastAsia="Arial" w:hAnsi="Arial"/>
          <w:sz w:val="10"/>
          <w:szCs w:val="10"/>
          <w:b w:val="1"/>
          <w:bCs w:val="1"/>
          <w:color w:val="auto"/>
        </w:rPr>
        <w:t>th</w:t>
      </w:r>
      <w:r>
        <w:rPr>
          <w:rFonts w:ascii="Arial" w:cs="Arial" w:eastAsia="Arial" w:hAnsi="Arial"/>
          <w:sz w:val="19"/>
          <w:szCs w:val="19"/>
          <w:b w:val="1"/>
          <w:bCs w:val="1"/>
          <w:color w:val="auto"/>
        </w:rPr>
        <w:t xml:space="preserve"> anniversary of Grant Date].</w:t>
      </w:r>
    </w:p>
    <w:p>
      <w:pPr>
        <w:spacing w:after="0" w:line="172" w:lineRule="exact"/>
        <w:rPr>
          <w:rFonts w:ascii="Arial" w:cs="Arial" w:eastAsia="Arial" w:hAnsi="Arial"/>
          <w:sz w:val="19"/>
          <w:szCs w:val="19"/>
          <w:color w:val="auto"/>
        </w:rPr>
      </w:pPr>
    </w:p>
    <w:p>
      <w:pPr>
        <w:jc w:val="both"/>
        <w:ind w:left="660" w:hanging="328"/>
        <w:spacing w:after="0" w:line="241" w:lineRule="auto"/>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Term of Option. </w:t>
      </w:r>
      <w:r>
        <w:rPr>
          <w:rFonts w:ascii="Arial" w:cs="Arial" w:eastAsia="Arial" w:hAnsi="Arial"/>
          <w:sz w:val="21"/>
          <w:szCs w:val="21"/>
          <w:color w:val="auto"/>
        </w:rPr>
        <w:t>The Option must be exercised prior to the close of The Nasdaq Stock Market LLC (“Nasdaq”) on the</w:t>
      </w:r>
      <w:r>
        <w:rPr>
          <w:rFonts w:ascii="Arial" w:cs="Arial" w:eastAsia="Arial" w:hAnsi="Arial"/>
          <w:sz w:val="21"/>
          <w:szCs w:val="21"/>
          <w:b w:val="1"/>
          <w:bCs w:val="1"/>
          <w:color w:val="auto"/>
        </w:rPr>
        <w:t xml:space="preserve"> </w:t>
      </w:r>
      <w:r>
        <w:rPr>
          <w:rFonts w:ascii="Arial" w:cs="Arial" w:eastAsia="Arial" w:hAnsi="Arial"/>
          <w:sz w:val="21"/>
          <w:szCs w:val="21"/>
          <w:color w:val="auto"/>
        </w:rPr>
        <w:t>day 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spacing w:after="0" w:line="191" w:lineRule="exact"/>
        <w:rPr>
          <w:rFonts w:ascii="Arial" w:cs="Arial" w:eastAsia="Arial" w:hAnsi="Arial"/>
          <w:sz w:val="21"/>
          <w:szCs w:val="21"/>
          <w:color w:val="auto"/>
        </w:rPr>
      </w:pPr>
    </w:p>
    <w:p>
      <w:pPr>
        <w:jc w:val="both"/>
        <w:ind w:left="660" w:hanging="328"/>
        <w:spacing w:after="0" w:line="229"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 xml:space="preserve">Payment of Exercise Price. </w:t>
      </w:r>
      <w:r>
        <w:rPr>
          <w:rFonts w:ascii="Arial" w:cs="Arial" w:eastAsia="Arial" w:hAnsi="Arial"/>
          <w:sz w:val="22"/>
          <w:szCs w:val="22"/>
          <w:color w:val="auto"/>
        </w:rPr>
        <w:t>You may pay the Exercise Price by cash, certified check, bank draft, wire transfer, postal or</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ectPr>
          <w:pgSz w:w="11900" w:h="16838" w:orient="portrait"/>
          <w:cols w:equalWidth="0" w:num="1">
            <w:col w:w="11240"/>
          </w:cols>
          <w:pgMar w:left="320" w:top="1417" w:right="339" w:bottom="1440" w:gutter="0" w:footer="0" w:header="0"/>
        </w:sectPr>
      </w:pPr>
    </w:p>
    <w:bookmarkStart w:id="92" w:name="page93"/>
    <w:bookmarkEnd w:id="92"/>
    <w:p>
      <w:pPr>
        <w:spacing w:after="0" w:line="212" w:lineRule="exact"/>
        <w:rPr>
          <w:sz w:val="20"/>
          <w:szCs w:val="20"/>
          <w:color w:val="auto"/>
        </w:rPr>
      </w:pPr>
    </w:p>
    <w:p>
      <w:pPr>
        <w:jc w:val="both"/>
        <w:ind w:left="660" w:hanging="328"/>
        <w:spacing w:after="0" w:line="269" w:lineRule="auto"/>
        <w:tabs>
          <w:tab w:leader="none" w:pos="660"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 xml:space="preserve">Exercise of Option. </w:t>
      </w:r>
      <w:r>
        <w:rPr>
          <w:rFonts w:ascii="Arial" w:cs="Arial" w:eastAsia="Arial" w:hAnsi="Arial"/>
          <w:sz w:val="19"/>
          <w:szCs w:val="19"/>
          <w:color w:val="auto"/>
        </w:rPr>
        <w:t>Subject to the terms and conditions of this Agreement, the Option may be exercised by providing</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the Company by contacting the Director - Executive Compensation, or the Corporate Secretary.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p>
    <w:p>
      <w:pPr>
        <w:spacing w:after="0" w:line="166" w:lineRule="exact"/>
        <w:rPr>
          <w:rFonts w:ascii="Arial" w:cs="Arial" w:eastAsia="Arial" w:hAnsi="Arial"/>
          <w:sz w:val="19"/>
          <w:szCs w:val="19"/>
          <w:color w:val="auto"/>
        </w:rPr>
      </w:pPr>
    </w:p>
    <w:p>
      <w:pPr>
        <w:ind w:left="660" w:hanging="328"/>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 xml:space="preserve">Termination, Retirement, Disability or Death. </w:t>
      </w:r>
      <w:r>
        <w:rPr>
          <w:rFonts w:ascii="Arial" w:cs="Arial" w:eastAsia="Arial" w:hAnsi="Arial"/>
          <w:sz w:val="22"/>
          <w:szCs w:val="22"/>
          <w:color w:val="auto"/>
        </w:rPr>
        <w:t>The Option will vest and remain exercisable as follows: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35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Event</w:t>
            </w:r>
          </w:p>
        </w:tc>
        <w:tc>
          <w:tcPr>
            <w:tcW w:w="3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Vesting</w:t>
            </w:r>
          </w:p>
        </w:tc>
        <w:tc>
          <w:tcPr>
            <w:tcW w:w="3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Exercise</w:t>
            </w:r>
          </w:p>
        </w:tc>
      </w:tr>
      <w:tr>
        <w:trPr>
          <w:trHeight w:val="277"/>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Termination of service due to death</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Immediate vesting as of death.</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Expires on original expiration date.</w:t>
            </w:r>
          </w:p>
        </w:tc>
      </w:tr>
      <w:tr>
        <w:trPr>
          <w:trHeight w:val="230"/>
        </w:trPr>
        <w:tc>
          <w:tcPr>
            <w:tcW w:w="356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w w:val="92"/>
              </w:rPr>
              <w:t>Termination of service due to Disability</w:t>
            </w:r>
          </w:p>
        </w:tc>
        <w:tc>
          <w:tcPr>
            <w:tcW w:w="3520" w:type="dxa"/>
            <w:vAlign w:val="bottom"/>
            <w:tcBorders>
              <w:right w:val="single" w:sz="8" w:color="auto"/>
            </w:tcBorders>
          </w:tcPr>
          <w:p>
            <w:pPr>
              <w:spacing w:after="0" w:line="230" w:lineRule="exact"/>
              <w:rPr>
                <w:sz w:val="20"/>
                <w:szCs w:val="20"/>
                <w:color w:val="auto"/>
              </w:rPr>
            </w:pPr>
            <w:r>
              <w:rPr>
                <w:rFonts w:ascii="Arial" w:cs="Arial" w:eastAsia="Arial" w:hAnsi="Arial"/>
                <w:sz w:val="22"/>
                <w:szCs w:val="22"/>
                <w:color w:val="auto"/>
                <w:w w:val="95"/>
              </w:rPr>
              <w:t>Immediate vesting as of incurrence of</w:t>
            </w:r>
          </w:p>
        </w:tc>
        <w:tc>
          <w:tcPr>
            <w:tcW w:w="3520" w:type="dxa"/>
            <w:vAlign w:val="bottom"/>
            <w:tcBorders>
              <w:right w:val="single" w:sz="8" w:color="auto"/>
            </w:tcBorders>
          </w:tcPr>
          <w:p>
            <w:pPr>
              <w:spacing w:after="0" w:line="230" w:lineRule="exact"/>
              <w:rPr>
                <w:sz w:val="20"/>
                <w:szCs w:val="20"/>
                <w:color w:val="auto"/>
              </w:rPr>
            </w:pPr>
            <w:r>
              <w:rPr>
                <w:rFonts w:ascii="Arial" w:cs="Arial" w:eastAsia="Arial" w:hAnsi="Arial"/>
                <w:sz w:val="22"/>
                <w:szCs w:val="22"/>
                <w:color w:val="auto"/>
              </w:rPr>
              <w:t>Expires on original expiration date.</w:t>
            </w:r>
          </w:p>
        </w:tc>
      </w:tr>
      <w:tr>
        <w:trPr>
          <w:trHeight w:val="276"/>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Disability.</w:t>
            </w:r>
          </w:p>
        </w:tc>
        <w:tc>
          <w:tcPr>
            <w:tcW w:w="3520" w:type="dxa"/>
            <w:vAlign w:val="bottom"/>
            <w:tcBorders>
              <w:bottom w:val="single" w:sz="8" w:color="auto"/>
              <w:right w:val="single" w:sz="8" w:color="auto"/>
            </w:tcBorders>
          </w:tcPr>
          <w:p>
            <w:pPr>
              <w:spacing w:after="0"/>
              <w:rPr>
                <w:sz w:val="24"/>
                <w:szCs w:val="24"/>
                <w:color w:val="auto"/>
              </w:rPr>
            </w:pPr>
          </w:p>
        </w:tc>
      </w:tr>
      <w:tr>
        <w:trPr>
          <w:trHeight w:val="277"/>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Retirement at or after age 75</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Immediate vesting as of retirement.</w:t>
            </w: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Expires on original expiration date.</w:t>
            </w:r>
          </w:p>
        </w:tc>
      </w:tr>
      <w:tr>
        <w:trPr>
          <w:trHeight w:val="230"/>
        </w:trPr>
        <w:tc>
          <w:tcPr>
            <w:tcW w:w="356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w w:val="99"/>
              </w:rPr>
              <w:t>Voluntary   termination   of   director</w:t>
            </w:r>
          </w:p>
        </w:tc>
        <w:tc>
          <w:tcPr>
            <w:tcW w:w="3520" w:type="dxa"/>
            <w:vAlign w:val="bottom"/>
            <w:tcBorders>
              <w:right w:val="single" w:sz="8" w:color="auto"/>
            </w:tcBorders>
          </w:tcPr>
          <w:p>
            <w:pPr>
              <w:spacing w:after="0" w:line="230" w:lineRule="exact"/>
              <w:rPr>
                <w:sz w:val="20"/>
                <w:szCs w:val="20"/>
                <w:color w:val="auto"/>
              </w:rPr>
            </w:pPr>
            <w:r>
              <w:rPr>
                <w:rFonts w:ascii="Arial" w:cs="Arial" w:eastAsia="Arial" w:hAnsi="Arial"/>
                <w:sz w:val="22"/>
                <w:szCs w:val="22"/>
                <w:color w:val="auto"/>
                <w:w w:val="98"/>
              </w:rPr>
              <w:t>Immediate vesting as of termination.</w:t>
            </w:r>
          </w:p>
        </w:tc>
        <w:tc>
          <w:tcPr>
            <w:tcW w:w="3520" w:type="dxa"/>
            <w:vAlign w:val="bottom"/>
            <w:tcBorders>
              <w:right w:val="single" w:sz="8" w:color="auto"/>
            </w:tcBorders>
          </w:tcPr>
          <w:p>
            <w:pPr>
              <w:spacing w:after="0" w:line="230" w:lineRule="exact"/>
              <w:rPr>
                <w:sz w:val="20"/>
                <w:szCs w:val="20"/>
                <w:color w:val="auto"/>
              </w:rPr>
            </w:pPr>
            <w:r>
              <w:rPr>
                <w:rFonts w:ascii="Arial" w:cs="Arial" w:eastAsia="Arial" w:hAnsi="Arial"/>
                <w:sz w:val="22"/>
                <w:szCs w:val="22"/>
                <w:color w:val="auto"/>
                <w:w w:val="94"/>
              </w:rPr>
              <w:t>Expires earlier of (i) original expiration</w:t>
            </w:r>
          </w:p>
        </w:tc>
      </w:tr>
      <w:tr>
        <w:trPr>
          <w:trHeight w:val="230"/>
        </w:trPr>
        <w:tc>
          <w:tcPr>
            <w:tcW w:w="356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2"/>
                <w:szCs w:val="22"/>
                <w:color w:val="auto"/>
              </w:rPr>
              <w:t>service  (other  than  due  to  death,</w:t>
            </w:r>
          </w:p>
        </w:tc>
        <w:tc>
          <w:tcPr>
            <w:tcW w:w="35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3"/>
              </w:rPr>
              <w:t>date, or (ii) 3 years after termination. If</w:t>
            </w:r>
          </w:p>
        </w:tc>
      </w:tr>
      <w:tr>
        <w:trPr>
          <w:trHeight w:val="229"/>
        </w:trPr>
        <w:tc>
          <w:tcPr>
            <w:tcW w:w="356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2"/>
                <w:szCs w:val="22"/>
                <w:color w:val="auto"/>
                <w:w w:val="94"/>
              </w:rPr>
              <w:t>Disability, or retirement at or after age</w:t>
            </w:r>
          </w:p>
        </w:tc>
        <w:tc>
          <w:tcPr>
            <w:tcW w:w="35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rPr>
              <w:t>you die or incur a Disability prior to</w:t>
            </w:r>
          </w:p>
        </w:tc>
      </w:tr>
      <w:tr>
        <w:trPr>
          <w:trHeight w:val="222"/>
        </w:trPr>
        <w:tc>
          <w:tcPr>
            <w:tcW w:w="356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color w:val="auto"/>
                <w:w w:val="91"/>
              </w:rPr>
              <w:t>75) on or after the 10</w:t>
            </w:r>
            <w:r>
              <w:rPr>
                <w:rFonts w:ascii="Arial" w:cs="Arial" w:eastAsia="Arial" w:hAnsi="Arial"/>
                <w:sz w:val="11"/>
                <w:szCs w:val="11"/>
                <w:color w:val="auto"/>
                <w:w w:val="91"/>
              </w:rPr>
              <w:t>th</w:t>
            </w:r>
            <w:r>
              <w:rPr>
                <w:rFonts w:ascii="Arial" w:cs="Arial" w:eastAsia="Arial" w:hAnsi="Arial"/>
                <w:sz w:val="22"/>
                <w:szCs w:val="22"/>
                <w:color w:val="auto"/>
                <w:w w:val="91"/>
              </w:rPr>
              <w:t xml:space="preserve"> anniversary as a</w:t>
            </w:r>
          </w:p>
        </w:tc>
        <w:tc>
          <w:tcPr>
            <w:tcW w:w="35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2" w:lineRule="exact"/>
              <w:rPr>
                <w:sz w:val="20"/>
                <w:szCs w:val="20"/>
                <w:color w:val="auto"/>
              </w:rPr>
            </w:pPr>
            <w:r>
              <w:rPr>
                <w:rFonts w:ascii="Arial" w:cs="Arial" w:eastAsia="Arial" w:hAnsi="Arial"/>
                <w:sz w:val="22"/>
                <w:szCs w:val="22"/>
                <w:color w:val="auto"/>
                <w:w w:val="89"/>
              </w:rPr>
              <w:t>end of this 3-year period, expires earlier</w:t>
            </w:r>
          </w:p>
        </w:tc>
      </w:tr>
      <w:tr>
        <w:trPr>
          <w:trHeight w:val="237"/>
        </w:trPr>
        <w:tc>
          <w:tcPr>
            <w:tcW w:w="3560" w:type="dxa"/>
            <w:vAlign w:val="bottom"/>
            <w:tcBorders>
              <w:left w:val="single" w:sz="8" w:color="auto"/>
              <w:right w:val="single" w:sz="8" w:color="auto"/>
            </w:tcBorders>
          </w:tcPr>
          <w:p>
            <w:pPr>
              <w:ind w:left="40"/>
              <w:spacing w:after="0" w:line="237" w:lineRule="exact"/>
              <w:rPr>
                <w:sz w:val="20"/>
                <w:szCs w:val="20"/>
                <w:color w:val="auto"/>
              </w:rPr>
            </w:pPr>
            <w:r>
              <w:rPr>
                <w:rFonts w:ascii="Arial" w:cs="Arial" w:eastAsia="Arial" w:hAnsi="Arial"/>
                <w:sz w:val="21"/>
                <w:szCs w:val="21"/>
                <w:color w:val="auto"/>
              </w:rPr>
              <w:t>Board member in good standing</w:t>
            </w:r>
            <w:r>
              <w:rPr>
                <w:rFonts w:ascii="Arial" w:cs="Arial" w:eastAsia="Arial" w:hAnsi="Arial"/>
                <w:sz w:val="27"/>
                <w:szCs w:val="27"/>
                <w:color w:val="auto"/>
                <w:vertAlign w:val="superscript"/>
              </w:rPr>
              <w:t>1</w:t>
            </w:r>
          </w:p>
        </w:tc>
        <w:tc>
          <w:tcPr>
            <w:tcW w:w="352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spacing w:after="0" w:line="237" w:lineRule="exact"/>
              <w:rPr>
                <w:sz w:val="20"/>
                <w:szCs w:val="20"/>
                <w:color w:val="auto"/>
              </w:rPr>
            </w:pPr>
            <w:r>
              <w:rPr>
                <w:rFonts w:ascii="Arial" w:cs="Arial" w:eastAsia="Arial" w:hAnsi="Arial"/>
                <w:sz w:val="22"/>
                <w:szCs w:val="22"/>
                <w:color w:val="auto"/>
              </w:rPr>
              <w:t>of (i) original expiration date, or (ii)</w:t>
            </w:r>
          </w:p>
        </w:tc>
      </w:tr>
      <w:tr>
        <w:trPr>
          <w:trHeight w:val="229"/>
        </w:trPr>
        <w:tc>
          <w:tcPr>
            <w:tcW w:w="3560" w:type="dxa"/>
            <w:vAlign w:val="bottom"/>
            <w:tcBorders>
              <w:left w:val="single" w:sz="8" w:color="auto"/>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8"/>
              </w:rPr>
              <w:t>later of 3 years after termination or 1</w:t>
            </w:r>
          </w:p>
        </w:tc>
      </w:tr>
      <w:tr>
        <w:trPr>
          <w:trHeight w:val="276"/>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year after death or Disability</w:t>
            </w:r>
          </w:p>
        </w:tc>
      </w:tr>
    </w:tbl>
    <w:p>
      <w:pPr>
        <w:sectPr>
          <w:pgSz w:w="11900" w:h="16838" w:orient="portrait"/>
          <w:cols w:equalWidth="0" w:num="1">
            <w:col w:w="11240"/>
          </w:cols>
          <w:pgMar w:left="320" w:top="1440" w:right="339" w:bottom="1440" w:gutter="0" w:footer="0" w:header="0"/>
        </w:sectPr>
      </w:pPr>
    </w:p>
    <w:bookmarkStart w:id="93" w:name="page94"/>
    <w:bookmarkEnd w:id="9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100" w:type="dxa"/>
            <w:vAlign w:val="bottom"/>
            <w:tcBorders>
              <w:top w:val="single" w:sz="8" w:color="auto"/>
              <w:left w:val="single" w:sz="8" w:color="auto"/>
            </w:tcBorders>
          </w:tcPr>
          <w:p>
            <w:pPr>
              <w:ind w:left="40"/>
              <w:spacing w:after="0" w:line="248" w:lineRule="exact"/>
              <w:rPr>
                <w:sz w:val="20"/>
                <w:szCs w:val="20"/>
                <w:color w:val="auto"/>
              </w:rPr>
            </w:pPr>
            <w:r>
              <w:rPr>
                <w:rFonts w:ascii="Arial" w:cs="Arial" w:eastAsia="Arial" w:hAnsi="Arial"/>
                <w:sz w:val="22"/>
                <w:szCs w:val="22"/>
                <w:color w:val="auto"/>
              </w:rPr>
              <w:t>Voluntary</w:t>
            </w:r>
          </w:p>
        </w:tc>
        <w:tc>
          <w:tcPr>
            <w:tcW w:w="1220" w:type="dxa"/>
            <w:vAlign w:val="bottom"/>
            <w:tcBorders>
              <w:top w:val="single" w:sz="8" w:color="auto"/>
            </w:tcBorders>
          </w:tcPr>
          <w:p>
            <w:pPr>
              <w:ind w:left="40"/>
              <w:spacing w:after="0" w:line="248" w:lineRule="exact"/>
              <w:rPr>
                <w:sz w:val="20"/>
                <w:szCs w:val="20"/>
                <w:color w:val="auto"/>
              </w:rPr>
            </w:pPr>
            <w:r>
              <w:rPr>
                <w:rFonts w:ascii="Arial" w:cs="Arial" w:eastAsia="Arial" w:hAnsi="Arial"/>
                <w:sz w:val="22"/>
                <w:szCs w:val="22"/>
                <w:color w:val="auto"/>
              </w:rPr>
              <w:t>termination</w:t>
            </w:r>
          </w:p>
        </w:tc>
        <w:tc>
          <w:tcPr>
            <w:tcW w:w="500" w:type="dxa"/>
            <w:vAlign w:val="bottom"/>
            <w:tcBorders>
              <w:top w:val="single" w:sz="8" w:color="auto"/>
            </w:tcBorders>
          </w:tcPr>
          <w:p>
            <w:pPr>
              <w:ind w:left="80"/>
              <w:spacing w:after="0" w:line="248" w:lineRule="exact"/>
              <w:rPr>
                <w:sz w:val="20"/>
                <w:szCs w:val="20"/>
                <w:color w:val="auto"/>
              </w:rPr>
            </w:pPr>
            <w:r>
              <w:rPr>
                <w:rFonts w:ascii="Arial" w:cs="Arial" w:eastAsia="Arial" w:hAnsi="Arial"/>
                <w:sz w:val="22"/>
                <w:szCs w:val="22"/>
                <w:color w:val="auto"/>
              </w:rPr>
              <w:t>of</w:t>
            </w:r>
          </w:p>
        </w:tc>
        <w:tc>
          <w:tcPr>
            <w:tcW w:w="740" w:type="dxa"/>
            <w:vAlign w:val="bottom"/>
            <w:tcBorders>
              <w:top w:val="single" w:sz="8" w:color="auto"/>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2"/>
              </w:rPr>
              <w:t>director</w:t>
            </w:r>
          </w:p>
        </w:tc>
        <w:tc>
          <w:tcPr>
            <w:tcW w:w="106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color w:val="auto"/>
              </w:rPr>
              <w:t>Unvested</w:t>
            </w:r>
          </w:p>
        </w:tc>
        <w:tc>
          <w:tcPr>
            <w:tcW w:w="72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color w:val="auto"/>
              </w:rPr>
              <w:t>Option</w:t>
            </w:r>
          </w:p>
        </w:tc>
        <w:tc>
          <w:tcPr>
            <w:tcW w:w="980" w:type="dxa"/>
            <w:vAlign w:val="bottom"/>
            <w:tcBorders>
              <w:top w:val="single" w:sz="8" w:color="auto"/>
            </w:tcBorders>
          </w:tcPr>
          <w:p>
            <w:pPr>
              <w:ind w:left="120"/>
              <w:spacing w:after="0" w:line="248" w:lineRule="exact"/>
              <w:rPr>
                <w:sz w:val="20"/>
                <w:szCs w:val="20"/>
                <w:color w:val="auto"/>
              </w:rPr>
            </w:pPr>
            <w:r>
              <w:rPr>
                <w:rFonts w:ascii="Arial" w:cs="Arial" w:eastAsia="Arial" w:hAnsi="Arial"/>
                <w:sz w:val="22"/>
                <w:szCs w:val="22"/>
                <w:color w:val="auto"/>
              </w:rPr>
              <w:t>forfeited</w:t>
            </w:r>
          </w:p>
        </w:tc>
        <w:tc>
          <w:tcPr>
            <w:tcW w:w="400" w:type="dxa"/>
            <w:vAlign w:val="bottom"/>
            <w:tcBorders>
              <w:top w:val="single" w:sz="8" w:color="auto"/>
            </w:tcBorders>
          </w:tcPr>
          <w:p>
            <w:pPr>
              <w:ind w:left="120"/>
              <w:spacing w:after="0" w:line="248" w:lineRule="exact"/>
              <w:rPr>
                <w:sz w:val="20"/>
                <w:szCs w:val="20"/>
                <w:color w:val="auto"/>
              </w:rPr>
            </w:pPr>
            <w:r>
              <w:rPr>
                <w:rFonts w:ascii="Arial" w:cs="Arial" w:eastAsia="Arial" w:hAnsi="Arial"/>
                <w:sz w:val="22"/>
                <w:szCs w:val="22"/>
                <w:color w:val="auto"/>
              </w:rPr>
              <w:t>as</w:t>
            </w:r>
          </w:p>
        </w:tc>
        <w:tc>
          <w:tcPr>
            <w:tcW w:w="360" w:type="dxa"/>
            <w:vAlign w:val="bottom"/>
            <w:tcBorders>
              <w:top w:val="single" w:sz="8" w:color="auto"/>
              <w:right w:val="single" w:sz="8" w:color="auto"/>
            </w:tcBorders>
          </w:tcPr>
          <w:p>
            <w:pPr>
              <w:ind w:left="120"/>
              <w:spacing w:after="0" w:line="248" w:lineRule="exact"/>
              <w:rPr>
                <w:sz w:val="20"/>
                <w:szCs w:val="20"/>
                <w:color w:val="auto"/>
              </w:rPr>
            </w:pPr>
            <w:r>
              <w:rPr>
                <w:rFonts w:ascii="Arial" w:cs="Arial" w:eastAsia="Arial" w:hAnsi="Arial"/>
                <w:sz w:val="22"/>
                <w:szCs w:val="22"/>
                <w:color w:val="auto"/>
              </w:rPr>
              <w:t>of</w:t>
            </w:r>
          </w:p>
        </w:tc>
        <w:tc>
          <w:tcPr>
            <w:tcW w:w="3520" w:type="dxa"/>
            <w:vAlign w:val="bottom"/>
            <w:tcBorders>
              <w:top w:val="single" w:sz="8" w:color="auto"/>
              <w:right w:val="single" w:sz="8" w:color="auto"/>
            </w:tcBorders>
          </w:tcPr>
          <w:p>
            <w:pPr>
              <w:spacing w:after="0" w:line="248" w:lineRule="exact"/>
              <w:rPr>
                <w:sz w:val="20"/>
                <w:szCs w:val="20"/>
                <w:color w:val="auto"/>
              </w:rPr>
            </w:pPr>
            <w:r>
              <w:rPr>
                <w:rFonts w:ascii="Arial" w:cs="Arial" w:eastAsia="Arial" w:hAnsi="Arial"/>
                <w:sz w:val="22"/>
                <w:szCs w:val="22"/>
                <w:color w:val="auto"/>
                <w:w w:val="94"/>
              </w:rPr>
              <w:t>Expires earlier of (i) original expiration</w:t>
            </w:r>
          </w:p>
        </w:tc>
      </w:tr>
      <w:tr>
        <w:trPr>
          <w:trHeight w:val="230"/>
        </w:trPr>
        <w:tc>
          <w:tcPr>
            <w:tcW w:w="2820" w:type="dxa"/>
            <w:vAlign w:val="bottom"/>
            <w:tcBorders>
              <w:left w:val="single" w:sz="8" w:color="auto"/>
            </w:tcBorders>
            <w:gridSpan w:val="3"/>
          </w:tcPr>
          <w:p>
            <w:pPr>
              <w:ind w:left="40"/>
              <w:spacing w:after="0" w:line="229" w:lineRule="exact"/>
              <w:rPr>
                <w:sz w:val="20"/>
                <w:szCs w:val="20"/>
                <w:color w:val="auto"/>
              </w:rPr>
            </w:pPr>
            <w:r>
              <w:rPr>
                <w:rFonts w:ascii="Arial" w:cs="Arial" w:eastAsia="Arial" w:hAnsi="Arial"/>
                <w:sz w:val="22"/>
                <w:szCs w:val="22"/>
                <w:color w:val="auto"/>
              </w:rPr>
              <w:t>service  (other  than  due  to</w:t>
            </w:r>
          </w:p>
        </w:tc>
        <w:tc>
          <w:tcPr>
            <w:tcW w:w="740" w:type="dxa"/>
            <w:vAlign w:val="bottom"/>
            <w:tcBorders>
              <w:right w:val="single" w:sz="8" w:color="auto"/>
            </w:tcBorders>
          </w:tcPr>
          <w:p>
            <w:pPr>
              <w:ind w:left="180"/>
              <w:spacing w:after="0" w:line="229" w:lineRule="exact"/>
              <w:rPr>
                <w:sz w:val="20"/>
                <w:szCs w:val="20"/>
                <w:color w:val="auto"/>
              </w:rPr>
            </w:pPr>
            <w:r>
              <w:rPr>
                <w:rFonts w:ascii="Arial" w:cs="Arial" w:eastAsia="Arial" w:hAnsi="Arial"/>
                <w:sz w:val="22"/>
                <w:szCs w:val="22"/>
                <w:color w:val="auto"/>
                <w:w w:val="84"/>
              </w:rPr>
              <w:t>death,</w:t>
            </w:r>
          </w:p>
        </w:tc>
        <w:tc>
          <w:tcPr>
            <w:tcW w:w="1060" w:type="dxa"/>
            <w:vAlign w:val="bottom"/>
          </w:tcPr>
          <w:p>
            <w:pPr>
              <w:spacing w:after="0" w:line="229" w:lineRule="exact"/>
              <w:rPr>
                <w:sz w:val="20"/>
                <w:szCs w:val="20"/>
                <w:color w:val="auto"/>
              </w:rPr>
            </w:pPr>
            <w:r>
              <w:rPr>
                <w:rFonts w:ascii="Arial" w:cs="Arial" w:eastAsia="Arial" w:hAnsi="Arial"/>
                <w:sz w:val="22"/>
                <w:szCs w:val="22"/>
                <w:color w:val="auto"/>
                <w:w w:val="90"/>
              </w:rPr>
              <w:t>termination.</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3"/>
              </w:rPr>
              <w:t>date, or (ii) 3 months after termination.</w:t>
            </w:r>
          </w:p>
        </w:tc>
      </w:tr>
      <w:tr>
        <w:trPr>
          <w:trHeight w:val="229"/>
        </w:trPr>
        <w:tc>
          <w:tcPr>
            <w:tcW w:w="3560" w:type="dxa"/>
            <w:vAlign w:val="bottom"/>
            <w:tcBorders>
              <w:left w:val="single" w:sz="8" w:color="auto"/>
              <w:right w:val="single" w:sz="8" w:color="auto"/>
            </w:tcBorders>
            <w:gridSpan w:val="4"/>
          </w:tcPr>
          <w:p>
            <w:pPr>
              <w:ind w:left="40"/>
              <w:spacing w:after="0" w:line="229" w:lineRule="exact"/>
              <w:rPr>
                <w:sz w:val="20"/>
                <w:szCs w:val="20"/>
                <w:color w:val="auto"/>
              </w:rPr>
            </w:pPr>
            <w:r>
              <w:rPr>
                <w:rFonts w:ascii="Arial" w:cs="Arial" w:eastAsia="Arial" w:hAnsi="Arial"/>
                <w:sz w:val="22"/>
                <w:szCs w:val="22"/>
                <w:color w:val="auto"/>
                <w:w w:val="96"/>
              </w:rPr>
              <w:t>Disability or retirement at or after age</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7"/>
              </w:rPr>
              <w:t>If you die or incur a Disability prior to</w:t>
            </w:r>
          </w:p>
        </w:tc>
      </w:tr>
      <w:tr>
        <w:trPr>
          <w:trHeight w:val="229"/>
        </w:trPr>
        <w:tc>
          <w:tcPr>
            <w:tcW w:w="3560" w:type="dxa"/>
            <w:vAlign w:val="bottom"/>
            <w:tcBorders>
              <w:left w:val="single" w:sz="8" w:color="auto"/>
              <w:right w:val="single" w:sz="8" w:color="auto"/>
            </w:tcBorders>
            <w:gridSpan w:val="4"/>
          </w:tcPr>
          <w:p>
            <w:pPr>
              <w:ind w:left="40"/>
              <w:spacing w:after="0" w:line="229" w:lineRule="exact"/>
              <w:rPr>
                <w:sz w:val="20"/>
                <w:szCs w:val="20"/>
                <w:color w:val="auto"/>
              </w:rPr>
            </w:pPr>
            <w:r>
              <w:rPr>
                <w:rFonts w:ascii="Arial" w:cs="Arial" w:eastAsia="Arial" w:hAnsi="Arial"/>
                <w:sz w:val="22"/>
                <w:szCs w:val="22"/>
                <w:color w:val="auto"/>
                <w:w w:val="99"/>
              </w:rPr>
              <w:t>75) before the 10</w:t>
            </w:r>
            <w:r>
              <w:rPr>
                <w:rFonts w:ascii="Arial" w:cs="Arial" w:eastAsia="Arial" w:hAnsi="Arial"/>
                <w:sz w:val="11"/>
                <w:szCs w:val="11"/>
                <w:color w:val="auto"/>
                <w:w w:val="99"/>
              </w:rPr>
              <w:t>th</w:t>
            </w:r>
            <w:r>
              <w:rPr>
                <w:rFonts w:ascii="Arial" w:cs="Arial" w:eastAsia="Arial" w:hAnsi="Arial"/>
                <w:sz w:val="22"/>
                <w:szCs w:val="22"/>
                <w:color w:val="auto"/>
                <w:w w:val="99"/>
              </w:rPr>
              <w:t xml:space="preserve">  anniversary as a</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4"/>
              </w:rPr>
              <w:t>end  of  this  3-month  period,  expires</w:t>
            </w:r>
          </w:p>
        </w:tc>
      </w:tr>
      <w:tr>
        <w:trPr>
          <w:trHeight w:val="222"/>
        </w:trPr>
        <w:tc>
          <w:tcPr>
            <w:tcW w:w="3560" w:type="dxa"/>
            <w:vAlign w:val="bottom"/>
            <w:tcBorders>
              <w:left w:val="single" w:sz="8" w:color="auto"/>
              <w:right w:val="single" w:sz="8" w:color="auto"/>
            </w:tcBorders>
            <w:gridSpan w:val="4"/>
          </w:tcPr>
          <w:p>
            <w:pPr>
              <w:ind w:left="40"/>
              <w:spacing w:after="0" w:line="222" w:lineRule="exact"/>
              <w:rPr>
                <w:sz w:val="20"/>
                <w:szCs w:val="20"/>
                <w:color w:val="auto"/>
              </w:rPr>
            </w:pPr>
            <w:r>
              <w:rPr>
                <w:rFonts w:ascii="Arial" w:cs="Arial" w:eastAsia="Arial" w:hAnsi="Arial"/>
                <w:sz w:val="22"/>
                <w:szCs w:val="22"/>
                <w:color w:val="auto"/>
              </w:rPr>
              <w:t>Board member, or at any time as a</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2" w:lineRule="exact"/>
              <w:rPr>
                <w:sz w:val="20"/>
                <w:szCs w:val="20"/>
                <w:color w:val="auto"/>
              </w:rPr>
            </w:pPr>
            <w:r>
              <w:rPr>
                <w:rFonts w:ascii="Arial" w:cs="Arial" w:eastAsia="Arial" w:hAnsi="Arial"/>
                <w:sz w:val="22"/>
                <w:szCs w:val="22"/>
                <w:color w:val="auto"/>
                <w:w w:val="93"/>
              </w:rPr>
              <w:t>earlier of (i) original expiration date, or</w:t>
            </w:r>
          </w:p>
        </w:tc>
      </w:tr>
      <w:tr>
        <w:trPr>
          <w:trHeight w:val="367"/>
        </w:trPr>
        <w:tc>
          <w:tcPr>
            <w:tcW w:w="356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22"/>
                <w:szCs w:val="22"/>
                <w:color w:val="auto"/>
                <w:w w:val="96"/>
              </w:rPr>
              <w:t>Board member not in good standing</w:t>
            </w:r>
            <w:r>
              <w:rPr>
                <w:rFonts w:ascii="Arial" w:cs="Arial" w:eastAsia="Arial" w:hAnsi="Arial"/>
                <w:sz w:val="28"/>
                <w:szCs w:val="28"/>
                <w:color w:val="auto"/>
                <w:w w:val="96"/>
                <w:vertAlign w:val="superscript"/>
              </w:rPr>
              <w:t>2</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5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(ii) 1 year after death or Disability.</w:t>
            </w:r>
          </w:p>
        </w:tc>
      </w:tr>
      <w:tr>
        <w:trPr>
          <w:trHeight w:val="162"/>
        </w:trPr>
        <w:tc>
          <w:tcPr>
            <w:tcW w:w="1100" w:type="dxa"/>
            <w:vAlign w:val="bottom"/>
            <w:tcBorders>
              <w:left w:val="single" w:sz="8" w:color="auto"/>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3520" w:type="dxa"/>
            <w:vAlign w:val="bottom"/>
            <w:tcBorders>
              <w:bottom w:val="single" w:sz="8" w:color="auto"/>
              <w:right w:val="single" w:sz="8" w:color="auto"/>
            </w:tcBorders>
          </w:tcPr>
          <w:p>
            <w:pPr>
              <w:spacing w:after="0"/>
              <w:rPr>
                <w:sz w:val="14"/>
                <w:szCs w:val="14"/>
                <w:color w:val="auto"/>
              </w:rPr>
            </w:pPr>
          </w:p>
        </w:tc>
      </w:tr>
      <w:tr>
        <w:trPr>
          <w:trHeight w:val="229"/>
        </w:trPr>
        <w:tc>
          <w:tcPr>
            <w:tcW w:w="1100" w:type="dxa"/>
            <w:vAlign w:val="bottom"/>
            <w:tcBorders>
              <w:left w:val="single" w:sz="8" w:color="auto"/>
            </w:tcBorders>
          </w:tcPr>
          <w:p>
            <w:pPr>
              <w:ind w:left="40"/>
              <w:spacing w:after="0" w:line="228" w:lineRule="exact"/>
              <w:rPr>
                <w:sz w:val="20"/>
                <w:szCs w:val="20"/>
                <w:color w:val="auto"/>
              </w:rPr>
            </w:pPr>
            <w:r>
              <w:rPr>
                <w:rFonts w:ascii="Arial" w:cs="Arial" w:eastAsia="Arial" w:hAnsi="Arial"/>
                <w:sz w:val="22"/>
                <w:szCs w:val="22"/>
                <w:color w:val="auto"/>
                <w:w w:val="96"/>
              </w:rPr>
              <w:t>Involuntary</w:t>
            </w:r>
          </w:p>
        </w:tc>
        <w:tc>
          <w:tcPr>
            <w:tcW w:w="1220" w:type="dxa"/>
            <w:vAlign w:val="bottom"/>
          </w:tcPr>
          <w:p>
            <w:pPr>
              <w:ind w:left="140"/>
              <w:spacing w:after="0" w:line="228" w:lineRule="exact"/>
              <w:rPr>
                <w:sz w:val="20"/>
                <w:szCs w:val="20"/>
                <w:color w:val="auto"/>
              </w:rPr>
            </w:pPr>
            <w:r>
              <w:rPr>
                <w:rFonts w:ascii="Arial" w:cs="Arial" w:eastAsia="Arial" w:hAnsi="Arial"/>
                <w:sz w:val="22"/>
                <w:szCs w:val="22"/>
                <w:color w:val="auto"/>
                <w:w w:val="97"/>
              </w:rPr>
              <w:t>termination</w:t>
            </w:r>
          </w:p>
        </w:tc>
        <w:tc>
          <w:tcPr>
            <w:tcW w:w="500" w:type="dxa"/>
            <w:vAlign w:val="bottom"/>
          </w:tcPr>
          <w:p>
            <w:pPr>
              <w:ind w:left="120"/>
              <w:spacing w:after="0" w:line="228" w:lineRule="exact"/>
              <w:rPr>
                <w:sz w:val="20"/>
                <w:szCs w:val="20"/>
                <w:color w:val="auto"/>
              </w:rPr>
            </w:pPr>
            <w:r>
              <w:rPr>
                <w:rFonts w:ascii="Arial" w:cs="Arial" w:eastAsia="Arial" w:hAnsi="Arial"/>
                <w:sz w:val="22"/>
                <w:szCs w:val="22"/>
                <w:color w:val="auto"/>
              </w:rPr>
              <w:t>of</w:t>
            </w:r>
          </w:p>
        </w:tc>
        <w:tc>
          <w:tcPr>
            <w:tcW w:w="7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2"/>
              </w:rPr>
              <w:t>director</w:t>
            </w:r>
          </w:p>
        </w:tc>
        <w:tc>
          <w:tcPr>
            <w:tcW w:w="1060" w:type="dxa"/>
            <w:vAlign w:val="bottom"/>
          </w:tcPr>
          <w:p>
            <w:pPr>
              <w:spacing w:after="0" w:line="228" w:lineRule="exact"/>
              <w:rPr>
                <w:sz w:val="20"/>
                <w:szCs w:val="20"/>
                <w:color w:val="auto"/>
              </w:rPr>
            </w:pPr>
            <w:r>
              <w:rPr>
                <w:rFonts w:ascii="Arial" w:cs="Arial" w:eastAsia="Arial" w:hAnsi="Arial"/>
                <w:sz w:val="22"/>
                <w:szCs w:val="22"/>
                <w:color w:val="auto"/>
              </w:rPr>
              <w:t>Unvested</w:t>
            </w:r>
          </w:p>
        </w:tc>
        <w:tc>
          <w:tcPr>
            <w:tcW w:w="720" w:type="dxa"/>
            <w:vAlign w:val="bottom"/>
          </w:tcPr>
          <w:p>
            <w:pPr>
              <w:spacing w:after="0" w:line="228" w:lineRule="exact"/>
              <w:rPr>
                <w:sz w:val="20"/>
                <w:szCs w:val="20"/>
                <w:color w:val="auto"/>
              </w:rPr>
            </w:pPr>
            <w:r>
              <w:rPr>
                <w:rFonts w:ascii="Arial" w:cs="Arial" w:eastAsia="Arial" w:hAnsi="Arial"/>
                <w:sz w:val="22"/>
                <w:szCs w:val="22"/>
                <w:color w:val="auto"/>
              </w:rPr>
              <w:t>Option</w:t>
            </w:r>
          </w:p>
        </w:tc>
        <w:tc>
          <w:tcPr>
            <w:tcW w:w="980" w:type="dxa"/>
            <w:vAlign w:val="bottom"/>
          </w:tcPr>
          <w:p>
            <w:pPr>
              <w:ind w:left="120"/>
              <w:spacing w:after="0" w:line="228" w:lineRule="exact"/>
              <w:rPr>
                <w:sz w:val="20"/>
                <w:szCs w:val="20"/>
                <w:color w:val="auto"/>
              </w:rPr>
            </w:pPr>
            <w:r>
              <w:rPr>
                <w:rFonts w:ascii="Arial" w:cs="Arial" w:eastAsia="Arial" w:hAnsi="Arial"/>
                <w:sz w:val="22"/>
                <w:szCs w:val="22"/>
                <w:color w:val="auto"/>
              </w:rPr>
              <w:t>forfeited</w:t>
            </w:r>
          </w:p>
        </w:tc>
        <w:tc>
          <w:tcPr>
            <w:tcW w:w="400" w:type="dxa"/>
            <w:vAlign w:val="bottom"/>
          </w:tcPr>
          <w:p>
            <w:pPr>
              <w:ind w:left="120"/>
              <w:spacing w:after="0" w:line="228" w:lineRule="exact"/>
              <w:rPr>
                <w:sz w:val="20"/>
                <w:szCs w:val="20"/>
                <w:color w:val="auto"/>
              </w:rPr>
            </w:pPr>
            <w:r>
              <w:rPr>
                <w:rFonts w:ascii="Arial" w:cs="Arial" w:eastAsia="Arial" w:hAnsi="Arial"/>
                <w:sz w:val="22"/>
                <w:szCs w:val="22"/>
                <w:color w:val="auto"/>
              </w:rPr>
              <w:t>as</w:t>
            </w:r>
          </w:p>
        </w:tc>
        <w:tc>
          <w:tcPr>
            <w:tcW w:w="360" w:type="dxa"/>
            <w:vAlign w:val="bottom"/>
            <w:tcBorders>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of</w:t>
            </w:r>
          </w:p>
        </w:tc>
        <w:tc>
          <w:tcPr>
            <w:tcW w:w="3520" w:type="dxa"/>
            <w:vAlign w:val="bottom"/>
            <w:tcBorders>
              <w:right w:val="single" w:sz="8" w:color="auto"/>
            </w:tcBorders>
          </w:tcPr>
          <w:p>
            <w:pPr>
              <w:spacing w:after="0" w:line="228" w:lineRule="exact"/>
              <w:rPr>
                <w:sz w:val="20"/>
                <w:szCs w:val="20"/>
                <w:color w:val="auto"/>
              </w:rPr>
            </w:pPr>
            <w:r>
              <w:rPr>
                <w:rFonts w:ascii="Arial" w:cs="Arial" w:eastAsia="Arial" w:hAnsi="Arial"/>
                <w:sz w:val="22"/>
                <w:szCs w:val="22"/>
                <w:color w:val="auto"/>
                <w:w w:val="94"/>
              </w:rPr>
              <w:t>Expires earlier of (i) original expiration</w:t>
            </w:r>
          </w:p>
        </w:tc>
      </w:tr>
      <w:tr>
        <w:trPr>
          <w:trHeight w:val="230"/>
        </w:trPr>
        <w:tc>
          <w:tcPr>
            <w:tcW w:w="3560" w:type="dxa"/>
            <w:vAlign w:val="bottom"/>
            <w:tcBorders>
              <w:left w:val="single" w:sz="8" w:color="auto"/>
              <w:right w:val="single" w:sz="8" w:color="auto"/>
            </w:tcBorders>
            <w:gridSpan w:val="4"/>
          </w:tcPr>
          <w:p>
            <w:pPr>
              <w:ind w:left="40"/>
              <w:spacing w:after="0" w:line="229" w:lineRule="exact"/>
              <w:rPr>
                <w:sz w:val="20"/>
                <w:szCs w:val="20"/>
                <w:color w:val="auto"/>
              </w:rPr>
            </w:pPr>
            <w:r>
              <w:rPr>
                <w:rFonts w:ascii="Arial" w:cs="Arial" w:eastAsia="Arial" w:hAnsi="Arial"/>
                <w:sz w:val="22"/>
                <w:szCs w:val="22"/>
                <w:color w:val="auto"/>
                <w:w w:val="92"/>
              </w:rPr>
              <w:t>service other than for death, Disability,</w:t>
            </w:r>
          </w:p>
        </w:tc>
        <w:tc>
          <w:tcPr>
            <w:tcW w:w="1060" w:type="dxa"/>
            <w:vAlign w:val="bottom"/>
          </w:tcPr>
          <w:p>
            <w:pPr>
              <w:spacing w:after="0" w:line="229" w:lineRule="exact"/>
              <w:rPr>
                <w:sz w:val="20"/>
                <w:szCs w:val="20"/>
                <w:color w:val="auto"/>
              </w:rPr>
            </w:pPr>
            <w:r>
              <w:rPr>
                <w:rFonts w:ascii="Arial" w:cs="Arial" w:eastAsia="Arial" w:hAnsi="Arial"/>
                <w:sz w:val="22"/>
                <w:szCs w:val="22"/>
                <w:color w:val="auto"/>
                <w:w w:val="90"/>
              </w:rPr>
              <w:t>termination.</w:t>
            </w: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3"/>
              </w:rPr>
              <w:t>date, or (ii) 3 years after termination. If</w:t>
            </w:r>
          </w:p>
        </w:tc>
      </w:tr>
      <w:tr>
        <w:trPr>
          <w:trHeight w:val="229"/>
        </w:trPr>
        <w:tc>
          <w:tcPr>
            <w:tcW w:w="2820" w:type="dxa"/>
            <w:vAlign w:val="bottom"/>
            <w:tcBorders>
              <w:left w:val="single" w:sz="8" w:color="auto"/>
            </w:tcBorders>
            <w:gridSpan w:val="3"/>
          </w:tcPr>
          <w:p>
            <w:pPr>
              <w:ind w:left="40"/>
              <w:spacing w:after="0" w:line="229" w:lineRule="exact"/>
              <w:rPr>
                <w:sz w:val="20"/>
                <w:szCs w:val="20"/>
                <w:color w:val="auto"/>
              </w:rPr>
            </w:pPr>
            <w:r>
              <w:rPr>
                <w:rFonts w:ascii="Arial" w:cs="Arial" w:eastAsia="Arial" w:hAnsi="Arial"/>
                <w:sz w:val="22"/>
                <w:szCs w:val="22"/>
                <w:color w:val="auto"/>
                <w:w w:val="92"/>
              </w:rPr>
              <w:t>or retirement at or after age 75</w:t>
            </w:r>
          </w:p>
        </w:tc>
        <w:tc>
          <w:tcPr>
            <w:tcW w:w="74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rPr>
              <w:t>you die or incur a Disability prior to</w:t>
            </w:r>
          </w:p>
        </w:tc>
      </w:tr>
      <w:tr>
        <w:trPr>
          <w:trHeight w:val="229"/>
        </w:trPr>
        <w:tc>
          <w:tcPr>
            <w:tcW w:w="1100" w:type="dxa"/>
            <w:vAlign w:val="bottom"/>
            <w:tcBorders>
              <w:lef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89"/>
              </w:rPr>
              <w:t>end of this 3-year period, expires earlier</w:t>
            </w:r>
          </w:p>
        </w:tc>
      </w:tr>
      <w:tr>
        <w:trPr>
          <w:trHeight w:val="230"/>
        </w:trPr>
        <w:tc>
          <w:tcPr>
            <w:tcW w:w="1100" w:type="dxa"/>
            <w:vAlign w:val="bottom"/>
            <w:tcBorders>
              <w:lef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rPr>
              <w:t>of (i) original expiration date, or (ii)</w:t>
            </w:r>
          </w:p>
        </w:tc>
      </w:tr>
      <w:tr>
        <w:trPr>
          <w:trHeight w:val="229"/>
        </w:trPr>
        <w:tc>
          <w:tcPr>
            <w:tcW w:w="1100" w:type="dxa"/>
            <w:vAlign w:val="bottom"/>
            <w:tcBorders>
              <w:lef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8"/>
              </w:rPr>
              <w:t>later of 3 years after termination or 1</w:t>
            </w:r>
          </w:p>
        </w:tc>
      </w:tr>
      <w:tr>
        <w:trPr>
          <w:trHeight w:val="276"/>
        </w:trPr>
        <w:tc>
          <w:tcPr>
            <w:tcW w:w="1100" w:type="dxa"/>
            <w:vAlign w:val="bottom"/>
            <w:tcBorders>
              <w:left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year after death or Disability.</w:t>
            </w:r>
          </w:p>
        </w:tc>
      </w:tr>
    </w:tbl>
    <w:p>
      <w:pPr>
        <w:spacing w:after="0" w:line="7" w:lineRule="exact"/>
        <w:rPr>
          <w:sz w:val="20"/>
          <w:szCs w:val="20"/>
          <w:color w:val="auto"/>
        </w:rPr>
      </w:pPr>
    </w:p>
    <w:p>
      <w:pPr>
        <w:ind w:left="100" w:hanging="92"/>
        <w:spacing w:after="0"/>
        <w:tabs>
          <w:tab w:leader="none" w:pos="100" w:val="left"/>
        </w:tabs>
        <w:numPr>
          <w:ilvl w:val="0"/>
          <w:numId w:val="85"/>
        </w:numPr>
        <w:rPr>
          <w:rFonts w:ascii="Arial" w:cs="Arial" w:eastAsia="Arial" w:hAnsi="Arial"/>
          <w:sz w:val="23"/>
          <w:szCs w:val="23"/>
          <w:color w:val="auto"/>
          <w:vertAlign w:val="superscript"/>
        </w:rPr>
      </w:pPr>
      <w:r>
        <w:rPr>
          <w:rFonts w:ascii="Arial" w:cs="Arial" w:eastAsia="Arial" w:hAnsi="Arial"/>
          <w:sz w:val="18"/>
          <w:szCs w:val="18"/>
          <w:color w:val="auto"/>
        </w:rPr>
        <w:t>Determined in the sole and absolute discretion of the Committee.</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Determined in the sole and absolute discretion of the Committee.</w:t>
      </w:r>
    </w:p>
    <w:p>
      <w:pPr>
        <w:spacing w:after="0" w:line="151" w:lineRule="exact"/>
        <w:rPr>
          <w:rFonts w:ascii="Arial" w:cs="Arial" w:eastAsia="Arial" w:hAnsi="Arial"/>
          <w:sz w:val="23"/>
          <w:szCs w:val="23"/>
          <w:color w:val="auto"/>
          <w:vertAlign w:val="superscript"/>
        </w:rPr>
      </w:pPr>
    </w:p>
    <w:p>
      <w:pPr>
        <w:jc w:val="both"/>
        <w:ind w:left="660" w:hanging="328"/>
        <w:spacing w:after="0" w:line="229" w:lineRule="auto"/>
        <w:tabs>
          <w:tab w:leader="none" w:pos="660" w:val="left"/>
        </w:tabs>
        <w:numPr>
          <w:ilvl w:val="1"/>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of a Change in Control, any portion of the Option that has not vested as of the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in Control will immediately become exercisable in full. If your service as a director of the Company terminates for any reason following a Change in Control, that termination will be treated as a retirement from the Board of Directors at or after age 75 for purposes of Section 7 above.</w:t>
      </w:r>
    </w:p>
    <w:p>
      <w:pPr>
        <w:spacing w:after="0" w:line="195" w:lineRule="exact"/>
        <w:rPr>
          <w:rFonts w:ascii="Arial" w:cs="Arial" w:eastAsia="Arial" w:hAnsi="Arial"/>
          <w:sz w:val="22"/>
          <w:szCs w:val="22"/>
          <w:b w:val="1"/>
          <w:bCs w:val="1"/>
          <w:color w:val="auto"/>
        </w:rPr>
      </w:pPr>
    </w:p>
    <w:p>
      <w:pPr>
        <w:jc w:val="both"/>
        <w:ind w:left="660" w:hanging="328"/>
        <w:spacing w:after="0" w:line="233" w:lineRule="auto"/>
        <w:tabs>
          <w:tab w:leader="none" w:pos="660" w:val="left"/>
        </w:tabs>
        <w:numPr>
          <w:ilvl w:val="1"/>
          <w:numId w:val="85"/>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will have the right, prior to the issuance or delivery of any Shares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the Option, to withhold or demand from you the amount necessary to satisfy applicable tax requirements, as determined by the Committee.</w:t>
      </w:r>
    </w:p>
    <w:p>
      <w:pPr>
        <w:spacing w:after="0" w:line="194" w:lineRule="exact"/>
        <w:rPr>
          <w:rFonts w:ascii="Arial" w:cs="Arial" w:eastAsia="Arial" w:hAnsi="Arial"/>
          <w:sz w:val="22"/>
          <w:szCs w:val="22"/>
          <w:color w:val="auto"/>
        </w:rPr>
      </w:pPr>
    </w:p>
    <w:p>
      <w:pPr>
        <w:jc w:val="both"/>
        <w:ind w:left="660" w:hanging="328"/>
        <w:spacing w:after="0" w:line="233" w:lineRule="auto"/>
        <w:tabs>
          <w:tab w:leader="none" w:pos="660" w:val="left"/>
        </w:tabs>
        <w:numPr>
          <w:ilvl w:val="1"/>
          <w:numId w:val="85"/>
        </w:numPr>
        <w:rPr>
          <w:rFonts w:ascii="Arial" w:cs="Arial" w:eastAsia="Arial" w:hAnsi="Arial"/>
          <w:sz w:val="22"/>
          <w:szCs w:val="22"/>
          <w:color w:val="auto"/>
        </w:rPr>
      </w:pPr>
      <w:r>
        <w:rPr>
          <w:rFonts w:ascii="Arial" w:cs="Arial" w:eastAsia="Arial" w:hAnsi="Arial"/>
          <w:sz w:val="22"/>
          <w:szCs w:val="22"/>
          <w:b w:val="1"/>
          <w:bCs w:val="1"/>
          <w:color w:val="auto"/>
        </w:rPr>
        <w:t xml:space="preserve">Transfer of Option. </w:t>
      </w:r>
      <w:r>
        <w:rPr>
          <w:rFonts w:ascii="Arial" w:cs="Arial" w:eastAsia="Arial" w:hAnsi="Arial"/>
          <w:sz w:val="22"/>
          <w:szCs w:val="22"/>
          <w:color w:val="auto"/>
        </w:rPr>
        <w:t>You may not transfer the Option or any interest in the Option except by will or the laws of descent</w:t>
      </w:r>
      <w:r>
        <w:rPr>
          <w:rFonts w:ascii="Arial" w:cs="Arial" w:eastAsia="Arial" w:hAnsi="Arial"/>
          <w:sz w:val="22"/>
          <w:szCs w:val="22"/>
          <w:b w:val="1"/>
          <w:bCs w:val="1"/>
          <w:color w:val="auto"/>
        </w:rPr>
        <w:t xml:space="preserve"> </w:t>
      </w:r>
      <w:r>
        <w:rPr>
          <w:rFonts w:ascii="Arial" w:cs="Arial" w:eastAsia="Arial" w:hAnsi="Arial"/>
          <w:sz w:val="22"/>
          <w:szCs w:val="22"/>
          <w:color w:val="auto"/>
        </w:rPr>
        <w:t>and distribution or except as permitted by the Committee and as specified in the Plan. Any other attempt to dispose of your interest will be null and void.</w:t>
      </w:r>
    </w:p>
    <w:p>
      <w:pPr>
        <w:spacing w:after="0" w:line="194" w:lineRule="exact"/>
        <w:rPr>
          <w:rFonts w:ascii="Arial" w:cs="Arial" w:eastAsia="Arial" w:hAnsi="Arial"/>
          <w:sz w:val="22"/>
          <w:szCs w:val="22"/>
          <w:color w:val="auto"/>
        </w:rPr>
      </w:pPr>
    </w:p>
    <w:p>
      <w:pPr>
        <w:ind w:left="640" w:hanging="308"/>
        <w:spacing w:after="0"/>
        <w:tabs>
          <w:tab w:leader="none" w:pos="640" w:val="left"/>
        </w:tabs>
        <w:numPr>
          <w:ilvl w:val="1"/>
          <w:numId w:val="85"/>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Option will be governed by Section 9 of the Plan.</w:t>
      </w:r>
    </w:p>
    <w:p>
      <w:pPr>
        <w:spacing w:after="0" w:line="219" w:lineRule="exact"/>
        <w:rPr>
          <w:rFonts w:ascii="Arial" w:cs="Arial" w:eastAsia="Arial" w:hAnsi="Arial"/>
          <w:sz w:val="22"/>
          <w:szCs w:val="22"/>
          <w:color w:val="auto"/>
        </w:rPr>
      </w:pPr>
    </w:p>
    <w:p>
      <w:pPr>
        <w:jc w:val="both"/>
        <w:ind w:left="660" w:hanging="328"/>
        <w:spacing w:after="0" w:line="227" w:lineRule="auto"/>
        <w:tabs>
          <w:tab w:leader="none" w:pos="660" w:val="left"/>
        </w:tabs>
        <w:numPr>
          <w:ilvl w:val="1"/>
          <w:numId w:val="85"/>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on Exercise. </w:t>
      </w:r>
      <w:r>
        <w:rPr>
          <w:rFonts w:ascii="Arial" w:cs="Arial" w:eastAsia="Arial" w:hAnsi="Arial"/>
          <w:sz w:val="22"/>
          <w:szCs w:val="22"/>
          <w:color w:val="auto"/>
        </w:rPr>
        <w:t>Exercise of the Option is subject to the conditions that, to the extent required at the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(i) the Shares covered by the Option will be duly listed, upon official notice of issuance, upon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w:t>
      </w:r>
    </w:p>
    <w:p>
      <w:pPr>
        <w:sectPr>
          <w:pgSz w:w="11900" w:h="16838" w:orient="portrait"/>
          <w:cols w:equalWidth="0" w:num="1">
            <w:col w:w="11240"/>
          </w:cols>
          <w:pgMar w:left="320" w:top="1440" w:right="339" w:bottom="1440" w:gutter="0" w:footer="0" w:header="0"/>
        </w:sectPr>
      </w:pPr>
    </w:p>
    <w:bookmarkStart w:id="94" w:name="page95"/>
    <w:bookmarkEnd w:id="94"/>
    <w:p>
      <w:pPr>
        <w:ind w:left="328"/>
        <w:spacing w:after="0"/>
        <w:rPr>
          <w:sz w:val="20"/>
          <w:szCs w:val="20"/>
          <w:color w:val="auto"/>
        </w:rPr>
      </w:pPr>
      <w:r>
        <w:rPr>
          <w:rFonts w:ascii="Arial" w:cs="Arial" w:eastAsia="Arial" w:hAnsi="Arial"/>
          <w:sz w:val="22"/>
          <w:szCs w:val="22"/>
          <w:color w:val="auto"/>
        </w:rPr>
        <w:t>connection with the issuance and delivery of the Shares have been approved by counsel of the Company.</w:t>
      </w:r>
    </w:p>
    <w:p>
      <w:pPr>
        <w:spacing w:after="0" w:line="214" w:lineRule="exact"/>
        <w:rPr>
          <w:sz w:val="20"/>
          <w:szCs w:val="20"/>
          <w:color w:val="auto"/>
        </w:rPr>
      </w:pPr>
    </w:p>
    <w:p>
      <w:pPr>
        <w:jc w:val="both"/>
        <w:ind w:left="328" w:hanging="328"/>
        <w:spacing w:after="0" w:line="261" w:lineRule="auto"/>
        <w:tabs>
          <w:tab w:leader="none" w:pos="328"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 xml:space="preserve">Disposition of Securities. </w:t>
      </w:r>
      <w:r>
        <w:rPr>
          <w:rFonts w:ascii="Arial" w:cs="Arial" w:eastAsia="Arial" w:hAnsi="Arial"/>
          <w:sz w:val="19"/>
          <w:szCs w:val="19"/>
          <w:color w:val="auto"/>
        </w:rPr>
        <w:t>By accepting the Award, you acknowledge that you have read and understand (i)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policy, and are aware of and understand your obligations under U.S. federal securities laws in respect of trading in the Company’s securities, and (ii) the Company’s stock ownership guidelines as they apply to this Award.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78" w:lineRule="exact"/>
        <w:rPr>
          <w:rFonts w:ascii="Arial" w:cs="Arial" w:eastAsia="Arial" w:hAnsi="Arial"/>
          <w:sz w:val="19"/>
          <w:szCs w:val="19"/>
          <w:color w:val="auto"/>
        </w:rPr>
      </w:pPr>
    </w:p>
    <w:p>
      <w:pPr>
        <w:jc w:val="both"/>
        <w:ind w:left="328" w:hanging="328"/>
        <w:spacing w:after="0" w:line="263" w:lineRule="auto"/>
        <w:tabs>
          <w:tab w:leader="none" w:pos="328"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 xml:space="preserve">Plan Terms Govern. </w:t>
      </w:r>
      <w:r>
        <w:rPr>
          <w:rFonts w:ascii="Arial" w:cs="Arial" w:eastAsia="Arial" w:hAnsi="Arial"/>
          <w:sz w:val="19"/>
          <w:szCs w:val="19"/>
          <w:color w:val="auto"/>
        </w:rPr>
        <w:t>The exercise of the Option, the disposition of any Shares received upon exercise of the Option,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treatment of any gain on the disposition of these Shares are subject to the terms of the Plan and any rules that the Board of Directors and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73" w:lineRule="exact"/>
        <w:rPr>
          <w:rFonts w:ascii="Arial" w:cs="Arial" w:eastAsia="Arial" w:hAnsi="Arial"/>
          <w:sz w:val="19"/>
          <w:szCs w:val="19"/>
          <w:color w:val="auto"/>
        </w:rPr>
      </w:pPr>
    </w:p>
    <w:p>
      <w:pPr>
        <w:ind w:left="328" w:hanging="328"/>
        <w:spacing w:after="0"/>
        <w:tabs>
          <w:tab w:leader="none" w:pos="328"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jc w:val="both"/>
        <w:ind w:left="328" w:firstLine="320"/>
        <w:spacing w:after="0" w:line="217" w:lineRule="auto"/>
        <w:tabs>
          <w:tab w:leader="none" w:pos="1045" w:val="left"/>
        </w:tabs>
        <w:numPr>
          <w:ilvl w:val="1"/>
          <w:numId w:val="86"/>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2" w:lineRule="exact"/>
        <w:rPr>
          <w:rFonts w:ascii="Arial" w:cs="Arial" w:eastAsia="Arial" w:hAnsi="Arial"/>
          <w:sz w:val="22"/>
          <w:szCs w:val="22"/>
          <w:color w:val="auto"/>
        </w:rPr>
      </w:pPr>
    </w:p>
    <w:p>
      <w:pPr>
        <w:jc w:val="both"/>
        <w:ind w:left="328" w:firstLine="320"/>
        <w:spacing w:after="0" w:line="217" w:lineRule="auto"/>
        <w:tabs>
          <w:tab w:leader="none" w:pos="1030" w:val="left"/>
        </w:tabs>
        <w:numPr>
          <w:ilvl w:val="1"/>
          <w:numId w:val="86"/>
        </w:numPr>
        <w:rPr>
          <w:rFonts w:ascii="Arial" w:cs="Arial" w:eastAsia="Arial" w:hAnsi="Arial"/>
          <w:sz w:val="22"/>
          <w:szCs w:val="22"/>
          <w:color w:val="auto"/>
        </w:rPr>
      </w:pPr>
      <w:r>
        <w:rPr>
          <w:rFonts w:ascii="Arial" w:cs="Arial" w:eastAsia="Arial" w:hAnsi="Arial"/>
          <w:sz w:val="22"/>
          <w:szCs w:val="22"/>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options or other entitlement to shares awarded, canceled, exercised, vested, unvested, or outstanding in your favor, for the purpose of managing and administering the Plan (“Data”).</w:t>
      </w:r>
    </w:p>
    <w:p>
      <w:pPr>
        <w:spacing w:after="0" w:line="3" w:lineRule="exact"/>
        <w:rPr>
          <w:rFonts w:ascii="Arial" w:cs="Arial" w:eastAsia="Arial" w:hAnsi="Arial"/>
          <w:sz w:val="22"/>
          <w:szCs w:val="22"/>
          <w:color w:val="auto"/>
        </w:rPr>
      </w:pPr>
    </w:p>
    <w:p>
      <w:pPr>
        <w:jc w:val="both"/>
        <w:ind w:left="328" w:firstLine="320"/>
        <w:spacing w:after="0" w:line="252" w:lineRule="auto"/>
        <w:tabs>
          <w:tab w:leader="none" w:pos="1018" w:val="left"/>
        </w:tabs>
        <w:numPr>
          <w:ilvl w:val="1"/>
          <w:numId w:val="86"/>
        </w:numPr>
        <w:rPr>
          <w:rFonts w:ascii="Arial" w:cs="Arial" w:eastAsia="Arial" w:hAnsi="Arial"/>
          <w:sz w:val="19"/>
          <w:szCs w:val="19"/>
          <w:color w:val="auto"/>
        </w:rPr>
      </w:pPr>
      <w:r>
        <w:rPr>
          <w:rFonts w:ascii="Arial" w:cs="Arial" w:eastAsia="Arial" w:hAnsi="Arial"/>
          <w:sz w:val="19"/>
          <w:szCs w:val="19"/>
          <w:color w:val="auto"/>
        </w:rPr>
        <w:t>You further understand that part or all of your Data may be also held by the Company’s Affiliates, pursuant to a transfer made in the past with your consent, in respect of any previous grant of options or awards, which was made for the same purposes of managing and administering of previous award/incentive plans, or for other purposes.</w:t>
      </w:r>
    </w:p>
    <w:p>
      <w:pPr>
        <w:jc w:val="both"/>
        <w:ind w:left="328" w:firstLine="320"/>
        <w:spacing w:after="0" w:line="266" w:lineRule="auto"/>
        <w:tabs>
          <w:tab w:leader="none" w:pos="1030" w:val="left"/>
        </w:tabs>
        <w:numPr>
          <w:ilvl w:val="1"/>
          <w:numId w:val="86"/>
        </w:numPr>
        <w:rPr>
          <w:rFonts w:ascii="Arial" w:cs="Arial" w:eastAsia="Arial" w:hAnsi="Arial"/>
          <w:sz w:val="19"/>
          <w:szCs w:val="19"/>
          <w:color w:val="auto"/>
        </w:rPr>
      </w:pPr>
      <w:r>
        <w:rPr>
          <w:rFonts w:ascii="Arial" w:cs="Arial" w:eastAsia="Arial" w:hAnsi="Arial"/>
          <w:sz w:val="19"/>
          <w:szCs w:val="19"/>
          <w:color w:val="auto"/>
        </w:rPr>
        <w:t>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ectPr>
          <w:pgSz w:w="11900" w:h="16838" w:orient="portrait"/>
          <w:cols w:equalWidth="0" w:num="1">
            <w:col w:w="10908"/>
          </w:cols>
          <w:pgMar w:left="652" w:top="1414" w:right="339" w:bottom="1440" w:gutter="0" w:footer="0" w:header="0"/>
        </w:sectPr>
      </w:pPr>
    </w:p>
    <w:bookmarkStart w:id="95" w:name="page96"/>
    <w:bookmarkEnd w:id="95"/>
    <w:p>
      <w:pPr>
        <w:jc w:val="both"/>
        <w:ind w:left="328" w:firstLine="320"/>
        <w:spacing w:after="0" w:line="231" w:lineRule="auto"/>
        <w:tabs>
          <w:tab w:leader="none" w:pos="1018" w:val="left"/>
        </w:tabs>
        <w:numPr>
          <w:ilvl w:val="1"/>
          <w:numId w:val="87"/>
        </w:numPr>
        <w:rPr>
          <w:rFonts w:ascii="Arial" w:cs="Arial" w:eastAsia="Arial" w:hAnsi="Arial"/>
          <w:sz w:val="21"/>
          <w:szCs w:val="21"/>
          <w:color w:val="auto"/>
        </w:rPr>
      </w:pPr>
      <w:r>
        <w:rPr>
          <w:rFonts w:ascii="Arial" w:cs="Arial" w:eastAsia="Arial" w:hAnsi="Arial"/>
          <w:sz w:val="21"/>
          <w:szCs w:val="21"/>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jc w:val="both"/>
        <w:ind w:left="328" w:firstLine="320"/>
        <w:spacing w:after="0" w:line="224" w:lineRule="auto"/>
        <w:tabs>
          <w:tab w:leader="none" w:pos="1021" w:val="left"/>
        </w:tabs>
        <w:numPr>
          <w:ilvl w:val="1"/>
          <w:numId w:val="87"/>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92" w:lineRule="exact"/>
        <w:rPr>
          <w:rFonts w:ascii="Arial" w:cs="Arial" w:eastAsia="Arial" w:hAnsi="Arial"/>
          <w:sz w:val="22"/>
          <w:szCs w:val="22"/>
          <w:color w:val="auto"/>
        </w:rPr>
      </w:pPr>
    </w:p>
    <w:p>
      <w:pPr>
        <w:ind w:left="328" w:hanging="328"/>
        <w:spacing w:after="0" w:line="229" w:lineRule="auto"/>
        <w:tabs>
          <w:tab w:leader="none" w:pos="328"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ind w:left="328" w:right="20" w:firstLine="320"/>
        <w:spacing w:after="0" w:line="217" w:lineRule="auto"/>
        <w:tabs>
          <w:tab w:leader="none" w:pos="1018"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Company is granting your Option, and this Agreement is not derived from any preexisting labor relationship between you and the Company, but rather from a mercantile relationship.</w:t>
      </w:r>
    </w:p>
    <w:p>
      <w:pPr>
        <w:spacing w:after="0" w:line="1" w:lineRule="exact"/>
        <w:rPr>
          <w:rFonts w:ascii="Arial" w:cs="Arial" w:eastAsia="Arial" w:hAnsi="Arial"/>
          <w:sz w:val="22"/>
          <w:szCs w:val="22"/>
          <w:color w:val="auto"/>
        </w:rPr>
      </w:pPr>
    </w:p>
    <w:p>
      <w:pPr>
        <w:ind w:left="328" w:firstLine="320"/>
        <w:spacing w:after="0" w:line="217" w:lineRule="auto"/>
        <w:tabs>
          <w:tab w:leader="none" w:pos="1030"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Options granted under the Plan.</w:t>
      </w:r>
    </w:p>
    <w:p>
      <w:pPr>
        <w:spacing w:after="0" w:line="1" w:lineRule="exact"/>
        <w:rPr>
          <w:rFonts w:ascii="Arial" w:cs="Arial" w:eastAsia="Arial" w:hAnsi="Arial"/>
          <w:sz w:val="22"/>
          <w:szCs w:val="22"/>
          <w:color w:val="auto"/>
        </w:rPr>
      </w:pPr>
    </w:p>
    <w:p>
      <w:pPr>
        <w:ind w:left="1008" w:hanging="360"/>
        <w:spacing w:after="0"/>
        <w:tabs>
          <w:tab w:leader="none" w:pos="1008" w:val="left"/>
        </w:tabs>
        <w:numPr>
          <w:ilvl w:val="1"/>
          <w:numId w:val="88"/>
        </w:numPr>
        <w:rPr>
          <w:rFonts w:ascii="Arial" w:cs="Arial" w:eastAsia="Arial" w:hAnsi="Arial"/>
          <w:sz w:val="22"/>
          <w:szCs w:val="22"/>
          <w:color w:val="auto"/>
        </w:rPr>
      </w:pPr>
      <w:r>
        <w:rPr>
          <w:rFonts w:ascii="Arial" w:cs="Arial" w:eastAsia="Arial" w:hAnsi="Arial"/>
          <w:sz w:val="22"/>
          <w:szCs w:val="22"/>
          <w:color w:val="auto"/>
        </w:rPr>
        <w:t>Benefits and rights provided under the Plan do not constitute regular or periodic payments.</w:t>
      </w:r>
    </w:p>
    <w:p>
      <w:pPr>
        <w:spacing w:after="0" w:line="195" w:lineRule="exact"/>
        <w:rPr>
          <w:rFonts w:ascii="Arial" w:cs="Arial" w:eastAsia="Arial" w:hAnsi="Arial"/>
          <w:sz w:val="22"/>
          <w:szCs w:val="22"/>
          <w:color w:val="auto"/>
        </w:rPr>
      </w:pPr>
    </w:p>
    <w:p>
      <w:pPr>
        <w:jc w:val="both"/>
        <w:ind w:left="328" w:hanging="328"/>
        <w:spacing w:after="0" w:line="269" w:lineRule="auto"/>
        <w:tabs>
          <w:tab w:leader="none" w:pos="328"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 xml:space="preserve">Limitations. </w:t>
      </w:r>
      <w:r>
        <w:rPr>
          <w:rFonts w:ascii="Arial" w:cs="Arial" w:eastAsia="Arial" w:hAnsi="Arial"/>
          <w:sz w:val="19"/>
          <w:szCs w:val="19"/>
          <w:color w:val="auto"/>
        </w:rPr>
        <w:t>Nothing in this Agreement or the Plan gives you any right to continue as a member of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or will prejudice the rights of the Board of Directors or shareowners of the Company with respect to your nomination and election.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166" w:lineRule="exact"/>
        <w:rPr>
          <w:rFonts w:ascii="Arial" w:cs="Arial" w:eastAsia="Arial" w:hAnsi="Arial"/>
          <w:sz w:val="19"/>
          <w:szCs w:val="19"/>
          <w:color w:val="auto"/>
        </w:rPr>
      </w:pPr>
    </w:p>
    <w:p>
      <w:pPr>
        <w:jc w:val="both"/>
        <w:ind w:left="328" w:hanging="328"/>
        <w:spacing w:after="0" w:line="233" w:lineRule="auto"/>
        <w:tabs>
          <w:tab w:leader="none" w:pos="328"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 between you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regarding the Option. This Agreement supersedes any prior agreements, commitments or negotiations concerning the Option.</w:t>
      </w:r>
    </w:p>
    <w:p>
      <w:pPr>
        <w:spacing w:after="0" w:line="194" w:lineRule="exact"/>
        <w:rPr>
          <w:rFonts w:ascii="Arial" w:cs="Arial" w:eastAsia="Arial" w:hAnsi="Arial"/>
          <w:sz w:val="22"/>
          <w:szCs w:val="22"/>
          <w:color w:val="auto"/>
        </w:rPr>
      </w:pPr>
    </w:p>
    <w:p>
      <w:pPr>
        <w:jc w:val="both"/>
        <w:ind w:left="328" w:hanging="328"/>
        <w:spacing w:after="0" w:line="229" w:lineRule="auto"/>
        <w:tabs>
          <w:tab w:leader="none" w:pos="328"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95" w:lineRule="exact"/>
        <w:rPr>
          <w:rFonts w:ascii="Arial" w:cs="Arial" w:eastAsia="Arial" w:hAnsi="Arial"/>
          <w:sz w:val="22"/>
          <w:szCs w:val="22"/>
          <w:color w:val="auto"/>
        </w:rPr>
      </w:pPr>
    </w:p>
    <w:p>
      <w:pPr>
        <w:jc w:val="both"/>
        <w:ind w:left="328" w:hanging="328"/>
        <w:spacing w:after="0" w:line="233" w:lineRule="auto"/>
        <w:tabs>
          <w:tab w:leader="none" w:pos="328"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internal substantive laws, and not the choice of law rules, of the State of Delaware and construed accordingly, to the extent not superseded by applicable federal law.</w:t>
      </w:r>
    </w:p>
    <w:p>
      <w:pPr>
        <w:sectPr>
          <w:pgSz w:w="11900" w:h="16838" w:orient="portrait"/>
          <w:cols w:equalWidth="0" w:num="1">
            <w:col w:w="10908"/>
          </w:cols>
          <w:pgMar w:left="652" w:top="1414" w:right="339" w:bottom="1440" w:gutter="0" w:footer="0" w:header="0"/>
        </w:sectPr>
      </w:pPr>
    </w:p>
    <w:bookmarkStart w:id="96" w:name="page97"/>
    <w:bookmarkEnd w:id="96"/>
    <w:p>
      <w:pPr>
        <w:jc w:val="both"/>
        <w:ind w:left="328" w:hanging="328"/>
        <w:spacing w:after="0" w:line="238" w:lineRule="auto"/>
        <w:tabs>
          <w:tab w:leader="none" w:pos="328" w:val="left"/>
        </w:tabs>
        <w:numPr>
          <w:ilvl w:val="0"/>
          <w:numId w:val="89"/>
        </w:numPr>
        <w:rPr>
          <w:rFonts w:ascii="Arial" w:cs="Arial" w:eastAsia="Arial" w:hAnsi="Arial"/>
          <w:sz w:val="21"/>
          <w:szCs w:val="21"/>
          <w:color w:val="auto"/>
        </w:rPr>
      </w:pPr>
      <w:r>
        <w:rPr>
          <w:rFonts w:ascii="Arial" w:cs="Arial" w:eastAsia="Arial" w:hAnsi="Arial"/>
          <w:sz w:val="21"/>
          <w:szCs w:val="21"/>
          <w:b w:val="1"/>
          <w:bCs w:val="1"/>
          <w:color w:val="auto"/>
        </w:rPr>
        <w:t xml:space="preserve">Acknowledgements and Acceptance. </w:t>
      </w:r>
      <w:r>
        <w:rPr>
          <w:rFonts w:ascii="Arial" w:cs="Arial" w:eastAsia="Arial" w:hAnsi="Arial"/>
          <w:sz w:val="21"/>
          <w:szCs w:val="21"/>
          <w:color w:val="auto"/>
        </w:rPr>
        <w:t>By accepting this Agreement, you agree that: (i) you have carefully read, fully</w:t>
      </w:r>
      <w:r>
        <w:rPr>
          <w:rFonts w:ascii="Arial" w:cs="Arial" w:eastAsia="Arial" w:hAnsi="Arial"/>
          <w:sz w:val="21"/>
          <w:szCs w:val="21"/>
          <w:b w:val="1"/>
          <w:bCs w:val="1"/>
          <w:color w:val="auto"/>
        </w:rPr>
        <w:t xml:space="preserve"> </w:t>
      </w:r>
      <w:r>
        <w:rPr>
          <w:rFonts w:ascii="Arial" w:cs="Arial" w:eastAsia="Arial" w:hAnsi="Arial"/>
          <w:sz w:val="21"/>
          <w:szCs w:val="21"/>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ectPr>
          <w:pgSz w:w="11900" w:h="16838" w:orient="portrait"/>
          <w:cols w:equalWidth="0" w:num="1">
            <w:col w:w="10908"/>
          </w:cols>
          <w:pgMar w:left="652" w:top="140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 FOR NON-EMPLOYEE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20"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color w:val="auto"/>
        </w:rPr>
        <w:t xml:space="preserve">This RESTRICTED STOCK UNIT AGREEMENT made in Charlotte, North Carolina, as of </w:t>
      </w:r>
      <w:r>
        <w:rPr>
          <w:rFonts w:ascii="Arial" w:cs="Arial" w:eastAsia="Arial" w:hAnsi="Arial"/>
          <w:sz w:val="22"/>
          <w:szCs w:val="22"/>
          <w:b w:val="1"/>
          <w:bCs w:val="1"/>
          <w:color w:val="auto"/>
        </w:rPr>
        <w:t>[GRANT DATE]</w:t>
      </w:r>
      <w:r>
        <w:rPr>
          <w:rFonts w:ascii="Arial" w:cs="Arial" w:eastAsia="Arial" w:hAnsi="Arial"/>
          <w:sz w:val="22"/>
          <w:szCs w:val="22"/>
          <w:color w:val="auto"/>
        </w:rPr>
        <w:t xml:space="preserve"> (“Grant Date”), between Honeywell International Inc. (the “Company”) and </w:t>
      </w:r>
      <w:r>
        <w:rPr>
          <w:rFonts w:ascii="Arial" w:cs="Arial" w:eastAsia="Arial" w:hAnsi="Arial"/>
          <w:sz w:val="22"/>
          <w:szCs w:val="22"/>
          <w:b w:val="1"/>
          <w:bCs w:val="1"/>
          <w:color w:val="auto"/>
        </w:rPr>
        <w:t>[DIRECTOR NAME]</w:t>
      </w:r>
      <w:r>
        <w:rPr>
          <w:rFonts w:ascii="Arial" w:cs="Arial" w:eastAsia="Arial" w:hAnsi="Arial"/>
          <w:sz w:val="22"/>
          <w:szCs w:val="22"/>
          <w:color w:val="auto"/>
        </w:rPr>
        <w:t xml:space="preserve"> (“Director”).</w:t>
      </w:r>
    </w:p>
    <w:p>
      <w:pPr>
        <w:spacing w:after="0" w:line="190" w:lineRule="exact"/>
        <w:rPr>
          <w:sz w:val="20"/>
          <w:szCs w:val="20"/>
          <w:color w:val="auto"/>
        </w:rPr>
      </w:pPr>
    </w:p>
    <w:p>
      <w:pPr>
        <w:jc w:val="both"/>
        <w:ind w:left="660" w:hanging="328"/>
        <w:spacing w:after="0" w:line="241" w:lineRule="auto"/>
        <w:tabs>
          <w:tab w:leader="none" w:pos="66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Award. </w:t>
      </w:r>
      <w:r>
        <w:rPr>
          <w:rFonts w:ascii="Arial" w:cs="Arial" w:eastAsia="Arial" w:hAnsi="Arial"/>
          <w:sz w:val="21"/>
          <w:szCs w:val="21"/>
          <w:color w:val="auto"/>
        </w:rPr>
        <w:t>The Company has granted you</w:t>
      </w:r>
      <w:r>
        <w:rPr>
          <w:rFonts w:ascii="Arial" w:cs="Arial" w:eastAsia="Arial" w:hAnsi="Arial"/>
          <w:sz w:val="21"/>
          <w:szCs w:val="21"/>
          <w:b w:val="1"/>
          <w:bCs w:val="1"/>
          <w:color w:val="auto"/>
        </w:rPr>
        <w:t xml:space="preserve"> [NUMBER] </w:t>
      </w:r>
      <w:r>
        <w:rPr>
          <w:rFonts w:ascii="Arial" w:cs="Arial" w:eastAsia="Arial" w:hAnsi="Arial"/>
          <w:sz w:val="21"/>
          <w:szCs w:val="21"/>
          <w:color w:val="auto"/>
        </w:rPr>
        <w:t>Restricted Stock Units, subject to the provisions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2016 Stock Plan For Non-Employee Directors of Honeywell International Inc. (the “Plan”). The Company will hold the Restricted Stock Units and Additional Restricted Stock Units (as defined in Section 2) in a bookkeeping account on your behalf until they become payable or are forfeited or cancelled.</w:t>
      </w:r>
    </w:p>
    <w:p>
      <w:pPr>
        <w:spacing w:after="0" w:line="197" w:lineRule="exact"/>
        <w:rPr>
          <w:rFonts w:ascii="Arial" w:cs="Arial" w:eastAsia="Arial" w:hAnsi="Arial"/>
          <w:sz w:val="21"/>
          <w:szCs w:val="21"/>
          <w:b w:val="1"/>
          <w:bCs w:val="1"/>
          <w:color w:val="auto"/>
        </w:rPr>
      </w:pPr>
    </w:p>
    <w:p>
      <w:pPr>
        <w:jc w:val="both"/>
        <w:ind w:left="660"/>
        <w:spacing w:after="0" w:line="228" w:lineRule="auto"/>
        <w:rPr>
          <w:rFonts w:ascii="Arial" w:cs="Arial" w:eastAsia="Arial" w:hAnsi="Arial"/>
          <w:sz w:val="21"/>
          <w:szCs w:val="21"/>
          <w:b w:val="1"/>
          <w:bCs w:val="1"/>
          <w:color w:val="auto"/>
        </w:rPr>
      </w:pPr>
      <w:r>
        <w:rPr>
          <w:rFonts w:ascii="Arial" w:cs="Arial" w:eastAsia="Arial" w:hAnsi="Arial"/>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93" w:lineRule="exact"/>
        <w:rPr>
          <w:rFonts w:ascii="Arial" w:cs="Arial" w:eastAsia="Arial" w:hAnsi="Arial"/>
          <w:sz w:val="21"/>
          <w:szCs w:val="21"/>
          <w:b w:val="1"/>
          <w:bCs w:val="1"/>
          <w:color w:val="auto"/>
        </w:rPr>
      </w:pPr>
    </w:p>
    <w:p>
      <w:pPr>
        <w:jc w:val="both"/>
        <w:ind w:left="660" w:hanging="328"/>
        <w:spacing w:after="0" w:line="256" w:lineRule="auto"/>
        <w:tabs>
          <w:tab w:leader="none" w:pos="66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Except as otherwise determined by the Corporate Governance and Responsibility Committee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[You will continue to earn Additional Restricted Stock Units on unpaid Restricted Stock Units and Additional Restricted Stock Units that are held in your bookkeeping account pursuant to a deferral election until the vested Shares are paid to you.]</w:t>
      </w:r>
    </w:p>
    <w:p>
      <w:pPr>
        <w:sectPr>
          <w:pgSz w:w="11900" w:h="16838" w:orient="portrait"/>
          <w:cols w:equalWidth="0" w:num="1">
            <w:col w:w="11240"/>
          </w:cols>
          <w:pgMar w:left="320" w:top="1417" w:right="339" w:bottom="1440" w:gutter="0" w:footer="0" w:header="0"/>
        </w:sectPr>
      </w:pPr>
    </w:p>
    <w:bookmarkStart w:id="98" w:name="page99"/>
    <w:bookmarkEnd w:id="98"/>
    <w:p>
      <w:pPr>
        <w:ind w:left="328" w:hanging="328"/>
        <w:spacing w:after="0" w:line="243" w:lineRule="auto"/>
        <w:tabs>
          <w:tab w:leader="none" w:pos="328"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Stock Unit and Additional Restricted Stock Unit represents one (1) Share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w:t>
      </w:r>
    </w:p>
    <w:p>
      <w:pPr>
        <w:spacing w:after="0" w:line="189" w:lineRule="exact"/>
        <w:rPr>
          <w:rFonts w:ascii="Arial" w:cs="Arial" w:eastAsia="Arial" w:hAnsi="Arial"/>
          <w:sz w:val="22"/>
          <w:szCs w:val="22"/>
          <w:b w:val="1"/>
          <w:bCs w:val="1"/>
          <w:color w:val="auto"/>
        </w:rPr>
      </w:pPr>
    </w:p>
    <w:p>
      <w:pPr>
        <w:jc w:val="both"/>
        <w:ind w:left="328" w:hanging="328"/>
        <w:spacing w:after="0" w:line="241" w:lineRule="auto"/>
        <w:tabs>
          <w:tab w:leader="none" w:pos="32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Except in the event of the termination of your directorship due to death or Disability, the occurrence of a Change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Control, or your voluntary termination on or after ten years as a Board member in good standing (as determined in the sole and absolute discretion of the Committee), the Restricted Stock Units and Additional Restricted Stock Units will vest as follows: </w:t>
      </w:r>
      <w:r>
        <w:rPr>
          <w:rFonts w:ascii="Arial" w:cs="Arial" w:eastAsia="Arial" w:hAnsi="Arial"/>
          <w:sz w:val="21"/>
          <w:szCs w:val="21"/>
          <w:b w:val="1"/>
          <w:bCs w:val="1"/>
          <w:color w:val="auto"/>
        </w:rPr>
        <w:t>[VESTING PROVISIONS CONSISTENT WITH THE PLAN]</w:t>
      </w:r>
      <w:r>
        <w:rPr>
          <w:rFonts w:ascii="Arial" w:cs="Arial" w:eastAsia="Arial" w:hAnsi="Arial"/>
          <w:sz w:val="21"/>
          <w:szCs w:val="21"/>
          <w:color w:val="auto"/>
        </w:rPr>
        <w:t>.</w:t>
      </w:r>
    </w:p>
    <w:p>
      <w:pPr>
        <w:spacing w:after="0" w:line="191" w:lineRule="exact"/>
        <w:rPr>
          <w:rFonts w:ascii="Arial" w:cs="Arial" w:eastAsia="Arial" w:hAnsi="Arial"/>
          <w:sz w:val="21"/>
          <w:szCs w:val="21"/>
          <w:b w:val="1"/>
          <w:bCs w:val="1"/>
          <w:color w:val="auto"/>
        </w:rPr>
      </w:pPr>
    </w:p>
    <w:p>
      <w:pPr>
        <w:jc w:val="both"/>
        <w:ind w:left="328" w:hanging="328"/>
        <w:spacing w:after="0" w:line="235" w:lineRule="auto"/>
        <w:tabs>
          <w:tab w:leader="none" w:pos="32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Form and Timing of Payment. </w:t>
      </w:r>
      <w:r>
        <w:rPr>
          <w:rFonts w:ascii="Arial" w:cs="Arial" w:eastAsia="Arial" w:hAnsi="Arial"/>
          <w:sz w:val="21"/>
          <w:szCs w:val="21"/>
          <w:color w:val="auto"/>
        </w:rPr>
        <w:t>Vested Restricted Stock Units will be redeemed solely for Shares. Except as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the Committee, in its sole discretion, vested Additional Restricted Stock Units will be redeemed solely for Shares. [Subject to a deferral election made pursuant to Section 11,]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w:t>
      </w:r>
    </w:p>
    <w:p>
      <w:pPr>
        <w:spacing w:after="0" w:line="194" w:lineRule="exact"/>
        <w:rPr>
          <w:rFonts w:ascii="Arial" w:cs="Arial" w:eastAsia="Arial" w:hAnsi="Arial"/>
          <w:sz w:val="21"/>
          <w:szCs w:val="21"/>
          <w:b w:val="1"/>
          <w:bCs w:val="1"/>
          <w:color w:val="auto"/>
        </w:rPr>
      </w:pPr>
    </w:p>
    <w:p>
      <w:pPr>
        <w:jc w:val="both"/>
        <w:ind w:left="328" w:hanging="328"/>
        <w:spacing w:after="0" w:line="263" w:lineRule="auto"/>
        <w:tabs>
          <w:tab w:leader="none" w:pos="328"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Directorship. </w:t>
      </w:r>
      <w:r>
        <w:rPr>
          <w:rFonts w:ascii="Arial" w:cs="Arial" w:eastAsia="Arial" w:hAnsi="Arial"/>
          <w:sz w:val="19"/>
          <w:szCs w:val="19"/>
          <w:color w:val="auto"/>
        </w:rPr>
        <w:t>If you voluntarily terminate from director service on or after ten years as a Board member</w:t>
      </w:r>
      <w:r>
        <w:rPr>
          <w:rFonts w:ascii="Arial" w:cs="Arial" w:eastAsia="Arial" w:hAnsi="Arial"/>
          <w:sz w:val="19"/>
          <w:szCs w:val="19"/>
          <w:b w:val="1"/>
          <w:bCs w:val="1"/>
          <w:color w:val="auto"/>
        </w:rPr>
        <w:t xml:space="preserve"> </w:t>
      </w:r>
      <w:r>
        <w:rPr>
          <w:rFonts w:ascii="Arial" w:cs="Arial" w:eastAsia="Arial" w:hAnsi="Arial"/>
          <w:sz w:val="19"/>
          <w:szCs w:val="19"/>
          <w:color w:val="auto"/>
        </w:rPr>
        <w:t>in good standing (as determined in the sole and absolute discretion of the Committee), the Vested Restricted Stock Units and Additional Restricted Stock Units under this Agreement will vest as of your termination date. If you terminate from director service for any reason other your death, Disability, or voluntarily on or after ten years as a Board member in good standing (as determined in the sole and absolute discretion of the Committee), any Restricted Stock Units and Additional Restricted Stock Units that have not vested as of the date of the termination of your directorship will immediately be forfeited, and your rights with respect to these Restricted Stock Units and Additional Restricted Stock Units will end.</w:t>
      </w:r>
    </w:p>
    <w:p>
      <w:pPr>
        <w:spacing w:after="0" w:line="173" w:lineRule="exact"/>
        <w:rPr>
          <w:rFonts w:ascii="Arial" w:cs="Arial" w:eastAsia="Arial" w:hAnsi="Arial"/>
          <w:sz w:val="19"/>
          <w:szCs w:val="19"/>
          <w:b w:val="1"/>
          <w:bCs w:val="1"/>
          <w:color w:val="auto"/>
        </w:rPr>
      </w:pPr>
    </w:p>
    <w:p>
      <w:pPr>
        <w:jc w:val="both"/>
        <w:ind w:left="328" w:hanging="328"/>
        <w:spacing w:after="0" w:line="241" w:lineRule="auto"/>
        <w:tabs>
          <w:tab w:leader="none" w:pos="32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Death or Disability. </w:t>
      </w:r>
      <w:r>
        <w:rPr>
          <w:rFonts w:ascii="Arial" w:cs="Arial" w:eastAsia="Arial" w:hAnsi="Arial"/>
          <w:sz w:val="21"/>
          <w:szCs w:val="21"/>
          <w:color w:val="auto"/>
        </w:rPr>
        <w:t>If you cease to be a director of the Company because of your death or Disability, any vesting</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restrictions on Restricted Stock Units and Additional Restricted Stock Units will lapse, and payment will be made in accordance with Section 5. If you are deceased, the Company will make a payment to your estate only after the Committee has determined that the payee is the duly appointed executor or administrator of your estate.</w:t>
      </w:r>
    </w:p>
    <w:p>
      <w:pPr>
        <w:spacing w:after="0" w:line="191" w:lineRule="exact"/>
        <w:rPr>
          <w:rFonts w:ascii="Arial" w:cs="Arial" w:eastAsia="Arial" w:hAnsi="Arial"/>
          <w:sz w:val="21"/>
          <w:szCs w:val="21"/>
          <w:b w:val="1"/>
          <w:bCs w:val="1"/>
          <w:color w:val="auto"/>
        </w:rPr>
      </w:pPr>
    </w:p>
    <w:p>
      <w:pPr>
        <w:ind w:left="328" w:hanging="328"/>
        <w:spacing w:after="0" w:line="243" w:lineRule="auto"/>
        <w:tabs>
          <w:tab w:leader="none" w:pos="328"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of a Change in Control, Restricted Stock Units and Additional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that have not vested or terminated as of the date of Change in Control will immediately vest.</w:t>
      </w:r>
    </w:p>
    <w:p>
      <w:pPr>
        <w:spacing w:after="0" w:line="189" w:lineRule="exact"/>
        <w:rPr>
          <w:rFonts w:ascii="Arial" w:cs="Arial" w:eastAsia="Arial" w:hAnsi="Arial"/>
          <w:sz w:val="22"/>
          <w:szCs w:val="22"/>
          <w:b w:val="1"/>
          <w:bCs w:val="1"/>
          <w:color w:val="auto"/>
        </w:rPr>
      </w:pPr>
    </w:p>
    <w:p>
      <w:pPr>
        <w:jc w:val="both"/>
        <w:ind w:left="328" w:hanging="328"/>
        <w:spacing w:after="0" w:line="241" w:lineRule="auto"/>
        <w:tabs>
          <w:tab w:leader="none" w:pos="328"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Withholdings. </w:t>
      </w:r>
      <w:r>
        <w:rPr>
          <w:rFonts w:ascii="Arial" w:cs="Arial" w:eastAsia="Arial" w:hAnsi="Arial"/>
          <w:sz w:val="21"/>
          <w:szCs w:val="21"/>
          <w:color w:val="auto"/>
        </w:rPr>
        <w:t>The Company shall have the power and the right to deduct or withhold, or require you to remit,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w:t>
      </w:r>
    </w:p>
    <w:p>
      <w:pPr>
        <w:sectPr>
          <w:pgSz w:w="11900" w:h="16838" w:orient="portrait"/>
          <w:cols w:equalWidth="0" w:num="1">
            <w:col w:w="10908"/>
          </w:cols>
          <w:pgMar w:left="652" w:top="1408" w:right="339" w:bottom="1440" w:gutter="0" w:footer="0" w:header="0"/>
        </w:sectPr>
      </w:pPr>
    </w:p>
    <w:bookmarkStart w:id="99" w:name="page100"/>
    <w:bookmarkEnd w:id="99"/>
    <w:p>
      <w:pPr>
        <w:ind w:left="328" w:right="20"/>
        <w:spacing w:after="0" w:line="239" w:lineRule="auto"/>
        <w:rPr>
          <w:sz w:val="20"/>
          <w:szCs w:val="20"/>
          <w:color w:val="auto"/>
        </w:rPr>
      </w:pPr>
      <w:r>
        <w:rPr>
          <w:rFonts w:ascii="Arial" w:cs="Arial" w:eastAsia="Arial" w:hAnsi="Arial"/>
          <w:sz w:val="22"/>
          <w:szCs w:val="22"/>
          <w:color w:val="auto"/>
        </w:rPr>
        <w:t>contributions, and National Insurance Contributions, that are required by law to be withheld as determined by the Company.</w:t>
      </w:r>
    </w:p>
    <w:p>
      <w:pPr>
        <w:spacing w:after="0" w:line="192" w:lineRule="exact"/>
        <w:rPr>
          <w:sz w:val="20"/>
          <w:szCs w:val="20"/>
          <w:color w:val="auto"/>
        </w:rPr>
      </w:pPr>
    </w:p>
    <w:p>
      <w:pPr>
        <w:jc w:val="both"/>
        <w:ind w:left="328" w:right="20" w:hanging="328"/>
        <w:spacing w:after="0" w:line="233" w:lineRule="auto"/>
        <w:tabs>
          <w:tab w:leader="none" w:pos="328"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Stock Units, Additional Restricted Stock Units or any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such Units except by will or the laws of descent and distribution or except as otherwise permitted by Section 11 of the Plan. Any other attempt to dispose of your interest will be null and void.</w:t>
      </w:r>
    </w:p>
    <w:p>
      <w:pPr>
        <w:spacing w:after="0" w:line="194" w:lineRule="exact"/>
        <w:rPr>
          <w:rFonts w:ascii="Arial" w:cs="Arial" w:eastAsia="Arial" w:hAnsi="Arial"/>
          <w:sz w:val="22"/>
          <w:szCs w:val="22"/>
          <w:b w:val="1"/>
          <w:bCs w:val="1"/>
          <w:color w:val="auto"/>
        </w:rPr>
      </w:pPr>
    </w:p>
    <w:p>
      <w:pPr>
        <w:jc w:val="both"/>
        <w:ind w:left="328" w:hanging="328"/>
        <w:spacing w:after="0" w:line="259" w:lineRule="auto"/>
        <w:tabs>
          <w:tab w:leader="none" w:pos="316"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 xml:space="preserve">[FOLLOWING INCLUDED AT COMPANY’S DISCRETION: </w:t>
      </w:r>
      <w:r>
        <w:rPr>
          <w:rFonts w:ascii="Arial" w:cs="Arial" w:eastAsia="Arial" w:hAnsi="Arial"/>
          <w:sz w:val="19"/>
          <w:szCs w:val="19"/>
          <w:b w:val="1"/>
          <w:bCs w:val="1"/>
          <w:color w:val="auto"/>
        </w:rPr>
        <w:t>Deferral of Payment.</w:t>
      </w:r>
      <w:r>
        <w:rPr>
          <w:rFonts w:ascii="Arial" w:cs="Arial" w:eastAsia="Arial" w:hAnsi="Arial"/>
          <w:sz w:val="19"/>
          <w:szCs w:val="19"/>
          <w:color w:val="auto"/>
        </w:rPr>
        <w:t xml:space="preserve"> If you would like to defer payment on the Restricted Stock Units and related Additional Restricted Stock Units, you may do so in writing on the deferral form provided with this grant setting forth your desired payment schedule. The deferral will not be permitted if, within the determination of the Company, such deferral would result in a violation of Section 409A of the Internal Revenue Code of 1986, as amended (the “Code”) and the regulations promulgated thereunder. If the deferral is not permitted, then payment will be made as provided in Section 5. All Additional Restricted Stock Units will be subject to the same deferral restrictions as the Restricted Stock Units to which they relate. Except as otherwise determined by the Company, Dividend Equivalents credited on deferred Restricted Stock Units and deferred Additional Restricted Stock Units will be paid in cash as soon as practicable following the date such Dividend Equivalents are credited but in no event later than 2-1/2 months following the end of the year in which the Dividend Equivalents vest.]</w:t>
      </w:r>
    </w:p>
    <w:p>
      <w:pPr>
        <w:spacing w:after="0" w:line="180" w:lineRule="exact"/>
        <w:rPr>
          <w:rFonts w:ascii="Arial" w:cs="Arial" w:eastAsia="Arial" w:hAnsi="Arial"/>
          <w:sz w:val="19"/>
          <w:szCs w:val="19"/>
          <w:b w:val="1"/>
          <w:bCs w:val="1"/>
          <w:color w:val="auto"/>
        </w:rPr>
      </w:pPr>
    </w:p>
    <w:p>
      <w:pPr>
        <w:jc w:val="both"/>
        <w:ind w:left="328" w:hanging="328"/>
        <w:spacing w:after="0" w:line="263" w:lineRule="auto"/>
        <w:tabs>
          <w:tab w:leader="none" w:pos="328"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Payment of Shares. </w:t>
      </w:r>
      <w:r>
        <w:rPr>
          <w:rFonts w:ascii="Arial" w:cs="Arial" w:eastAsia="Arial" w:hAnsi="Arial"/>
          <w:sz w:val="19"/>
          <w:szCs w:val="19"/>
          <w:color w:val="auto"/>
        </w:rPr>
        <w:t>Payment of Shares for your Restricted Stock Units and Additional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73" w:lineRule="exact"/>
        <w:rPr>
          <w:rFonts w:ascii="Arial" w:cs="Arial" w:eastAsia="Arial" w:hAnsi="Arial"/>
          <w:sz w:val="19"/>
          <w:szCs w:val="19"/>
          <w:b w:val="1"/>
          <w:bCs w:val="1"/>
          <w:color w:val="auto"/>
        </w:rPr>
      </w:pPr>
    </w:p>
    <w:p>
      <w:pPr>
        <w:ind w:left="328" w:right="20" w:hanging="328"/>
        <w:spacing w:after="0" w:line="243" w:lineRule="auto"/>
        <w:tabs>
          <w:tab w:leader="none" w:pos="328"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Restricted Stock Units and Additional Restricted Stock Units will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9 of the Plan.</w:t>
      </w:r>
    </w:p>
    <w:p>
      <w:pPr>
        <w:spacing w:after="0" w:line="189" w:lineRule="exact"/>
        <w:rPr>
          <w:rFonts w:ascii="Arial" w:cs="Arial" w:eastAsia="Arial" w:hAnsi="Arial"/>
          <w:sz w:val="22"/>
          <w:szCs w:val="22"/>
          <w:b w:val="1"/>
          <w:bCs w:val="1"/>
          <w:color w:val="auto"/>
        </w:rPr>
      </w:pPr>
    </w:p>
    <w:p>
      <w:pPr>
        <w:jc w:val="both"/>
        <w:ind w:left="328" w:hanging="328"/>
        <w:spacing w:after="0" w:line="232" w:lineRule="auto"/>
        <w:tabs>
          <w:tab w:leader="none" w:pos="328"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Disposition of Securities. </w:t>
      </w:r>
      <w:r>
        <w:rPr>
          <w:rFonts w:ascii="Arial" w:cs="Arial" w:eastAsia="Arial" w:hAnsi="Arial"/>
          <w:sz w:val="21"/>
          <w:szCs w:val="21"/>
          <w:color w:val="auto"/>
        </w:rPr>
        <w:t>By accepting the Award, you acknowledge that you have read and understand (i)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jc w:val="both"/>
        <w:ind w:left="328" w:hanging="328"/>
        <w:spacing w:after="0" w:line="226" w:lineRule="auto"/>
        <w:tabs>
          <w:tab w:leader="none" w:pos="328"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Terms Govern. </w:t>
      </w:r>
      <w:r>
        <w:rPr>
          <w:rFonts w:ascii="Arial" w:cs="Arial" w:eastAsia="Arial" w:hAnsi="Arial"/>
          <w:sz w:val="22"/>
          <w:szCs w:val="22"/>
          <w:color w:val="auto"/>
        </w:rPr>
        <w:t>The vesting and redemption of Restricted Stock Units or Additional Restricted Stock Units, the</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any Shares received for Restricted Stock Units or Additional Restricted Stock Units, the treatment of gain on the disposition</w:t>
      </w:r>
    </w:p>
    <w:p>
      <w:pPr>
        <w:sectPr>
          <w:pgSz w:w="11900" w:h="16838" w:orient="portrait"/>
          <w:cols w:equalWidth="0" w:num="1">
            <w:col w:w="10908"/>
          </w:cols>
          <w:pgMar w:left="652" w:top="1414" w:right="339" w:bottom="1440" w:gutter="0" w:footer="0" w:header="0"/>
        </w:sectPr>
      </w:pPr>
    </w:p>
    <w:bookmarkStart w:id="100" w:name="page101"/>
    <w:bookmarkEnd w:id="100"/>
    <w:p>
      <w:pPr>
        <w:jc w:val="both"/>
        <w:ind w:left="328"/>
        <w:spacing w:after="0" w:line="231" w:lineRule="auto"/>
        <w:rPr>
          <w:sz w:val="20"/>
          <w:szCs w:val="20"/>
          <w:color w:val="auto"/>
        </w:rPr>
      </w:pPr>
      <w:r>
        <w:rPr>
          <w:rFonts w:ascii="Arial" w:cs="Arial" w:eastAsia="Arial" w:hAnsi="Arial"/>
          <w:sz w:val="21"/>
          <w:szCs w:val="21"/>
          <w:color w:val="auto"/>
        </w:rPr>
        <w:t>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ind w:left="328" w:hanging="328"/>
        <w:spacing w:after="0"/>
        <w:tabs>
          <w:tab w:leader="none" w:pos="328"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Personal Data.</w:t>
      </w:r>
    </w:p>
    <w:p>
      <w:pPr>
        <w:spacing w:after="0" w:line="201" w:lineRule="exact"/>
        <w:rPr>
          <w:rFonts w:ascii="Arial" w:cs="Arial" w:eastAsia="Arial" w:hAnsi="Arial"/>
          <w:sz w:val="22"/>
          <w:szCs w:val="22"/>
          <w:b w:val="1"/>
          <w:bCs w:val="1"/>
          <w:color w:val="auto"/>
        </w:rPr>
      </w:pPr>
    </w:p>
    <w:p>
      <w:pPr>
        <w:jc w:val="both"/>
        <w:ind w:left="968" w:hanging="320"/>
        <w:spacing w:after="0" w:line="223" w:lineRule="auto"/>
        <w:tabs>
          <w:tab w:leader="none" w:pos="956" w:val="left"/>
        </w:tabs>
        <w:numPr>
          <w:ilvl w:val="1"/>
          <w:numId w:val="93"/>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 w:lineRule="exact"/>
        <w:rPr>
          <w:rFonts w:ascii="Arial" w:cs="Arial" w:eastAsia="Arial" w:hAnsi="Arial"/>
          <w:sz w:val="22"/>
          <w:szCs w:val="22"/>
          <w:color w:val="auto"/>
        </w:rPr>
      </w:pPr>
    </w:p>
    <w:p>
      <w:pPr>
        <w:jc w:val="both"/>
        <w:ind w:left="968" w:hanging="320"/>
        <w:spacing w:after="0" w:line="217" w:lineRule="auto"/>
        <w:tabs>
          <w:tab w:leader="none" w:pos="968" w:val="left"/>
        </w:tabs>
        <w:numPr>
          <w:ilvl w:val="1"/>
          <w:numId w:val="93"/>
        </w:numPr>
        <w:rPr>
          <w:rFonts w:ascii="Arial" w:cs="Arial" w:eastAsia="Arial" w:hAnsi="Arial"/>
          <w:sz w:val="22"/>
          <w:szCs w:val="22"/>
          <w:color w:val="auto"/>
        </w:rPr>
      </w:pPr>
      <w:r>
        <w:rPr>
          <w:rFonts w:ascii="Arial" w:cs="Arial" w:eastAsia="Arial" w:hAnsi="Arial"/>
          <w:sz w:val="22"/>
          <w:szCs w:val="22"/>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restricted units or other entitlement to shares awarded, canceled, exercised, vested, unvested, or outstanding in your favor, for the purpose of managing and administering the Plan (“Data”).</w:t>
      </w:r>
    </w:p>
    <w:p>
      <w:pPr>
        <w:spacing w:after="0" w:line="3" w:lineRule="exact"/>
        <w:rPr>
          <w:rFonts w:ascii="Arial" w:cs="Arial" w:eastAsia="Arial" w:hAnsi="Arial"/>
          <w:sz w:val="22"/>
          <w:szCs w:val="22"/>
          <w:color w:val="auto"/>
        </w:rPr>
      </w:pPr>
    </w:p>
    <w:p>
      <w:pPr>
        <w:jc w:val="both"/>
        <w:ind w:left="968" w:hanging="320"/>
        <w:spacing w:after="0" w:line="217" w:lineRule="auto"/>
        <w:tabs>
          <w:tab w:leader="none" w:pos="956" w:val="left"/>
        </w:tabs>
        <w:numPr>
          <w:ilvl w:val="1"/>
          <w:numId w:val="93"/>
        </w:numPr>
        <w:rPr>
          <w:rFonts w:ascii="Arial" w:cs="Arial" w:eastAsia="Arial" w:hAnsi="Arial"/>
          <w:sz w:val="22"/>
          <w:szCs w:val="22"/>
          <w:color w:val="auto"/>
        </w:rPr>
      </w:pPr>
      <w:r>
        <w:rPr>
          <w:rFonts w:ascii="Arial" w:cs="Arial" w:eastAsia="Arial" w:hAnsi="Arial"/>
          <w:sz w:val="22"/>
          <w:szCs w:val="22"/>
          <w:color w:val="auto"/>
        </w:rPr>
        <w:t>You further understand that part or all of your Data may be also held by the Company’s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3" w:lineRule="exact"/>
        <w:rPr>
          <w:rFonts w:ascii="Arial" w:cs="Arial" w:eastAsia="Arial" w:hAnsi="Arial"/>
          <w:sz w:val="22"/>
          <w:szCs w:val="22"/>
          <w:color w:val="auto"/>
        </w:rPr>
      </w:pPr>
    </w:p>
    <w:p>
      <w:pPr>
        <w:jc w:val="both"/>
        <w:ind w:left="968" w:hanging="320"/>
        <w:spacing w:after="0" w:line="217" w:lineRule="auto"/>
        <w:tabs>
          <w:tab w:leader="none" w:pos="968" w:val="left"/>
        </w:tabs>
        <w:numPr>
          <w:ilvl w:val="1"/>
          <w:numId w:val="93"/>
        </w:numPr>
        <w:rPr>
          <w:rFonts w:ascii="Arial" w:cs="Arial" w:eastAsia="Arial" w:hAnsi="Arial"/>
          <w:sz w:val="22"/>
          <w:szCs w:val="22"/>
          <w:color w:val="auto"/>
        </w:rPr>
      </w:pPr>
      <w:r>
        <w:rPr>
          <w:rFonts w:ascii="Arial" w:cs="Arial" w:eastAsia="Arial" w:hAnsi="Arial"/>
          <w:sz w:val="22"/>
          <w:szCs w:val="22"/>
          <w:color w:val="auto"/>
        </w:rPr>
        <w:t>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3" w:lineRule="exact"/>
        <w:rPr>
          <w:rFonts w:ascii="Arial" w:cs="Arial" w:eastAsia="Arial" w:hAnsi="Arial"/>
          <w:sz w:val="22"/>
          <w:szCs w:val="22"/>
          <w:color w:val="auto"/>
        </w:rPr>
      </w:pPr>
    </w:p>
    <w:p>
      <w:pPr>
        <w:ind w:left="968" w:hanging="320"/>
        <w:spacing w:after="0" w:line="252" w:lineRule="auto"/>
        <w:tabs>
          <w:tab w:leader="none" w:pos="861" w:val="left"/>
        </w:tabs>
        <w:numPr>
          <w:ilvl w:val="1"/>
          <w:numId w:val="93"/>
        </w:numPr>
        <w:rPr>
          <w:rFonts w:ascii="Arial" w:cs="Arial" w:eastAsia="Arial" w:hAnsi="Arial"/>
          <w:sz w:val="19"/>
          <w:szCs w:val="19"/>
          <w:color w:val="auto"/>
        </w:rPr>
      </w:pPr>
      <w:r>
        <w:rPr>
          <w:rFonts w:ascii="Arial" w:cs="Arial" w:eastAsia="Arial" w:hAnsi="Arial"/>
          <w:sz w:val="19"/>
          <w:szCs w:val="19"/>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ind w:left="968" w:hanging="320"/>
        <w:spacing w:after="0" w:line="224" w:lineRule="auto"/>
        <w:tabs>
          <w:tab w:leader="none" w:pos="837" w:val="left"/>
        </w:tabs>
        <w:numPr>
          <w:ilvl w:val="1"/>
          <w:numId w:val="93"/>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ectPr>
          <w:pgSz w:w="11900" w:h="16838" w:orient="portrait"/>
          <w:cols w:equalWidth="0" w:num="1">
            <w:col w:w="10908"/>
          </w:cols>
          <w:pgMar w:left="652" w:top="1414" w:right="339" w:bottom="1440" w:gutter="0" w:footer="0" w:header="0"/>
        </w:sectPr>
      </w:pPr>
    </w:p>
    <w:bookmarkStart w:id="101" w:name="page102"/>
    <w:bookmarkEnd w:id="101"/>
    <w:p>
      <w:pPr>
        <w:ind w:left="328" w:hanging="328"/>
        <w:spacing w:after="0" w:line="243" w:lineRule="auto"/>
        <w:tabs>
          <w:tab w:leader="none" w:pos="32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Discretionary Nature and Acceptance of Award</w:t>
      </w:r>
      <w:r>
        <w:rPr>
          <w:rFonts w:ascii="Arial" w:cs="Arial" w:eastAsia="Arial" w:hAnsi="Arial"/>
          <w:sz w:val="22"/>
          <w:szCs w:val="22"/>
          <w:color w:val="auto"/>
        </w:rPr>
        <w:t>. 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spacing w:after="0" w:line="195" w:lineRule="exact"/>
        <w:rPr>
          <w:rFonts w:ascii="Arial" w:cs="Arial" w:eastAsia="Arial" w:hAnsi="Arial"/>
          <w:sz w:val="22"/>
          <w:szCs w:val="22"/>
          <w:b w:val="1"/>
          <w:bCs w:val="1"/>
          <w:color w:val="auto"/>
        </w:rPr>
      </w:pPr>
    </w:p>
    <w:p>
      <w:pPr>
        <w:jc w:val="both"/>
        <w:ind w:left="968" w:right="80" w:hanging="320"/>
        <w:spacing w:after="0" w:line="223" w:lineRule="auto"/>
        <w:tabs>
          <w:tab w:leader="none" w:pos="95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Company is granting your Restricted Stock Units and Additional Restricted Stock Units, and this Agreement is not derived from any preexisting labor relationship between you and the Company, but rather from a mercantile relationship.</w:t>
      </w:r>
    </w:p>
    <w:p>
      <w:pPr>
        <w:spacing w:after="0" w:line="1" w:lineRule="exact"/>
        <w:rPr>
          <w:rFonts w:ascii="Arial" w:cs="Arial" w:eastAsia="Arial" w:hAnsi="Arial"/>
          <w:sz w:val="22"/>
          <w:szCs w:val="22"/>
          <w:color w:val="auto"/>
        </w:rPr>
      </w:pPr>
    </w:p>
    <w:p>
      <w:pPr>
        <w:ind w:left="968" w:right="160" w:hanging="320"/>
        <w:spacing w:after="0" w:line="228" w:lineRule="auto"/>
        <w:tabs>
          <w:tab w:leader="none" w:pos="968"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Company may administer the Plan from outside your country of residence and United States law will govern all Restricted Stock Units and Additional Restricted Stock Units granted under the Plan.</w:t>
      </w:r>
    </w:p>
    <w:p>
      <w:pPr>
        <w:ind w:left="968" w:hanging="320"/>
        <w:spacing w:after="0" w:line="217" w:lineRule="auto"/>
        <w:tabs>
          <w:tab w:leader="none" w:pos="968" w:val="left"/>
        </w:tabs>
        <w:numPr>
          <w:ilvl w:val="1"/>
          <w:numId w:val="94"/>
        </w:numPr>
        <w:rPr>
          <w:rFonts w:ascii="Arial" w:cs="Arial" w:eastAsia="Arial" w:hAnsi="Arial"/>
          <w:sz w:val="22"/>
          <w:szCs w:val="22"/>
          <w:color w:val="auto"/>
        </w:rPr>
      </w:pPr>
      <w:r>
        <w:rPr>
          <w:rFonts w:ascii="Arial" w:cs="Arial" w:eastAsia="Arial" w:hAnsi="Arial"/>
          <w:sz w:val="22"/>
          <w:szCs w:val="22"/>
          <w:color w:val="auto"/>
        </w:rPr>
        <w:t>Benefits and rights provided under the Plan do not constitute regular or periodic payments.</w:t>
      </w:r>
    </w:p>
    <w:p>
      <w:pPr>
        <w:jc w:val="both"/>
        <w:ind w:left="328" w:hanging="328"/>
        <w:spacing w:after="0" w:line="222" w:lineRule="auto"/>
        <w:tabs>
          <w:tab w:leader="none" w:pos="395"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Payment of your Restricted Stock Units and Additional Restricted Stock Units is not secured by a trust,</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96" w:lineRule="exact"/>
        <w:rPr>
          <w:rFonts w:ascii="Arial" w:cs="Arial" w:eastAsia="Arial" w:hAnsi="Arial"/>
          <w:sz w:val="22"/>
          <w:szCs w:val="22"/>
          <w:b w:val="1"/>
          <w:bCs w:val="1"/>
          <w:color w:val="auto"/>
        </w:rPr>
      </w:pPr>
    </w:p>
    <w:p>
      <w:pPr>
        <w:jc w:val="both"/>
        <w:ind w:left="328" w:hanging="328"/>
        <w:spacing w:after="0" w:line="247" w:lineRule="auto"/>
        <w:tabs>
          <w:tab w:leader="none" w:pos="328"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 between you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regarding the Restricted Stock Units. This Agreement supersedes any prior agreements, commitments or negotiations concerning the Restricted Stock Units and the Additional Restricted Stock Units.</w:t>
      </w:r>
    </w:p>
    <w:p>
      <w:pPr>
        <w:spacing w:after="0" w:line="185" w:lineRule="exact"/>
        <w:rPr>
          <w:rFonts w:ascii="Arial" w:cs="Arial" w:eastAsia="Arial" w:hAnsi="Arial"/>
          <w:sz w:val="21"/>
          <w:szCs w:val="21"/>
          <w:b w:val="1"/>
          <w:bCs w:val="1"/>
          <w:color w:val="auto"/>
        </w:rPr>
      </w:pPr>
    </w:p>
    <w:p>
      <w:pPr>
        <w:jc w:val="both"/>
        <w:ind w:left="328" w:hanging="328"/>
        <w:spacing w:after="0" w:line="229" w:lineRule="auto"/>
        <w:tabs>
          <w:tab w:leader="none" w:pos="32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95" w:lineRule="exact"/>
        <w:rPr>
          <w:rFonts w:ascii="Arial" w:cs="Arial" w:eastAsia="Arial" w:hAnsi="Arial"/>
          <w:sz w:val="22"/>
          <w:szCs w:val="22"/>
          <w:b w:val="1"/>
          <w:bCs w:val="1"/>
          <w:color w:val="auto"/>
        </w:rPr>
      </w:pPr>
    </w:p>
    <w:p>
      <w:pPr>
        <w:jc w:val="both"/>
        <w:ind w:left="328" w:hanging="328"/>
        <w:spacing w:after="0" w:line="233" w:lineRule="auto"/>
        <w:tabs>
          <w:tab w:leader="none" w:pos="32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194" w:lineRule="exact"/>
        <w:rPr>
          <w:rFonts w:ascii="Arial" w:cs="Arial" w:eastAsia="Arial" w:hAnsi="Arial"/>
          <w:sz w:val="22"/>
          <w:szCs w:val="22"/>
          <w:b w:val="1"/>
          <w:bCs w:val="1"/>
          <w:color w:val="auto"/>
        </w:rPr>
      </w:pPr>
    </w:p>
    <w:p>
      <w:pPr>
        <w:jc w:val="both"/>
        <w:ind w:left="328" w:hanging="328"/>
        <w:spacing w:after="0" w:line="233" w:lineRule="auto"/>
        <w:tabs>
          <w:tab w:leader="none" w:pos="32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 without your</w:t>
      </w:r>
      <w:r>
        <w:rPr>
          <w:rFonts w:ascii="Arial" w:cs="Arial" w:eastAsia="Arial" w:hAnsi="Arial"/>
          <w:sz w:val="22"/>
          <w:szCs w:val="22"/>
          <w:b w:val="1"/>
          <w:bCs w:val="1"/>
          <w:color w:val="auto"/>
        </w:rPr>
        <w:t xml:space="preserve"> </w:t>
      </w:r>
      <w:r>
        <w:rPr>
          <w:rFonts w:ascii="Arial" w:cs="Arial" w:eastAsia="Arial" w:hAnsi="Arial"/>
          <w:sz w:val="22"/>
          <w:szCs w:val="22"/>
          <w:color w:val="auto"/>
        </w:rPr>
        <w:t>consent to the extent necessary or desirable to comply with the requirements of Code section 409A, the Treasury regulations and other guidance thereunder.</w:t>
      </w:r>
    </w:p>
    <w:p>
      <w:pPr>
        <w:spacing w:after="0" w:line="194" w:lineRule="exact"/>
        <w:rPr>
          <w:rFonts w:ascii="Arial" w:cs="Arial" w:eastAsia="Arial" w:hAnsi="Arial"/>
          <w:sz w:val="22"/>
          <w:szCs w:val="22"/>
          <w:b w:val="1"/>
          <w:bCs w:val="1"/>
          <w:color w:val="auto"/>
        </w:rPr>
      </w:pPr>
    </w:p>
    <w:p>
      <w:pPr>
        <w:jc w:val="both"/>
        <w:ind w:left="328" w:hanging="328"/>
        <w:spacing w:after="0" w:line="269" w:lineRule="auto"/>
        <w:tabs>
          <w:tab w:leader="none" w:pos="328"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Acknowledegments and Acceptance. </w:t>
      </w:r>
      <w:r>
        <w:rPr>
          <w:rFonts w:ascii="Arial" w:cs="Arial" w:eastAsia="Arial" w:hAnsi="Arial"/>
          <w:sz w:val="19"/>
          <w:szCs w:val="19"/>
          <w:color w:val="auto"/>
        </w:rPr>
        <w:t>By accepting this Agreement, you agree that: (i) you have carefully read, fully</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Restricted Stock Units, and that any prior agreements, commitments or negotiations concerning the Restricted Stock Units are replaced and superseded.</w:t>
      </w:r>
    </w:p>
    <w:p>
      <w:pPr>
        <w:sectPr>
          <w:pgSz w:w="11900" w:h="16838" w:orient="portrait"/>
          <w:cols w:equalWidth="0" w:num="1">
            <w:col w:w="10908"/>
          </w:cols>
          <w:pgMar w:left="652" w:top="140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RETIREMENT AGREEMENT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AGREEMENT </w:t>
      </w:r>
      <w:r>
        <w:rPr>
          <w:rFonts w:ascii="Arial" w:cs="Arial" w:eastAsia="Arial" w:hAnsi="Arial"/>
          <w:sz w:val="21"/>
          <w:szCs w:val="21"/>
          <w:color w:val="auto"/>
        </w:rPr>
        <w:t>by and between Rajeev Gautam (hereinafter referred to as “Retiree”), and Honeywell International Inc., a</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organized under the laws of the state of Delaware (hereinafter referred to as “Honeywell” or the “Company”).</w:t>
      </w:r>
    </w:p>
    <w:p>
      <w:pPr>
        <w:spacing w:after="0" w:line="16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WITNESSETH:</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Retiree has been an employee of the Company for approximately 43 years (the last five years as President &amp; CEO</w:t>
      </w:r>
      <w:r>
        <w:rPr>
          <w:rFonts w:ascii="Arial" w:cs="Arial" w:eastAsia="Arial" w:hAnsi="Arial"/>
          <w:sz w:val="22"/>
          <w:szCs w:val="22"/>
          <w:b w:val="1"/>
          <w:bCs w:val="1"/>
          <w:color w:val="auto"/>
        </w:rPr>
        <w:t xml:space="preserve"> </w:t>
      </w:r>
      <w:r>
        <w:rPr>
          <w:rFonts w:ascii="Arial" w:cs="Arial" w:eastAsia="Arial" w:hAnsi="Arial"/>
          <w:sz w:val="22"/>
          <w:szCs w:val="22"/>
          <w:color w:val="auto"/>
        </w:rPr>
        <w:t>of Honeywell Performance Materials &amp; Technologies (“PMT”)); and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Retiree has announced his decision to retire from the Company effective August 13, 2021 (“Retirement Date”);</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189"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Retiree is willing to provide assistance to the Company in transitioning his role and responsibilities to his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successor; and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Retiree is willing to provide additional transition services to the Company for approximately six (6) months</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his retirement; and</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desirous of rewarding the Retiree for his long and distinguished service, as well as the</w:t>
      </w:r>
      <w:r>
        <w:rPr>
          <w:rFonts w:ascii="Arial" w:cs="Arial" w:eastAsia="Arial" w:hAnsi="Arial"/>
          <w:sz w:val="22"/>
          <w:szCs w:val="22"/>
          <w:b w:val="1"/>
          <w:bCs w:val="1"/>
          <w:color w:val="auto"/>
        </w:rPr>
        <w:t xml:space="preserve"> </w:t>
      </w:r>
      <w:r>
        <w:rPr>
          <w:rFonts w:ascii="Arial" w:cs="Arial" w:eastAsia="Arial" w:hAnsi="Arial"/>
          <w:sz w:val="22"/>
          <w:szCs w:val="22"/>
          <w:color w:val="auto"/>
        </w:rPr>
        <w:t>aforementioned transition services, by allowing him to continue to vest in certain previously granted long term incentive (“LTI”) awards; and</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is desirous of securing greater protections under its existing restrictive covenants with the Retiree;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it is agreed as follows:</w:t>
      </w:r>
    </w:p>
    <w:p>
      <w:pPr>
        <w:spacing w:after="0" w:line="24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SERVICES PERIOD</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From the Retirement Date through January 31, 2022 (the “Transition Services Period”), Retiree shall provide the consulting services outlined in the Consulting Agreement attached hereto as Exhibit A. During the Transition Services Period, Retiree shall not become employed by any other entity without the consent of the Company’s Chief Executive Officer.</w:t>
      </w:r>
    </w:p>
    <w:p>
      <w:pPr>
        <w:sectPr>
          <w:pgSz w:w="11900" w:h="16838" w:orient="portrait"/>
          <w:cols w:equalWidth="0" w:num="1">
            <w:col w:w="11240"/>
          </w:cols>
          <w:pgMar w:left="320" w:top="1417" w:right="339" w:bottom="1440" w:gutter="0" w:footer="0" w:header="0"/>
        </w:sectPr>
      </w:pPr>
    </w:p>
    <w:bookmarkStart w:id="103" w:name="page104"/>
    <w:bookmarkEnd w:id="103"/>
    <w:p>
      <w:pPr>
        <w:ind w:left="660" w:hanging="652"/>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STATUS</w:t>
      </w:r>
    </w:p>
    <w:p>
      <w:pPr>
        <w:spacing w:after="0" w:line="25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During the Transition Services Period, the Retiree is not granted, and shall not exercise, any authority to assume or create any obligation or responsibility, express or implied, on behalf of or in the name of the Company, or to bind the Company to any agreement, contract or arrangement of any nature, except as expressly provided herein. Moreover, for the duration of the Transition Services Period, Retiree shall be deemed to be and shall act strictly and exclusively as an independent contractor and shall not be considered under the provisions of this Agreement or otherwise as having an employee status with Honeywell, or as being eligible to participate in or receive any benefit under a benefit plan or program made available to employees of the Company.</w:t>
      </w:r>
    </w:p>
    <w:p>
      <w:pPr>
        <w:spacing w:after="0" w:line="217"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 PACKAGE</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(i) recognition of Retiree’s service to the Company, (ii) partial consideration of Retiree’s agreement to provide consulting services during the Transition Services Period, and (iii) consideration of the enhanced restrictive covenants described in this Agreement, the Management Development and Compensation Committee of the Board of Directors has approved the following treatment for certain outstanding LTI awards previously granted to the Retiree (the “Consideration”), notwithstanding any contrary provisions in the applicable Company compensation plans, incentive plans, stock plans, or award agreements:</w:t>
      </w:r>
    </w:p>
    <w:p>
      <w:pPr>
        <w:spacing w:after="0" w:line="174" w:lineRule="exact"/>
        <w:rPr>
          <w:sz w:val="20"/>
          <w:szCs w:val="20"/>
          <w:color w:val="auto"/>
        </w:rPr>
      </w:pPr>
    </w:p>
    <w:p>
      <w:pPr>
        <w:jc w:val="both"/>
        <w:ind w:left="660" w:right="660" w:hanging="328"/>
        <w:spacing w:after="0" w:line="263" w:lineRule="auto"/>
        <w:tabs>
          <w:tab w:leader="none" w:pos="660" w:val="left"/>
        </w:tabs>
        <w:numPr>
          <w:ilvl w:val="0"/>
          <w:numId w:val="98"/>
        </w:numPr>
        <w:rPr>
          <w:rFonts w:ascii="Arial" w:cs="Arial" w:eastAsia="Arial" w:hAnsi="Arial"/>
          <w:sz w:val="21"/>
          <w:szCs w:val="21"/>
          <w:i w:val="1"/>
          <w:iCs w:val="1"/>
          <w:color w:val="auto"/>
        </w:rPr>
      </w:pPr>
      <w:r>
        <w:rPr>
          <w:rFonts w:ascii="Arial" w:cs="Arial" w:eastAsia="Arial" w:hAnsi="Arial"/>
          <w:sz w:val="21"/>
          <w:szCs w:val="21"/>
          <w:i w:val="1"/>
          <w:iCs w:val="1"/>
          <w:color w:val="auto"/>
        </w:rPr>
        <w:t>Restricted Stock Units</w:t>
      </w:r>
      <w:r>
        <w:rPr>
          <w:rFonts w:ascii="Arial" w:cs="Arial" w:eastAsia="Arial" w:hAnsi="Arial"/>
          <w:sz w:val="21"/>
          <w:szCs w:val="21"/>
          <w:color w:val="auto"/>
        </w:rPr>
        <w:t>. The Retiree will retain the right to continued vesting in any time-based and performance-based restricted stock units that otherwise would have vested after his Retirement Date, such that such awards will become fully vested as scheduled (and with respect to any performance-based restricted stock units only, subject to any applicable Company performance conditions). The vesting of such restricted stock units shall occur on the dates set forth in the applicable award agreements.</w:t>
      </w:r>
    </w:p>
    <w:p>
      <w:pPr>
        <w:spacing w:after="0" w:line="202" w:lineRule="exact"/>
        <w:rPr>
          <w:rFonts w:ascii="Arial" w:cs="Arial" w:eastAsia="Arial" w:hAnsi="Arial"/>
          <w:sz w:val="21"/>
          <w:szCs w:val="21"/>
          <w:i w:val="1"/>
          <w:iCs w:val="1"/>
          <w:color w:val="auto"/>
        </w:rPr>
      </w:pPr>
    </w:p>
    <w:p>
      <w:pPr>
        <w:jc w:val="both"/>
        <w:ind w:left="660" w:right="640" w:hanging="328"/>
        <w:spacing w:after="0" w:line="235" w:lineRule="auto"/>
        <w:tabs>
          <w:tab w:leader="none" w:pos="660" w:val="left"/>
        </w:tabs>
        <w:numPr>
          <w:ilvl w:val="0"/>
          <w:numId w:val="98"/>
        </w:numPr>
        <w:rPr>
          <w:rFonts w:ascii="Arial" w:cs="Arial" w:eastAsia="Arial" w:hAnsi="Arial"/>
          <w:sz w:val="22"/>
          <w:szCs w:val="22"/>
          <w:i w:val="1"/>
          <w:iCs w:val="1"/>
          <w:color w:val="auto"/>
        </w:rPr>
      </w:pPr>
      <w:r>
        <w:rPr>
          <w:rFonts w:ascii="Arial" w:cs="Arial" w:eastAsia="Arial" w:hAnsi="Arial"/>
          <w:sz w:val="22"/>
          <w:szCs w:val="22"/>
          <w:i w:val="1"/>
          <w:iCs w:val="1"/>
          <w:color w:val="auto"/>
        </w:rPr>
        <w:t>Stock Options</w:t>
      </w:r>
      <w:r>
        <w:rPr>
          <w:rFonts w:ascii="Arial" w:cs="Arial" w:eastAsia="Arial" w:hAnsi="Arial"/>
          <w:sz w:val="22"/>
          <w:szCs w:val="22"/>
          <w:color w:val="auto"/>
        </w:rPr>
        <w:t>. The Retiree will retain the right to continued vesting in any stock options that otherwise would</w:t>
      </w:r>
      <w:r>
        <w:rPr>
          <w:rFonts w:ascii="Arial" w:cs="Arial" w:eastAsia="Arial" w:hAnsi="Arial"/>
          <w:sz w:val="22"/>
          <w:szCs w:val="22"/>
          <w:i w:val="1"/>
          <w:iCs w:val="1"/>
          <w:color w:val="auto"/>
        </w:rPr>
        <w:t xml:space="preserve"> </w:t>
      </w:r>
      <w:r>
        <w:rPr>
          <w:rFonts w:ascii="Arial" w:cs="Arial" w:eastAsia="Arial" w:hAnsi="Arial"/>
          <w:sz w:val="22"/>
          <w:szCs w:val="22"/>
          <w:color w:val="auto"/>
        </w:rPr>
        <w:t>have vested after his Retirement Date (“Post-Retirement Options”), such that all stock options that Retiree has been granted will ultimately become vested according to their original schedule. The Retiree shall have the full remaining term to exercise all vested stock options, including all Post-Retirement Options, such that all stock options, including all Post-Retirement Options, shall be exercisable up through the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their grant date.</w:t>
      </w:r>
    </w:p>
    <w:p>
      <w:pPr>
        <w:spacing w:after="0" w:line="228" w:lineRule="exact"/>
        <w:rPr>
          <w:rFonts w:ascii="Arial" w:cs="Arial" w:eastAsia="Arial" w:hAnsi="Arial"/>
          <w:sz w:val="22"/>
          <w:szCs w:val="22"/>
          <w:i w:val="1"/>
          <w:iCs w:val="1"/>
          <w:color w:val="auto"/>
        </w:rPr>
      </w:pPr>
    </w:p>
    <w:p>
      <w:pPr>
        <w:jc w:val="both"/>
        <w:ind w:left="660" w:right="660" w:hanging="328"/>
        <w:spacing w:after="0" w:line="250" w:lineRule="auto"/>
        <w:tabs>
          <w:tab w:leader="none" w:pos="660" w:val="left"/>
        </w:tabs>
        <w:numPr>
          <w:ilvl w:val="0"/>
          <w:numId w:val="98"/>
        </w:numPr>
        <w:rPr>
          <w:rFonts w:ascii="Arial" w:cs="Arial" w:eastAsia="Arial" w:hAnsi="Arial"/>
          <w:sz w:val="22"/>
          <w:szCs w:val="22"/>
          <w:i w:val="1"/>
          <w:iCs w:val="1"/>
          <w:color w:val="auto"/>
        </w:rPr>
      </w:pPr>
      <w:r>
        <w:rPr>
          <w:rFonts w:ascii="Arial" w:cs="Arial" w:eastAsia="Arial" w:hAnsi="Arial"/>
          <w:sz w:val="22"/>
          <w:szCs w:val="22"/>
          <w:i w:val="1"/>
          <w:iCs w:val="1"/>
          <w:color w:val="auto"/>
        </w:rPr>
        <w:t>Performance Stock Units (“PSUs”)</w:t>
      </w:r>
      <w:r>
        <w:rPr>
          <w:rFonts w:ascii="Arial" w:cs="Arial" w:eastAsia="Arial" w:hAnsi="Arial"/>
          <w:sz w:val="22"/>
          <w:szCs w:val="22"/>
          <w:color w:val="auto"/>
        </w:rPr>
        <w:t>. The Retiree will be entitled to vest as scheduled in all outstanding PSUs, such</w:t>
      </w:r>
      <w:r>
        <w:rPr>
          <w:rFonts w:ascii="Arial" w:cs="Arial" w:eastAsia="Arial" w:hAnsi="Arial"/>
          <w:sz w:val="22"/>
          <w:szCs w:val="22"/>
          <w:i w:val="1"/>
          <w:iCs w:val="1"/>
          <w:color w:val="auto"/>
        </w:rPr>
        <w:t xml:space="preserve"> </w:t>
      </w:r>
      <w:r>
        <w:rPr>
          <w:rFonts w:ascii="Arial" w:cs="Arial" w:eastAsia="Arial" w:hAnsi="Arial"/>
          <w:sz w:val="22"/>
          <w:szCs w:val="22"/>
          <w:color w:val="auto"/>
        </w:rPr>
        <w:t>that such awards will ultimately become fully vested, subject to any applicable Company performance conditions. The payout from such PSUs shall be made at the same time and in the same form such payments are made to other Company executives.</w:t>
      </w:r>
    </w:p>
    <w:p>
      <w:pPr>
        <w:sectPr>
          <w:pgSz w:w="11900" w:h="16838" w:orient="portrait"/>
          <w:cols w:equalWidth="0" w:num="1">
            <w:col w:w="11240"/>
          </w:cols>
          <w:pgMar w:left="320" w:top="1422" w:right="339" w:bottom="1440" w:gutter="0" w:footer="0" w:header="0"/>
        </w:sectPr>
      </w:pPr>
    </w:p>
    <w:bookmarkStart w:id="104" w:name="page105"/>
    <w:bookmarkEnd w:id="104"/>
    <w:p>
      <w:pPr>
        <w:jc w:val="both"/>
        <w:ind w:left="660" w:right="640" w:hanging="328"/>
        <w:spacing w:after="0" w:line="263" w:lineRule="auto"/>
        <w:tabs>
          <w:tab w:leader="none" w:pos="660" w:val="left"/>
        </w:tabs>
        <w:numPr>
          <w:ilvl w:val="1"/>
          <w:numId w:val="99"/>
        </w:numPr>
        <w:rPr>
          <w:rFonts w:ascii="Arial" w:cs="Arial" w:eastAsia="Arial" w:hAnsi="Arial"/>
          <w:sz w:val="21"/>
          <w:szCs w:val="21"/>
          <w:color w:val="auto"/>
        </w:rPr>
      </w:pPr>
      <w:r>
        <w:rPr>
          <w:rFonts w:ascii="Arial" w:cs="Arial" w:eastAsia="Arial" w:hAnsi="Arial"/>
          <w:sz w:val="21"/>
          <w:szCs w:val="21"/>
          <w:i w:val="1"/>
          <w:iCs w:val="1"/>
          <w:color w:val="auto"/>
        </w:rPr>
        <w:t>Pro-Rated Incentive Compensation</w:t>
      </w:r>
      <w:r>
        <w:rPr>
          <w:rFonts w:ascii="Arial" w:cs="Arial" w:eastAsia="Arial" w:hAnsi="Arial"/>
          <w:sz w:val="21"/>
          <w:szCs w:val="21"/>
          <w:color w:val="auto"/>
        </w:rPr>
        <w:t>. The Retiree shall be eligible to receive a pro-rated (i.e., January 1, 2021 to</w:t>
      </w:r>
      <w:r>
        <w:rPr>
          <w:rFonts w:ascii="Arial" w:cs="Arial" w:eastAsia="Arial" w:hAnsi="Arial"/>
          <w:sz w:val="21"/>
          <w:szCs w:val="21"/>
          <w:i w:val="1"/>
          <w:iCs w:val="1"/>
          <w:color w:val="auto"/>
        </w:rPr>
        <w:t xml:space="preserve"> </w:t>
      </w:r>
      <w:r>
        <w:rPr>
          <w:rFonts w:ascii="Arial" w:cs="Arial" w:eastAsia="Arial" w:hAnsi="Arial"/>
          <w:sz w:val="21"/>
          <w:szCs w:val="21"/>
          <w:color w:val="auto"/>
        </w:rPr>
        <w:t>August 13, 2021) short-term incentive award for the 2021 performance year. Such award shall be based upon Retiree’s individual performance, PMT performance, overall Company performance, and the funding levels authorized by the Company’s Board of Directors, and shall be paid at the same time as short-term incentive awards are paid to other executives, which is anticipated to be in March 2022.</w:t>
      </w:r>
    </w:p>
    <w:p>
      <w:pPr>
        <w:spacing w:after="0" w:line="196" w:lineRule="exact"/>
        <w:rPr>
          <w:rFonts w:ascii="Arial" w:cs="Arial" w:eastAsia="Arial" w:hAnsi="Arial"/>
          <w:sz w:val="21"/>
          <w:szCs w:val="21"/>
          <w:color w:val="auto"/>
        </w:rPr>
      </w:pPr>
    </w:p>
    <w:p>
      <w:pPr>
        <w:ind w:left="660" w:hanging="652"/>
        <w:spacing w:after="0"/>
        <w:tabs>
          <w:tab w:leader="none" w:pos="6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CONTINGENCIES</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order to receive the Consideration under this Agreement, Retiree must sign and return this Agreement in the form provided no later than September 1, 2021.</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By signing this Agreement, Retiree acknowledges that he (a) has carefully read this Agreement in its entirety; (b) is hereby advised by the Company, in this writing, to consult with an attorney of his choice before signing this Agreement; (c) fully understands the significance of all of the terms and conditions of this Agreement and has discussed them with an attorney of his choice, or has had a reasonable opportunity to do so; and (d) is signing this Agreement voluntarily and of his own free will and agrees to abide by all the terms and conditions contained herein.</w:t>
      </w:r>
    </w:p>
    <w:p>
      <w:pPr>
        <w:spacing w:after="0" w:line="21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If Retiree materially breaches any of the terms of this Agreement (including the Consulting Agreement and any intellectual property or noncompetition agreements to which he may be subject, and which are hereby incorporated by reference), he (a) shall forfeit all rights to future benefits under this Agreement; (b) must repay all benefits previously received pursuant to Section 3 of this Agreement upon the Company’s demand; and (c) must pay reasonable attorneys’ fees and all other costs incurred as a result of such breach if a court determines that such breach was willful. Provided, however, this subparagraph shall not be applicable to challenges to the validity of this Agreement under the Age Discrimination in Employment Act or Older Workers Benefit Protection Act, nor will the Company seek any damages of any sort against Retiree for having made such a challenge.</w:t>
      </w:r>
    </w:p>
    <w:p>
      <w:pPr>
        <w:spacing w:after="0" w:line="172"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GENERAL RELEASE OF CLAIMS</w:t>
      </w:r>
    </w:p>
    <w:p>
      <w:pPr>
        <w:spacing w:after="0" w:line="25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exchange for entering into this Agreement and the Consideration set forth herein, Retiree does hereby waive and release, knowingly and willingly, Honeywell International Inc., its future parent corporations, its predecessor companies, its past, present and future divisions, subsidiaries, affiliates and related companies and their successors and assigns and all past, present and future directors, officers, employees and agents of these entities, personally and as directors, officers, employees and agents (collectively the “Honeywell Group”), from any and all claims of any nature whatsoever Retiree has arising out of his employment and/or the termination of employment with the Honeywell Group, known or unknown, including but not limited to any claims he may have under federal, state or local employment, labor, or anti-discrimination laws, statutes and case law and specifically claims arising under the federal Age Discrimination in Employment Act of 1967, the Civil Rights Acts of 1866 and 1964, the Americans with Disabilities Act of 1990, Executive Order 11246, the Employee Retirement</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85" w:lineRule="auto"/>
        <w:rPr>
          <w:sz w:val="20"/>
          <w:szCs w:val="20"/>
          <w:color w:val="auto"/>
        </w:rPr>
      </w:pPr>
      <w:r>
        <w:rPr>
          <w:rFonts w:ascii="Arial" w:cs="Arial" w:eastAsia="Arial" w:hAnsi="Arial"/>
          <w:sz w:val="19"/>
          <w:szCs w:val="19"/>
          <w:color w:val="auto"/>
        </w:rPr>
        <w:t>Income Security Act of 1974 (“ERISA”), the Family and Medical Leave Act of 1993, the Rehabilitation Act of 1973, the Fair Labor Standards Act, the Labor-Management Relations Act, the Equal Pay Act of 1963, the Fair Credit Reporting Act, the Pregnancy Discrimination Act, the Uniformed Services Employment and Reemployment Rights Act of 1994, the Occupational Safety and Health Act, the Worker Adjustment Retraining and Notification Act (all such statutes, as amended), the New Jersey Law Against Discrimination, as amended, the New Jersey Equal Pay Act, the New Jersey Smokers’ Rights Law, the New Jersey Family Leave Act, the New Jersey Worker Freedom From Intimidation Act, the New Jersey Constitution, the New Jersey Conscientious Employee Protection Act, New Jersey common law, the Illinois Human Rights Act, the Illinois Equal Pay Law, the Illinois Smokers’ Rights Law, the Illinois Genetic Information Privacy Act, the Illinois Bill of Rights for the Homeless Act, the Illinois Constitution, Illinois common law and any and all other applicable state, county or local ordinances, statutes or regulations, including claims for attorneys' fees; provided, however, that this release does not apply to claims under ERISA Section 502(a)(1)(B) for benefits under Honeywell Group sponsored benefit plans covered under ERISA (other than claims for severance and severance related benefits), does not apply to claims arising out of obligations expressly undertaken in this Agreement, does not apply to claims that cannot be waived as a matter of law, does not apply to any rights to indemnification that Retiree may have pursuant to any agreement he previously entered into with the Company or its charter, bylaws, or similar governing documents, and does not apply to claims arising out of any act or omission occurring after the date Retiree signs this Agreement. All claims, including contingent claims, for incentive compensation awards under any Honeywell Group plan or payroll practice, along with any claims under any state wage and hour laws, are specifically subject to this release of claims. Any rights to benefits (other than severance benefits) under Honeywell Group sponsored benefit plans are governed exclusively by the written plan documents.</w:t>
      </w:r>
    </w:p>
    <w:p>
      <w:pPr>
        <w:spacing w:after="0" w:line="200" w:lineRule="exact"/>
        <w:rPr>
          <w:sz w:val="20"/>
          <w:szCs w:val="20"/>
          <w:color w:val="auto"/>
        </w:rPr>
      </w:pP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Notwithstanding the foregoing, nothing in this Agreement (or any exhibit or attachment thereto) is intended to or shall be construed to prevent Retiree from (i) filing an administrative charge or otherwise communicating with or reporting possible violations of law to any federal, state or local government office, official or agency; or (ii) reporting any accounting, internal accounting control, or auditing matter to any federal regulatory agency, any federal law enforcement agency, any Member of Congress or any committee or subcommittee of Congress; and (iii) engaging in any activity protected by the Sarbanes-Oxley Act (18 U.S.C. § 1514A) or the National Labor Relations Act.</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By virtue of the foregoing, Retiree agrees that he has waived any damages and other relief available to him (including, without limitation, monetary damages, equitable relief and reinstatement) with respect to any claim or cause of action released in this General Release of Claims section. Therefore, Retiree agrees that he will not accept any award or settlement from any source or proceeding (including, but not limited to, any proceeding brought by any other person or by any governmental agency) with respect to any claim or right waived in this Agreement.</w:t>
      </w:r>
    </w:p>
    <w:p>
      <w:pPr>
        <w:sectPr>
          <w:pgSz w:w="11900" w:h="16838" w:orient="portrait"/>
          <w:cols w:equalWidth="0" w:num="1">
            <w:col w:w="11240"/>
          </w:cols>
          <w:pgMar w:left="320" w:top="1428" w:right="339" w:bottom="1440" w:gutter="0" w:footer="0" w:header="0"/>
        </w:sectPr>
      </w:pPr>
    </w:p>
    <w:bookmarkStart w:id="106" w:name="page107"/>
    <w:bookmarkEnd w:id="106"/>
    <w:p>
      <w:pPr>
        <w:ind w:left="660" w:hanging="652"/>
        <w:spacing w:after="0"/>
        <w:tabs>
          <w:tab w:leader="none" w:pos="6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NONSOLICITATION AND NONCOMPETITION COVENANTS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Retiree acknowledges and agrees that in partial recompense for the Consideration, his intellectual property and noncompetition agreements with the Company shall be amended by substituting three (3) year restrictions on competition and nonsolicitation for the two (2) year periods set forth therein.</w:t>
      </w:r>
    </w:p>
    <w:p>
      <w:pPr>
        <w:spacing w:after="0" w:line="206"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NON-DISPARAGEMENT</w:t>
      </w:r>
    </w:p>
    <w:p>
      <w:pPr>
        <w:spacing w:after="0" w:line="25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At no time on or after the date hereof will Retiree make any statement (or cause someone else to make any statement), or issue or cause to be issued any communication, publicly or privately (including, without limitation, to members of the media, business press, equity analysts, industry groups or organizations, Honeywell employees, contractors, clients, customers, vendors, suppliers, business partners or competitors, investors/shareholders), that would be disparaging (as defined below) to the Honeywell Group, its businesses, strategies, prospects, condition or reputation, or that of its directors, employees, officers or members; provided, however, that nothing contained in any provision of this Agreement shall preclude Retiree from communicating with his legal advisors or making any statement in good faith that is required by any applicable law or regulation or pursuant to an order of a court or other governmental body. For purposes of this Agreement,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create a negative, adverse or derogatory impression, or to harm the reputation of, the subject of the statement or representation. For the avoidance of doubt, Retiree agrees that he will not write or contribute to any book, article, social media post or other media publication, whether in written or electronic format, that is in any way descriptive of the Honeywell Group or his career with the Company without submitting a draft thereof for approval, at least thirty (30) days in advance, to the Company’s Senior Vice President and General Counsel, whose judgment about whether such book, article, social media post or other media publication is disparaging (and therefore prohibited) shall be determinative.</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CLAIMS WARRANTIES</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Retiree represents and warrants that he is not aware of any facts that would establish, tend to establish or in any way support an allegation that any member of the Honeywell Group has engaged in conduct that he believes could violate (1) any provision of federal law relating to fraud (including but not limited to the Sarbanes-Oxley Act, the Dodd-Frank Wall Street Reform and Consumer Protection Act (“Dodd-Frank Act”) and/or any state or local counterpart); (2) any rule or regulation of the Securities and Exchange Commission; (3) the federal False Claims Act and/or any state or local or municipal qui tam counterpart (which prohibit the presentation by the Company or any affiliate of false claims and statements or the creation of false records or statements in order to obtain payment of federal, state, county or municipal funds, or to avoid refunds of such government funds); and (4) any other federal, state or local law.</w:t>
      </w:r>
    </w:p>
    <w:p>
      <w:pPr>
        <w:sectPr>
          <w:pgSz w:w="11900" w:h="16838" w:orient="portrait"/>
          <w:cols w:equalWidth="0" w:num="1">
            <w:col w:w="11240"/>
          </w:cols>
          <w:pgMar w:left="320" w:top="1422" w:right="339" w:bottom="1440" w:gutter="0" w:footer="0" w:header="0"/>
        </w:sectPr>
      </w:pPr>
    </w:p>
    <w:bookmarkStart w:id="107" w:name="page108"/>
    <w:bookmarkEnd w:id="107"/>
    <w:p>
      <w:pPr>
        <w:ind w:left="660" w:hanging="652"/>
        <w:spacing w:after="0"/>
        <w:tabs>
          <w:tab w:leader="none" w:pos="6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 AND NONDISCLOSURE</w:t>
      </w:r>
    </w:p>
    <w:p>
      <w:pPr>
        <w:spacing w:after="0" w:line="25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In further exchange for the Consideration under this Agreement, Retiree agrees to cooperate fully with the Company in any matters that have given or may give rise to a legal claim against the Company, and of which Retiree is knowledgeable as a result of his employment with the Company. This requires Retiree, without limitation, to (i) make himself available upon reasonable request to provide information and assistance to the Company on such matters without additional compensation, except for out of pocket costs, (ii) maintain the confidentiality of all Company privileged information including, without limitation, attorney-client privileged communications and attorney work product, unless disclosure is expressly authorized by the Company’s Law Department, and (iii) notify the Company promptly of any requests to Retiree for information from any third party (excluding government entities), related to any pending or potential legal claim or litigation involving the Company, reviewing any such request with a designated representative of the Company prior to disclosing any such information, and permitting a representative of the Company to be present during any communication of such information.</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Nothing in this Agreement prohibits Retiree from reporting possible violations of federal law or regulation to any governmental agency or entity including, but not limited to, the Department of Justice, the Securities and Exchange Commission, the Congress, and any Inspector General, or making other disclosures that are protected under the whistleblower provisions of federal law or regulation. Retiree does not need the prior authorization of the Law Department to make any such reports or disclosures and Retiree is not required to notify the Company that he has made such reports or disclosures.</w:t>
      </w:r>
    </w:p>
    <w:p>
      <w:pPr>
        <w:spacing w:after="0" w:line="214"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CLAWBACK RIGHTS</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Retiree hereby acknowledges and agrees that, notwithstanding any other provision of this Agreement to the contrary, no contractual provision or legal requirement relating to recoupment or clawback by the Company of any amount in the nature of compensation shall be affected by his retirement or the payments contemplated hereby, and all such provisions and requirements shall remain in effect and enforceable in accordance with their terms after the date hereof.</w:t>
      </w:r>
    </w:p>
    <w:p>
      <w:pPr>
        <w:spacing w:after="0" w:line="196"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Neither party shall assign any right in or obligation arising under this Agreement without the other party’s written consent, and any such assignment shall be void. This Agreement shall be binding on and inure to the benefit of each party’s heirs, executors, legal representatives, successors and permitted assigns.</w:t>
      </w:r>
    </w:p>
    <w:p>
      <w:pPr>
        <w:spacing w:after="0" w:line="20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Notices or communications hereunder shall be in writing, addressed as follows:</w:t>
      </w:r>
    </w:p>
    <w:p>
      <w:pPr>
        <w:sectPr>
          <w:pgSz w:w="11900" w:h="16838" w:orient="portrait"/>
          <w:cols w:equalWidth="0" w:num="1">
            <w:col w:w="11240"/>
          </w:cols>
          <w:pgMar w:left="320" w:top="1422" w:right="339" w:bottom="1440" w:gutter="0" w:footer="0" w:header="0"/>
        </w:sectPr>
      </w:pPr>
    </w:p>
    <w:bookmarkStart w:id="108" w:name="page109"/>
    <w:bookmarkEnd w:id="108"/>
    <w:p>
      <w:pPr>
        <w:spacing w:after="0" w:line="15"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Honeywell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115 Tabor Road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Morris Plains, New Jersey 07950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Attn: Kevin M. Covert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and Deputy General Counsel</w:t>
      </w:r>
    </w:p>
    <w:p>
      <w:pPr>
        <w:spacing w:after="0" w:line="200" w:lineRule="exact"/>
        <w:rPr>
          <w:sz w:val="20"/>
          <w:szCs w:val="20"/>
          <w:color w:val="auto"/>
        </w:rPr>
      </w:pPr>
    </w:p>
    <w:p>
      <w:pPr>
        <w:sectPr>
          <w:pgSz w:w="11900" w:h="16838" w:orient="portrait"/>
          <w:cols w:equalWidth="0" w:num="2">
            <w:col w:w="3920" w:space="720"/>
            <w:col w:w="6600"/>
          </w:cols>
          <w:pgMar w:left="320" w:top="1440" w:right="339" w:bottom="1440" w:gutter="0" w:footer="0" w:header="0"/>
        </w:sectPr>
      </w:pP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If to the Retiree: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Rajeev Gautam</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20689 W Lakeridge Court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Kildeer, Illinois 60047</w:t>
      </w:r>
    </w:p>
    <w:p>
      <w:pPr>
        <w:spacing w:after="0" w:line="200" w:lineRule="exact"/>
        <w:rPr>
          <w:sz w:val="20"/>
          <w:szCs w:val="20"/>
          <w:color w:val="auto"/>
        </w:rPr>
      </w:pPr>
    </w:p>
    <w:p>
      <w:pPr>
        <w:sectPr>
          <w:pgSz w:w="11900" w:h="16838" w:orient="portrait"/>
          <w:cols w:equalWidth="0" w:num="2">
            <w:col w:w="3920" w:space="720"/>
            <w:col w:w="6600"/>
          </w:cols>
          <w:pgMar w:left="320" w:top="1440"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21"/>
          <w:szCs w:val="21"/>
          <w:color w:val="auto"/>
        </w:rPr>
        <w:t>Any such notice shall be deemed to be given as of the date it is personally delivered, the next business day after the date faxed (upon confirmation of receipt of transmission), or five days after the date mailed in the manner specified.</w:t>
      </w:r>
    </w:p>
    <w:p>
      <w:pPr>
        <w:spacing w:after="0" w:line="172"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409A CONSIDERATIONS</w:t>
      </w:r>
    </w:p>
    <w:p>
      <w:pPr>
        <w:spacing w:after="0" w:line="25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It is intended that this Agreement be administered in compliance with Section 409A of the Code, including, but not limited to, any future amendments to Code Section 409A, and any other Internal Revenue Service (“IRS”) or other governmental rulings or interpretations issued pursuant to Section 409A (together, “Section 409A”) so as not to subject Retiree to payment of interest or any additional tax under Section 409A. The parties intend for any payments under this Agreement either to satisfy the requirements of Section 409A or to be exempt from the application of Section 409A, and this Agreement shall be construed and interpreted accordingly. In furtherance thereof, if payment or provision of any amount or benefit hereunder that is subject to Section 409A at the time specified herein would subject such amount or benefit to any additional tax under Section 409A, the payment or provision of such amount or benefit shall be postponed to the earliest commencement date on which the payment or provision of such amount or benefit can be made without incurring such additional tax. In addition, to the extent that Section 409A or any IRS guidance issued under Section 409A would result in Retiree being subject to the payment of interest or any additional tax under Section 409A, the parties agree, to the extent reasonably possible, to amend this Agreement to avoid the imposition of any such interest or additional tax under Section 409A, which amendment shall minimize any negative economic effect on Retiree and be reasonably determined in good faith by the Company and Retiree. As a “specified employee” as defined in Section 409A, any amounts payable under this Agreement that would be subject to the special rule regarding payments to “specified employees” under Section 409A(a)(2)(B) of the Code shall not be paid before the expiration of a period of six (6) months following the date of the termination of Retiree’s employment. In such case, Retiree shall receive all such deferred amounts retroactively in a single sum and the balance thereof as otherwise provided. In no event whatsoever shall the Company be liable for any additional tax, interest or penalties that may be imposed on Retiree by Code Section 409A or any damages for failing to comply with Section 409A; provided that, in the event that any excise tax or interest amount (“409A Amount”) is imposed on Retiree as a result of any negligent act or omission by</w:t>
      </w:r>
    </w:p>
    <w:p>
      <w:pPr>
        <w:sectPr>
          <w:pgSz w:w="11900" w:h="16838" w:orient="portrait"/>
          <w:cols w:equalWidth="0" w:num="1">
            <w:col w:w="11240"/>
          </w:cols>
          <w:pgMar w:left="320" w:top="1440" w:right="339" w:bottom="1440" w:gutter="0" w:footer="0" w:header="0"/>
          <w:type w:val="continuous"/>
        </w:sectPr>
      </w:pPr>
    </w:p>
    <w:bookmarkStart w:id="109" w:name="page110"/>
    <w:bookmarkEnd w:id="109"/>
    <w:p>
      <w:pPr>
        <w:spacing w:after="0" w:line="263" w:lineRule="auto"/>
        <w:rPr>
          <w:sz w:val="20"/>
          <w:szCs w:val="20"/>
          <w:color w:val="auto"/>
        </w:rPr>
      </w:pPr>
      <w:r>
        <w:rPr>
          <w:rFonts w:ascii="Arial" w:cs="Arial" w:eastAsia="Arial" w:hAnsi="Arial"/>
          <w:sz w:val="22"/>
          <w:szCs w:val="22"/>
          <w:color w:val="auto"/>
        </w:rPr>
        <w:t>the Company, the Company shall reimburse Retiree for any such 409A Amount, grossed-up for taxes at an assumed total tax rate of forty percent (40%).</w:t>
      </w:r>
    </w:p>
    <w:p>
      <w:pPr>
        <w:spacing w:after="0" w:line="196"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Agreement shall be governed by, and construed in accordance with, the laws of the State of North Carolina, without reference to principles of conflict of laws. Additionally, any action to enforce the terms of this Agreement shall be commenced exclusively in the federal or state courts of the State of North Carolina. Both parties consent to the exclusive jurisdiction of the federal and state courts in the State of North Carolina and waive any claim under the doctrine of forum non conveniens.</w:t>
      </w:r>
    </w:p>
    <w:p>
      <w:pPr>
        <w:spacing w:after="0" w:line="163"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Agreement contains the entire agreement and understanding of the parties hereto with respect to the subject matter hereof, and merges and supersedes all prior agreements, discussions and writings with respect thereto. No modification or alteration of this Agreement shall be effective unless made in writing and signed by both the Retiree and the Company.</w:t>
      </w:r>
    </w:p>
    <w:p>
      <w:pPr>
        <w:spacing w:after="0" w:line="154"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REMEDIES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Without prejudice to the rights and remedies otherwise available to the Company hereunder, the Company shall be entitled to equitable relief by way of injunction or otherwise if Retiree breaches or threatens to breach any of the provisions of this Agreement.</w:t>
      </w:r>
    </w:p>
    <w:p>
      <w:pPr>
        <w:spacing w:after="0" w:line="206"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5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the event any provision of this Agreement shall not be enforceable, the remainder of this Agreement shall remain in full force and effect.</w:t>
      </w:r>
    </w:p>
    <w:p>
      <w:pPr>
        <w:spacing w:after="0" w:line="196"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NO WAIVER</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waiver by the Company of any nonperformance or breach by Retiree of any provisions of this Agreement must be in writing and shall not be construed as waiving any such provision in the future. No delay or failure by Company in enforcing or exercising any right hereunder and no partial or single exercise thereof, shall be deemed of itself to constitute a waiver of such right or any other rights hereunder.</w:t>
      </w:r>
    </w:p>
    <w:p>
      <w:pPr>
        <w:sectPr>
          <w:pgSz w:w="11900" w:h="16838" w:orient="portrait"/>
          <w:cols w:equalWidth="0" w:num="1">
            <w:col w:w="11240"/>
          </w:cols>
          <w:pgMar w:left="320" w:top="1428" w:right="339" w:bottom="1440" w:gutter="0" w:footer="0" w:header="0"/>
        </w:sectPr>
      </w:pPr>
    </w:p>
    <w:bookmarkStart w:id="110" w:name="page111"/>
    <w:bookmarkEnd w:id="110"/>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0" w:type="dxa"/>
            <w:vAlign w:val="bottom"/>
            <w:gridSpan w:val="3"/>
          </w:tcPr>
          <w:p>
            <w:pPr>
              <w:ind w:left="2560"/>
              <w:spacing w:after="0"/>
              <w:rPr>
                <w:sz w:val="20"/>
                <w:szCs w:val="20"/>
                <w:color w:val="auto"/>
              </w:rPr>
            </w:pPr>
            <w:r>
              <w:rPr>
                <w:rFonts w:ascii="Arial" w:cs="Arial" w:eastAsia="Arial" w:hAnsi="Arial"/>
                <w:sz w:val="22"/>
                <w:szCs w:val="22"/>
                <w:b w:val="1"/>
                <w:bCs w:val="1"/>
                <w:color w:val="auto"/>
              </w:rPr>
              <w:t>HONEYWELL INTERNATIONAL INC.</w:t>
            </w:r>
          </w:p>
        </w:tc>
      </w:tr>
      <w:tr>
        <w:trPr>
          <w:trHeight w:val="260"/>
        </w:trPr>
        <w:tc>
          <w:tcPr>
            <w:tcW w:w="2180" w:type="dxa"/>
            <w:vAlign w:val="bottom"/>
            <w:gridSpan w:val="2"/>
          </w:tcPr>
          <w:p>
            <w:pPr>
              <w:spacing w:after="0"/>
              <w:rPr>
                <w:sz w:val="20"/>
                <w:szCs w:val="20"/>
                <w:color w:val="auto"/>
              </w:rPr>
            </w:pPr>
            <w:r>
              <w:rPr>
                <w:rFonts w:ascii="Arial" w:cs="Arial" w:eastAsia="Arial" w:hAnsi="Arial"/>
                <w:sz w:val="22"/>
                <w:szCs w:val="22"/>
                <w:color w:val="auto"/>
                <w:w w:val="98"/>
              </w:rPr>
              <w:t>By: /s/ Rajeev Gautam</w:t>
            </w:r>
          </w:p>
        </w:tc>
        <w:tc>
          <w:tcPr>
            <w:tcW w:w="6800" w:type="dxa"/>
            <w:vAlign w:val="bottom"/>
            <w:gridSpan w:val="3"/>
          </w:tcPr>
          <w:p>
            <w:pPr>
              <w:ind w:left="3140"/>
              <w:spacing w:after="0"/>
              <w:rPr>
                <w:sz w:val="20"/>
                <w:szCs w:val="20"/>
                <w:color w:val="auto"/>
              </w:rPr>
            </w:pPr>
            <w:r>
              <w:rPr>
                <w:rFonts w:ascii="Arial" w:cs="Arial" w:eastAsia="Arial" w:hAnsi="Arial"/>
                <w:sz w:val="22"/>
                <w:szCs w:val="22"/>
                <w:color w:val="auto"/>
              </w:rPr>
              <w:t>By: /s/ Kevin M. Covert</w:t>
            </w:r>
          </w:p>
        </w:tc>
      </w:tr>
      <w:tr>
        <w:trPr>
          <w:trHeight w:val="20"/>
        </w:trPr>
        <w:tc>
          <w:tcPr>
            <w:tcW w:w="3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1"/>
        </w:trPr>
        <w:tc>
          <w:tcPr>
            <w:tcW w:w="2180" w:type="dxa"/>
            <w:vAlign w:val="bottom"/>
            <w:gridSpan w:val="2"/>
          </w:tcPr>
          <w:p>
            <w:pPr>
              <w:spacing w:after="0"/>
              <w:rPr>
                <w:sz w:val="20"/>
                <w:szCs w:val="20"/>
                <w:color w:val="auto"/>
              </w:rPr>
            </w:pPr>
            <w:r>
              <w:rPr>
                <w:rFonts w:ascii="Arial" w:cs="Arial" w:eastAsia="Arial" w:hAnsi="Arial"/>
                <w:sz w:val="22"/>
                <w:szCs w:val="22"/>
                <w:b w:val="1"/>
                <w:bCs w:val="1"/>
                <w:color w:val="auto"/>
              </w:rPr>
              <w:t>RAJEEV GAUTAM</w:t>
            </w:r>
          </w:p>
        </w:tc>
        <w:tc>
          <w:tcPr>
            <w:tcW w:w="6800" w:type="dxa"/>
            <w:vAlign w:val="bottom"/>
            <w:gridSpan w:val="3"/>
          </w:tcPr>
          <w:p>
            <w:pPr>
              <w:ind w:left="3140"/>
              <w:spacing w:after="0"/>
              <w:rPr>
                <w:sz w:val="20"/>
                <w:szCs w:val="20"/>
                <w:color w:val="auto"/>
              </w:rPr>
            </w:pPr>
            <w:r>
              <w:rPr>
                <w:rFonts w:ascii="Arial" w:cs="Arial" w:eastAsia="Arial" w:hAnsi="Arial"/>
                <w:sz w:val="22"/>
                <w:szCs w:val="22"/>
                <w:b w:val="1"/>
                <w:bCs w:val="1"/>
                <w:color w:val="auto"/>
              </w:rPr>
              <w:t>KEVIN M. COVERT</w:t>
            </w:r>
          </w:p>
        </w:tc>
      </w:tr>
      <w:tr>
        <w:trPr>
          <w:trHeight w:val="283"/>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0" w:type="dxa"/>
            <w:vAlign w:val="bottom"/>
            <w:gridSpan w:val="3"/>
          </w:tcPr>
          <w:p>
            <w:pPr>
              <w:ind w:left="3140"/>
              <w:spacing w:after="0"/>
              <w:rPr>
                <w:sz w:val="20"/>
                <w:szCs w:val="20"/>
                <w:color w:val="auto"/>
              </w:rPr>
            </w:pPr>
            <w:r>
              <w:rPr>
                <w:rFonts w:ascii="Arial" w:cs="Arial" w:eastAsia="Arial" w:hAnsi="Arial"/>
                <w:sz w:val="22"/>
                <w:szCs w:val="22"/>
                <w:color w:val="auto"/>
                <w:w w:val="88"/>
              </w:rPr>
              <w:t>Vice President &amp; Deputy General Counsel</w:t>
            </w:r>
          </w:p>
        </w:tc>
      </w:tr>
      <w:tr>
        <w:trPr>
          <w:trHeight w:val="810"/>
        </w:trPr>
        <w:tc>
          <w:tcPr>
            <w:tcW w:w="2180" w:type="dxa"/>
            <w:vAlign w:val="bottom"/>
            <w:gridSpan w:val="2"/>
          </w:tcPr>
          <w:p>
            <w:pPr>
              <w:spacing w:after="0"/>
              <w:rPr>
                <w:sz w:val="20"/>
                <w:szCs w:val="20"/>
                <w:color w:val="auto"/>
              </w:rPr>
            </w:pPr>
            <w:r>
              <w:rPr>
                <w:rFonts w:ascii="Arial" w:cs="Arial" w:eastAsia="Arial" w:hAnsi="Arial"/>
                <w:sz w:val="22"/>
                <w:szCs w:val="22"/>
                <w:color w:val="auto"/>
              </w:rPr>
              <w:t>Dated: July 20, 2021</w:t>
            </w:r>
          </w:p>
        </w:tc>
        <w:tc>
          <w:tcPr>
            <w:tcW w:w="6800" w:type="dxa"/>
            <w:vAlign w:val="bottom"/>
            <w:gridSpan w:val="3"/>
          </w:tcPr>
          <w:p>
            <w:pPr>
              <w:ind w:left="3140"/>
              <w:spacing w:after="0"/>
              <w:rPr>
                <w:sz w:val="20"/>
                <w:szCs w:val="20"/>
                <w:color w:val="auto"/>
              </w:rPr>
            </w:pPr>
            <w:r>
              <w:rPr>
                <w:rFonts w:ascii="Arial" w:cs="Arial" w:eastAsia="Arial" w:hAnsi="Arial"/>
                <w:sz w:val="22"/>
                <w:szCs w:val="22"/>
                <w:color w:val="auto"/>
              </w:rPr>
              <w:t>Dated: July 20, 2021</w:t>
            </w:r>
          </w:p>
        </w:tc>
      </w:tr>
    </w:tbl>
    <w:p>
      <w:pPr>
        <w:sectPr>
          <w:pgSz w:w="11900" w:h="16838" w:orient="portrait"/>
          <w:cols w:equalWidth="0" w:num="1">
            <w:col w:w="10119"/>
          </w:cols>
          <w:pgMar w:left="340" w:top="1440" w:right="1440" w:bottom="1440" w:gutter="0" w:footer="0" w:header="0"/>
        </w:sectPr>
      </w:pPr>
    </w:p>
    <w:bookmarkStart w:id="111" w:name="page112"/>
    <w:bookmarkEnd w:id="111"/>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CONSULTING AGREEMENT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AGREEMENT </w:t>
      </w:r>
      <w:r>
        <w:rPr>
          <w:rFonts w:ascii="Arial" w:cs="Arial" w:eastAsia="Arial" w:hAnsi="Arial"/>
          <w:sz w:val="22"/>
          <w:szCs w:val="22"/>
          <w:color w:val="auto"/>
        </w:rPr>
        <w:t>made effective as of the 14th day of August, 2021 by and between Rajeev Gautam (hereinafter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as “Consultant”), and Honeywell International Inc., a corporation organized under the laws of the state of Delaware (hereinafter referred to as “Honeywell” or the “Company”).</w:t>
      </w:r>
    </w:p>
    <w:p>
      <w:pPr>
        <w:spacing w:after="0" w:line="20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WITNESSETH:</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Consultant has been an employee of the Company for approximately 43 years (the last five years as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&amp; CEO of Honeywell Performance Materials &amp; Technologies (“PMT”)); and</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Consultant has spent the majority of his career has working in Honeywell UOP, a strategic business unit of</w:t>
      </w:r>
      <w:r>
        <w:rPr>
          <w:rFonts w:ascii="Arial" w:cs="Arial" w:eastAsia="Arial" w:hAnsi="Arial"/>
          <w:sz w:val="22"/>
          <w:szCs w:val="22"/>
          <w:b w:val="1"/>
          <w:bCs w:val="1"/>
          <w:color w:val="auto"/>
        </w:rPr>
        <w:t xml:space="preserve"> </w:t>
      </w:r>
      <w:r>
        <w:rPr>
          <w:rFonts w:ascii="Arial" w:cs="Arial" w:eastAsia="Arial" w:hAnsi="Arial"/>
          <w:sz w:val="22"/>
          <w:szCs w:val="22"/>
          <w:color w:val="auto"/>
        </w:rPr>
        <w:t>PMT;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Honeywell UOP has a relatively new President; and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Consultant has announced his decision to retire from the Company effective August 13, 2021; and</w:t>
      </w:r>
    </w:p>
    <w:p>
      <w:pPr>
        <w:spacing w:after="0" w:line="2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desirous of engaging Consultant to (i) assist in the transition of his responsibilities as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&amp; CEO of PMT to his successor; and (ii) provide advice and counsel to the President of Honeywell UOP (collectively the “Transition Services”); and</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Consultant is willing to provide the Transition Services on a part-time basis and according to his own</w:t>
      </w:r>
      <w:r>
        <w:rPr>
          <w:rFonts w:ascii="Arial" w:cs="Arial" w:eastAsia="Arial" w:hAnsi="Arial"/>
          <w:sz w:val="22"/>
          <w:szCs w:val="22"/>
          <w:b w:val="1"/>
          <w:bCs w:val="1"/>
          <w:color w:val="auto"/>
        </w:rPr>
        <w:t xml:space="preserve"> </w:t>
      </w:r>
      <w:r>
        <w:rPr>
          <w:rFonts w:ascii="Arial" w:cs="Arial" w:eastAsia="Arial" w:hAnsi="Arial"/>
          <w:sz w:val="22"/>
          <w:szCs w:val="22"/>
          <w:color w:val="auto"/>
        </w:rPr>
        <w:t>schedule;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it is agreed as follows:</w:t>
      </w:r>
    </w:p>
    <w:p>
      <w:pPr>
        <w:spacing w:after="0" w:line="253" w:lineRule="exact"/>
        <w:rPr>
          <w:sz w:val="20"/>
          <w:szCs w:val="20"/>
          <w:color w:val="auto"/>
        </w:rPr>
      </w:pPr>
    </w:p>
    <w:p>
      <w:pPr>
        <w:jc w:val="both"/>
        <w:ind w:firstLine="656"/>
        <w:spacing w:after="0" w:line="246" w:lineRule="auto"/>
        <w:tabs>
          <w:tab w:leader="none" w:pos="12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Company hereby retains Consultant as an independent contractor to perform the services set forth in Exhibit A, attached hereto and made a part hereof, as well as other similar and appurtenant duties as may be assigned to Consultant by the Company’s Chief Executive Officer (“CEO”) while performing such services. CEO and Consultant shall confer from time to time to review and revise, as appropriate, the list of services set forth in Exhibit A. Subject to the provisions of Paragraph 2, Consultant agrees to comply with applicable Company policies in the performance of his services hereunder. The term of this Agreement shall begin on August 14, 2021 (“Effective Date”) and end on January 31, 2022 (“Termination Date”), unless earlier terminated as provided herein. The term of this Agreement may be further extended by the written agreement of Consultant and the Company.</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31" w:lineRule="exact"/>
        <w:rPr>
          <w:sz w:val="20"/>
          <w:szCs w:val="20"/>
          <w:color w:val="auto"/>
        </w:rPr>
      </w:pPr>
    </w:p>
    <w:p>
      <w:pPr>
        <w:jc w:val="both"/>
        <w:ind w:left="-656" w:firstLine="656"/>
        <w:spacing w:after="0" w:line="246" w:lineRule="auto"/>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If requested by the CEO, Consultant shall provide written periodic reports of his activities in sufficient detail to evidence the nature and scope of the services provided, and will provide supporting documentation in the form of related work records, meeting reports and similar documents as reasonably requested by the Company. Consultant shall be free to determine his own means and manner of accomplishing the purposes of the parties, as more fully set forth in Exhibit A, provided he performs his services hereunder in a manner acceptable to Honeywell, as determined in accordance with Paragraph 7 hereof, and provided he complies fully with all laws and regulations applicable to Honeywell’s operations and Consultant’s services. Honeywell shall not exercise or retain the right to control, direct or supervise the manner in which Consultant performs services for Honeywell.</w:t>
      </w:r>
    </w:p>
    <w:p>
      <w:pPr>
        <w:spacing w:after="0" w:line="220" w:lineRule="exact"/>
        <w:rPr>
          <w:rFonts w:ascii="Arial" w:cs="Arial" w:eastAsia="Arial" w:hAnsi="Arial"/>
          <w:sz w:val="22"/>
          <w:szCs w:val="22"/>
          <w:color w:val="auto"/>
        </w:rPr>
      </w:pPr>
    </w:p>
    <w:p>
      <w:pPr>
        <w:jc w:val="both"/>
        <w:ind w:left="-656" w:firstLine="656"/>
        <w:spacing w:after="0" w:line="253" w:lineRule="auto"/>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Consultant shall generally perform the services specified in Exhibit A at its Des Plaines, Illinois offices. Provided, however, Consultant may be asked to provide such services at such other locations as may be necessary, convenient or appropriate to the performance of such services.</w:t>
      </w:r>
    </w:p>
    <w:p>
      <w:pPr>
        <w:spacing w:after="0" w:line="212" w:lineRule="exact"/>
        <w:rPr>
          <w:rFonts w:ascii="Arial" w:cs="Arial" w:eastAsia="Arial" w:hAnsi="Arial"/>
          <w:sz w:val="22"/>
          <w:szCs w:val="22"/>
          <w:color w:val="auto"/>
        </w:rPr>
      </w:pPr>
    </w:p>
    <w:p>
      <w:pPr>
        <w:jc w:val="both"/>
        <w:ind w:left="-656" w:firstLine="656"/>
        <w:spacing w:after="0" w:line="271" w:lineRule="auto"/>
        <w:tabs>
          <w:tab w:leader="none" w:pos="64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Consultant shall be paid a monthly consulting fee of $15,000. (If the first calendar month after the effective date of this Agreement is less than 15 days, $7500 shall be substituted for $15,000). The monthly fee shall be paid by the Company within fifteen (15) days after the close of the calendar month in which services were performed hereunder.</w:t>
      </w:r>
    </w:p>
    <w:p>
      <w:pPr>
        <w:spacing w:after="0" w:line="194" w:lineRule="exact"/>
        <w:rPr>
          <w:rFonts w:ascii="Arial" w:cs="Arial" w:eastAsia="Arial" w:hAnsi="Arial"/>
          <w:sz w:val="21"/>
          <w:szCs w:val="21"/>
          <w:color w:val="auto"/>
        </w:rPr>
      </w:pPr>
    </w:p>
    <w:p>
      <w:pPr>
        <w:jc w:val="both"/>
        <w:ind w:left="-656" w:firstLine="656"/>
        <w:spacing w:after="0" w:line="289" w:lineRule="auto"/>
        <w:tabs>
          <w:tab w:leader="none" w:pos="6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Company shall reimburse Consultant for all reasonable out-of-pocket expenses (transportation, hotels, meals, and telecommunications) necessarily incurred by Consultant in connection with any trip made at the request of the Company and with its approval. Necessary expenses will include reimbursement for airfares and the cost of reasonable meals and accommodations in accordance with the Company’s travel policy. Reimbursement shall be made by payment within 30 days after receipt of invoice rendered by the Consultant, subject to approval of the Company. All invoices submitted for payment shall be in the name of Consultant. No other expenses will be eligible for reimbursement unless the Company authorizes them in advance and an itemized statement of the expense is submitted to the Company along with the Consultant’s invoice. Any disbursement paid to a third party by the Consultant shall be authorized in advance by the Company and an itemized statement of the same shall be submitted to the Company with the Consultant’s invoice.</w:t>
      </w:r>
    </w:p>
    <w:p>
      <w:pPr>
        <w:spacing w:after="0" w:line="183" w:lineRule="exact"/>
        <w:rPr>
          <w:rFonts w:ascii="Arial" w:cs="Arial" w:eastAsia="Arial" w:hAnsi="Arial"/>
          <w:sz w:val="19"/>
          <w:szCs w:val="19"/>
          <w:color w:val="auto"/>
        </w:rPr>
      </w:pPr>
    </w:p>
    <w:p>
      <w:pPr>
        <w:jc w:val="both"/>
        <w:ind w:left="-656" w:firstLine="656"/>
        <w:spacing w:after="0" w:line="259" w:lineRule="auto"/>
        <w:tabs>
          <w:tab w:leader="none" w:pos="64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Company expressly declares that it would never knowingly request that Consultant perform any task that would subject the Consultant to civil or criminal liability. Thus, notwithstanding any provision herein contained to the contrary, in the event the Company determines that the payment of a fee or the payment of any reimbursement as herein provided is contrary to law or governmental policy of the country or countries out of which the transaction arises, the Consultant hereby waives any right title or interest to the fee or reimbursement to which the Consultant would otherwise be entitled. The Consultant hereby represents to the Company that (i) no part of any fee paid or reimbursement for any disbursement shall be paid, directly or indirectly, to or for the benefit of any employee, agent or representative of any government, governmental agency or commercial customer for an improper purpose or to obtain</w:t>
      </w:r>
    </w:p>
    <w:p>
      <w:pPr>
        <w:sectPr>
          <w:pgSz w:w="11900" w:h="16838" w:orient="portrait"/>
          <w:cols w:equalWidth="0" w:num="1">
            <w:col w:w="10584"/>
          </w:cols>
          <w:pgMar w:left="976" w:top="1440" w:right="339" w:bottom="1440" w:gutter="0" w:footer="0" w:header="0"/>
        </w:sectPr>
      </w:pPr>
    </w:p>
    <w:bookmarkStart w:id="113" w:name="page114"/>
    <w:bookmarkEnd w:id="113"/>
    <w:p>
      <w:pPr>
        <w:jc w:val="both"/>
        <w:spacing w:after="0" w:line="265" w:lineRule="auto"/>
        <w:rPr>
          <w:sz w:val="20"/>
          <w:szCs w:val="20"/>
          <w:color w:val="auto"/>
        </w:rPr>
      </w:pPr>
      <w:r>
        <w:rPr>
          <w:rFonts w:ascii="Arial" w:cs="Arial" w:eastAsia="Arial" w:hAnsi="Arial"/>
          <w:sz w:val="21"/>
          <w:szCs w:val="21"/>
          <w:color w:val="auto"/>
        </w:rPr>
        <w:t>a benefit for the Company or any of its subsidiaries or affiliates, and (ii) this Agreement and its performance hereunder do not violate the laws or regulations of the United States, any state thereof, or any other country in which Consultant is performing services hereunder, including, without limitation, laws and regulations pertaining to gratuities, conflicts of interest, post-Government employment, or the disclosure of source selection or proprietary information.</w:t>
      </w:r>
    </w:p>
    <w:p>
      <w:pPr>
        <w:spacing w:after="0" w:line="202" w:lineRule="exact"/>
        <w:rPr>
          <w:sz w:val="20"/>
          <w:szCs w:val="20"/>
          <w:color w:val="auto"/>
        </w:rPr>
      </w:pPr>
    </w:p>
    <w:p>
      <w:pPr>
        <w:jc w:val="both"/>
        <w:ind w:firstLine="656"/>
        <w:spacing w:after="0" w:line="288"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 the performance of the services described herein, the Consultant (a) shall be deemed to be and shall act strictly and exclusively as an independent contractor and shall not be considered under the provisions of this Agreement or otherwise as having an employee status with Honeywell, or as being eligible to participate in or receive any benefit under a benefit plan or program made available to employees of the Company; (b) is not granted and shall not exercise any authority to assume or create any obligation or responsibility, express or implied, on behalf of or in the name of the Company, or to bind the Company to any agreement, contract or arrangement of any nature, except as expressly provided herein; (c) shall not hold himself out, either internally or to third parties, as an employee of the Company; (d) shall comply with all applicable laws and regulations; (e) shall have sole responsibility for the payment of applicable taxes, all workers’ compensation and disability insurance, Social Security and other similar taxes levied with respect to any payment hereunder that is properly reportable on Form 1099; and (f) shall not contact U.S. Government personnel without the prior written consent of the Company.</w:t>
      </w:r>
    </w:p>
    <w:p>
      <w:pPr>
        <w:spacing w:after="0" w:line="186" w:lineRule="exact"/>
        <w:rPr>
          <w:rFonts w:ascii="Arial" w:cs="Arial" w:eastAsia="Arial" w:hAnsi="Arial"/>
          <w:sz w:val="19"/>
          <w:szCs w:val="19"/>
          <w:color w:val="auto"/>
        </w:rPr>
      </w:pPr>
    </w:p>
    <w:p>
      <w:pPr>
        <w:jc w:val="both"/>
        <w:ind w:firstLine="656"/>
        <w:spacing w:after="0" w:line="261" w:lineRule="auto"/>
        <w:tabs>
          <w:tab w:leader="none" w:pos="129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terms and conditions of this Agreement and the services to be performed hereunder, as well as the information and knowledge divulged to Consultant or developed by Consultant during or in connection with his services hereunder (including any reports, analyses, working papers, memoranda, notebooks, data, computer programs and discs or other materials prepared by Consultant in the course of providing the services which are the subject of this Agreement), shall be treated by the Consultant as confidential information and shall not be disclosed to third parties or to the public without prior written approval of the Company, except to the extent otherwise required by law.</w:t>
      </w:r>
    </w:p>
    <w:p>
      <w:pPr>
        <w:spacing w:after="0" w:line="206" w:lineRule="exact"/>
        <w:rPr>
          <w:rFonts w:ascii="Arial" w:cs="Arial" w:eastAsia="Arial" w:hAnsi="Arial"/>
          <w:sz w:val="21"/>
          <w:szCs w:val="21"/>
          <w:color w:val="auto"/>
        </w:rPr>
      </w:pPr>
    </w:p>
    <w:p>
      <w:pPr>
        <w:jc w:val="both"/>
        <w:ind w:firstLine="656"/>
        <w:spacing w:after="0" w:line="294"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Unless Consultant first secures the Company’s written consent, he will at no time, during or after his engagement by the Company, directly or indirectly, publish, use, or disclose or authorize, advise, hire, counsel or otherwise procure any other person or entity, directly or indirectly, to publish, disclose or use any trade secrets or other confidential information of the Company which Consultant acquired or became aware of during his employment with the Company or his engagement hereunder either for Consultant’s own benefit or for the benefit of any other person, whether or not developed by Consultant, except as required in the performance of Consultant’s services for the Company or except to the extent otherwise required by law.</w:t>
      </w:r>
    </w:p>
    <w:p>
      <w:pPr>
        <w:spacing w:after="0" w:line="176" w:lineRule="exact"/>
        <w:rPr>
          <w:rFonts w:ascii="Arial" w:cs="Arial" w:eastAsia="Arial" w:hAnsi="Arial"/>
          <w:sz w:val="19"/>
          <w:szCs w:val="19"/>
          <w:color w:val="auto"/>
        </w:rPr>
      </w:pPr>
    </w:p>
    <w:p>
      <w:pPr>
        <w:jc w:val="both"/>
        <w:ind w:firstLine="656"/>
        <w:spacing w:after="0" w:line="247" w:lineRule="auto"/>
        <w:tabs>
          <w:tab w:leader="none" w:pos="129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Company does not desire to acquire any secret or confidential knowledge or information from Consultant that may have been acquired from others. Accordingly, Consultant represents and warrants that any and all information, practices or techniques which he will describe, demonstrate, divulge or in any other manner make known to the Company during the performance of services hereunder may be divulged without any obligation to, or violation of, any right of others. Consultant further represents and warrants that any and all practices or techniques which he will disclose and materials prepared by him may be freely used by the</w:t>
      </w:r>
    </w:p>
    <w:p>
      <w:pPr>
        <w:sectPr>
          <w:pgSz w:w="11900" w:h="16838" w:orient="portrait"/>
          <w:cols w:equalWidth="0" w:num="1">
            <w:col w:w="11240"/>
          </w:cols>
          <w:pgMar w:left="320" w:top="1428" w:right="3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Company without violation of any law or payment of any royalty, except as it shall specifically advise to the contrary in writing.</w:t>
      </w:r>
    </w:p>
    <w:p>
      <w:pPr>
        <w:spacing w:after="0" w:line="281" w:lineRule="exact"/>
        <w:rPr>
          <w:sz w:val="20"/>
          <w:szCs w:val="20"/>
          <w:color w:val="auto"/>
        </w:rPr>
      </w:pPr>
    </w:p>
    <w:p>
      <w:pPr>
        <w:jc w:val="both"/>
        <w:ind w:firstLine="656"/>
        <w:spacing w:after="0" w:line="294" w:lineRule="auto"/>
        <w:tabs>
          <w:tab w:leader="none" w:pos="128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Consultant acknowledges that all records, reports, analyses, working papers, memoranda, notebooks, computer programs and discs or other materials prepared by Consultant in the course of performing services which are the subject of this Agreement and all records and copies of records relating to the Company’s operations, investigations and business (collectively referred to as “Proprietary Materials”), made or received by Consultant during the term of this Agreement are and shall be the Company’s property exclusively, and Consultant shall surrender the same at the termination of this Agreement, if not before. Consultant may use Proprietary Materials only with the express written consent of the Company.</w:t>
      </w:r>
    </w:p>
    <w:p>
      <w:pPr>
        <w:spacing w:after="0" w:line="176"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Consultant agrees that the three (3) year prohibition on (i) noncompetition, and (ii) the solicitation of Honeywell customers, vendors, suppliers and employees contained in any agreements he has executed in favor of the Company (including his Retirement Agreement) shall apply during the term of this Agreement and for three (3) years after this Agreement has been terminated</w:t>
      </w:r>
    </w:p>
    <w:p>
      <w:pPr>
        <w:spacing w:after="0" w:line="214" w:lineRule="exact"/>
        <w:rPr>
          <w:rFonts w:ascii="Arial" w:cs="Arial" w:eastAsia="Arial" w:hAnsi="Arial"/>
          <w:sz w:val="22"/>
          <w:szCs w:val="22"/>
          <w:color w:val="auto"/>
        </w:rPr>
      </w:pPr>
    </w:p>
    <w:p>
      <w:pPr>
        <w:jc w:val="both"/>
        <w:ind w:firstLine="656"/>
        <w:spacing w:after="0" w:line="261" w:lineRule="auto"/>
        <w:tabs>
          <w:tab w:leader="none" w:pos="129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Consultant shall exonerate, indemnify and hold harmless the Company, its directors, officers and employees, from and against any and all liability, losses, costs, expenses (including attorneys fees), damages, actions, claims or demands (including those based on the injury to or death of any person or damage to property), directly or indirectly arising out of, or resulting from, or relating to any act or omission of Consultant or his employees, officers, agents or subcontractors related to services performed for the Company hereunder, but only to the extent such damages, actions, claims or demands arise from the willful misconduct of Consultant or Consultant’s bad faith.</w:t>
      </w:r>
    </w:p>
    <w:p>
      <w:pPr>
        <w:spacing w:after="0" w:line="206" w:lineRule="exact"/>
        <w:rPr>
          <w:rFonts w:ascii="Arial" w:cs="Arial" w:eastAsia="Arial" w:hAnsi="Arial"/>
          <w:sz w:val="21"/>
          <w:szCs w:val="21"/>
          <w:color w:val="auto"/>
        </w:rPr>
      </w:pPr>
    </w:p>
    <w:p>
      <w:pPr>
        <w:jc w:val="both"/>
        <w:ind w:firstLine="656"/>
        <w:spacing w:after="0" w:line="253"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Neither party shall assign any right in or obligation arising under this Agreement without the other party’s written consent, and any such assignment shall be void. This Agreement shall be binding on and inure to the benefit of each party’s heirs, executors, legal representatives, successors and permitted assigns.</w:t>
      </w:r>
    </w:p>
    <w:p>
      <w:pPr>
        <w:spacing w:after="0" w:line="212"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This Agreement shall be effective as of the Effective Date and shall terminate on the Termination Date, subject to the right the Company to terminate this Agreement for any reason at any time upon not less than 30 days’ prior written notice to the Consultant. Early termination by the Company shall not affect its obligations hereunder to provide the consideration described in Paragraph 4 for any month during which services were provided hereunder. Early termination shall not affect Consultant’s obligations under Paragraphs 6-14 (nor will early termination affect the Company’s obligation to provide the Consideration described in the Retirement Agreement).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Notices or communications hereunder shall be in writing, addressed as follows:</w:t>
      </w:r>
    </w:p>
    <w:p>
      <w:pPr>
        <w:sectPr>
          <w:pgSz w:w="11900" w:h="16838" w:orient="portrait"/>
          <w:cols w:equalWidth="0" w:num="1">
            <w:col w:w="11240"/>
          </w:cols>
          <w:pgMar w:left="320" w:top="1428" w:right="339" w:bottom="1440" w:gutter="0" w:footer="0" w:header="0"/>
        </w:sectPr>
      </w:pPr>
    </w:p>
    <w:bookmarkStart w:id="115" w:name="page116"/>
    <w:bookmarkEnd w:id="115"/>
    <w:p>
      <w:pPr>
        <w:spacing w:after="0" w:line="15"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Honeywell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115 Tabor Road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Morris Plains, New Jersey 07950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Attn: Kevin M. Covert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and Deputy General Counsel</w:t>
      </w:r>
    </w:p>
    <w:p>
      <w:pPr>
        <w:spacing w:after="0" w:line="200" w:lineRule="exact"/>
        <w:rPr>
          <w:sz w:val="20"/>
          <w:szCs w:val="20"/>
          <w:color w:val="auto"/>
        </w:rPr>
      </w:pPr>
    </w:p>
    <w:p>
      <w:pPr>
        <w:sectPr>
          <w:pgSz w:w="11900" w:h="16838" w:orient="portrait"/>
          <w:cols w:equalWidth="0" w:num="2">
            <w:col w:w="3920" w:space="720"/>
            <w:col w:w="6600"/>
          </w:cols>
          <w:pgMar w:left="320" w:top="1440" w:right="339" w:bottom="1440" w:gutter="0" w:footer="0" w:header="0"/>
        </w:sectPr>
      </w:pP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If to the Retiree: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Rajeev Gautam</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20689 W Lakeridge Court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Kildeer, Illinois 60047</w:t>
      </w:r>
    </w:p>
    <w:p>
      <w:pPr>
        <w:spacing w:after="0" w:line="200" w:lineRule="exact"/>
        <w:rPr>
          <w:sz w:val="20"/>
          <w:szCs w:val="20"/>
          <w:color w:val="auto"/>
        </w:rPr>
      </w:pPr>
    </w:p>
    <w:p>
      <w:pPr>
        <w:sectPr>
          <w:pgSz w:w="11900" w:h="16838" w:orient="portrait"/>
          <w:cols w:equalWidth="0" w:num="2">
            <w:col w:w="3920" w:space="720"/>
            <w:col w:w="6600"/>
          </w:cols>
          <w:pgMar w:left="320" w:top="1440"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21"/>
          <w:szCs w:val="21"/>
          <w:color w:val="auto"/>
        </w:rPr>
        <w:t>Any such notice shall be deemed to be given as of the date it is personally delivered, the next business day after the date faxed (upon confirmation of receipt of transmission), or five days after the date mailed in the manner specified.</w:t>
      </w:r>
    </w:p>
    <w:p>
      <w:pPr>
        <w:spacing w:after="0" w:line="178" w:lineRule="exact"/>
        <w:rPr>
          <w:sz w:val="20"/>
          <w:szCs w:val="20"/>
          <w:color w:val="auto"/>
        </w:rPr>
      </w:pPr>
    </w:p>
    <w:p>
      <w:pPr>
        <w:jc w:val="both"/>
        <w:ind w:firstLine="1304"/>
        <w:spacing w:after="0" w:line="343" w:lineRule="auto"/>
        <w:tabs>
          <w:tab w:leader="none" w:pos="1939"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and interpreted in accordance with the laws of the State of North Carolina, disregarding any conflict-of-laws rules that may direct the application of the laws of another jurisdiction.</w:t>
      </w:r>
    </w:p>
    <w:p>
      <w:pPr>
        <w:spacing w:after="0" w:line="131" w:lineRule="exact"/>
        <w:rPr>
          <w:rFonts w:ascii="Arial" w:cs="Arial" w:eastAsia="Arial" w:hAnsi="Arial"/>
          <w:sz w:val="19"/>
          <w:szCs w:val="19"/>
          <w:color w:val="auto"/>
        </w:rPr>
      </w:pPr>
    </w:p>
    <w:p>
      <w:pPr>
        <w:jc w:val="both"/>
        <w:ind w:firstLine="1304"/>
        <w:spacing w:after="0" w:line="250" w:lineRule="auto"/>
        <w:tabs>
          <w:tab w:leader="none" w:pos="1941"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This Agreement contains the entire agreement and understanding of the parties hereto with respect to the subject matter hereof, and merges and supersedes all prior agreements, discussions and writings with respect thereto. No modification or alteration of this Agreement shall be effective unless made in writing and signed by both Consultant and the Company.</w:t>
      </w:r>
    </w:p>
    <w:p>
      <w:pPr>
        <w:spacing w:after="0" w:line="214" w:lineRule="exact"/>
        <w:rPr>
          <w:rFonts w:ascii="Arial" w:cs="Arial" w:eastAsia="Arial" w:hAnsi="Arial"/>
          <w:sz w:val="22"/>
          <w:szCs w:val="22"/>
          <w:color w:val="auto"/>
        </w:rPr>
      </w:pPr>
    </w:p>
    <w:p>
      <w:pPr>
        <w:jc w:val="both"/>
        <w:ind w:firstLine="656"/>
        <w:spacing w:after="0" w:line="248" w:lineRule="auto"/>
        <w:tabs>
          <w:tab w:leader="none" w:pos="115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Consultant has received a copy of the Company’s Code of Business Conduct (the “Code”). Consultant certifies that he has reviewed and understands the Code and will fully comply with its terms and take all necessary steps to assist the Company in complying with it. If the services provided hereunder are related to a U.S. Department of Defense contract, Consultant shall represent that he has been made aware of the Company’s commitment to the Defense Industry Initiative for Federal Procurement Related Services.</w:t>
      </w:r>
    </w:p>
    <w:p>
      <w:pPr>
        <w:spacing w:after="0" w:line="218" w:lineRule="exact"/>
        <w:rPr>
          <w:rFonts w:ascii="Arial" w:cs="Arial" w:eastAsia="Arial" w:hAnsi="Arial"/>
          <w:sz w:val="22"/>
          <w:szCs w:val="22"/>
          <w:color w:val="auto"/>
        </w:rPr>
      </w:pPr>
    </w:p>
    <w:p>
      <w:pPr>
        <w:jc w:val="both"/>
        <w:ind w:firstLine="656"/>
        <w:spacing w:after="0" w:line="261" w:lineRule="auto"/>
        <w:tabs>
          <w:tab w:leader="none" w:pos="1171" w:val="left"/>
        </w:tabs>
        <w:numPr>
          <w:ilvl w:val="0"/>
          <w:numId w:val="120"/>
        </w:numPr>
        <w:rPr>
          <w:rFonts w:ascii="Arial" w:cs="Arial" w:eastAsia="Arial" w:hAnsi="Arial"/>
          <w:sz w:val="21"/>
          <w:szCs w:val="21"/>
          <w:color w:val="auto"/>
        </w:rPr>
      </w:pPr>
      <w:r>
        <w:rPr>
          <w:rFonts w:ascii="Arial" w:cs="Arial" w:eastAsia="Arial" w:hAnsi="Arial"/>
          <w:sz w:val="21"/>
          <w:szCs w:val="21"/>
          <w:color w:val="auto"/>
        </w:rPr>
        <w:t>Without prejudice to the rights and remedies otherwise available to the Company hereunder, the Company shall be entitled to equitable relief by way of injunction or otherwise if Consultant breaches or threatens to breach any of the provisions of this Agreement. In addition, and not by way of limitation, in the event Consultant materially fails to perform his duties hereunder upon notice and request for performance, or otherwise materially breaches the terms of any confidentiality, nonsolicit or noncompetition covenants that Consultant may have executed in favor of the Company, Consultant shall be treated as if he terminated this Agreement early under Paragraph 15.</w:t>
      </w:r>
    </w:p>
    <w:p>
      <w:pPr>
        <w:spacing w:after="0" w:line="206" w:lineRule="exact"/>
        <w:rPr>
          <w:rFonts w:ascii="Arial" w:cs="Arial" w:eastAsia="Arial" w:hAnsi="Arial"/>
          <w:sz w:val="21"/>
          <w:szCs w:val="21"/>
          <w:color w:val="auto"/>
        </w:rPr>
      </w:pPr>
    </w:p>
    <w:p>
      <w:pPr>
        <w:ind w:firstLine="656"/>
        <w:spacing w:after="0" w:line="263" w:lineRule="auto"/>
        <w:tabs>
          <w:tab w:leader="none" w:pos="114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In the event any provision of this Agreement shall not be enforceable, the remainder of this Agreement shall remain in full force and effect.</w:t>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line="231" w:lineRule="exact"/>
        <w:rPr>
          <w:sz w:val="20"/>
          <w:szCs w:val="20"/>
          <w:color w:val="auto"/>
        </w:rPr>
      </w:pPr>
    </w:p>
    <w:p>
      <w:pPr>
        <w:jc w:val="both"/>
        <w:ind w:left="-656" w:firstLine="656"/>
        <w:spacing w:after="0" w:line="250" w:lineRule="auto"/>
        <w:tabs>
          <w:tab w:leader="none" w:pos="49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waiver by Company of any nonperformance or breach by Consultant of any provisions of this Agreement must be in writing and shall not be construed as waiving any such provision in the future. No delay or failure by Company in enforcing or exercising any right hereunder and no partial or single exercise thereof, shall be deemed of itself to constitute a waiver of such right or any other rights hereunder.</w:t>
      </w:r>
    </w:p>
    <w:p>
      <w:pPr>
        <w:sectPr>
          <w:pgSz w:w="11900" w:h="16838" w:orient="portrait"/>
          <w:cols w:equalWidth="0" w:num="1">
            <w:col w:w="10584"/>
          </w:cols>
          <w:pgMar w:left="976" w:top="1440" w:right="3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first day above written.</w:t>
      </w:r>
    </w:p>
    <w:p>
      <w:pPr>
        <w:spacing w:after="0" w:line="200" w:lineRule="exact"/>
        <w:rPr>
          <w:sz w:val="20"/>
          <w:szCs w:val="20"/>
          <w:color w:val="auto"/>
        </w:rPr>
      </w:pPr>
    </w:p>
    <w:p>
      <w:pPr>
        <w:spacing w:after="0" w:line="330" w:lineRule="exact"/>
        <w:rPr>
          <w:sz w:val="20"/>
          <w:szCs w:val="20"/>
          <w:color w:val="auto"/>
        </w:rPr>
      </w:pPr>
    </w:p>
    <w:p>
      <w:pPr>
        <w:jc w:val="right"/>
        <w:ind w:right="7999"/>
        <w:spacing w:after="0"/>
        <w:tabs>
          <w:tab w:leader="none" w:pos="9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Rajeev Gautam</w:t>
      </w:r>
    </w:p>
    <w:p>
      <w:pPr>
        <w:spacing w:after="0" w:line="21" w:lineRule="exact"/>
        <w:rPr>
          <w:sz w:val="20"/>
          <w:szCs w:val="20"/>
          <w:color w:val="auto"/>
        </w:rPr>
      </w:pPr>
    </w:p>
    <w:p>
      <w:pPr>
        <w:jc w:val="right"/>
        <w:ind w:right="8019"/>
        <w:spacing w:after="0"/>
        <w:rPr>
          <w:sz w:val="20"/>
          <w:szCs w:val="20"/>
          <w:color w:val="auto"/>
        </w:rPr>
      </w:pPr>
      <w:r>
        <w:rPr>
          <w:rFonts w:ascii="Arial" w:cs="Arial" w:eastAsia="Arial" w:hAnsi="Arial"/>
          <w:sz w:val="22"/>
          <w:szCs w:val="22"/>
          <w:b w:val="1"/>
          <w:bCs w:val="1"/>
          <w:color w:val="auto"/>
        </w:rPr>
        <w:t>RAJEEV GAUTAM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HONEYWELL INTERNATIONAL INC.</w:t>
      </w:r>
    </w:p>
    <w:p>
      <w:pPr>
        <w:spacing w:after="0" w:line="200" w:lineRule="exact"/>
        <w:rPr>
          <w:sz w:val="20"/>
          <w:szCs w:val="20"/>
          <w:color w:val="auto"/>
        </w:rPr>
      </w:pPr>
    </w:p>
    <w:p>
      <w:pPr>
        <w:spacing w:after="0" w:line="2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Kevin M. Covert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KEVIN M. COVERT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 &amp; Deputy General Counsel</w:t>
      </w:r>
    </w:p>
    <w:p>
      <w:pPr>
        <w:sectPr>
          <w:pgSz w:w="11900" w:h="16838" w:orient="portrait"/>
          <w:cols w:equalWidth="0" w:num="1">
            <w:col w:w="10139"/>
          </w:cols>
          <w:pgMar w:left="320" w:top="1422"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 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RAJEEV GAUTAM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Consultant Statement of Work</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Consultant agrees to make himself available to consult with the CEO, the President &amp; CEO of PMT, and the President, UOP, for up to sixty-four (64) hours per calendar month during the term of this Agreement (pro-rated for calendar months of less than 30 days based on an Effective Date or Termination Date that begins or ends on other than the first or last day of the calendar month). While the expectation is that those sixty-four (64) hours will be provided somewhat ratably throughout the calendar month, the Company and Consultant may mutually agree to a different schedule depending on the Company’s needs from time to time and Consultant’s other business and personal commitments (e.g., vacations).</w:t>
      </w:r>
    </w:p>
    <w:p>
      <w:pPr>
        <w:sectPr>
          <w:pgSz w:w="11900" w:h="16838" w:orient="portrait"/>
          <w:cols w:equalWidth="0" w:num="1">
            <w:col w:w="11240"/>
          </w:cols>
          <w:pgMar w:left="320" w:top="1422"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66" w:lineRule="exact"/>
        <w:rPr>
          <w:sz w:val="20"/>
          <w:szCs w:val="20"/>
          <w:color w:val="auto"/>
        </w:rPr>
      </w:pPr>
    </w:p>
    <w:p>
      <w:pPr>
        <w:ind w:left="360" w:hanging="334"/>
        <w:spacing w:after="0"/>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ind w:left="360" w:right="60" w:hanging="334"/>
        <w:spacing w:after="0" w:line="227"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2" w:lineRule="exact"/>
        <w:rPr>
          <w:rFonts w:ascii="Arial" w:cs="Arial" w:eastAsia="Arial" w:hAnsi="Arial"/>
          <w:sz w:val="18"/>
          <w:szCs w:val="18"/>
          <w:color w:val="auto"/>
        </w:rPr>
      </w:pPr>
    </w:p>
    <w:p>
      <w:pPr>
        <w:jc w:val="both"/>
        <w:ind w:left="360" w:right="60" w:hanging="334"/>
        <w:spacing w:after="0" w:line="203"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Arial" w:cs="Arial" w:eastAsia="Arial" w:hAnsi="Arial"/>
          <w:sz w:val="18"/>
          <w:szCs w:val="18"/>
          <w:color w:val="auto"/>
        </w:rPr>
      </w:pPr>
    </w:p>
    <w:p>
      <w:pPr>
        <w:jc w:val="both"/>
        <w:ind w:left="1380" w:right="80" w:hanging="608"/>
        <w:spacing w:after="0" w:line="219" w:lineRule="auto"/>
        <w:tabs>
          <w:tab w:leader="none" w:pos="13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380" w:right="60" w:hanging="603"/>
        <w:spacing w:after="0" w:line="219" w:lineRule="auto"/>
        <w:tabs>
          <w:tab w:leader="none" w:pos="13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380" w:right="60" w:hanging="608"/>
        <w:spacing w:after="0" w:line="227" w:lineRule="auto"/>
        <w:tabs>
          <w:tab w:leader="none" w:pos="13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32232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Darius Adamczyk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Arial" w:cs="Arial" w:eastAsia="Arial" w:hAnsi="Arial"/>
          <w:sz w:val="18"/>
          <w:szCs w:val="18"/>
          <w:color w:val="auto"/>
        </w:rPr>
      </w:pPr>
    </w:p>
    <w:p>
      <w:pPr>
        <w:ind w:left="360" w:right="60" w:hanging="334"/>
        <w:spacing w:after="0" w:line="227" w:lineRule="auto"/>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2" w:lineRule="exact"/>
        <w:rPr>
          <w:rFonts w:ascii="Arial" w:cs="Arial" w:eastAsia="Arial" w:hAnsi="Arial"/>
          <w:sz w:val="18"/>
          <w:szCs w:val="18"/>
          <w:color w:val="auto"/>
        </w:rPr>
      </w:pPr>
    </w:p>
    <w:p>
      <w:pPr>
        <w:jc w:val="both"/>
        <w:ind w:left="360" w:right="60" w:hanging="334"/>
        <w:spacing w:after="0" w:line="203" w:lineRule="auto"/>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Arial" w:cs="Arial" w:eastAsia="Arial" w:hAnsi="Arial"/>
          <w:sz w:val="18"/>
          <w:szCs w:val="18"/>
          <w:color w:val="auto"/>
        </w:rPr>
      </w:pPr>
    </w:p>
    <w:p>
      <w:pPr>
        <w:jc w:val="both"/>
        <w:ind w:left="1380" w:right="80" w:hanging="608"/>
        <w:spacing w:after="0" w:line="219" w:lineRule="auto"/>
        <w:tabs>
          <w:tab w:leader="none" w:pos="13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Arial" w:cs="Arial" w:eastAsia="Arial" w:hAnsi="Arial"/>
          <w:sz w:val="18"/>
          <w:szCs w:val="18"/>
          <w:color w:val="auto"/>
        </w:rPr>
      </w:pPr>
    </w:p>
    <w:p>
      <w:pPr>
        <w:jc w:val="both"/>
        <w:ind w:left="1380" w:right="60" w:hanging="603"/>
        <w:spacing w:after="0" w:line="219" w:lineRule="auto"/>
        <w:tabs>
          <w:tab w:leader="none" w:pos="13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3" w:lineRule="exact"/>
        <w:rPr>
          <w:rFonts w:ascii="Arial" w:cs="Arial" w:eastAsia="Arial" w:hAnsi="Arial"/>
          <w:sz w:val="18"/>
          <w:szCs w:val="18"/>
          <w:color w:val="auto"/>
        </w:rPr>
      </w:pPr>
    </w:p>
    <w:p>
      <w:pPr>
        <w:jc w:val="both"/>
        <w:ind w:left="360" w:right="60" w:hanging="334"/>
        <w:spacing w:after="0" w:line="219" w:lineRule="auto"/>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8"/>
          <w:szCs w:val="18"/>
          <w:color w:val="auto"/>
        </w:rPr>
      </w:pPr>
    </w:p>
    <w:p>
      <w:pPr>
        <w:jc w:val="both"/>
        <w:ind w:left="1380" w:right="60" w:hanging="608"/>
        <w:spacing w:after="0" w:line="219" w:lineRule="auto"/>
        <w:tabs>
          <w:tab w:leader="none" w:pos="13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3" w:lineRule="exact"/>
        <w:rPr>
          <w:rFonts w:ascii="Arial" w:cs="Arial" w:eastAsia="Arial" w:hAnsi="Arial"/>
          <w:sz w:val="18"/>
          <w:szCs w:val="18"/>
          <w:color w:val="auto"/>
        </w:rPr>
      </w:pPr>
    </w:p>
    <w:p>
      <w:pPr>
        <w:ind w:left="1380" w:right="60" w:hanging="608"/>
        <w:spacing w:after="0" w:line="227" w:lineRule="auto"/>
        <w:tabs>
          <w:tab w:leader="none" w:pos="13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6350</wp:posOffset>
            </wp:positionV>
            <wp:extent cx="32232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2021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3480" w:type="dxa"/>
            <w:vAlign w:val="bottom"/>
          </w:tcPr>
          <w:p>
            <w:pPr>
              <w:spacing w:after="0"/>
              <w:rPr>
                <w:sz w:val="20"/>
                <w:szCs w:val="20"/>
                <w:color w:val="auto"/>
              </w:rPr>
            </w:pPr>
            <w:r>
              <w:rPr>
                <w:rFonts w:ascii="Arial" w:cs="Arial" w:eastAsia="Arial" w:hAnsi="Arial"/>
                <w:sz w:val="18"/>
                <w:szCs w:val="18"/>
                <w:color w:val="auto"/>
              </w:rPr>
              <w:t>Date: July 23, 2021</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Darius Adamczyk</w:t>
            </w:r>
          </w:p>
        </w:tc>
      </w:tr>
      <w:tr>
        <w:trPr>
          <w:trHeight w:val="223"/>
        </w:trPr>
        <w:tc>
          <w:tcPr>
            <w:tcW w:w="3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Darius Adamczyk</w:t>
            </w:r>
          </w:p>
        </w:tc>
      </w:tr>
      <w:tr>
        <w:trPr>
          <w:trHeight w:val="229"/>
        </w:trPr>
        <w:tc>
          <w:tcPr>
            <w:tcW w:w="3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86"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2021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3480" w:type="dxa"/>
            <w:vAlign w:val="bottom"/>
          </w:tcPr>
          <w:p>
            <w:pPr>
              <w:spacing w:after="0"/>
              <w:rPr>
                <w:sz w:val="20"/>
                <w:szCs w:val="20"/>
                <w:color w:val="auto"/>
              </w:rPr>
            </w:pPr>
            <w:r>
              <w:rPr>
                <w:rFonts w:ascii="Arial" w:cs="Arial" w:eastAsia="Arial" w:hAnsi="Arial"/>
                <w:sz w:val="18"/>
                <w:szCs w:val="18"/>
                <w:color w:val="auto"/>
              </w:rPr>
              <w:t>Date: July 23, 2021</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23"/>
        </w:trPr>
        <w:tc>
          <w:tcPr>
            <w:tcW w:w="3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0"/>
        </w:trPr>
        <w:tc>
          <w:tcPr>
            <w:tcW w:w="3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86"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7"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8"/>
          <w:szCs w:val="18"/>
          <w:color w:val="auto"/>
        </w:rPr>
        <w:t>During the quarter ended June 30, 2021,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0"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In addition, during the quarter ended June 30, 2021,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lowerLetter"/>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1)"/>
      <w:numFmt w:val="decimal"/>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1"/>
      <w:numFmt w:val="decimal"/>
      <w:start w:val="95"/>
    </w:lvl>
  </w:abstractNum>
  <w:abstractNum w:abstractNumId="29">
    <w:nsid w:val="42963E5A"/>
    <w:multiLevelType w:val="hybridMultilevel"/>
    <w:lvl w:ilvl="0">
      <w:lvlJc w:val="left"/>
      <w:lvlText w:val="%1"/>
      <w:numFmt w:val="decimal"/>
      <w:start w:val="104"/>
    </w:lvl>
  </w:abstractNum>
  <w:abstractNum w:abstractNumId="30">
    <w:nsid w:val="A0382C5"/>
    <w:multiLevelType w:val="hybridMultilevel"/>
    <w:lvl w:ilvl="0">
      <w:lvlJc w:val="left"/>
      <w:lvlText w:val="%1."/>
      <w:numFmt w:val="decimal"/>
      <w:start w:val="1"/>
    </w:lvl>
    <w:lvl w:ilvl="1">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1."/>
      <w:numFmt w:val="decimal"/>
      <w:start w:val="1"/>
    </w:lvl>
  </w:abstractNum>
  <w:abstractNum w:abstractNumId="33">
    <w:nsid w:val="3B0FD379"/>
    <w:multiLevelType w:val="hybridMultilevel"/>
    <w:lvl w:ilvl="0">
      <w:lvlJc w:val="left"/>
      <w:lvlText w:val="%1."/>
      <w:numFmt w:val="decimal"/>
      <w:start w:val="2"/>
    </w:lvl>
  </w:abstractNum>
  <w:abstractNum w:abstractNumId="34">
    <w:nsid w:val="68EB2F6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5">
    <w:nsid w:val="4962813B"/>
    <w:multiLevelType w:val="hybridMultilevel"/>
    <w:lvl w:ilvl="0">
      <w:lvlJc w:val="left"/>
      <w:lvlText w:val="%1"/>
      <w:numFmt w:val="decimal"/>
      <w:start w:val="1"/>
    </w:lvl>
    <w:lvl w:ilvl="1">
      <w:lvlJc w:val="left"/>
      <w:lvlText w:val="%2."/>
      <w:numFmt w:val="decimal"/>
      <w:start w:val="2"/>
    </w:lvl>
  </w:abstractNum>
  <w:abstractNum w:abstractNumId="36">
    <w:nsid w:val="60B6DF70"/>
    <w:multiLevelType w:val="hybridMultilevel"/>
    <w:lvl w:ilvl="0">
      <w:lvlJc w:val="left"/>
      <w:lvlText w:val="%1."/>
      <w:numFmt w:val="decimal"/>
      <w:start w:val="12"/>
    </w:lvl>
    <w:lvl w:ilvl="1">
      <w:lvlJc w:val="left"/>
      <w:lvlText w:val="%2"/>
      <w:numFmt w:val="decimal"/>
      <w:start w:val="1"/>
    </w:lvl>
  </w:abstractNum>
  <w:abstractNum w:abstractNumId="37">
    <w:nsid w:val="6A5EE64"/>
    <w:multiLevelType w:val="hybridMultilevel"/>
    <w:lvl w:ilvl="0">
      <w:lvlJc w:val="left"/>
      <w:lvlText w:val="%1."/>
      <w:numFmt w:val="decimal"/>
      <w:start w:val="13"/>
    </w:lvl>
    <w:lvl w:ilvl="1">
      <w:lvlJc w:val="left"/>
      <w:lvlText w:val="%2."/>
      <w:numFmt w:val="lowerLetter"/>
      <w:start w:val="1"/>
    </w:lvl>
  </w:abstractNum>
  <w:abstractNum w:abstractNumId="38">
    <w:nsid w:val="14330624"/>
    <w:multiLevelType w:val="hybridMultilevel"/>
    <w:lvl w:ilvl="0">
      <w:lvlJc w:val="left"/>
      <w:lvlText w:val="%1."/>
      <w:numFmt w:val="decimal"/>
      <w:start w:val="17"/>
    </w:lvl>
    <w:lvl w:ilvl="1">
      <w:lvlJc w:val="left"/>
      <w:lvlText w:val="%2"/>
      <w:numFmt w:val="lowerLetter"/>
      <w:start w:val="1"/>
    </w:lvl>
  </w:abstractNum>
  <w:abstractNum w:abstractNumId="39">
    <w:nsid w:val="7FFFCA11"/>
    <w:multiLevelType w:val="hybridMultilevel"/>
    <w:lvl w:ilvl="0">
      <w:lvlJc w:val="left"/>
      <w:lvlText w:val="%1."/>
      <w:numFmt w:val="decimal"/>
      <w:start w:val="19"/>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1."/>
      <w:numFmt w:val="decimal"/>
      <w:start w:val="2"/>
    </w:lvl>
  </w:abstractNum>
  <w:abstractNum w:abstractNumId="42">
    <w:nsid w:val="100F59DC"/>
    <w:multiLevelType w:val="hybridMultilevel"/>
    <w:lvl w:ilvl="0">
      <w:lvlJc w:val="left"/>
      <w:lvlText w:val="%1."/>
      <w:numFmt w:val="decimal"/>
      <w:start w:val="5"/>
    </w:lvl>
    <w:lvl w:ilvl="1">
      <w:lvlJc w:val="left"/>
      <w:lvlText w:val="%2"/>
      <w:numFmt w:val="lowerLetter"/>
      <w:start w:val="1"/>
    </w:lvl>
  </w:abstractNum>
  <w:abstractNum w:abstractNumId="43">
    <w:nsid w:val="7FB7E0AA"/>
    <w:multiLevelType w:val="hybridMultilevel"/>
    <w:lvl w:ilvl="0">
      <w:lvlJc w:val="left"/>
      <w:lvlText w:val="%1."/>
      <w:numFmt w:val="decimal"/>
      <w:start w:val="8"/>
    </w:lvl>
    <w:lvl w:ilvl="1">
      <w:lvlJc w:val="left"/>
      <w:lvlText w:val="%2"/>
      <w:numFmt w:val="lowerLetter"/>
      <w:start w:val="1"/>
    </w:lvl>
  </w:abstractNum>
  <w:abstractNum w:abstractNumId="44">
    <w:nsid w:val="6EB5BD4"/>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5">
    <w:nsid w:val="6F6DD9AC"/>
    <w:multiLevelType w:val="hybridMultilevel"/>
    <w:lvl w:ilvl="0">
      <w:lvlJc w:val="left"/>
      <w:lvlText w:val="(%1)"/>
      <w:numFmt w:val="lowerRoman"/>
      <w:start w:val="2"/>
    </w:lvl>
  </w:abstractNum>
  <w:abstractNum w:abstractNumId="46">
    <w:nsid w:val="94211F2"/>
    <w:multiLevelType w:val="hybridMultilevel"/>
    <w:lvl w:ilvl="0">
      <w:lvlJc w:val="left"/>
      <w:lvlText w:val="%1."/>
      <w:numFmt w:val="decimal"/>
      <w:start w:val="2"/>
    </w:lvl>
  </w:abstractNum>
  <w:abstractNum w:abstractNumId="47">
    <w:nsid w:val="885E1B"/>
    <w:multiLevelType w:val="hybridMultilevel"/>
    <w:lvl w:ilvl="0">
      <w:lvlJc w:val="left"/>
      <w:lvlText w:val="%1."/>
      <w:numFmt w:val="decimal"/>
      <w:start w:val="12"/>
    </w:lvl>
    <w:lvl w:ilvl="1">
      <w:lvlJc w:val="left"/>
      <w:lvlText w:val="%2."/>
      <w:numFmt w:val="lowerLetter"/>
      <w:start w:val="1"/>
    </w:lvl>
  </w:abstractNum>
  <w:abstractNum w:abstractNumId="48">
    <w:nsid w:val="76272110"/>
    <w:multiLevelType w:val="hybridMultilevel"/>
    <w:lvl w:ilvl="0">
      <w:lvlJc w:val="left"/>
      <w:lvlText w:val="%1."/>
      <w:numFmt w:val="decimal"/>
      <w:start w:val="17"/>
    </w:lvl>
    <w:lvl w:ilvl="1">
      <w:lvlJc w:val="left"/>
      <w:lvlText w:val="%2."/>
      <w:numFmt w:val="lowerLetter"/>
      <w:start w:val="1"/>
    </w:lvl>
  </w:abstractNum>
  <w:abstractNum w:abstractNumId="49">
    <w:nsid w:val="4C04A8AF"/>
    <w:multiLevelType w:val="hybridMultilevel"/>
    <w:lvl w:ilvl="0">
      <w:lvlJc w:val="left"/>
      <w:lvlText w:val="%1."/>
      <w:numFmt w:val="decimal"/>
      <w:start w:val="18"/>
    </w:lvl>
  </w:abstractNum>
  <w:abstractNum w:abstractNumId="50">
    <w:nsid w:val="1716703B"/>
    <w:multiLevelType w:val="hybridMultilevel"/>
    <w:lvl w:ilvl="0">
      <w:lvlJc w:val="left"/>
      <w:lvlText w:val="%1."/>
      <w:numFmt w:val="decimal"/>
      <w:start w:val="1"/>
    </w:lvl>
  </w:abstractNum>
  <w:abstractNum w:abstractNumId="51">
    <w:nsid w:val="14E17E33"/>
    <w:multiLevelType w:val="hybridMultilevel"/>
    <w:lvl w:ilvl="0">
      <w:lvlJc w:val="left"/>
      <w:lvlText w:val="%1."/>
      <w:numFmt w:val="decimal"/>
      <w:start w:val="2"/>
    </w:lvl>
    <w:lvl w:ilvl="1">
      <w:lvlJc w:val="left"/>
      <w:lvlText w:val="%2."/>
      <w:numFmt w:val="lowerLetter"/>
      <w:start w:val="1"/>
    </w:lvl>
  </w:abstractNum>
  <w:abstractNum w:abstractNumId="52">
    <w:nsid w:val="3222E7CD"/>
    <w:multiLevelType w:val="hybridMultilevel"/>
    <w:lvl w:ilvl="0">
      <w:lvlJc w:val="left"/>
      <w:lvlText w:val="%1"/>
      <w:numFmt w:val="decimal"/>
      <w:start w:val="1"/>
    </w:lvl>
    <w:lvl w:ilvl="1">
      <w:lvlJc w:val="left"/>
      <w:lvlText w:val="%2."/>
      <w:numFmt w:val="lowerLetter"/>
      <w:start w:val="4"/>
    </w:lvl>
  </w:abstractNum>
  <w:abstractNum w:abstractNumId="53">
    <w:nsid w:val="74DE0EE3"/>
    <w:multiLevelType w:val="hybridMultilevel"/>
    <w:lvl w:ilvl="0">
      <w:lvlJc w:val="left"/>
      <w:lvlText w:val="%1."/>
      <w:numFmt w:val="decimal"/>
      <w:start w:val="3"/>
    </w:lvl>
  </w:abstractNum>
  <w:abstractNum w:abstractNumId="54">
    <w:nsid w:val="68EBC550"/>
    <w:multiLevelType w:val="hybridMultilevel"/>
    <w:lvl w:ilvl="0">
      <w:lvlJc w:val="left"/>
      <w:lvlText w:val="%1."/>
      <w:numFmt w:val="decimal"/>
      <w:start w:val="4"/>
    </w:lvl>
  </w:abstractNum>
  <w:abstractNum w:abstractNumId="55">
    <w:nsid w:val="2DF6D648"/>
    <w:multiLevelType w:val="hybridMultilevel"/>
    <w:lvl w:ilvl="0">
      <w:lvlJc w:val="left"/>
      <w:lvlText w:val="%1."/>
      <w:numFmt w:val="decimal"/>
      <w:start w:val="7"/>
    </w:lvl>
  </w:abstractNum>
  <w:abstractNum w:abstractNumId="56">
    <w:nsid w:val="46B7D447"/>
    <w:multiLevelType w:val="hybridMultilevel"/>
    <w:lvl w:ilvl="0">
      <w:lvlJc w:val="left"/>
      <w:lvlText w:val="%1."/>
      <w:numFmt w:val="decimal"/>
      <w:start w:val="8"/>
    </w:lvl>
  </w:abstractNum>
  <w:abstractNum w:abstractNumId="57">
    <w:nsid w:val="4A2AC315"/>
    <w:multiLevelType w:val="hybridMultilevel"/>
    <w:lvl w:ilvl="0">
      <w:lvlJc w:val="left"/>
      <w:lvlText w:val="%1."/>
      <w:numFmt w:val="decimal"/>
      <w:start w:val="9"/>
    </w:lvl>
  </w:abstractNum>
  <w:abstractNum w:abstractNumId="58">
    <w:nsid w:val="39EE015C"/>
    <w:multiLevelType w:val="hybridMultilevel"/>
    <w:lvl w:ilvl="0">
      <w:lvlJc w:val="left"/>
      <w:lvlText w:val="%1."/>
      <w:numFmt w:val="decimal"/>
      <w:start w:val="10"/>
    </w:lvl>
    <w:lvl w:ilvl="1">
      <w:lvlJc w:val="left"/>
      <w:lvlText w:val="%2"/>
      <w:numFmt w:val="lowerLetter"/>
      <w:start w:val="1"/>
    </w:lvl>
  </w:abstractNum>
  <w:abstractNum w:abstractNumId="59">
    <w:nsid w:val="57FC4FBB"/>
    <w:multiLevelType w:val="hybridMultilevel"/>
    <w:lvl w:ilvl="0">
      <w:lvlJc w:val="left"/>
      <w:lvlText w:val="%1"/>
      <w:numFmt w:val="decimal"/>
      <w:start w:val="90"/>
    </w:lvl>
    <w:lvl w:ilvl="1">
      <w:lvlJc w:val="left"/>
      <w:lvlText w:val="%2"/>
      <w:numFmt w:val="lowerLetter"/>
      <w:start w:val="1"/>
    </w:lvl>
  </w:abstractNum>
  <w:abstractNum w:abstractNumId="60">
    <w:nsid w:val="CC1016F"/>
    <w:multiLevelType w:val="hybridMultilevel"/>
    <w:lvl w:ilvl="0">
      <w:lvlJc w:val="left"/>
      <w:lvlText w:val="(%1)"/>
      <w:numFmt w:val="lowerLetter"/>
      <w:start w:val="24"/>
    </w:lvl>
  </w:abstractNum>
  <w:abstractNum w:abstractNumId="61">
    <w:nsid w:val="43F18422"/>
    <w:multiLevelType w:val="hybridMultilevel"/>
    <w:lvl w:ilvl="0">
      <w:lvlJc w:val="left"/>
      <w:lvlText w:val="%1."/>
      <w:numFmt w:val="decimal"/>
      <w:start w:val="11"/>
    </w:lvl>
    <w:lvl w:ilvl="1">
      <w:lvlJc w:val="left"/>
      <w:lvlText w:val="%2"/>
      <w:numFmt w:val="lowerLetter"/>
      <w:start w:val="1"/>
    </w:lvl>
  </w:abstractNum>
  <w:abstractNum w:abstractNumId="62">
    <w:nsid w:val="60EF011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3">
    <w:nsid w:val="26F324BA"/>
    <w:multiLevelType w:val="hybridMultilevel"/>
    <w:lvl w:ilvl="0">
      <w:lvlJc w:val="left"/>
      <w:lvlText w:val="(%1)"/>
      <w:numFmt w:val="decimal"/>
      <w:start w:val="24"/>
    </w:lvl>
    <w:lvl w:ilvl="1">
      <w:lvlJc w:val="left"/>
      <w:lvlText w:val="%2"/>
      <w:numFmt w:val="lowerLetter"/>
      <w:start w:val="1"/>
    </w:lvl>
    <w:lvl w:ilvl="2">
      <w:lvlJc w:val="left"/>
      <w:lvlText w:val="%3"/>
      <w:numFmt w:val="decimal"/>
      <w:start w:val="1"/>
    </w:lvl>
  </w:abstractNum>
  <w:abstractNum w:abstractNumId="64">
    <w:nsid w:val="7F01579B"/>
    <w:multiLevelType w:val="hybridMultilevel"/>
    <w:lvl w:ilvl="0">
      <w:lvlJc w:val="left"/>
      <w:lvlText w:val="%1."/>
      <w:numFmt w:val="decimal"/>
      <w:start w:val="2"/>
    </w:lvl>
  </w:abstractNum>
  <w:abstractNum w:abstractNumId="65">
    <w:nsid w:val="49DA307D"/>
    <w:multiLevelType w:val="hybridMultilevel"/>
    <w:lvl w:ilvl="0">
      <w:lvlJc w:val="left"/>
      <w:lvlText w:val="%1"/>
      <w:numFmt w:val="decimal"/>
      <w:start w:val="1"/>
    </w:lvl>
    <w:lvl w:ilvl="1">
      <w:lvlJc w:val="left"/>
      <w:lvlText w:val="%2."/>
      <w:numFmt w:val="decimal"/>
      <w:start w:val="3"/>
    </w:lvl>
  </w:abstractNum>
  <w:abstractNum w:abstractNumId="66">
    <w:nsid w:val="7055A5F5"/>
    <w:multiLevelType w:val="hybridMultilevel"/>
    <w:lvl w:ilvl="0">
      <w:lvlJc w:val="left"/>
      <w:lvlText w:val="%1."/>
      <w:numFmt w:val="decimal"/>
      <w:start w:val="15"/>
    </w:lvl>
    <w:lvl w:ilvl="1">
      <w:lvlJc w:val="left"/>
      <w:lvlText w:val="%2"/>
      <w:numFmt w:val="decimal"/>
      <w:start w:val="1"/>
    </w:lvl>
  </w:abstractNum>
  <w:abstractNum w:abstractNumId="67">
    <w:nsid w:val="5FB8370B"/>
    <w:multiLevelType w:val="hybridMultilevel"/>
    <w:lvl w:ilvl="0">
      <w:lvlJc w:val="left"/>
      <w:lvlText w:val="%1."/>
      <w:numFmt w:val="decimal"/>
      <w:start w:val="19"/>
    </w:lvl>
    <w:lvl w:ilvl="1">
      <w:lvlJc w:val="left"/>
      <w:lvlText w:val="%2."/>
      <w:numFmt w:val="lowerLetter"/>
      <w:start w:val="1"/>
    </w:lvl>
  </w:abstractNum>
  <w:abstractNum w:abstractNumId="68">
    <w:nsid w:val="50801EE1"/>
    <w:multiLevelType w:val="hybridMultilevel"/>
    <w:lvl w:ilvl="0">
      <w:lvlJc w:val="left"/>
      <w:lvlText w:val="%1."/>
      <w:numFmt w:val="decimal"/>
      <w:start w:val="21"/>
    </w:lvl>
  </w:abstractNum>
  <w:abstractNum w:abstractNumId="69">
    <w:nsid w:val="488AC1A"/>
    <w:multiLevelType w:val="hybridMultilevel"/>
    <w:lvl w:ilvl="0">
      <w:lvlJc w:val="left"/>
      <w:lvlText w:val="%1."/>
      <w:numFmt w:val="decimal"/>
      <w:start w:val="25"/>
    </w:lvl>
  </w:abstractNum>
  <w:abstractNum w:abstractNumId="70">
    <w:nsid w:val="5FB8011C"/>
    <w:multiLevelType w:val="hybridMultilevel"/>
    <w:lvl w:ilvl="0">
      <w:lvlJc w:val="left"/>
      <w:lvlText w:val="%1."/>
      <w:numFmt w:val="decimal"/>
      <w:start w:val="1"/>
    </w:lvl>
  </w:abstractNum>
  <w:abstractNum w:abstractNumId="71">
    <w:nsid w:val="6AA78F7F"/>
    <w:multiLevelType w:val="hybridMultilevel"/>
    <w:lvl w:ilvl="0">
      <w:lvlJc w:val="left"/>
      <w:lvlText w:val="%1."/>
      <w:numFmt w:val="decimal"/>
      <w:start w:val="2"/>
    </w:lvl>
    <w:lvl w:ilvl="1">
      <w:lvlJc w:val="left"/>
      <w:lvlText w:val="%2."/>
      <w:numFmt w:val="lowerLetter"/>
      <w:start w:val="1"/>
    </w:lvl>
  </w:abstractNum>
  <w:abstractNum w:abstractNumId="72">
    <w:nsid w:val="7672BD23"/>
    <w:multiLevelType w:val="hybridMultilevel"/>
    <w:lvl w:ilvl="0">
      <w:lvlJc w:val="left"/>
      <w:lvlText w:val="%1."/>
      <w:numFmt w:val="decimal"/>
      <w:start w:val="4"/>
    </w:lvl>
  </w:abstractNum>
  <w:abstractNum w:abstractNumId="73">
    <w:nsid w:val="6FC75AF8"/>
    <w:multiLevelType w:val="hybridMultilevel"/>
    <w:lvl w:ilvl="0">
      <w:lvlJc w:val="left"/>
      <w:lvlText w:val="%1."/>
      <w:numFmt w:val="decimal"/>
      <w:start w:val="7"/>
    </w:lvl>
    <w:lvl w:ilvl="1">
      <w:lvlJc w:val="left"/>
      <w:lvlText w:val="%2."/>
      <w:numFmt w:val="lowerLetter"/>
      <w:start w:val="1"/>
    </w:lvl>
  </w:abstractNum>
  <w:abstractNum w:abstractNumId="74">
    <w:nsid w:val="6A5F7029"/>
    <w:multiLevelType w:val="hybridMultilevel"/>
    <w:lvl w:ilvl="0">
      <w:lvlJc w:val="left"/>
      <w:lvlText w:val="%1."/>
      <w:numFmt w:val="decimal"/>
      <w:start w:val="11"/>
    </w:lvl>
    <w:lvl w:ilvl="1">
      <w:lvlJc w:val="left"/>
      <w:lvlText w:val="%2"/>
      <w:numFmt w:val="lowerLetter"/>
      <w:start w:val="1"/>
    </w:lvl>
  </w:abstractNum>
  <w:abstractNum w:abstractNumId="75">
    <w:nsid w:val="7D5E18F8"/>
    <w:multiLevelType w:val="hybridMultilevel"/>
    <w:lvl w:ilvl="0">
      <w:lvlJc w:val="left"/>
      <w:lvlText w:val="%1"/>
      <w:numFmt w:val="decimal"/>
      <w:start w:val="1"/>
    </w:lvl>
    <w:lvl w:ilvl="1">
      <w:lvlJc w:val="left"/>
      <w:lvlText w:val="%2."/>
      <w:numFmt w:val="lowerLetter"/>
      <w:start w:val="2"/>
    </w:lvl>
  </w:abstractNum>
  <w:abstractNum w:abstractNumId="76">
    <w:nsid w:val="5F3534A4"/>
    <w:multiLevelType w:val="hybridMultilevel"/>
    <w:lvl w:ilvl="0">
      <w:lvlJc w:val="left"/>
      <w:lvlText w:val="%1."/>
      <w:numFmt w:val="decimal"/>
      <w:start w:val="1"/>
    </w:lvl>
    <w:lvl w:ilvl="1">
      <w:lvlJc w:val="left"/>
      <w:lvlText w:val="%2"/>
      <w:numFmt w:val="lowerLetter"/>
      <w:start w:val="1"/>
    </w:lvl>
  </w:abstractNum>
  <w:abstractNum w:abstractNumId="77">
    <w:nsid w:val="73A1821B"/>
    <w:multiLevelType w:val="hybridMultilevel"/>
    <w:lvl w:ilvl="0">
      <w:lvlJc w:val="left"/>
      <w:lvlText w:val="%1."/>
      <w:numFmt w:val="decimal"/>
      <w:start w:val="2"/>
    </w:lvl>
  </w:abstractNum>
  <w:abstractNum w:abstractNumId="78">
    <w:nsid w:val="7DE67713"/>
    <w:multiLevelType w:val="hybridMultilevel"/>
    <w:lvl w:ilvl="0">
      <w:lvlJc w:val="left"/>
      <w:lvlText w:val="%1"/>
      <w:numFmt w:val="decimal"/>
      <w:start w:val="1"/>
    </w:lvl>
    <w:lvl w:ilvl="1">
      <w:lvlJc w:val="left"/>
      <w:lvlText w:val="%2."/>
      <w:numFmt w:val="decimal"/>
      <w:start w:val="3"/>
    </w:lvl>
  </w:abstractNum>
  <w:abstractNum w:abstractNumId="79">
    <w:nsid w:val="555C55B5"/>
    <w:multiLevelType w:val="hybridMultilevel"/>
    <w:lvl w:ilvl="0">
      <w:lvlJc w:val="left"/>
      <w:lvlText w:val="%1."/>
      <w:numFmt w:val="decimal"/>
      <w:start w:val="14"/>
    </w:lvl>
    <w:lvl w:ilvl="1">
      <w:lvlJc w:val="left"/>
      <w:lvlText w:val="%2"/>
      <w:numFmt w:val="decimal"/>
      <w:start w:val="1"/>
    </w:lvl>
  </w:abstractNum>
  <w:abstractNum w:abstractNumId="80">
    <w:nsid w:val="3FA62ACA"/>
    <w:multiLevelType w:val="hybridMultilevel"/>
    <w:lvl w:ilvl="0">
      <w:lvlJc w:val="left"/>
      <w:lvlText w:val="%1."/>
      <w:numFmt w:val="decimal"/>
      <w:start w:val="19"/>
    </w:lvl>
    <w:lvl w:ilvl="1">
      <w:lvlJc w:val="left"/>
      <w:lvlText w:val="%2."/>
      <w:numFmt w:val="lowerLetter"/>
      <w:start w:val="1"/>
    </w:lvl>
  </w:abstractNum>
  <w:abstractNum w:abstractNumId="81">
    <w:nsid w:val="14FCE74E"/>
    <w:multiLevelType w:val="hybridMultilevel"/>
    <w:lvl w:ilvl="0">
      <w:lvlJc w:val="left"/>
      <w:lvlText w:val="%1."/>
      <w:numFmt w:val="decimal"/>
      <w:start w:val="20"/>
    </w:lvl>
  </w:abstractNum>
  <w:abstractNum w:abstractNumId="82">
    <w:nsid w:val="6A3DD3E8"/>
    <w:multiLevelType w:val="hybridMultilevel"/>
    <w:lvl w:ilvl="0">
      <w:lvlJc w:val="left"/>
      <w:lvlText w:val="%1."/>
      <w:numFmt w:val="decimal"/>
      <w:start w:val="1"/>
    </w:lvl>
  </w:abstractNum>
  <w:abstractNum w:abstractNumId="83">
    <w:nsid w:val="71C91298"/>
    <w:multiLevelType w:val="hybridMultilevel"/>
    <w:lvl w:ilvl="0">
      <w:lvlJc w:val="left"/>
      <w:lvlText w:val="%1."/>
      <w:numFmt w:val="decimal"/>
      <w:start w:val="6"/>
    </w:lvl>
  </w:abstractNum>
  <w:abstractNum w:abstractNumId="84">
    <w:nsid w:val="9DAF632"/>
    <w:multiLevelType w:val="hybridMultilevel"/>
    <w:lvl w:ilvl="0">
      <w:lvlJc w:val="left"/>
      <w:lvlText w:val="1"/>
      <w:numFmt w:val="bullet"/>
      <w:start w:val="1"/>
    </w:lvl>
    <w:lvl w:ilvl="1">
      <w:lvlJc w:val="left"/>
      <w:lvlText w:val="%2."/>
      <w:numFmt w:val="decimal"/>
      <w:start w:val="8"/>
    </w:lvl>
  </w:abstractNum>
  <w:abstractNum w:abstractNumId="85">
    <w:nsid w:val="53299938"/>
    <w:multiLevelType w:val="hybridMultilevel"/>
    <w:lvl w:ilvl="0">
      <w:lvlJc w:val="left"/>
      <w:lvlText w:val="%1."/>
      <w:numFmt w:val="decimal"/>
      <w:start w:val="13"/>
    </w:lvl>
    <w:lvl w:ilvl="1">
      <w:lvlJc w:val="left"/>
      <w:lvlText w:val="%2."/>
      <w:numFmt w:val="lowerLetter"/>
      <w:start w:val="1"/>
    </w:lvl>
  </w:abstractNum>
  <w:abstractNum w:abstractNumId="86">
    <w:nsid w:val="1FBFE8E0"/>
    <w:multiLevelType w:val="hybridMultilevel"/>
    <w:lvl w:ilvl="0">
      <w:lvlJc w:val="left"/>
      <w:lvlText w:val="%1"/>
      <w:numFmt w:val="decimal"/>
      <w:start w:val="1"/>
    </w:lvl>
    <w:lvl w:ilvl="1">
      <w:lvlJc w:val="left"/>
      <w:lvlText w:val="%2."/>
      <w:numFmt w:val="lowerLetter"/>
      <w:start w:val="5"/>
    </w:lvl>
  </w:abstractNum>
  <w:abstractNum w:abstractNumId="87">
    <w:nsid w:val="5092CA79"/>
    <w:multiLevelType w:val="hybridMultilevel"/>
    <w:lvl w:ilvl="0">
      <w:lvlJc w:val="left"/>
      <w:lvlText w:val="%1."/>
      <w:numFmt w:val="decimal"/>
      <w:start w:val="16"/>
    </w:lvl>
    <w:lvl w:ilvl="1">
      <w:lvlJc w:val="left"/>
      <w:lvlText w:val="%2."/>
      <w:numFmt w:val="lowerLetter"/>
      <w:start w:val="1"/>
    </w:lvl>
  </w:abstractNum>
  <w:abstractNum w:abstractNumId="88">
    <w:nsid w:val="1D545C4D"/>
    <w:multiLevelType w:val="hybridMultilevel"/>
    <w:lvl w:ilvl="0">
      <w:lvlJc w:val="left"/>
      <w:lvlText w:val="%1."/>
      <w:numFmt w:val="decimal"/>
      <w:start w:val="21"/>
    </w:lvl>
  </w:abstractNum>
  <w:abstractNum w:abstractNumId="89">
    <w:nsid w:val="59ADEA3D"/>
    <w:multiLevelType w:val="hybridMultilevel"/>
    <w:lvl w:ilvl="0">
      <w:lvlJc w:val="left"/>
      <w:lvlText w:val="%1."/>
      <w:numFmt w:val="decimal"/>
      <w:start w:val="1"/>
    </w:lvl>
  </w:abstractNum>
  <w:abstractNum w:abstractNumId="90">
    <w:nsid w:val="288F1A34"/>
    <w:multiLevelType w:val="hybridMultilevel"/>
    <w:lvl w:ilvl="0">
      <w:lvlJc w:val="left"/>
      <w:lvlText w:val="%1."/>
      <w:numFmt w:val="decimal"/>
      <w:start w:val="3"/>
    </w:lvl>
  </w:abstractNum>
  <w:abstractNum w:abstractNumId="91">
    <w:nsid w:val="2A155DBC"/>
    <w:multiLevelType w:val="hybridMultilevel"/>
    <w:lvl w:ilvl="0">
      <w:lvlJc w:val="left"/>
      <w:lvlText w:val="%1."/>
      <w:numFmt w:val="decimal"/>
      <w:start w:val="10"/>
    </w:lvl>
  </w:abstractNum>
  <w:abstractNum w:abstractNumId="92">
    <w:nsid w:val="1D9F6E5F"/>
    <w:multiLevelType w:val="hybridMultilevel"/>
    <w:lvl w:ilvl="0">
      <w:lvlJc w:val="left"/>
      <w:lvlText w:val="%1."/>
      <w:numFmt w:val="decimal"/>
      <w:start w:val="16"/>
    </w:lvl>
    <w:lvl w:ilvl="1">
      <w:lvlJc w:val="left"/>
      <w:lvlText w:val="%2."/>
      <w:numFmt w:val="lowerLetter"/>
      <w:start w:val="1"/>
    </w:lvl>
  </w:abstractNum>
  <w:abstractNum w:abstractNumId="93">
    <w:nsid w:val="97E1B4E"/>
    <w:multiLevelType w:val="hybridMultilevel"/>
    <w:lvl w:ilvl="0">
      <w:lvlJc w:val="left"/>
      <w:lvlText w:val="%1."/>
      <w:numFmt w:val="decimal"/>
      <w:start w:val="17"/>
    </w:lvl>
    <w:lvl w:ilvl="1">
      <w:lvlJc w:val="left"/>
      <w:lvlText w:val="%2."/>
      <w:numFmt w:val="lowerLetter"/>
      <w:start w:val="1"/>
    </w:lvl>
  </w:abstractNum>
  <w:abstractNum w:abstractNumId="94">
    <w:nsid w:val="51088277"/>
    <w:multiLevelType w:val="hybridMultilevel"/>
    <w:lvl w:ilvl="0">
      <w:lvlJc w:val="left"/>
      <w:lvlText w:val="%1."/>
      <w:numFmt w:val="decimal"/>
      <w:start w:val="1"/>
    </w:lvl>
  </w:abstractNum>
  <w:abstractNum w:abstractNumId="95">
    <w:nsid w:val="1CA0C5FA"/>
    <w:multiLevelType w:val="hybridMultilevel"/>
    <w:lvl w:ilvl="0">
      <w:lvlJc w:val="left"/>
      <w:lvlText w:val="%1."/>
      <w:numFmt w:val="decimal"/>
      <w:start w:val="2"/>
    </w:lvl>
  </w:abstractNum>
  <w:abstractNum w:abstractNumId="96">
    <w:nsid w:val="53584BCB"/>
    <w:multiLevelType w:val="hybridMultilevel"/>
    <w:lvl w:ilvl="0">
      <w:lvlJc w:val="left"/>
      <w:lvlText w:val="%1."/>
      <w:numFmt w:val="decimal"/>
      <w:start w:val="3"/>
    </w:lvl>
  </w:abstractNum>
  <w:abstractNum w:abstractNumId="97">
    <w:nsid w:val="415E286C"/>
    <w:multiLevelType w:val="hybridMultilevel"/>
    <w:lvl w:ilvl="0">
      <w:lvlJc w:val="left"/>
      <w:lvlText w:val="%1."/>
      <w:numFmt w:val="decimal"/>
      <w:start w:val="1"/>
    </w:lvl>
  </w:abstractNum>
  <w:abstractNum w:abstractNumId="98">
    <w:nsid w:val="7C58FD05"/>
    <w:multiLevelType w:val="hybridMultilevel"/>
    <w:lvl w:ilvl="0">
      <w:lvlJc w:val="left"/>
      <w:lvlText w:val="%1"/>
      <w:numFmt w:val="decimal"/>
      <w:start w:val="1"/>
    </w:lvl>
    <w:lvl w:ilvl="1">
      <w:lvlJc w:val="left"/>
      <w:lvlText w:val="%2."/>
      <w:numFmt w:val="decimal"/>
      <w:start w:val="4"/>
    </w:lvl>
  </w:abstractNum>
  <w:abstractNum w:abstractNumId="99">
    <w:nsid w:val="23D86AAC"/>
    <w:multiLevelType w:val="hybridMultilevel"/>
    <w:lvl w:ilvl="0">
      <w:lvlJc w:val="left"/>
      <w:lvlText w:val="%1."/>
      <w:numFmt w:val="decimal"/>
      <w:start w:val="5"/>
    </w:lvl>
    <w:lvl w:ilvl="1">
      <w:lvlJc w:val="left"/>
      <w:lvlText w:val="%2"/>
      <w:numFmt w:val="decimal"/>
      <w:start w:val="1"/>
    </w:lvl>
  </w:abstractNum>
  <w:abstractNum w:abstractNumId="100">
    <w:nsid w:val="45E6D486"/>
    <w:multiLevelType w:val="hybridMultilevel"/>
    <w:lvl w:ilvl="0">
      <w:lvlJc w:val="left"/>
      <w:lvlText w:val="%1."/>
      <w:numFmt w:val="decimal"/>
      <w:start w:val="6"/>
    </w:lvl>
  </w:abstractNum>
  <w:abstractNum w:abstractNumId="101">
    <w:nsid w:val="5C10FE21"/>
    <w:multiLevelType w:val="hybridMultilevel"/>
    <w:lvl w:ilvl="0">
      <w:lvlJc w:val="left"/>
      <w:lvlText w:val="%1."/>
      <w:numFmt w:val="decimal"/>
      <w:start w:val="7"/>
    </w:lvl>
  </w:abstractNum>
  <w:abstractNum w:abstractNumId="102">
    <w:nsid w:val="E7FFA2B"/>
    <w:multiLevelType w:val="hybridMultilevel"/>
    <w:lvl w:ilvl="0">
      <w:lvlJc w:val="left"/>
      <w:lvlText w:val="%1."/>
      <w:numFmt w:val="decimal"/>
      <w:start w:val="8"/>
    </w:lvl>
  </w:abstractNum>
  <w:abstractNum w:abstractNumId="103">
    <w:nsid w:val="3C5991AA"/>
    <w:multiLevelType w:val="hybridMultilevel"/>
    <w:lvl w:ilvl="0">
      <w:lvlJc w:val="left"/>
      <w:lvlText w:val="%1."/>
      <w:numFmt w:val="decimal"/>
      <w:start w:val="9"/>
    </w:lvl>
  </w:abstractNum>
  <w:abstractNum w:abstractNumId="104">
    <w:nsid w:val="4BD8591A"/>
    <w:multiLevelType w:val="hybridMultilevel"/>
    <w:lvl w:ilvl="0">
      <w:lvlJc w:val="left"/>
      <w:lvlText w:val="%1."/>
      <w:numFmt w:val="decimal"/>
      <w:start w:val="10"/>
    </w:lvl>
  </w:abstractNum>
  <w:abstractNum w:abstractNumId="105">
    <w:nsid w:val="78DF6A55"/>
    <w:multiLevelType w:val="hybridMultilevel"/>
    <w:lvl w:ilvl="0">
      <w:lvlJc w:val="left"/>
      <w:lvlText w:val="%1."/>
      <w:numFmt w:val="decimal"/>
      <w:start w:val="11"/>
    </w:lvl>
  </w:abstractNum>
  <w:abstractNum w:abstractNumId="106">
    <w:nsid w:val="39B7AAA2"/>
    <w:multiLevelType w:val="hybridMultilevel"/>
    <w:lvl w:ilvl="0">
      <w:lvlJc w:val="left"/>
      <w:lvlText w:val="%1."/>
      <w:numFmt w:val="decimal"/>
      <w:start w:val="12"/>
    </w:lvl>
  </w:abstractNum>
  <w:abstractNum w:abstractNumId="107">
    <w:nsid w:val="2B0D8DBE"/>
    <w:multiLevelType w:val="hybridMultilevel"/>
    <w:lvl w:ilvl="0">
      <w:lvlJc w:val="left"/>
      <w:lvlText w:val="%1."/>
      <w:numFmt w:val="decimal"/>
      <w:start w:val="13"/>
    </w:lvl>
  </w:abstractNum>
  <w:abstractNum w:abstractNumId="108">
    <w:nsid w:val="6C80EC70"/>
    <w:multiLevelType w:val="hybridMultilevel"/>
    <w:lvl w:ilvl="0">
      <w:lvlJc w:val="left"/>
      <w:lvlText w:val="%1."/>
      <w:numFmt w:val="decimal"/>
      <w:start w:val="14"/>
    </w:lvl>
  </w:abstractNum>
  <w:abstractNum w:abstractNumId="109">
    <w:nsid w:val="379E21B5"/>
    <w:multiLevelType w:val="hybridMultilevel"/>
    <w:lvl w:ilvl="0">
      <w:lvlJc w:val="left"/>
      <w:lvlText w:val="%1."/>
      <w:numFmt w:val="decimal"/>
      <w:start w:val="15"/>
    </w:lvl>
  </w:abstractNum>
  <w:abstractNum w:abstractNumId="110">
    <w:nsid w:val="69E373"/>
    <w:multiLevelType w:val="hybridMultilevel"/>
    <w:lvl w:ilvl="0">
      <w:lvlJc w:val="left"/>
      <w:lvlText w:val="%1."/>
      <w:numFmt w:val="decimal"/>
      <w:start w:val="16"/>
    </w:lvl>
  </w:abstractNum>
  <w:abstractNum w:abstractNumId="111">
    <w:nsid w:val="2C27173B"/>
    <w:multiLevelType w:val="hybridMultilevel"/>
    <w:lvl w:ilvl="0">
      <w:lvlJc w:val="left"/>
      <w:lvlText w:val="%1."/>
      <w:numFmt w:val="decimal"/>
      <w:start w:val="17"/>
    </w:lvl>
  </w:abstractNum>
  <w:abstractNum w:abstractNumId="112">
    <w:nsid w:val="4C9B0904"/>
    <w:multiLevelType w:val="hybridMultilevel"/>
    <w:lvl w:ilvl="0">
      <w:lvlJc w:val="left"/>
      <w:lvlText w:val="%1."/>
      <w:numFmt w:val="decimal"/>
      <w:start w:val="18"/>
    </w:lvl>
  </w:abstractNum>
  <w:abstractNum w:abstractNumId="113">
    <w:nsid w:val="6AA7B75C"/>
    <w:multiLevelType w:val="hybridMultilevel"/>
    <w:lvl w:ilvl="0">
      <w:lvlJc w:val="left"/>
      <w:lvlText w:val="%1."/>
      <w:numFmt w:val="decimal"/>
      <w:start w:val="19"/>
    </w:lvl>
  </w:abstractNum>
  <w:abstractNum w:abstractNumId="114">
    <w:nsid w:val="1DF029D3"/>
    <w:multiLevelType w:val="hybridMultilevel"/>
    <w:lvl w:ilvl="0">
      <w:lvlJc w:val="left"/>
      <w:lvlText w:val="%1."/>
      <w:numFmt w:val="decimal"/>
      <w:start w:val="1"/>
    </w:lvl>
  </w:abstractNum>
  <w:abstractNum w:abstractNumId="115">
    <w:nsid w:val="5675FF36"/>
    <w:multiLevelType w:val="hybridMultilevel"/>
    <w:lvl w:ilvl="0">
      <w:lvlJc w:val="left"/>
      <w:lvlText w:val="%1."/>
      <w:numFmt w:val="decimal"/>
      <w:start w:val="2"/>
    </w:lvl>
  </w:abstractNum>
  <w:abstractNum w:abstractNumId="116">
    <w:nsid w:val="3DD15094"/>
    <w:multiLevelType w:val="hybridMultilevel"/>
    <w:lvl w:ilvl="0">
      <w:lvlJc w:val="left"/>
      <w:lvlText w:val="%1."/>
      <w:numFmt w:val="decimal"/>
      <w:start w:val="7"/>
    </w:lvl>
  </w:abstractNum>
  <w:abstractNum w:abstractNumId="117">
    <w:nsid w:val="3DB012B3"/>
    <w:multiLevelType w:val="hybridMultilevel"/>
    <w:lvl w:ilvl="0">
      <w:lvlJc w:val="left"/>
      <w:lvlText w:val="%1."/>
      <w:numFmt w:val="decimal"/>
      <w:start w:val="11"/>
    </w:lvl>
  </w:abstractNum>
  <w:abstractNum w:abstractNumId="118">
    <w:nsid w:val="2708C9AF"/>
    <w:multiLevelType w:val="hybridMultilevel"/>
    <w:lvl w:ilvl="0">
      <w:lvlJc w:val="left"/>
      <w:lvlText w:val="%1"/>
      <w:numFmt w:val="decimal"/>
      <w:start w:val="1"/>
    </w:lvl>
    <w:lvl w:ilvl="1">
      <w:lvlJc w:val="left"/>
      <w:lvlText w:val="(%2)"/>
      <w:numFmt w:val="lowerLetter"/>
      <w:start w:val="2"/>
    </w:lvl>
  </w:abstractNum>
  <w:abstractNum w:abstractNumId="119">
    <w:nsid w:val="5B25ACE2"/>
    <w:multiLevelType w:val="hybridMultilevel"/>
    <w:lvl w:ilvl="0">
      <w:lvlJc w:val="left"/>
      <w:lvlText w:val="%1."/>
      <w:numFmt w:val="decimal"/>
      <w:start w:val="17"/>
    </w:lvl>
    <w:lvl w:ilvl="1">
      <w:lvlJc w:val="left"/>
      <w:lvlText w:val="%2"/>
      <w:numFmt w:val="lowerLetter"/>
      <w:start w:val="1"/>
    </w:lvl>
  </w:abstractNum>
  <w:abstractNum w:abstractNumId="120">
    <w:nsid w:val="175DFCF0"/>
    <w:multiLevelType w:val="hybridMultilevel"/>
    <w:lvl w:ilvl="0">
      <w:lvlJc w:val="left"/>
      <w:lvlText w:val="%1."/>
      <w:numFmt w:val="decimal"/>
      <w:start w:val="20"/>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2021-07-23T08:12:43Z</dcterms:created>
  <dcterms:modified xsi:type="dcterms:W3CDTF">2021-07-23T08:12:43Z</dcterms:modified>
</cp:coreProperties>
</file>