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jc w:val="center"/>
        <w:ind w:right="-1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123190</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89" w:lineRule="exact"/>
        <w:rPr>
          <w:sz w:val="24"/>
          <w:szCs w:val="24"/>
          <w:color w:val="auto"/>
        </w:rPr>
      </w:pPr>
    </w:p>
    <w:p>
      <w:pPr>
        <w:ind w:left="3260" w:hanging="206"/>
        <w:spacing w:after="0"/>
        <w:tabs>
          <w:tab w:leader="none" w:pos="3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spacing w:after="0" w:line="9"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2017</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3260" w:hanging="208"/>
        <w:spacing w:after="0"/>
        <w:tabs>
          <w:tab w:leader="none" w:pos="3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w:t>
      </w:r>
    </w:p>
    <w:p>
      <w:pPr>
        <w:spacing w:after="0" w:line="9"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 to ________</w:t>
      </w:r>
    </w:p>
    <w:p>
      <w:pPr>
        <w:spacing w:after="0" w:line="198"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176"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Honeywell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4"/>
          <w:szCs w:val="24"/>
          <w:color w:val="auto"/>
        </w:rPr>
      </w:pPr>
    </w:p>
    <w:tbl>
      <w:tblPr>
        <w:tblLayout w:type="fixed"/>
        <w:tblInd w:w="70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6460" w:type="dxa"/>
            <w:vAlign w:val="bottom"/>
            <w:gridSpan w:val="3"/>
          </w:tcPr>
          <w:p>
            <w:pPr>
              <w:jc w:val="center"/>
              <w:ind w:right="3140"/>
              <w:spacing w:after="0"/>
              <w:rPr>
                <w:sz w:val="20"/>
                <w:szCs w:val="20"/>
                <w:color w:val="auto"/>
              </w:rPr>
            </w:pPr>
            <w:r>
              <w:rPr>
                <w:rFonts w:ascii="Arial" w:cs="Arial" w:eastAsia="Arial" w:hAnsi="Arial"/>
                <w:sz w:val="18"/>
                <w:szCs w:val="18"/>
                <w:color w:val="auto"/>
                <w:w w:val="99"/>
              </w:rPr>
              <w:t>Delaware</w:t>
            </w:r>
          </w:p>
        </w:tc>
        <w:tc>
          <w:tcPr>
            <w:tcW w:w="1540" w:type="dxa"/>
            <w:vAlign w:val="bottom"/>
          </w:tcPr>
          <w:p>
            <w:pPr>
              <w:jc w:val="right"/>
              <w:spacing w:after="0"/>
              <w:rPr>
                <w:sz w:val="20"/>
                <w:szCs w:val="20"/>
                <w:color w:val="auto"/>
              </w:rPr>
            </w:pPr>
            <w:r>
              <w:rPr>
                <w:rFonts w:ascii="Arial" w:cs="Arial" w:eastAsia="Arial" w:hAnsi="Arial"/>
                <w:sz w:val="18"/>
                <w:szCs w:val="18"/>
                <w:color w:val="auto"/>
              </w:rPr>
              <w:t>22-2640650</w:t>
            </w:r>
          </w:p>
        </w:tc>
        <w:tc>
          <w:tcPr>
            <w:tcW w:w="1020" w:type="dxa"/>
            <w:vAlign w:val="bottom"/>
          </w:tcPr>
          <w:p>
            <w:pPr>
              <w:spacing w:after="0"/>
              <w:rPr>
                <w:sz w:val="17"/>
                <w:szCs w:val="17"/>
                <w:color w:val="auto"/>
              </w:rPr>
            </w:pPr>
          </w:p>
        </w:tc>
      </w:tr>
      <w:tr>
        <w:trPr>
          <w:trHeight w:val="195"/>
        </w:trPr>
        <w:tc>
          <w:tcPr>
            <w:tcW w:w="102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jc w:val="center"/>
              <w:ind w:right="930"/>
              <w:spacing w:after="0" w:line="195" w:lineRule="exact"/>
              <w:rPr>
                <w:sz w:val="20"/>
                <w:szCs w:val="20"/>
                <w:color w:val="auto"/>
              </w:rPr>
            </w:pPr>
            <w:r>
              <w:rPr>
                <w:rFonts w:ascii="Arial" w:cs="Arial" w:eastAsia="Arial" w:hAnsi="Arial"/>
                <w:sz w:val="18"/>
                <w:szCs w:val="18"/>
                <w:color w:val="auto"/>
              </w:rPr>
              <w:t>(State or other jurisdiction of</w:t>
            </w:r>
          </w:p>
        </w:tc>
        <w:tc>
          <w:tcPr>
            <w:tcW w:w="15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gridSpan w:val="2"/>
          </w:tcPr>
          <w:p>
            <w:pPr>
              <w:jc w:val="center"/>
              <w:ind w:right="520"/>
              <w:spacing w:after="0" w:line="195" w:lineRule="exact"/>
              <w:rPr>
                <w:sz w:val="20"/>
                <w:szCs w:val="20"/>
                <w:color w:val="auto"/>
              </w:rPr>
            </w:pPr>
            <w:r>
              <w:rPr>
                <w:rFonts w:ascii="Arial" w:cs="Arial" w:eastAsia="Arial" w:hAnsi="Arial"/>
                <w:sz w:val="18"/>
                <w:szCs w:val="18"/>
                <w:color w:val="auto"/>
                <w:w w:val="99"/>
              </w:rPr>
              <w:t>(I.R.S. Employer</w:t>
            </w:r>
          </w:p>
        </w:tc>
      </w:tr>
      <w:tr>
        <w:trPr>
          <w:trHeight w:val="217"/>
        </w:trPr>
        <w:tc>
          <w:tcPr>
            <w:tcW w:w="1020" w:type="dxa"/>
            <w:vAlign w:val="bottom"/>
          </w:tcPr>
          <w:p>
            <w:pPr>
              <w:spacing w:after="0"/>
              <w:rPr>
                <w:sz w:val="18"/>
                <w:szCs w:val="18"/>
                <w:color w:val="auto"/>
              </w:rPr>
            </w:pPr>
          </w:p>
        </w:tc>
        <w:tc>
          <w:tcPr>
            <w:tcW w:w="6460" w:type="dxa"/>
            <w:vAlign w:val="bottom"/>
            <w:gridSpan w:val="3"/>
          </w:tcPr>
          <w:p>
            <w:pPr>
              <w:jc w:val="center"/>
              <w:ind w:right="3120"/>
              <w:spacing w:after="0"/>
              <w:rPr>
                <w:sz w:val="20"/>
                <w:szCs w:val="20"/>
                <w:color w:val="auto"/>
              </w:rPr>
            </w:pPr>
            <w:r>
              <w:rPr>
                <w:rFonts w:ascii="Arial" w:cs="Arial" w:eastAsia="Arial" w:hAnsi="Arial"/>
                <w:sz w:val="18"/>
                <w:szCs w:val="18"/>
                <w:color w:val="auto"/>
                <w:w w:val="99"/>
              </w:rPr>
              <w:t>incorporation or organization)</w:t>
            </w:r>
          </w:p>
        </w:tc>
        <w:tc>
          <w:tcPr>
            <w:tcW w:w="25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Identification No.)</w:t>
            </w:r>
          </w:p>
        </w:tc>
      </w:tr>
      <w:tr>
        <w:trPr>
          <w:trHeight w:val="391"/>
        </w:trPr>
        <w:tc>
          <w:tcPr>
            <w:tcW w:w="1020" w:type="dxa"/>
            <w:vAlign w:val="bottom"/>
          </w:tcPr>
          <w:p>
            <w:pPr>
              <w:spacing w:after="0"/>
              <w:rPr>
                <w:sz w:val="24"/>
                <w:szCs w:val="24"/>
                <w:color w:val="auto"/>
              </w:rPr>
            </w:pPr>
          </w:p>
        </w:tc>
        <w:tc>
          <w:tcPr>
            <w:tcW w:w="6460" w:type="dxa"/>
            <w:vAlign w:val="bottom"/>
            <w:gridSpan w:val="3"/>
          </w:tcPr>
          <w:p>
            <w:pPr>
              <w:jc w:val="center"/>
              <w:ind w:right="3140"/>
              <w:spacing w:after="0"/>
              <w:rPr>
                <w:sz w:val="20"/>
                <w:szCs w:val="20"/>
                <w:color w:val="auto"/>
              </w:rPr>
            </w:pPr>
            <w:r>
              <w:rPr>
                <w:rFonts w:ascii="Arial" w:cs="Arial" w:eastAsia="Arial" w:hAnsi="Arial"/>
                <w:sz w:val="18"/>
                <w:szCs w:val="18"/>
                <w:color w:val="auto"/>
                <w:w w:val="98"/>
              </w:rPr>
              <w:t>115 Tabor Road</w:t>
            </w: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1020" w:type="dxa"/>
            <w:vAlign w:val="bottom"/>
          </w:tcPr>
          <w:p>
            <w:pPr>
              <w:spacing w:after="0"/>
              <w:rPr>
                <w:sz w:val="17"/>
                <w:szCs w:val="17"/>
                <w:color w:val="auto"/>
              </w:rPr>
            </w:pPr>
          </w:p>
        </w:tc>
        <w:tc>
          <w:tcPr>
            <w:tcW w:w="6460" w:type="dxa"/>
            <w:vAlign w:val="bottom"/>
            <w:gridSpan w:val="3"/>
          </w:tcPr>
          <w:p>
            <w:pPr>
              <w:jc w:val="center"/>
              <w:ind w:right="3140"/>
              <w:spacing w:after="0" w:line="203" w:lineRule="exact"/>
              <w:rPr>
                <w:sz w:val="20"/>
                <w:szCs w:val="20"/>
                <w:color w:val="auto"/>
              </w:rPr>
            </w:pPr>
            <w:r>
              <w:rPr>
                <w:rFonts w:ascii="Arial" w:cs="Arial" w:eastAsia="Arial" w:hAnsi="Arial"/>
                <w:sz w:val="18"/>
                <w:szCs w:val="18"/>
                <w:color w:val="auto"/>
                <w:w w:val="99"/>
              </w:rPr>
              <w:t>Morris Plains, New Jersey</w:t>
            </w:r>
          </w:p>
        </w:tc>
        <w:tc>
          <w:tcPr>
            <w:tcW w:w="154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07950</w:t>
            </w:r>
          </w:p>
        </w:tc>
        <w:tc>
          <w:tcPr>
            <w:tcW w:w="1020" w:type="dxa"/>
            <w:vAlign w:val="bottom"/>
          </w:tcPr>
          <w:p>
            <w:pPr>
              <w:spacing w:after="0"/>
              <w:rPr>
                <w:sz w:val="17"/>
                <w:szCs w:val="17"/>
                <w:color w:val="auto"/>
              </w:rPr>
            </w:pPr>
          </w:p>
        </w:tc>
      </w:tr>
      <w:tr>
        <w:trPr>
          <w:trHeight w:val="210"/>
        </w:trPr>
        <w:tc>
          <w:tcPr>
            <w:tcW w:w="1020" w:type="dxa"/>
            <w:vAlign w:val="bottom"/>
            <w:tcBorders>
              <w:top w:val="single" w:sz="8" w:color="auto"/>
            </w:tcBorders>
          </w:tcPr>
          <w:p>
            <w:pPr>
              <w:spacing w:after="0"/>
              <w:rPr>
                <w:sz w:val="18"/>
                <w:szCs w:val="18"/>
                <w:color w:val="auto"/>
              </w:rPr>
            </w:pPr>
          </w:p>
        </w:tc>
        <w:tc>
          <w:tcPr>
            <w:tcW w:w="4360" w:type="dxa"/>
            <w:vAlign w:val="bottom"/>
            <w:tcBorders>
              <w:top w:val="single" w:sz="8" w:color="auto"/>
            </w:tcBorders>
          </w:tcPr>
          <w:p>
            <w:pPr>
              <w:jc w:val="center"/>
              <w:ind w:right="950"/>
              <w:spacing w:after="0"/>
              <w:rPr>
                <w:sz w:val="20"/>
                <w:szCs w:val="20"/>
                <w:color w:val="auto"/>
              </w:rPr>
            </w:pPr>
            <w:r>
              <w:rPr>
                <w:rFonts w:ascii="Arial" w:cs="Arial" w:eastAsia="Arial" w:hAnsi="Arial"/>
                <w:sz w:val="18"/>
                <w:szCs w:val="18"/>
                <w:color w:val="auto"/>
                <w:w w:val="99"/>
              </w:rPr>
              <w:t>(Address of principal executive offices)</w:t>
            </w:r>
          </w:p>
        </w:tc>
        <w:tc>
          <w:tcPr>
            <w:tcW w:w="15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color w:val="auto"/>
              </w:rPr>
              <w:t>(Zip Code)</w:t>
            </w:r>
          </w:p>
        </w:tc>
      </w:tr>
      <w:tr>
        <w:trPr>
          <w:trHeight w:val="391"/>
        </w:trPr>
        <w:tc>
          <w:tcPr>
            <w:tcW w:w="6960" w:type="dxa"/>
            <w:vAlign w:val="bottom"/>
            <w:gridSpan w:val="3"/>
          </w:tcPr>
          <w:p>
            <w:pPr>
              <w:jc w:val="center"/>
              <w:ind w:left="2990"/>
              <w:spacing w:after="0"/>
              <w:rPr>
                <w:sz w:val="20"/>
                <w:szCs w:val="20"/>
                <w:color w:val="auto"/>
              </w:rPr>
            </w:pPr>
            <w:r>
              <w:rPr>
                <w:rFonts w:ascii="Arial" w:cs="Arial" w:eastAsia="Arial" w:hAnsi="Arial"/>
                <w:sz w:val="18"/>
                <w:szCs w:val="18"/>
                <w:color w:val="auto"/>
              </w:rPr>
              <w:t>(973) 455-2000</w:t>
            </w: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6460" w:type="dxa"/>
            <w:vAlign w:val="bottom"/>
            <w:tcBorders>
              <w:top w:val="single" w:sz="8" w:color="auto"/>
            </w:tcBorders>
            <w:gridSpan w:val="3"/>
          </w:tcPr>
          <w:p>
            <w:pPr>
              <w:jc w:val="center"/>
              <w:ind w:left="1470"/>
              <w:spacing w:after="0"/>
              <w:rPr>
                <w:sz w:val="20"/>
                <w:szCs w:val="20"/>
                <w:color w:val="auto"/>
              </w:rPr>
            </w:pPr>
            <w:r>
              <w:rPr>
                <w:rFonts w:ascii="Arial" w:cs="Arial" w:eastAsia="Arial" w:hAnsi="Arial"/>
                <w:sz w:val="18"/>
                <w:szCs w:val="18"/>
                <w:color w:val="auto"/>
                <w:w w:val="99"/>
              </w:rPr>
              <w:t>(Registrant’s telephone number, including area code)</w:t>
            </w:r>
          </w:p>
        </w:tc>
        <w:tc>
          <w:tcPr>
            <w:tcW w:w="1540" w:type="dxa"/>
            <w:vAlign w:val="bottom"/>
            <w:tcBorders>
              <w:top w:val="single" w:sz="8" w:color="auto"/>
            </w:tcBorders>
          </w:tcPr>
          <w:p>
            <w:pPr>
              <w:spacing w:after="0"/>
              <w:rPr>
                <w:sz w:val="18"/>
                <w:szCs w:val="18"/>
                <w:color w:val="auto"/>
              </w:rPr>
            </w:pPr>
          </w:p>
        </w:tc>
        <w:tc>
          <w:tcPr>
            <w:tcW w:w="1020" w:type="dxa"/>
            <w:vAlign w:val="bottom"/>
          </w:tcPr>
          <w:p>
            <w:pPr>
              <w:spacing w:after="0"/>
              <w:rPr>
                <w:sz w:val="18"/>
                <w:szCs w:val="18"/>
                <w:color w:val="auto"/>
              </w:rPr>
            </w:pPr>
          </w:p>
        </w:tc>
      </w:tr>
      <w:tr>
        <w:trPr>
          <w:trHeight w:val="391"/>
        </w:trPr>
        <w:tc>
          <w:tcPr>
            <w:tcW w:w="1020" w:type="dxa"/>
            <w:vAlign w:val="bottom"/>
          </w:tcPr>
          <w:p>
            <w:pPr>
              <w:spacing w:after="0"/>
              <w:rPr>
                <w:sz w:val="24"/>
                <w:szCs w:val="24"/>
                <w:color w:val="auto"/>
              </w:rPr>
            </w:pPr>
          </w:p>
        </w:tc>
        <w:tc>
          <w:tcPr>
            <w:tcW w:w="6460" w:type="dxa"/>
            <w:vAlign w:val="bottom"/>
            <w:tcBorders>
              <w:bottom w:val="single" w:sz="8" w:color="auto"/>
            </w:tcBorders>
            <w:gridSpan w:val="3"/>
          </w:tcPr>
          <w:p>
            <w:pPr>
              <w:jc w:val="center"/>
              <w:ind w:left="1450"/>
              <w:spacing w:after="0"/>
              <w:rPr>
                <w:sz w:val="20"/>
                <w:szCs w:val="20"/>
                <w:color w:val="auto"/>
              </w:rPr>
            </w:pPr>
            <w:r>
              <w:rPr>
                <w:rFonts w:ascii="Arial" w:cs="Arial" w:eastAsia="Arial" w:hAnsi="Arial"/>
                <w:sz w:val="18"/>
                <w:szCs w:val="18"/>
                <w:color w:val="auto"/>
                <w:w w:val="99"/>
              </w:rPr>
              <w:t>Not Applicable</w:t>
            </w:r>
          </w:p>
        </w:tc>
        <w:tc>
          <w:tcPr>
            <w:tcW w:w="154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r>
      <w:tr>
        <w:trPr>
          <w:trHeight w:val="195"/>
        </w:trPr>
        <w:tc>
          <w:tcPr>
            <w:tcW w:w="1020" w:type="dxa"/>
            <w:vAlign w:val="bottom"/>
          </w:tcPr>
          <w:p>
            <w:pPr>
              <w:spacing w:after="0"/>
              <w:rPr>
                <w:sz w:val="16"/>
                <w:szCs w:val="16"/>
                <w:color w:val="auto"/>
              </w:rPr>
            </w:pPr>
          </w:p>
        </w:tc>
        <w:tc>
          <w:tcPr>
            <w:tcW w:w="6460" w:type="dxa"/>
            <w:vAlign w:val="bottom"/>
            <w:gridSpan w:val="3"/>
          </w:tcPr>
          <w:p>
            <w:pPr>
              <w:jc w:val="center"/>
              <w:ind w:left="1450"/>
              <w:spacing w:after="0" w:line="195" w:lineRule="exact"/>
              <w:rPr>
                <w:sz w:val="20"/>
                <w:szCs w:val="20"/>
                <w:color w:val="auto"/>
              </w:rPr>
            </w:pPr>
            <w:r>
              <w:rPr>
                <w:rFonts w:ascii="Arial" w:cs="Arial" w:eastAsia="Arial" w:hAnsi="Arial"/>
                <w:sz w:val="18"/>
                <w:szCs w:val="18"/>
                <w:color w:val="auto"/>
                <w:w w:val="99"/>
              </w:rPr>
              <w:t>(Former name, former address and former fiscal year,</w:t>
            </w:r>
          </w:p>
        </w:tc>
        <w:tc>
          <w:tcPr>
            <w:tcW w:w="1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7"/>
        </w:trPr>
        <w:tc>
          <w:tcPr>
            <w:tcW w:w="1020" w:type="dxa"/>
            <w:vAlign w:val="bottom"/>
          </w:tcPr>
          <w:p>
            <w:pPr>
              <w:spacing w:after="0"/>
              <w:rPr>
                <w:sz w:val="18"/>
                <w:szCs w:val="18"/>
                <w:color w:val="auto"/>
              </w:rPr>
            </w:pPr>
          </w:p>
        </w:tc>
        <w:tc>
          <w:tcPr>
            <w:tcW w:w="6460" w:type="dxa"/>
            <w:vAlign w:val="bottom"/>
            <w:gridSpan w:val="3"/>
          </w:tcPr>
          <w:p>
            <w:pPr>
              <w:jc w:val="center"/>
              <w:ind w:left="1450"/>
              <w:spacing w:after="0"/>
              <w:rPr>
                <w:sz w:val="20"/>
                <w:szCs w:val="20"/>
                <w:color w:val="auto"/>
              </w:rPr>
            </w:pPr>
            <w:r>
              <w:rPr>
                <w:rFonts w:ascii="Arial" w:cs="Arial" w:eastAsia="Arial" w:hAnsi="Arial"/>
                <w:sz w:val="18"/>
                <w:szCs w:val="18"/>
                <w:color w:val="auto"/>
                <w:w w:val="99"/>
              </w:rPr>
              <w:t>if changed since last report)</w:t>
            </w: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188"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42" w:right="239" w:bottom="1440" w:gutter="0" w:footer="0" w:header="0"/>
        </w:sectPr>
      </w:pP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61" w:lineRule="exact"/>
        <w:rPr>
          <w:sz w:val="24"/>
          <w:szCs w:val="24"/>
          <w:color w:val="auto"/>
        </w:rPr>
      </w:pPr>
    </w:p>
    <w:p>
      <w:pPr>
        <w:sectPr>
          <w:pgSz w:w="11900" w:h="16838" w:orient="portrait"/>
          <w:cols w:equalWidth="0" w:num="3">
            <w:col w:w="7180" w:space="720"/>
            <w:col w:w="1280" w:space="100"/>
            <w:col w:w="2140"/>
          </w:cols>
          <w:pgMar w:left="240" w:top="242" w:right="239" w:bottom="1440" w:gutter="0" w:footer="0" w:header="0"/>
          <w:type w:val="continuous"/>
        </w:sectPr>
      </w:pP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jc w:val="cente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w:t>
      </w: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9" w:lineRule="exact"/>
        <w:rPr>
          <w:sz w:val="24"/>
          <w:szCs w:val="24"/>
          <w:color w:val="auto"/>
        </w:rPr>
      </w:pPr>
    </w:p>
    <w:p>
      <w:pPr>
        <w:sectPr>
          <w:pgSz w:w="11900" w:h="16838" w:orient="portrait"/>
          <w:cols w:equalWidth="0" w:num="5">
            <w:col w:w="1680" w:space="100"/>
            <w:col w:w="160" w:space="120"/>
            <w:col w:w="5120" w:space="720"/>
            <w:col w:w="2140" w:space="100"/>
            <w:col w:w="1280"/>
          </w:cols>
          <w:pgMar w:left="240" w:top="242" w:right="239" w:bottom="1440" w:gutter="0" w:footer="0" w:header="0"/>
          <w:type w:val="continuous"/>
        </w:sectPr>
      </w:pPr>
    </w:p>
    <w:p>
      <w:pPr>
        <w:spacing w:after="0" w:line="23"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There were 761,822,773 shares of Common Stock outstanding at September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782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340" w:type="dxa"/>
            <w:vAlign w:val="bottom"/>
            <w:gridSpan w:val="2"/>
          </w:tcPr>
          <w:p>
            <w:pPr>
              <w:ind w:left="560"/>
              <w:spacing w:after="0"/>
              <w:rPr>
                <w:sz w:val="20"/>
                <w:szCs w:val="20"/>
                <w:color w:val="auto"/>
              </w:rPr>
            </w:pPr>
            <w:r>
              <w:rPr>
                <w:rFonts w:ascii="Arial" w:cs="Arial" w:eastAsia="Arial" w:hAnsi="Arial"/>
                <w:sz w:val="18"/>
                <w:szCs w:val="18"/>
                <w:b w:val="1"/>
                <w:bCs w:val="1"/>
                <w:color w:val="auto"/>
                <w:w w:val="98"/>
              </w:rPr>
              <w:t>Page No.</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6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764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6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 of Operations (unaudited) –</w:t>
              </w:r>
            </w:hyperlink>
          </w:p>
        </w:tc>
        <w:tc>
          <w:tcPr>
            <w:tcW w:w="348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4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Three and Nine Months Ended September 30, 2017 and 2016</w:t>
              </w:r>
            </w:hyperlink>
          </w:p>
        </w:tc>
        <w:tc>
          <w:tcPr>
            <w:tcW w:w="2520" w:type="dxa"/>
            <w:vAlign w:val="bottom"/>
            <w:gridSpan w:val="3"/>
          </w:tcPr>
          <w:p>
            <w:pPr>
              <w:spacing w:after="0"/>
              <w:rPr>
                <w:sz w:val="15"/>
                <w:szCs w:val="15"/>
                <w:color w:val="auto"/>
              </w:rPr>
            </w:pPr>
          </w:p>
        </w:tc>
        <w:tc>
          <w:tcPr>
            <w:tcW w:w="1340" w:type="dxa"/>
            <w:vAlign w:val="bottom"/>
            <w:gridSpan w:val="2"/>
          </w:tcPr>
          <w:p>
            <w:pPr>
              <w:jc w:val="center"/>
              <w:ind w:left="470"/>
              <w:spacing w:after="0" w:line="182" w:lineRule="exact"/>
              <w:rPr>
                <w:sz w:val="20"/>
                <w:szCs w:val="20"/>
                <w:color w:val="auto"/>
              </w:rPr>
            </w:pPr>
            <w:r>
              <w:rPr>
                <w:rFonts w:ascii="Arial" w:cs="Arial" w:eastAsia="Arial" w:hAnsi="Arial"/>
                <w:sz w:val="18"/>
                <w:szCs w:val="18"/>
                <w:color w:val="auto"/>
                <w:w w:val="99"/>
              </w:rPr>
              <w:t>3</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 of Comprehensive Income (unaudited) –</w:t>
              </w:r>
            </w:hyperlink>
          </w:p>
        </w:tc>
        <w:tc>
          <w:tcPr>
            <w:tcW w:w="246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60" w:type="dxa"/>
            <w:vAlign w:val="bottom"/>
            <w:gridSpan w:val="21"/>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Three and Nine Months Ended September 30, 2017 and 2016</w:t>
              </w:r>
            </w:hyperlink>
          </w:p>
        </w:tc>
        <w:tc>
          <w:tcPr>
            <w:tcW w:w="1340" w:type="dxa"/>
            <w:vAlign w:val="bottom"/>
            <w:gridSpan w:val="2"/>
          </w:tcPr>
          <w:p>
            <w:pPr>
              <w:jc w:val="center"/>
              <w:ind w:left="470"/>
              <w:spacing w:after="0" w:line="182" w:lineRule="exact"/>
              <w:rPr>
                <w:sz w:val="20"/>
                <w:szCs w:val="20"/>
                <w:color w:val="auto"/>
              </w:rPr>
            </w:pPr>
            <w:r>
              <w:rPr>
                <w:rFonts w:ascii="Arial" w:cs="Arial" w:eastAsia="Arial" w:hAnsi="Arial"/>
                <w:sz w:val="18"/>
                <w:szCs w:val="18"/>
                <w:color w:val="auto"/>
                <w:w w:val="99"/>
              </w:rPr>
              <w:t>4</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Balance Sheet (unaudited) –</w:t>
              </w:r>
            </w:hyperlink>
          </w:p>
        </w:tc>
        <w:tc>
          <w:tcPr>
            <w:tcW w:w="426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60" w:type="dxa"/>
            <w:vAlign w:val="bottom"/>
            <w:gridSpan w:val="21"/>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2017 and December 31, 2016</w:t>
              </w:r>
            </w:hyperlink>
          </w:p>
        </w:tc>
        <w:tc>
          <w:tcPr>
            <w:tcW w:w="1340" w:type="dxa"/>
            <w:vAlign w:val="bottom"/>
            <w:gridSpan w:val="2"/>
          </w:tcPr>
          <w:p>
            <w:pPr>
              <w:jc w:val="center"/>
              <w:ind w:left="470"/>
              <w:spacing w:after="0" w:line="182" w:lineRule="exact"/>
              <w:rPr>
                <w:sz w:val="20"/>
                <w:szCs w:val="20"/>
                <w:color w:val="auto"/>
              </w:rPr>
            </w:pPr>
            <w:r>
              <w:rPr>
                <w:rFonts w:ascii="Arial" w:cs="Arial" w:eastAsia="Arial" w:hAnsi="Arial"/>
                <w:sz w:val="18"/>
                <w:szCs w:val="18"/>
                <w:color w:val="auto"/>
                <w:w w:val="99"/>
              </w:rPr>
              <w:t>5</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2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 of Cash Flows (unaudited) –</w:t>
              </w:r>
            </w:hyperlink>
          </w:p>
        </w:tc>
        <w:tc>
          <w:tcPr>
            <w:tcW w:w="3420" w:type="dxa"/>
            <w:vAlign w:val="bottom"/>
            <w:gridSpan w:val="9"/>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Nine Months Ended September 30, 2017 and 2016</w:t>
              </w:r>
            </w:hyperlink>
          </w:p>
        </w:tc>
        <w:tc>
          <w:tcPr>
            <w:tcW w:w="3400" w:type="dxa"/>
            <w:vAlign w:val="bottom"/>
            <w:gridSpan w:val="8"/>
          </w:tcPr>
          <w:p>
            <w:pPr>
              <w:spacing w:after="0"/>
              <w:rPr>
                <w:sz w:val="15"/>
                <w:szCs w:val="15"/>
                <w:color w:val="auto"/>
              </w:rPr>
            </w:pPr>
          </w:p>
        </w:tc>
        <w:tc>
          <w:tcPr>
            <w:tcW w:w="1340" w:type="dxa"/>
            <w:vAlign w:val="bottom"/>
            <w:gridSpan w:val="2"/>
          </w:tcPr>
          <w:p>
            <w:pPr>
              <w:jc w:val="center"/>
              <w:ind w:left="470"/>
              <w:spacing w:after="0" w:line="182" w:lineRule="exact"/>
              <w:rPr>
                <w:sz w:val="20"/>
                <w:szCs w:val="20"/>
                <w:color w:val="auto"/>
              </w:rPr>
            </w:pPr>
            <w:r>
              <w:rPr>
                <w:rFonts w:ascii="Arial" w:cs="Arial" w:eastAsia="Arial" w:hAnsi="Arial"/>
                <w:sz w:val="18"/>
                <w:szCs w:val="18"/>
                <w:color w:val="auto"/>
                <w:w w:val="99"/>
              </w:rPr>
              <w:t>6</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6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Notes to Consolidated Financial Statements (unaudited)</w:t>
              </w:r>
            </w:hyperlink>
          </w:p>
        </w:tc>
        <w:tc>
          <w:tcPr>
            <w:tcW w:w="3180" w:type="dxa"/>
            <w:vAlign w:val="bottom"/>
            <w:gridSpan w:val="7"/>
          </w:tcPr>
          <w:p>
            <w:pPr>
              <w:spacing w:after="0"/>
              <w:rPr>
                <w:sz w:val="24"/>
                <w:szCs w:val="24"/>
                <w:color w:val="auto"/>
              </w:rPr>
            </w:pPr>
          </w:p>
        </w:tc>
        <w:tc>
          <w:tcPr>
            <w:tcW w:w="134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7</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5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08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Management’s Discussion and Analysis of Financial Condition and Results of Operations</w:t>
              </w:r>
            </w:hyperlink>
          </w:p>
        </w:tc>
        <w:tc>
          <w:tcPr>
            <w:tcW w:w="560" w:type="dxa"/>
            <w:vAlign w:val="bottom"/>
          </w:tcPr>
          <w:p>
            <w:pPr>
              <w:spacing w:after="0"/>
              <w:rPr>
                <w:sz w:val="24"/>
                <w:szCs w:val="24"/>
                <w:color w:val="auto"/>
              </w:rPr>
            </w:pPr>
          </w:p>
        </w:tc>
        <w:tc>
          <w:tcPr>
            <w:tcW w:w="1340" w:type="dxa"/>
            <w:vAlign w:val="bottom"/>
            <w:gridSpan w:val="2"/>
          </w:tcPr>
          <w:p>
            <w:pPr>
              <w:jc w:val="center"/>
              <w:ind w:left="490"/>
              <w:spacing w:after="0"/>
              <w:rPr>
                <w:sz w:val="20"/>
                <w:szCs w:val="20"/>
                <w:color w:val="auto"/>
              </w:rPr>
            </w:pPr>
            <w:r>
              <w:rPr>
                <w:rFonts w:ascii="Arial" w:cs="Arial" w:eastAsia="Arial" w:hAnsi="Arial"/>
                <w:sz w:val="18"/>
                <w:szCs w:val="18"/>
                <w:color w:val="auto"/>
                <w:w w:val="99"/>
              </w:rPr>
              <w:t>23</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5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Quantitative and Qualitative Disclosures About Market Risks</w:t>
              </w:r>
            </w:hyperlink>
          </w:p>
        </w:tc>
        <w:tc>
          <w:tcPr>
            <w:tcW w:w="2840" w:type="dxa"/>
            <w:vAlign w:val="bottom"/>
            <w:gridSpan w:val="6"/>
          </w:tcPr>
          <w:p>
            <w:pPr>
              <w:spacing w:after="0"/>
              <w:rPr>
                <w:sz w:val="24"/>
                <w:szCs w:val="24"/>
                <w:color w:val="auto"/>
              </w:rPr>
            </w:pPr>
          </w:p>
        </w:tc>
        <w:tc>
          <w:tcPr>
            <w:tcW w:w="1340" w:type="dxa"/>
            <w:vAlign w:val="bottom"/>
            <w:gridSpan w:val="2"/>
          </w:tcPr>
          <w:p>
            <w:pPr>
              <w:jc w:val="center"/>
              <w:ind w:left="490"/>
              <w:spacing w:after="0"/>
              <w:rPr>
                <w:sz w:val="20"/>
                <w:szCs w:val="20"/>
                <w:color w:val="auto"/>
              </w:rPr>
            </w:pPr>
            <w:r>
              <w:rPr>
                <w:rFonts w:ascii="Arial" w:cs="Arial" w:eastAsia="Arial" w:hAnsi="Arial"/>
                <w:sz w:val="18"/>
                <w:szCs w:val="18"/>
                <w:color w:val="auto"/>
                <w:w w:val="99"/>
              </w:rPr>
              <w:t>31</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Item 4.</w:t>
              </w:r>
            </w:hyperlink>
          </w:p>
        </w:tc>
        <w:tc>
          <w:tcPr>
            <w:tcW w:w="6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764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1340" w:type="dxa"/>
            <w:vAlign w:val="bottom"/>
            <w:gridSpan w:val="2"/>
          </w:tcPr>
          <w:p>
            <w:pPr>
              <w:jc w:val="center"/>
              <w:ind w:left="490"/>
              <w:spacing w:after="0"/>
              <w:rPr>
                <w:sz w:val="20"/>
                <w:szCs w:val="20"/>
                <w:color w:val="auto"/>
              </w:rPr>
            </w:pPr>
            <w:r>
              <w:rPr>
                <w:rFonts w:ascii="Arial" w:cs="Arial" w:eastAsia="Arial" w:hAnsi="Arial"/>
                <w:sz w:val="18"/>
                <w:szCs w:val="18"/>
                <w:color w:val="auto"/>
                <w:w w:val="99"/>
              </w:rPr>
              <w:t>31</w:t>
            </w:r>
          </w:p>
        </w:tc>
      </w:tr>
      <w:tr>
        <w:trPr>
          <w:trHeight w:val="20"/>
        </w:trPr>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6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32">
              <w:r>
                <w:rPr>
                  <w:rFonts w:ascii="Arial" w:cs="Arial" w:eastAsia="Arial" w:hAnsi="Arial"/>
                  <w:sz w:val="18"/>
                  <w:szCs w:val="18"/>
                  <w:b w:val="1"/>
                  <w:bCs w:val="1"/>
                  <w:color w:val="0000EE"/>
                  <w:w w:val="98"/>
                </w:rPr>
                <w:t>Part II.</w:t>
              </w:r>
            </w:hyperlink>
          </w:p>
        </w:tc>
        <w:tc>
          <w:tcPr>
            <w:tcW w:w="36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gridSpan w:val="3"/>
          </w:tcPr>
          <w:p>
            <w:pPr>
              <w:spacing w:after="0"/>
              <w:rPr>
                <w:sz w:val="24"/>
                <w:szCs w:val="24"/>
                <w:color w:val="auto"/>
              </w:rPr>
            </w:pPr>
          </w:p>
        </w:tc>
        <w:tc>
          <w:tcPr>
            <w:tcW w:w="15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32">
              <w:r>
                <w:rPr>
                  <w:rFonts w:ascii="Arial" w:cs="Arial" w:eastAsia="Arial" w:hAnsi="Arial"/>
                  <w:sz w:val="18"/>
                  <w:szCs w:val="18"/>
                  <w:b w:val="1"/>
                  <w:bCs w:val="1"/>
                  <w:color w:val="0000EE"/>
                  <w:w w:val="98"/>
                </w:rPr>
                <w:t>Other Information</w:t>
              </w:r>
            </w:hyperlink>
          </w:p>
        </w:tc>
        <w:tc>
          <w:tcPr>
            <w:tcW w:w="6300" w:type="dxa"/>
            <w:vAlign w:val="bottom"/>
            <w:gridSpan w:val="18"/>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w:t>
              </w:r>
            </w:hyperlink>
          </w:p>
        </w:tc>
        <w:tc>
          <w:tcPr>
            <w:tcW w:w="5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64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340" w:type="dxa"/>
            <w:vAlign w:val="bottom"/>
            <w:gridSpan w:val="2"/>
          </w:tcPr>
          <w:p>
            <w:pPr>
              <w:jc w:val="center"/>
              <w:ind w:left="490"/>
              <w:spacing w:after="0"/>
              <w:rPr>
                <w:sz w:val="20"/>
                <w:szCs w:val="20"/>
                <w:color w:val="auto"/>
              </w:rPr>
            </w:pPr>
            <w:r>
              <w:rPr>
                <w:rFonts w:ascii="Arial" w:cs="Arial" w:eastAsia="Arial" w:hAnsi="Arial"/>
                <w:sz w:val="18"/>
                <w:szCs w:val="18"/>
                <w:color w:val="auto"/>
                <w:w w:val="99"/>
              </w:rPr>
              <w:t>32</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Item 1A.</w:t>
              </w:r>
            </w:hyperlink>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Risk Factors</w:t>
              </w:r>
            </w:hyperlink>
          </w:p>
        </w:tc>
        <w:tc>
          <w:tcPr>
            <w:tcW w:w="6640" w:type="dxa"/>
            <w:vAlign w:val="bottom"/>
            <w:gridSpan w:val="19"/>
          </w:tcPr>
          <w:p>
            <w:pPr>
              <w:spacing w:after="0"/>
              <w:rPr>
                <w:sz w:val="24"/>
                <w:szCs w:val="24"/>
                <w:color w:val="auto"/>
              </w:rPr>
            </w:pPr>
          </w:p>
        </w:tc>
        <w:tc>
          <w:tcPr>
            <w:tcW w:w="1340" w:type="dxa"/>
            <w:vAlign w:val="bottom"/>
            <w:gridSpan w:val="2"/>
          </w:tcPr>
          <w:p>
            <w:pPr>
              <w:jc w:val="center"/>
              <w:ind w:left="490"/>
              <w:spacing w:after="0"/>
              <w:rPr>
                <w:sz w:val="20"/>
                <w:szCs w:val="20"/>
                <w:color w:val="auto"/>
              </w:rPr>
            </w:pPr>
            <w:r>
              <w:rPr>
                <w:rFonts w:ascii="Arial" w:cs="Arial" w:eastAsia="Arial" w:hAnsi="Arial"/>
                <w:sz w:val="18"/>
                <w:szCs w:val="18"/>
                <w:color w:val="auto"/>
                <w:w w:val="99"/>
              </w:rPr>
              <w:t>32</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w:t>
              </w:r>
            </w:hyperlink>
          </w:p>
        </w:tc>
        <w:tc>
          <w:tcPr>
            <w:tcW w:w="5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64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1340" w:type="dxa"/>
            <w:vAlign w:val="bottom"/>
            <w:gridSpan w:val="2"/>
          </w:tcPr>
          <w:p>
            <w:pPr>
              <w:jc w:val="center"/>
              <w:ind w:left="490"/>
              <w:spacing w:after="0"/>
              <w:rPr>
                <w:sz w:val="20"/>
                <w:szCs w:val="20"/>
                <w:color w:val="auto"/>
              </w:rPr>
            </w:pPr>
            <w:r>
              <w:rPr>
                <w:rFonts w:ascii="Arial" w:cs="Arial" w:eastAsia="Arial" w:hAnsi="Arial"/>
                <w:sz w:val="18"/>
                <w:szCs w:val="18"/>
                <w:color w:val="auto"/>
                <w:w w:val="99"/>
              </w:rPr>
              <w:t>33</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top w:val="single" w:sz="8" w:color="0000EE"/>
              <w:bottom w:val="single" w:sz="8" w:color="0000EE"/>
            </w:tcBorders>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5.</w:t>
              </w:r>
            </w:hyperlink>
          </w:p>
        </w:tc>
        <w:tc>
          <w:tcPr>
            <w:tcW w:w="5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Other Information</w:t>
              </w:r>
            </w:hyperlink>
          </w:p>
        </w:tc>
        <w:tc>
          <w:tcPr>
            <w:tcW w:w="3440" w:type="dxa"/>
            <w:vAlign w:val="bottom"/>
            <w:tcBorders>
              <w:top w:val="single" w:sz="8" w:color="0000EE"/>
            </w:tcBorders>
            <w:gridSpan w:val="12"/>
          </w:tcPr>
          <w:p>
            <w:pPr>
              <w:spacing w:after="0"/>
              <w:rPr>
                <w:sz w:val="24"/>
                <w:szCs w:val="24"/>
                <w:color w:val="auto"/>
              </w:rPr>
            </w:pPr>
          </w:p>
        </w:tc>
        <w:tc>
          <w:tcPr>
            <w:tcW w:w="2800" w:type="dxa"/>
            <w:vAlign w:val="bottom"/>
            <w:gridSpan w:val="5"/>
          </w:tcPr>
          <w:p>
            <w:pPr>
              <w:spacing w:after="0"/>
              <w:rPr>
                <w:sz w:val="24"/>
                <w:szCs w:val="24"/>
                <w:color w:val="auto"/>
              </w:rPr>
            </w:pPr>
          </w:p>
        </w:tc>
        <w:tc>
          <w:tcPr>
            <w:tcW w:w="1340" w:type="dxa"/>
            <w:vAlign w:val="bottom"/>
            <w:gridSpan w:val="2"/>
          </w:tcPr>
          <w:p>
            <w:pPr>
              <w:jc w:val="center"/>
              <w:ind w:left="490"/>
              <w:spacing w:after="0"/>
              <w:rPr>
                <w:sz w:val="20"/>
                <w:szCs w:val="20"/>
                <w:color w:val="auto"/>
              </w:rPr>
            </w:pPr>
            <w:r>
              <w:rPr>
                <w:rFonts w:ascii="Arial" w:cs="Arial" w:eastAsia="Arial" w:hAnsi="Arial"/>
                <w:sz w:val="18"/>
                <w:szCs w:val="18"/>
                <w:color w:val="auto"/>
                <w:w w:val="99"/>
              </w:rPr>
              <w:t>33</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6.</w:t>
              </w:r>
            </w:hyperlink>
          </w:p>
        </w:tc>
        <w:tc>
          <w:tcPr>
            <w:tcW w:w="6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764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1340" w:type="dxa"/>
            <w:vAlign w:val="bottom"/>
            <w:gridSpan w:val="2"/>
          </w:tcPr>
          <w:p>
            <w:pPr>
              <w:jc w:val="center"/>
              <w:ind w:left="490"/>
              <w:spacing w:after="0"/>
              <w:rPr>
                <w:sz w:val="20"/>
                <w:szCs w:val="20"/>
                <w:color w:val="auto"/>
              </w:rPr>
            </w:pPr>
            <w:r>
              <w:rPr>
                <w:rFonts w:ascii="Arial" w:cs="Arial" w:eastAsia="Arial" w:hAnsi="Arial"/>
                <w:sz w:val="18"/>
                <w:szCs w:val="18"/>
                <w:color w:val="auto"/>
                <w:w w:val="99"/>
              </w:rPr>
              <w:t>33</w:t>
            </w:r>
          </w:p>
        </w:tc>
      </w:tr>
      <w:tr>
        <w:trPr>
          <w:trHeight w:val="385"/>
        </w:trPr>
        <w:tc>
          <w:tcPr>
            <w:tcW w:w="920" w:type="dxa"/>
            <w:vAlign w:val="bottom"/>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560" w:type="dxa"/>
            <w:vAlign w:val="bottom"/>
            <w:tcBorders>
              <w:top w:val="single" w:sz="8" w:color="0000EE"/>
            </w:tcBorders>
          </w:tcPr>
          <w:p>
            <w:pPr>
              <w:spacing w:after="0"/>
              <w:rPr>
                <w:sz w:val="24"/>
                <w:szCs w:val="24"/>
                <w:color w:val="auto"/>
              </w:rPr>
            </w:pPr>
          </w:p>
        </w:tc>
        <w:tc>
          <w:tcPr>
            <w:tcW w:w="6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gridSpan w:val="2"/>
          </w:tcPr>
          <w:p>
            <w:pPr>
              <w:jc w:val="center"/>
              <w:ind w:left="490"/>
              <w:spacing w:after="0"/>
              <w:rPr>
                <w:sz w:val="20"/>
                <w:szCs w:val="20"/>
                <w:color w:val="auto"/>
              </w:rPr>
            </w:pPr>
            <w:r>
              <w:rPr>
                <w:rFonts w:ascii="Arial" w:cs="Arial" w:eastAsia="Arial" w:hAnsi="Arial"/>
                <w:sz w:val="18"/>
                <w:szCs w:val="18"/>
                <w:color w:val="auto"/>
                <w:w w:val="99"/>
              </w:rPr>
              <w:t>34</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198"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including with respect to any changes in or abandonment of the proposed spin-offs.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2016 Annual Report on Form 10-K.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98"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The financial statements and related footnotes as of September 30, 2017 should be read in conjunction with the financial statements for the year ended December 31, 2016 contained in our 2016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Consolidated Statement of Operations</w:t>
      </w:r>
    </w:p>
    <w:p>
      <w:pPr>
        <w:jc w:val="center"/>
        <w:ind w:right="140"/>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right"/>
              <w:ind w:right="5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60" w:type="dxa"/>
            <w:vAlign w:val="bottom"/>
            <w:gridSpan w:val="7"/>
          </w:tcPr>
          <w:p>
            <w:pPr>
              <w:ind w:left="40"/>
              <w:spacing w:after="0" w:line="155" w:lineRule="exact"/>
              <w:rPr>
                <w:sz w:val="20"/>
                <w:szCs w:val="20"/>
                <w:color w:val="auto"/>
              </w:rPr>
            </w:pPr>
            <w:r>
              <w:rPr>
                <w:rFonts w:ascii="Arial" w:cs="Arial" w:eastAsia="Arial" w:hAnsi="Arial"/>
                <w:sz w:val="14"/>
                <w:szCs w:val="14"/>
                <w:b w:val="1"/>
                <w:bCs w:val="1"/>
                <w:color w:val="auto"/>
              </w:rPr>
              <w:t>(Dollars in millions, except per share amounts)</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Product sales</w:t>
            </w:r>
          </w:p>
        </w:tc>
        <w:tc>
          <w:tcPr>
            <w:tcW w:w="86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8,052</w:t>
            </w:r>
          </w:p>
        </w:tc>
        <w:tc>
          <w:tcPr>
            <w:tcW w:w="720" w:type="dxa"/>
            <w:vAlign w:val="bottom"/>
            <w:gridSpan w:val="2"/>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7,744</w:t>
            </w:r>
          </w:p>
        </w:tc>
        <w:tc>
          <w:tcPr>
            <w:tcW w:w="60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23,671</w:t>
            </w:r>
          </w:p>
        </w:tc>
        <w:tc>
          <w:tcPr>
            <w:tcW w:w="300" w:type="dxa"/>
            <w:vAlign w:val="bottom"/>
            <w:shd w:val="clear" w:color="auto" w:fill="E5FFFF"/>
          </w:tcPr>
          <w:p>
            <w:pPr>
              <w:spacing w:after="0"/>
              <w:rPr>
                <w:sz w:val="17"/>
                <w:szCs w:val="17"/>
                <w:color w:val="auto"/>
              </w:rPr>
            </w:pPr>
          </w:p>
        </w:tc>
        <w:tc>
          <w:tcPr>
            <w:tcW w:w="400" w:type="dxa"/>
            <w:vAlign w:val="bottom"/>
            <w:gridSpan w:val="2"/>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23,398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Service sales</w:t>
            </w:r>
          </w:p>
        </w:tc>
        <w:tc>
          <w:tcPr>
            <w:tcW w:w="6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2,069</w:t>
            </w:r>
          </w:p>
        </w:tc>
        <w:tc>
          <w:tcPr>
            <w:tcW w:w="36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2,060</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6,020</w:t>
            </w:r>
          </w:p>
        </w:tc>
        <w:tc>
          <w:tcPr>
            <w:tcW w:w="300" w:type="dxa"/>
            <w:vAlign w:val="bottom"/>
            <w:tcBorders>
              <w:bottom w:val="single" w:sz="8" w:color="E5FFFF"/>
            </w:tcBorders>
          </w:tcPr>
          <w:p>
            <w:pPr>
              <w:spacing w:after="0"/>
              <w:rPr>
                <w:sz w:val="18"/>
                <w:szCs w:val="18"/>
                <w:color w:val="auto"/>
              </w:rPr>
            </w:pPr>
          </w:p>
        </w:tc>
        <w:tc>
          <w:tcPr>
            <w:tcW w:w="4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60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10,121</w:t>
            </w:r>
          </w:p>
        </w:tc>
        <w:tc>
          <w:tcPr>
            <w:tcW w:w="360" w:type="dxa"/>
            <w:vAlign w:val="bottom"/>
            <w:shd w:val="clear" w:color="auto" w:fill="E5FFFF"/>
          </w:tcPr>
          <w:p>
            <w:pPr>
              <w:spacing w:after="0"/>
              <w:rPr>
                <w:sz w:val="17"/>
                <w:szCs w:val="17"/>
                <w:color w:val="auto"/>
              </w:rPr>
            </w:pPr>
          </w:p>
        </w:tc>
        <w:tc>
          <w:tcPr>
            <w:tcW w:w="36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9,804</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29,691</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360" w:type="dxa"/>
            <w:vAlign w:val="bottom"/>
            <w:tcBorders>
              <w:bottom w:val="single" w:sz="8" w:color="auto"/>
            </w:tcBorders>
            <w:shd w:val="clear" w:color="auto" w:fill="E5FFFF"/>
          </w:tcPr>
          <w:p>
            <w:pPr>
              <w:spacing w:after="0"/>
              <w:rPr>
                <w:sz w:val="17"/>
                <w:szCs w:val="17"/>
                <w:color w:val="auto"/>
              </w:rPr>
            </w:pPr>
          </w:p>
        </w:tc>
        <w:tc>
          <w:tcPr>
            <w:tcW w:w="7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29,317</w:t>
            </w:r>
          </w:p>
        </w:tc>
        <w:tc>
          <w:tcPr>
            <w:tcW w:w="0" w:type="dxa"/>
            <w:vAlign w:val="bottom"/>
          </w:tcPr>
          <w:p>
            <w:pPr>
              <w:spacing w:after="0"/>
              <w:rPr>
                <w:sz w:val="1"/>
                <w:szCs w:val="1"/>
                <w:color w:val="auto"/>
              </w:rPr>
            </w:pPr>
          </w:p>
        </w:tc>
      </w:tr>
      <w:tr>
        <w:trPr>
          <w:trHeight w:val="196"/>
        </w:trPr>
        <w:tc>
          <w:tcPr>
            <w:tcW w:w="5240" w:type="dxa"/>
            <w:vAlign w:val="bottom"/>
            <w:gridSpan w:val="2"/>
          </w:tcPr>
          <w:p>
            <w:pPr>
              <w:spacing w:after="0" w:line="196" w:lineRule="exact"/>
              <w:rPr>
                <w:sz w:val="20"/>
                <w:szCs w:val="20"/>
                <w:color w:val="auto"/>
              </w:rPr>
            </w:pPr>
            <w:r>
              <w:rPr>
                <w:rFonts w:ascii="Arial" w:cs="Arial" w:eastAsia="Arial" w:hAnsi="Arial"/>
                <w:sz w:val="18"/>
                <w:szCs w:val="18"/>
                <w:color w:val="auto"/>
              </w:rPr>
              <w:t>Costs, expenses and other</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Cost of products sold</w:t>
            </w:r>
          </w:p>
        </w:tc>
        <w:tc>
          <w:tcPr>
            <w:tcW w:w="6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5,648</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5,594</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16,545</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16,545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Cost of services sold</w:t>
            </w:r>
          </w:p>
        </w:tc>
        <w:tc>
          <w:tcPr>
            <w:tcW w:w="6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1,225</w:t>
            </w:r>
          </w:p>
        </w:tc>
        <w:tc>
          <w:tcPr>
            <w:tcW w:w="36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1,309</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3,534</w:t>
            </w:r>
          </w:p>
        </w:tc>
        <w:tc>
          <w:tcPr>
            <w:tcW w:w="300" w:type="dxa"/>
            <w:vAlign w:val="bottom"/>
            <w:tcBorders>
              <w:bottom w:val="single" w:sz="8" w:color="E5FFFF"/>
            </w:tcBorders>
          </w:tcPr>
          <w:p>
            <w:pPr>
              <w:spacing w:after="0"/>
              <w:rPr>
                <w:sz w:val="18"/>
                <w:szCs w:val="18"/>
                <w:color w:val="auto"/>
              </w:rPr>
            </w:pPr>
          </w:p>
        </w:tc>
        <w:tc>
          <w:tcPr>
            <w:tcW w:w="4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6,873</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6,903</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20,079</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20,271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1,447</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1,367</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4,177</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Other (income) expense</w:t>
            </w:r>
          </w:p>
        </w:tc>
        <w:tc>
          <w:tcPr>
            <w:tcW w:w="6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(63)</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(180)</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(85)</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Interest and other financial charges</w:t>
            </w:r>
          </w:p>
        </w:tc>
        <w:tc>
          <w:tcPr>
            <w:tcW w:w="6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w:t>
            </w:r>
          </w:p>
        </w:tc>
        <w:tc>
          <w:tcPr>
            <w:tcW w:w="36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235</w:t>
            </w:r>
          </w:p>
        </w:tc>
        <w:tc>
          <w:tcPr>
            <w:tcW w:w="300" w:type="dxa"/>
            <w:vAlign w:val="bottom"/>
            <w:tcBorders>
              <w:bottom w:val="single" w:sz="8" w:color="E5FFFF"/>
            </w:tcBorders>
          </w:tcPr>
          <w:p>
            <w:pPr>
              <w:spacing w:after="0"/>
              <w:rPr>
                <w:sz w:val="18"/>
                <w:szCs w:val="18"/>
                <w:color w:val="auto"/>
              </w:rPr>
            </w:pPr>
          </w:p>
        </w:tc>
        <w:tc>
          <w:tcPr>
            <w:tcW w:w="4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8,338</w:t>
            </w:r>
          </w:p>
        </w:tc>
        <w:tc>
          <w:tcPr>
            <w:tcW w:w="360" w:type="dxa"/>
            <w:vAlign w:val="bottom"/>
            <w:shd w:val="clear" w:color="auto" w:fill="E5FFFF"/>
          </w:tcPr>
          <w:p>
            <w:pPr>
              <w:spacing w:after="0"/>
              <w:rPr>
                <w:sz w:val="17"/>
                <w:szCs w:val="17"/>
                <w:color w:val="auto"/>
              </w:rPr>
            </w:pPr>
          </w:p>
        </w:tc>
        <w:tc>
          <w:tcPr>
            <w:tcW w:w="36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8,172</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24,406</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360" w:type="dxa"/>
            <w:vAlign w:val="bottom"/>
            <w:tcBorders>
              <w:bottom w:val="single" w:sz="8" w:color="auto"/>
            </w:tcBorders>
            <w:shd w:val="clear" w:color="auto" w:fill="E5FFFF"/>
          </w:tcPr>
          <w:p>
            <w:pPr>
              <w:spacing w:after="0"/>
              <w:rPr>
                <w:sz w:val="17"/>
                <w:szCs w:val="17"/>
                <w:color w:val="auto"/>
              </w:rPr>
            </w:pPr>
          </w:p>
        </w:tc>
        <w:tc>
          <w:tcPr>
            <w:tcW w:w="7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24,302</w:t>
            </w:r>
          </w:p>
        </w:tc>
        <w:tc>
          <w:tcPr>
            <w:tcW w:w="0" w:type="dxa"/>
            <w:vAlign w:val="bottom"/>
          </w:tcPr>
          <w:p>
            <w:pPr>
              <w:spacing w:after="0"/>
              <w:rPr>
                <w:sz w:val="1"/>
                <w:szCs w:val="1"/>
                <w:color w:val="auto"/>
              </w:rPr>
            </w:pPr>
          </w:p>
        </w:tc>
      </w:tr>
      <w:tr>
        <w:trPr>
          <w:trHeight w:val="196"/>
        </w:trPr>
        <w:tc>
          <w:tcPr>
            <w:tcW w:w="5240" w:type="dxa"/>
            <w:vAlign w:val="bottom"/>
            <w:gridSpan w:val="2"/>
          </w:tcPr>
          <w:p>
            <w:pPr>
              <w:spacing w:after="0" w:line="196" w:lineRule="exact"/>
              <w:rPr>
                <w:sz w:val="20"/>
                <w:szCs w:val="20"/>
                <w:color w:val="auto"/>
              </w:rPr>
            </w:pPr>
            <w:r>
              <w:rPr>
                <w:rFonts w:ascii="Arial" w:cs="Arial" w:eastAsia="Arial" w:hAnsi="Arial"/>
                <w:sz w:val="18"/>
                <w:szCs w:val="18"/>
                <w:color w:val="auto"/>
              </w:rPr>
              <w:t>Income before taxes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1,783</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1,632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5,285</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Tax expense</w:t>
            </w:r>
          </w:p>
        </w:tc>
        <w:tc>
          <w:tcPr>
            <w:tcW w:w="60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418</w:t>
            </w:r>
          </w:p>
        </w:tc>
        <w:tc>
          <w:tcPr>
            <w:tcW w:w="360" w:type="dxa"/>
            <w:vAlign w:val="bottom"/>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384</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1,188</w:t>
            </w: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0"/>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1,365</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1,248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4,097</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Less: Net income attributable to the noncontrolling interest</w:t>
            </w:r>
          </w:p>
        </w:tc>
        <w:tc>
          <w:tcPr>
            <w:tcW w:w="6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17</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31</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rPr>
                <w:sz w:val="17"/>
                <w:szCs w:val="17"/>
                <w:color w:val="auto"/>
              </w:rPr>
            </w:pPr>
          </w:p>
        </w:tc>
        <w:tc>
          <w:tcPr>
            <w:tcW w:w="8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gridSpan w:val="2"/>
          </w:tcPr>
          <w:p>
            <w:pPr>
              <w:spacing w:after="0" w:line="196" w:lineRule="exact"/>
              <w:rPr>
                <w:sz w:val="20"/>
                <w:szCs w:val="20"/>
                <w:color w:val="auto"/>
              </w:rPr>
            </w:pPr>
            <w:r>
              <w:rPr>
                <w:rFonts w:ascii="Arial" w:cs="Arial" w:eastAsia="Arial" w:hAnsi="Arial"/>
                <w:sz w:val="18"/>
                <w:szCs w:val="18"/>
                <w:color w:val="auto"/>
              </w:rPr>
              <w:t>Net income attributable to Honeywell</w:t>
            </w:r>
          </w:p>
        </w:tc>
        <w:tc>
          <w:tcPr>
            <w:tcW w:w="6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1,348</w:t>
            </w:r>
          </w:p>
        </w:tc>
        <w:tc>
          <w:tcPr>
            <w:tcW w:w="3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1,240</w:t>
            </w:r>
          </w:p>
        </w:tc>
        <w:tc>
          <w:tcPr>
            <w:tcW w:w="3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4,066</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Earnings per share of common stock - basic</w:t>
            </w:r>
          </w:p>
        </w:tc>
        <w:tc>
          <w:tcPr>
            <w:tcW w:w="60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1.77</w:t>
            </w:r>
          </w:p>
        </w:tc>
        <w:tc>
          <w:tcPr>
            <w:tcW w:w="720" w:type="dxa"/>
            <w:vAlign w:val="bottom"/>
            <w:gridSpan w:val="2"/>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1.62</w:t>
            </w:r>
          </w:p>
        </w:tc>
        <w:tc>
          <w:tcPr>
            <w:tcW w:w="60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5.33</w:t>
            </w:r>
          </w:p>
        </w:tc>
        <w:tc>
          <w:tcPr>
            <w:tcW w:w="300" w:type="dxa"/>
            <w:vAlign w:val="bottom"/>
            <w:shd w:val="clear" w:color="auto" w:fill="E5FFFF"/>
          </w:tcPr>
          <w:p>
            <w:pPr>
              <w:spacing w:after="0"/>
              <w:rPr>
                <w:sz w:val="17"/>
                <w:szCs w:val="17"/>
                <w:color w:val="auto"/>
              </w:rPr>
            </w:pPr>
          </w:p>
        </w:tc>
        <w:tc>
          <w:tcPr>
            <w:tcW w:w="400" w:type="dxa"/>
            <w:vAlign w:val="bottom"/>
            <w:gridSpan w:val="2"/>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E5FFFF"/>
            </w:tcBorders>
          </w:tcPr>
          <w:p>
            <w:pPr>
              <w:spacing w:after="0" w:line="20" w:lineRule="exact"/>
              <w:rPr>
                <w:sz w:val="1"/>
                <w:szCs w:val="1"/>
                <w:color w:val="auto"/>
              </w:rPr>
            </w:pPr>
          </w:p>
        </w:tc>
        <w:tc>
          <w:tcPr>
            <w:tcW w:w="60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gridSpan w:val="2"/>
          </w:tcPr>
          <w:p>
            <w:pPr>
              <w:spacing w:after="0" w:line="183" w:lineRule="exact"/>
              <w:rPr>
                <w:sz w:val="20"/>
                <w:szCs w:val="20"/>
                <w:color w:val="auto"/>
              </w:rPr>
            </w:pPr>
            <w:r>
              <w:rPr>
                <w:rFonts w:ascii="Arial" w:cs="Arial" w:eastAsia="Arial" w:hAnsi="Arial"/>
                <w:sz w:val="18"/>
                <w:szCs w:val="18"/>
                <w:color w:val="auto"/>
              </w:rPr>
              <w:t>Earnings per share of common stock - assuming dilution</w:t>
            </w:r>
          </w:p>
        </w:tc>
        <w:tc>
          <w:tcPr>
            <w:tcW w:w="6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1.75</w:t>
            </w:r>
          </w:p>
        </w:tc>
        <w:tc>
          <w:tcPr>
            <w:tcW w:w="3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1.60</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
              <w:spacing w:after="0" w:line="183" w:lineRule="exact"/>
              <w:rPr>
                <w:sz w:val="20"/>
                <w:szCs w:val="20"/>
                <w:color w:val="auto"/>
              </w:rPr>
            </w:pPr>
            <w:r>
              <w:rPr>
                <w:rFonts w:ascii="Arial" w:cs="Arial" w:eastAsia="Arial" w:hAnsi="Arial"/>
                <w:sz w:val="18"/>
                <w:szCs w:val="18"/>
                <w:color w:val="auto"/>
              </w:rPr>
              <w:t>5.26</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tcBorders>
              <w:top w:val="single" w:sz="8" w:color="E5FFFF"/>
              <w:bottom w:val="single" w:sz="8" w:color="E5FFFF"/>
            </w:tcBorders>
            <w:shd w:val="clear" w:color="auto" w:fill="E5FFFF"/>
          </w:tcPr>
          <w:p>
            <w:pPr>
              <w:spacing w:after="0" w:line="183" w:lineRule="exact"/>
              <w:rPr>
                <w:sz w:val="20"/>
                <w:szCs w:val="20"/>
                <w:color w:val="auto"/>
              </w:rPr>
            </w:pPr>
            <w:r>
              <w:rPr>
                <w:rFonts w:ascii="Arial" w:cs="Arial" w:eastAsia="Arial" w:hAnsi="Arial"/>
                <w:sz w:val="18"/>
                <w:szCs w:val="18"/>
                <w:color w:val="auto"/>
              </w:rPr>
              <w:t>Cash dividends per share of common stock</w:t>
            </w:r>
          </w:p>
        </w:tc>
        <w:tc>
          <w:tcPr>
            <w:tcW w:w="600" w:type="dxa"/>
            <w:vAlign w:val="bottom"/>
            <w:tcBorders>
              <w:top w:val="single" w:sz="8" w:color="E5FFFF"/>
              <w:bottom w:val="single" w:sz="8" w:color="E5FFFF"/>
            </w:tcBorders>
            <w:shd w:val="clear" w:color="auto" w:fill="E5FFFF"/>
          </w:tcPr>
          <w:p>
            <w:pPr>
              <w:spacing w:after="0"/>
              <w:rPr>
                <w:sz w:val="15"/>
                <w:szCs w:val="15"/>
                <w:color w:val="auto"/>
              </w:rPr>
            </w:pPr>
          </w:p>
        </w:tc>
        <w:tc>
          <w:tcPr>
            <w:tcW w:w="260" w:type="dxa"/>
            <w:vAlign w:val="bottom"/>
            <w:tcBorders>
              <w:top w:val="single" w:sz="8" w:color="auto"/>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E5FFFF"/>
          </w:tcPr>
          <w:p>
            <w:pPr>
              <w:jc w:val="right"/>
              <w:ind w:right="33"/>
              <w:spacing w:after="0" w:line="183" w:lineRule="exact"/>
              <w:rPr>
                <w:sz w:val="20"/>
                <w:szCs w:val="20"/>
                <w:color w:val="auto"/>
              </w:rPr>
            </w:pPr>
            <w:r>
              <w:rPr>
                <w:rFonts w:ascii="Arial" w:cs="Arial" w:eastAsia="Arial" w:hAnsi="Arial"/>
                <w:sz w:val="18"/>
                <w:szCs w:val="18"/>
                <w:color w:val="auto"/>
              </w:rPr>
              <w:t>0.6650</w:t>
            </w:r>
          </w:p>
        </w:tc>
        <w:tc>
          <w:tcPr>
            <w:tcW w:w="360" w:type="dxa"/>
            <w:vAlign w:val="bottom"/>
            <w:tcBorders>
              <w:top w:val="single" w:sz="8" w:color="E5FFFF"/>
              <w:bottom w:val="single" w:sz="8" w:color="E5FFFF"/>
            </w:tcBorders>
            <w:shd w:val="clear" w:color="auto" w:fill="E5FFFF"/>
          </w:tcPr>
          <w:p>
            <w:pPr>
              <w:spacing w:after="0"/>
              <w:rPr>
                <w:sz w:val="15"/>
                <w:szCs w:val="15"/>
                <w:color w:val="auto"/>
              </w:rPr>
            </w:pPr>
          </w:p>
        </w:tc>
        <w:tc>
          <w:tcPr>
            <w:tcW w:w="360" w:type="dxa"/>
            <w:vAlign w:val="bottom"/>
            <w:tcBorders>
              <w:top w:val="single" w:sz="8" w:color="auto"/>
              <w:bottom w:val="single" w:sz="8" w:color="auto"/>
            </w:tcBorders>
            <w:shd w:val="clear" w:color="auto" w:fill="E5FFFF"/>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0.5950</w:t>
            </w:r>
          </w:p>
        </w:tc>
        <w:tc>
          <w:tcPr>
            <w:tcW w:w="340" w:type="dxa"/>
            <w:vAlign w:val="bottom"/>
            <w:tcBorders>
              <w:top w:val="single" w:sz="8" w:color="E5FFFF"/>
              <w:bottom w:val="single" w:sz="8" w:color="E5FFFF"/>
            </w:tcBorders>
            <w:shd w:val="clear" w:color="auto" w:fill="E5FFFF"/>
          </w:tcPr>
          <w:p>
            <w:pPr>
              <w:spacing w:after="0"/>
              <w:rPr>
                <w:sz w:val="15"/>
                <w:szCs w:val="15"/>
                <w:color w:val="auto"/>
              </w:rPr>
            </w:pPr>
          </w:p>
        </w:tc>
        <w:tc>
          <w:tcPr>
            <w:tcW w:w="260" w:type="dxa"/>
            <w:vAlign w:val="bottom"/>
            <w:tcBorders>
              <w:top w:val="single" w:sz="8" w:color="auto"/>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5FFFF"/>
          </w:tcPr>
          <w:p>
            <w:pPr>
              <w:jc w:val="right"/>
              <w:ind w:right="13"/>
              <w:spacing w:after="0" w:line="183" w:lineRule="exact"/>
              <w:rPr>
                <w:sz w:val="20"/>
                <w:szCs w:val="20"/>
                <w:color w:val="auto"/>
              </w:rPr>
            </w:pPr>
            <w:r>
              <w:rPr>
                <w:rFonts w:ascii="Arial" w:cs="Arial" w:eastAsia="Arial" w:hAnsi="Arial"/>
                <w:sz w:val="18"/>
                <w:szCs w:val="18"/>
                <w:color w:val="auto"/>
              </w:rPr>
              <w:t>1.9950</w:t>
            </w:r>
          </w:p>
        </w:tc>
        <w:tc>
          <w:tcPr>
            <w:tcW w:w="300" w:type="dxa"/>
            <w:vAlign w:val="bottom"/>
            <w:tcBorders>
              <w:top w:val="single" w:sz="8" w:color="E5FFFF"/>
              <w:bottom w:val="single" w:sz="8" w:color="E5FFFF"/>
            </w:tcBorders>
            <w:shd w:val="clear" w:color="auto" w:fill="E5FFFF"/>
          </w:tcPr>
          <w:p>
            <w:pPr>
              <w:spacing w:after="0"/>
              <w:rPr>
                <w:sz w:val="15"/>
                <w:szCs w:val="15"/>
                <w:color w:val="auto"/>
              </w:rPr>
            </w:pPr>
          </w:p>
        </w:tc>
        <w:tc>
          <w:tcPr>
            <w:tcW w:w="40" w:type="dxa"/>
            <w:vAlign w:val="bottom"/>
            <w:tcBorders>
              <w:top w:val="single" w:sz="8" w:color="E5FFFF"/>
              <w:bottom w:val="single" w:sz="8" w:color="E5FFFF"/>
            </w:tcBorders>
            <w:shd w:val="clear" w:color="auto" w:fill="E5FFFF"/>
          </w:tcPr>
          <w:p>
            <w:pPr>
              <w:spacing w:after="0"/>
              <w:rPr>
                <w:sz w:val="15"/>
                <w:szCs w:val="15"/>
                <w:color w:val="auto"/>
              </w:rPr>
            </w:pPr>
          </w:p>
        </w:tc>
        <w:tc>
          <w:tcPr>
            <w:tcW w:w="360" w:type="dxa"/>
            <w:vAlign w:val="bottom"/>
            <w:tcBorders>
              <w:top w:val="single" w:sz="8" w:color="auto"/>
              <w:bottom w:val="single" w:sz="8" w:color="auto"/>
            </w:tcBorders>
            <w:shd w:val="clear" w:color="auto" w:fill="E5FFFF"/>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1.7850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 w:name="page4"/>
    <w:bookmarkEnd w:id="3"/>
    <w:p>
      <w:pPr>
        <w:jc w:val="center"/>
        <w:ind w:right="180"/>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Consolidated Statement of Comprehensive Income</w:t>
      </w: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right"/>
              <w:ind w:right="531"/>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69"/>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r>
      <w:tr>
        <w:trPr>
          <w:trHeight w:val="156"/>
        </w:trPr>
        <w:tc>
          <w:tcPr>
            <w:tcW w:w="5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80" w:type="dxa"/>
            <w:vAlign w:val="bottom"/>
            <w:gridSpan w:val="5"/>
          </w:tcPr>
          <w:p>
            <w:pPr>
              <w:ind w:left="240"/>
              <w:spacing w:after="0" w:line="155" w:lineRule="exact"/>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3"/>
        </w:trPr>
        <w:tc>
          <w:tcPr>
            <w:tcW w:w="56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1,365</w:t>
            </w:r>
          </w:p>
        </w:tc>
        <w:tc>
          <w:tcPr>
            <w:tcW w:w="720" w:type="dxa"/>
            <w:vAlign w:val="bottom"/>
            <w:gridSpan w:val="2"/>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1,248</w:t>
            </w:r>
          </w:p>
        </w:tc>
        <w:tc>
          <w:tcPr>
            <w:tcW w:w="60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4,097</w:t>
            </w:r>
          </w:p>
        </w:tc>
        <w:tc>
          <w:tcPr>
            <w:tcW w:w="340" w:type="dxa"/>
            <w:vAlign w:val="bottom"/>
            <w:shd w:val="clear" w:color="auto" w:fill="E5FFFF"/>
          </w:tcPr>
          <w:p>
            <w:pPr>
              <w:spacing w:after="0"/>
              <w:rPr>
                <w:sz w:val="17"/>
                <w:szCs w:val="17"/>
                <w:color w:val="auto"/>
              </w:rPr>
            </w:pPr>
          </w:p>
        </w:tc>
        <w:tc>
          <w:tcPr>
            <w:tcW w:w="360" w:type="dxa"/>
            <w:vAlign w:val="bottom"/>
            <w:gridSpan w:val="2"/>
            <w:shd w:val="clear" w:color="auto" w:fill="E5FFFF"/>
          </w:tcPr>
          <w:p>
            <w:pPr>
              <w:jc w:val="right"/>
              <w:ind w:right="185"/>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3,801</w:t>
            </w:r>
          </w:p>
        </w:tc>
      </w:tr>
      <w:tr>
        <w:trPr>
          <w:trHeight w:val="203"/>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60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Foreign exchange translation adjustment</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56</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35</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112</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83</w:t>
            </w:r>
          </w:p>
        </w:tc>
      </w:tr>
      <w:tr>
        <w:trPr>
          <w:trHeight w:val="203"/>
        </w:trPr>
        <w:tc>
          <w:tcPr>
            <w:tcW w:w="5600" w:type="dxa"/>
            <w:vAlign w:val="bottom"/>
          </w:tcPr>
          <w:p>
            <w:pPr>
              <w:ind w:left="540"/>
              <w:spacing w:after="0" w:line="202" w:lineRule="exact"/>
              <w:rPr>
                <w:sz w:val="20"/>
                <w:szCs w:val="20"/>
                <w:color w:val="auto"/>
              </w:rPr>
            </w:pPr>
            <w:r>
              <w:rPr>
                <w:rFonts w:ascii="Arial" w:cs="Arial" w:eastAsia="Arial" w:hAnsi="Arial"/>
                <w:sz w:val="18"/>
                <w:szCs w:val="18"/>
                <w:color w:val="auto"/>
              </w:rPr>
              <w:t>Prior service credit (cost)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560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Actuarial (gains) losses recognized</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2</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7</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11</w:t>
            </w:r>
          </w:p>
        </w:tc>
      </w:tr>
      <w:tr>
        <w:trPr>
          <w:trHeight w:val="216"/>
        </w:trPr>
        <w:tc>
          <w:tcPr>
            <w:tcW w:w="5600" w:type="dxa"/>
            <w:vAlign w:val="bottom"/>
            <w:tcBorders>
              <w:bottom w:val="single" w:sz="8" w:color="E5FFFF"/>
            </w:tcBorders>
          </w:tcPr>
          <w:p>
            <w:pPr>
              <w:ind w:left="540"/>
              <w:spacing w:after="0"/>
              <w:rPr>
                <w:sz w:val="20"/>
                <w:szCs w:val="20"/>
                <w:color w:val="auto"/>
              </w:rPr>
            </w:pPr>
            <w:r>
              <w:rPr>
                <w:rFonts w:ascii="Arial" w:cs="Arial" w:eastAsia="Arial" w:hAnsi="Arial"/>
                <w:sz w:val="18"/>
                <w:szCs w:val="18"/>
                <w:color w:val="auto"/>
              </w:rPr>
              <w:t>Prior service (credit) cost recognized</w:t>
            </w:r>
          </w:p>
        </w:tc>
        <w:tc>
          <w:tcPr>
            <w:tcW w:w="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196"/>
        </w:trPr>
        <w:tc>
          <w:tcPr>
            <w:tcW w:w="5600" w:type="dxa"/>
            <w:vAlign w:val="bottom"/>
            <w:shd w:val="clear" w:color="auto" w:fill="E5FFFF"/>
          </w:tcPr>
          <w:p>
            <w:pPr>
              <w:ind w:left="360"/>
              <w:spacing w:after="0" w:line="196" w:lineRule="exact"/>
              <w:rPr>
                <w:sz w:val="20"/>
                <w:szCs w:val="20"/>
                <w:color w:val="auto"/>
              </w:rPr>
            </w:pPr>
            <w:r>
              <w:rPr>
                <w:rFonts w:ascii="Arial" w:cs="Arial" w:eastAsia="Arial" w:hAnsi="Arial"/>
                <w:sz w:val="18"/>
                <w:szCs w:val="18"/>
                <w:color w:val="auto"/>
              </w:rPr>
              <w:t>Pension and other postretirement benefits adjustments</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(15)</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(16)</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(88)</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2"/>
        </w:trPr>
        <w:tc>
          <w:tcPr>
            <w:tcW w:w="5600" w:type="dxa"/>
            <w:vAlign w:val="bottom"/>
          </w:tcPr>
          <w:p>
            <w:pPr>
              <w:ind w:left="540"/>
              <w:spacing w:after="0" w:line="201" w:lineRule="exact"/>
              <w:rPr>
                <w:sz w:val="20"/>
                <w:szCs w:val="20"/>
                <w:color w:val="auto"/>
              </w:rPr>
            </w:pPr>
            <w:r>
              <w:rPr>
                <w:rFonts w:ascii="Arial" w:cs="Arial" w:eastAsia="Arial" w:hAnsi="Arial"/>
                <w:sz w:val="18"/>
                <w:szCs w:val="18"/>
                <w:color w:val="auto"/>
              </w:rPr>
              <w:t>Effective portion of cash flow hedges recognized in other</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600" w:type="dxa"/>
            <w:vAlign w:val="bottom"/>
          </w:tcPr>
          <w:p>
            <w:pPr>
              <w:ind w:left="720"/>
              <w:spacing w:after="0" w:line="203" w:lineRule="exact"/>
              <w:rPr>
                <w:sz w:val="20"/>
                <w:szCs w:val="20"/>
                <w:color w:val="auto"/>
              </w:rPr>
            </w:pPr>
            <w:r>
              <w:rPr>
                <w:rFonts w:ascii="Arial" w:cs="Arial" w:eastAsia="Arial" w:hAnsi="Arial"/>
                <w:sz w:val="18"/>
                <w:szCs w:val="18"/>
                <w:color w:val="auto"/>
              </w:rPr>
              <w:t>comprehensive income (loss)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(36)</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(98)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r>
      <w:tr>
        <w:trPr>
          <w:trHeight w:val="202"/>
        </w:trPr>
        <w:tc>
          <w:tcPr>
            <w:tcW w:w="5600" w:type="dxa"/>
            <w:vAlign w:val="bottom"/>
            <w:shd w:val="clear" w:color="auto" w:fill="E5FFFF"/>
          </w:tcPr>
          <w:p>
            <w:pPr>
              <w:ind w:left="540"/>
              <w:spacing w:after="0" w:line="201" w:lineRule="exact"/>
              <w:rPr>
                <w:sz w:val="20"/>
                <w:szCs w:val="20"/>
                <w:color w:val="auto"/>
              </w:rPr>
            </w:pPr>
            <w:r>
              <w:rPr>
                <w:rFonts w:ascii="Arial" w:cs="Arial" w:eastAsia="Arial" w:hAnsi="Arial"/>
                <w:sz w:val="18"/>
                <w:szCs w:val="18"/>
                <w:color w:val="auto"/>
              </w:rPr>
              <w:t>Less: Reclassification adjustment for gains (losses) included</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r>
      <w:tr>
        <w:trPr>
          <w:trHeight w:val="217"/>
        </w:trPr>
        <w:tc>
          <w:tcPr>
            <w:tcW w:w="5600" w:type="dxa"/>
            <w:vAlign w:val="bottom"/>
            <w:shd w:val="clear" w:color="auto" w:fill="E5FFFF"/>
          </w:tcPr>
          <w:p>
            <w:pPr>
              <w:ind w:left="720"/>
              <w:spacing w:after="0"/>
              <w:rPr>
                <w:sz w:val="20"/>
                <w:szCs w:val="20"/>
                <w:color w:val="auto"/>
              </w:rPr>
            </w:pPr>
            <w:r>
              <w:rPr>
                <w:rFonts w:ascii="Arial" w:cs="Arial" w:eastAsia="Arial" w:hAnsi="Arial"/>
                <w:sz w:val="18"/>
                <w:szCs w:val="18"/>
                <w:color w:val="auto"/>
              </w:rPr>
              <w:t>in net income</w:t>
            </w:r>
          </w:p>
        </w:tc>
        <w:tc>
          <w:tcPr>
            <w:tcW w:w="2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9</w:t>
            </w:r>
          </w:p>
        </w:tc>
        <w:tc>
          <w:tcPr>
            <w:tcW w:w="360" w:type="dxa"/>
            <w:vAlign w:val="bottom"/>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52</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w:t>
            </w:r>
          </w:p>
        </w:tc>
      </w:tr>
      <w:tr>
        <w:trPr>
          <w:trHeight w:val="196"/>
        </w:trPr>
        <w:tc>
          <w:tcPr>
            <w:tcW w:w="5600" w:type="dxa"/>
            <w:vAlign w:val="bottom"/>
            <w:tcBorders>
              <w:bottom w:val="single" w:sz="8" w:color="E5FFFF"/>
            </w:tcBorders>
          </w:tcPr>
          <w:p>
            <w:pPr>
              <w:ind w:left="360"/>
              <w:spacing w:after="0" w:line="196" w:lineRule="exact"/>
              <w:rPr>
                <w:sz w:val="20"/>
                <w:szCs w:val="20"/>
                <w:color w:val="auto"/>
              </w:rPr>
            </w:pPr>
            <w:r>
              <w:rPr>
                <w:rFonts w:ascii="Arial" w:cs="Arial" w:eastAsia="Arial" w:hAnsi="Arial"/>
                <w:sz w:val="18"/>
                <w:szCs w:val="18"/>
                <w:color w:val="auto"/>
              </w:rPr>
              <w:t>Changes in fair value of effective cash flow hedges</w:t>
            </w:r>
          </w:p>
        </w:tc>
        <w:tc>
          <w:tcPr>
            <w:tcW w:w="2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w:t>
            </w:r>
          </w:p>
        </w:tc>
        <w:tc>
          <w:tcPr>
            <w:tcW w:w="360" w:type="dxa"/>
            <w:vAlign w:val="bottom"/>
            <w:tcBorders>
              <w:bottom w:val="single" w:sz="8" w:color="E5FF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3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w:t>
            </w:r>
          </w:p>
        </w:tc>
        <w:tc>
          <w:tcPr>
            <w:tcW w:w="34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17</w:t>
            </w:r>
          </w:p>
        </w:tc>
      </w:tr>
      <w:tr>
        <w:trPr>
          <w:trHeight w:val="210"/>
        </w:trPr>
        <w:tc>
          <w:tcPr>
            <w:tcW w:w="56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17</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53</w:t>
            </w: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1,361</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1,265</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3,971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3,854</w:t>
            </w:r>
          </w:p>
        </w:tc>
      </w:tr>
      <w:tr>
        <w:trPr>
          <w:trHeight w:val="202"/>
        </w:trPr>
        <w:tc>
          <w:tcPr>
            <w:tcW w:w="5600" w:type="dxa"/>
            <w:vAlign w:val="bottom"/>
            <w:shd w:val="clear" w:color="auto" w:fill="E5FFFF"/>
          </w:tcPr>
          <w:p>
            <w:pPr>
              <w:ind w:left="540"/>
              <w:spacing w:after="0" w:line="201" w:lineRule="exact"/>
              <w:rPr>
                <w:sz w:val="20"/>
                <w:szCs w:val="20"/>
                <w:color w:val="auto"/>
              </w:rPr>
            </w:pPr>
            <w:r>
              <w:rPr>
                <w:rFonts w:ascii="Arial" w:cs="Arial" w:eastAsia="Arial" w:hAnsi="Arial"/>
                <w:sz w:val="18"/>
                <w:szCs w:val="18"/>
                <w:color w:val="auto"/>
              </w:rPr>
              <w:t>Less: Comprehensive income attributable to the</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r>
      <w:tr>
        <w:trPr>
          <w:trHeight w:val="217"/>
        </w:trPr>
        <w:tc>
          <w:tcPr>
            <w:tcW w:w="5600" w:type="dxa"/>
            <w:vAlign w:val="bottom"/>
            <w:shd w:val="clear" w:color="auto" w:fill="E5FFFF"/>
          </w:tcPr>
          <w:p>
            <w:pPr>
              <w:ind w:left="72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18</w:t>
            </w:r>
          </w:p>
        </w:tc>
        <w:tc>
          <w:tcPr>
            <w:tcW w:w="360" w:type="dxa"/>
            <w:vAlign w:val="bottom"/>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8</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36</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23</w:t>
            </w: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Comprehensive income attributable to Honeywell</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1,343</w:t>
            </w:r>
          </w:p>
        </w:tc>
        <w:tc>
          <w:tcPr>
            <w:tcW w:w="3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1,257</w:t>
            </w:r>
          </w:p>
        </w:tc>
        <w:tc>
          <w:tcPr>
            <w:tcW w:w="3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3,935</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3,831</w:t>
            </w:r>
          </w:p>
        </w:tc>
      </w:tr>
      <w:tr>
        <w:trPr>
          <w:trHeight w:val="20"/>
        </w:trPr>
        <w:tc>
          <w:tcPr>
            <w:tcW w:w="5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gridSpan w:val="4"/>
          </w:tcPr>
          <w:p>
            <w:pPr>
              <w:jc w:val="right"/>
              <w:ind w:right="771"/>
              <w:spacing w:after="0" w:line="155" w:lineRule="exact"/>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7,389</w:t>
            </w:r>
          </w:p>
        </w:tc>
        <w:tc>
          <w:tcPr>
            <w:tcW w:w="4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2,781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Accounts receivable - net</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8,587</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Inventories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4,751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 current assets</w:t>
            </w:r>
          </w:p>
        </w:tc>
        <w:tc>
          <w:tcPr>
            <w:tcW w:w="11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1,136</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24,644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23,058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Investments and long-term receivables</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643</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 net</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5,757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Goodwill</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18,268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17,707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Other intangible assets - net</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4,587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Insurance recoveries for asbestos related liabilities</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411</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264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FFFF"/>
          </w:tcPr>
          <w:p>
            <w:pPr>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2,194</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24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E5FF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56,768</w:t>
            </w:r>
          </w:p>
        </w:tc>
        <w:tc>
          <w:tcPr>
            <w:tcW w:w="320" w:type="dxa"/>
            <w:vAlign w:val="bottom"/>
            <w:tcBorders>
              <w:bottom w:val="single" w:sz="8" w:color="E5FF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54,146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40" w:type="dxa"/>
            <w:vAlign w:val="bottom"/>
            <w:shd w:val="clear" w:color="auto" w:fill="E5FFFF"/>
          </w:tcPr>
          <w:p>
            <w:pPr>
              <w:spacing w:after="0" w:line="183" w:lineRule="exact"/>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124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2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2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6,061</w:t>
            </w:r>
          </w:p>
        </w:tc>
        <w:tc>
          <w:tcPr>
            <w:tcW w:w="4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Commercial paper and other short-term borrowings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3,932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Current maturities of long-term debt</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1,398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Accrued liabilities</w:t>
            </w:r>
          </w:p>
        </w:tc>
        <w:tc>
          <w:tcPr>
            <w:tcW w:w="110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6,834</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18,225</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16,331</w:t>
            </w:r>
          </w:p>
        </w:tc>
        <w:tc>
          <w:tcPr>
            <w:tcW w:w="0" w:type="dxa"/>
            <w:vAlign w:val="bottom"/>
          </w:tcPr>
          <w:p>
            <w:pPr>
              <w:spacing w:after="0"/>
              <w:rPr>
                <w:sz w:val="1"/>
                <w:szCs w:val="1"/>
                <w:color w:val="auto"/>
              </w:rPr>
            </w:pPr>
          </w:p>
        </w:tc>
      </w:tr>
      <w:tr>
        <w:trPr>
          <w:trHeight w:val="405"/>
        </w:trPr>
        <w:tc>
          <w:tcPr>
            <w:tcW w:w="72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11,453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Postretirement benefit obligations other than pensions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530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Asbestos related liabilities</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1,004</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liabilities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4,025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Redeemable noncontrolling interest</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05"/>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SHAREOWNERS’ EQUITY</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Capital - common stock issued</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958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580"/>
              <w:spacing w:after="0" w:line="202" w:lineRule="exact"/>
              <w:rPr>
                <w:sz w:val="20"/>
                <w:szCs w:val="20"/>
                <w:color w:val="auto"/>
              </w:rPr>
            </w:pPr>
            <w:r>
              <w:rPr>
                <w:rFonts w:ascii="Arial" w:cs="Arial" w:eastAsia="Arial" w:hAnsi="Arial"/>
                <w:sz w:val="18"/>
                <w:szCs w:val="18"/>
                <w:color w:val="auto"/>
              </w:rPr>
              <w:t>- additional paid-in capital</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6,115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Common stock held in treasury, at cost</w:t>
            </w:r>
          </w:p>
        </w:tc>
        <w:tc>
          <w:tcPr>
            <w:tcW w:w="1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(14,406)</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(2,840)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FFFF"/>
          </w:tcPr>
          <w:p>
            <w:pPr>
              <w:spacing w:after="0"/>
              <w:rPr>
                <w:sz w:val="20"/>
                <w:szCs w:val="20"/>
                <w:color w:val="auto"/>
              </w:rPr>
            </w:pPr>
            <w:r>
              <w:rPr>
                <w:rFonts w:ascii="Arial" w:cs="Arial" w:eastAsia="Arial" w:hAnsi="Arial"/>
                <w:sz w:val="18"/>
                <w:szCs w:val="18"/>
                <w:color w:val="auto"/>
              </w:rPr>
              <w:t>Retained earnings</w:t>
            </w:r>
          </w:p>
        </w:tc>
        <w:tc>
          <w:tcPr>
            <w:tcW w:w="11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31,247</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28,710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Pr>
          <w:p>
            <w:pPr>
              <w:ind w:left="160"/>
              <w:spacing w:after="0" w:line="196" w:lineRule="exact"/>
              <w:rPr>
                <w:sz w:val="20"/>
                <w:szCs w:val="20"/>
                <w:color w:val="auto"/>
              </w:rPr>
            </w:pPr>
            <w:r>
              <w:rPr>
                <w:rFonts w:ascii="Arial" w:cs="Arial" w:eastAsia="Arial" w:hAnsi="Arial"/>
                <w:sz w:val="18"/>
                <w:szCs w:val="18"/>
                <w:color w:val="auto"/>
              </w:rPr>
              <w:t>Total Honeywell shareowners’ equity</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21,074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11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Total shareowners’ equity</w:t>
            </w:r>
          </w:p>
        </w:tc>
        <w:tc>
          <w:tcPr>
            <w:tcW w:w="110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21,228</w:t>
            </w:r>
          </w:p>
        </w:tc>
        <w:tc>
          <w:tcPr>
            <w:tcW w:w="32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19,547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Total liabilities, redeemable noncontrolling interest and shareowners’ equity</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56,768</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54,146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gridSpan w:val="3"/>
          </w:tcPr>
          <w:p>
            <w:pPr>
              <w:jc w:val="center"/>
              <w:ind w:left="451"/>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left="451"/>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gridSpan w:val="3"/>
          </w:tcPr>
          <w:p>
            <w:pPr>
              <w:jc w:val="center"/>
              <w:ind w:left="451"/>
              <w:spacing w:after="0" w:line="155" w:lineRule="exact"/>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4,097</w:t>
            </w:r>
          </w:p>
        </w:tc>
        <w:tc>
          <w:tcPr>
            <w:tcW w:w="8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Less: Net income attributable to the noncontrolling interest</w:t>
            </w:r>
          </w:p>
        </w:tc>
        <w:tc>
          <w:tcPr>
            <w:tcW w:w="28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31</w:t>
            </w:r>
          </w:p>
        </w:tc>
        <w:tc>
          <w:tcPr>
            <w:tcW w:w="320" w:type="dxa"/>
            <w:vAlign w:val="bottom"/>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Pr>
          <w:p>
            <w:pPr>
              <w:ind w:left="160"/>
              <w:spacing w:after="0" w:line="196" w:lineRule="exact"/>
              <w:rPr>
                <w:sz w:val="20"/>
                <w:szCs w:val="20"/>
                <w:color w:val="auto"/>
              </w:rPr>
            </w:pPr>
            <w:r>
              <w:rPr>
                <w:rFonts w:ascii="Arial" w:cs="Arial" w:eastAsia="Arial" w:hAnsi="Arial"/>
                <w:sz w:val="18"/>
                <w:szCs w:val="18"/>
                <w:color w:val="auto"/>
              </w:rPr>
              <w:t>Net income attributable to Honeywell</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4,066</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Adjustments to reconcile net income attributable to Honeywell to net cash provided by operating</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3" w:lineRule="exact"/>
              <w:rPr>
                <w:sz w:val="20"/>
                <w:szCs w:val="20"/>
                <w:color w:val="auto"/>
              </w:rPr>
            </w:pPr>
            <w:r>
              <w:rPr>
                <w:rFonts w:ascii="Arial" w:cs="Arial" w:eastAsia="Arial" w:hAnsi="Arial"/>
                <w:sz w:val="18"/>
                <w:szCs w:val="18"/>
                <w:color w:val="auto"/>
              </w:rPr>
              <w:t>activities: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534</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Amortization</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298</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(Gain) loss on sale of non-strategic businesses and assets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Repositioning and other charges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583</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Net payments for repositioning and other charges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(394)</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Pension and other postretirement income</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(562)</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Pension and other postretirement benefit payments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Stock compensation expense</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133</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Other</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(38)</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340"/>
              <w:spacing w:after="0" w:line="202" w:lineRule="exact"/>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Accounts receivable</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(408)</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520"/>
              <w:spacing w:after="0" w:line="202" w:lineRule="exact"/>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13</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404</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5FFFF"/>
          </w:tcPr>
          <w:p>
            <w:pPr>
              <w:ind w:left="52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3,794</w:t>
            </w:r>
          </w:p>
        </w:tc>
        <w:tc>
          <w:tcPr>
            <w:tcW w:w="3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Expenditures for property, plant and equipment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(613)</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disposals of property, plant and equipment</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46</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Increase in investments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(4,149)</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Decrease in investments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2,793</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Cash paid for acquisitions, net of cash acquired</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sales of businesses, net of fees paid</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32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cash used for investing activities</w:t>
            </w:r>
          </w:p>
        </w:tc>
        <w:tc>
          <w:tcPr>
            <w:tcW w:w="28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(2,191)</w:t>
            </w:r>
          </w:p>
        </w:tc>
        <w:tc>
          <w:tcPr>
            <w:tcW w:w="32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399"/>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issuance of commercial paper and other short-term borrowings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8,808</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Payments of commercial paper and other short-term borrowings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(8,608)</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(16,574)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issuance of common stock</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463</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39</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Payments of long-term debt</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(69)</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Repurchases of common stock</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(1,335)</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dividends paid</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(1,554)</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Payments to purchase the noncontrolling interest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AdvanSix pre-separation funding</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160"/>
              <w:spacing w:after="0" w:line="202" w:lineRule="exact"/>
              <w:rPr>
                <w:sz w:val="20"/>
                <w:szCs w:val="20"/>
                <w:color w:val="auto"/>
              </w:rPr>
            </w:pPr>
            <w:r>
              <w:rPr>
                <w:rFonts w:ascii="Arial" w:cs="Arial" w:eastAsia="Arial" w:hAnsi="Arial"/>
                <w:sz w:val="18"/>
                <w:szCs w:val="18"/>
                <w:color w:val="auto"/>
              </w:rPr>
              <w:t>AdvanSix pre-spin borrowing</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AdvanSix cash at spin-off</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cash (used for) provided by financing activities</w:t>
            </w:r>
          </w:p>
        </w:tc>
        <w:tc>
          <w:tcPr>
            <w:tcW w:w="28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(2,387)</w:t>
            </w:r>
          </w:p>
        </w:tc>
        <w:tc>
          <w:tcPr>
            <w:tcW w:w="32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0"/>
        </w:trPr>
        <w:tc>
          <w:tcPr>
            <w:tcW w:w="8080" w:type="dxa"/>
            <w:vAlign w:val="bottom"/>
            <w:gridSpan w:val="2"/>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auto"/>
            </w:tcBorders>
            <w:shd w:val="clear" w:color="auto" w:fill="E5FFFF"/>
          </w:tcPr>
          <w:p>
            <w:pPr>
              <w:spacing w:after="0"/>
              <w:rPr>
                <w:sz w:val="17"/>
                <w:szCs w:val="17"/>
                <w:color w:val="auto"/>
              </w:rPr>
            </w:pPr>
          </w:p>
        </w:tc>
        <w:tc>
          <w:tcPr>
            <w:tcW w:w="10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(454)</w:t>
            </w:r>
          </w:p>
        </w:tc>
        <w:tc>
          <w:tcPr>
            <w:tcW w:w="320" w:type="dxa"/>
            <w:vAlign w:val="bottom"/>
            <w:tcBorders>
              <w:top w:val="single" w:sz="8" w:color="E5FFFF"/>
            </w:tcBorders>
            <w:shd w:val="clear" w:color="auto" w:fill="E5FFFF"/>
          </w:tcPr>
          <w:p>
            <w:pPr>
              <w:spacing w:after="0"/>
              <w:rPr>
                <w:sz w:val="17"/>
                <w:szCs w:val="17"/>
                <w:color w:val="auto"/>
              </w:rPr>
            </w:pPr>
          </w:p>
        </w:tc>
        <w:tc>
          <w:tcPr>
            <w:tcW w:w="520" w:type="dxa"/>
            <w:vAlign w:val="bottom"/>
            <w:tcBorders>
              <w:top w:val="single" w:sz="8" w:color="auto"/>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7,843</w:t>
            </w:r>
          </w:p>
        </w:tc>
        <w:tc>
          <w:tcPr>
            <w:tcW w:w="32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7,389</w:t>
            </w:r>
          </w:p>
        </w:tc>
        <w:tc>
          <w:tcPr>
            <w:tcW w:w="320" w:type="dxa"/>
            <w:vAlign w:val="bottom"/>
            <w:tcBorders>
              <w:bottom w:val="single" w:sz="8" w:color="E5FFFF"/>
            </w:tcBorders>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6,431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ectPr>
          <w:pgSz w:w="11900" w:h="16838" w:orient="portrait"/>
          <w:cols w:equalWidth="0" w:num="1">
            <w:col w:w="11420"/>
          </w:cols>
          <w:pgMar w:left="240" w:top="391"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September 30, 2017 and 2016 and the results of operations for the three and nine months ended September 30, 2017 and 2016 and the cash flows for the nine months ended September 30, 2017 and 2016. The results of operations for the three and nine months ended September 30, 2017 and cash flows for the nine months ended September 30, 2017 should not necessarily be taken as indicative of the entire year.</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will provide appropriate disclosures. Our actual closing dates for the three and nine months ended September 30, 2017 and 2016 were September 30, 2017 and October 1, 2016.</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prior year amounts have been reclassified to conform to current year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consider the applicability and impact of all Accounting Standards Updates (ASUs) issued by Financial Accounting Standards Board (FASB). ASUs not listed below were assessed and determined to be either not applicable or are expected to have minimal impact on our consolidated result of operations, financial position and cash flows (Consolidated Financial Statements).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May 2014, and in following related amendments, the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w:t>
      </w:r>
    </w:p>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effective date is for interim and annual periods beginning on or after December 15, 2017. The guidance permits the use of either a full retrospective or modified retrospective transition method. We will adopt the requirements of the new standard effective January 1, 2018 and expect to use the modified retrospective transition method with the cumulative effect to the opening balance of retained earnings recognized as of the date of initial adoption. We believe we are following an appropriate timeline to allow for proper recognition, presentation and disclosure upon adoption, including the related impacts to internal controls.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Company’s evaluation of the new standard is substantially complete and the Company has prepared an initial assessment of the impacts of adoption on its Consolidated Financial Statements and disclosures. The FASB has issued, and may issue in the future, interpretive guidance which may cause our evaluation to change. We will continue to evaluate the adoption impact of the new standard, including as it relates to new contracts that will be recognized following adoption. Based on the evaluation of our current contracts and revenue streams, recognition will be mostly consistent under both the current and new standard. However, we expect the guidance in certain areas, particularly in our Aerospace segment, to impact our current revenue recognition policies.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current accounting policy for costs incurred for nonrecurring engineering and development activities of our Aerospace products under agreements with commercial customers is generally to record the expense as incurred. Any customer funding received for such efforts is recognized when earned as a reduction of cost of sales. Following adoption of the new standard, the customer funding will generally be classified as revenue and not as a reduction of cost of sales. Such revenue will be deferred and subsequently recognized as products are delivered to the customers. Additionally, under the new guidance, expenses incurred, up to the customer agreed funded amount, will be deferred as an asset and subsequently recognized as cost of sales also when products are delivered to the customer. Hence, the new guidance will result in an increase in deferred costs (asset) and deferred revenue (liability) on our Consolidated Balance Sheet, however, we expect this to result in no net impact to income before taxes.</w:t>
      </w:r>
    </w:p>
    <w:p>
      <w:pPr>
        <w:spacing w:after="0" w:line="19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addition, we expect revenues for our mechanical service programs at our Aerospace business to be impacted. Our current policy is to recognize revenue over time as costs are incurred (input method). Following adoption, we will continue to recognize revenue over time, but recognition will reflect a series of distinct services using the output method. This change will result in certain unbilled receivables or deferred revenue being eliminated through retained earnings, but we do not expect a material impact.</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currently expect the new standard to have a material impact on our consolidated financial position or results of operations. We expect the new standard will have no cash impact and, as such, does not affect the economics of our underlying customer contracts. The disclosures in our notes to Consolidated Financial Statements related to revenue recognition will be significantly expanded under the new standard, specifically around the quantitative and qualitative information about performance obligations, changes in contract assets and liabilities, and disaggregation of revenue.</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February 2016, the FASB issued guidance on accounting for leases which requires lessees to recognize most leases on their balance sheets for the rights and obligations created by those leases. The guidance requires enhanced disclosures regarding the amount, timing, and uncertainty of cash flows arising from leases that will be effective for interim and annual periods beginning after December 15, 2018, with early adoption permitted. We expect to adopt the requirements of the new standard effective January 1, 2019. The guidance requires the use of a modified retrospective approach. We are currently evaluating the impact of the guidance on our consolidated financial position, results of operations, and related notes to financial statements.</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October 2016, the FASB issued an accounting standard update which requires an entity to recognize the income tax consequences of an intra-entity transfer of an asset, other than inventory, at the time the entity transfer occurs rather than when the asset is ultimately transferred to a third party, as required under current U.S. GAAP. The guidance is intended to reduce diversity in practice, particularly for transfers involving intellectual property. The guidance is effective for interim and annual periods beginning after December 15, 2017 with early adoption permitted. We expect to adopt the accounting standard update as of January 1, 2018. The guidance requires application on a modified retrospective basis. The impact upon adoption will result in an increase to deferred tax assets and liabilities, with the corresponding offset recorded as a cumulative-effect adjustment to retained earnings as of the beginning of the adoption period. Based on our assessment to date of historical transactions, we currently expect the impact to be up to an increase in deferred tax assets of approximately $500 million with a cumulative-effect adjustment to retained earnings of the same amount. We continue to evaluate the impact of this accounting standard update, and this estimated impact may change based on the finalization of our assessment and any new transactions prior to adoption of this guidance.</w:t>
      </w:r>
    </w:p>
    <w:p>
      <w:pPr>
        <w:spacing w:after="0" w:line="36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March 2017, the FASB issued guidance on presentation of net periodic pension cost and net periodic postretirement benefit cost. The new standard requires that an employer disaggregate the service cost component of net benefit cost. The employer will be required to report the service cost component in the same line item or items in the statement of operations as other compensation costs arising from services rendered by the pertinent employees during the period. The other components of net benefit cost will be required to be presented in the statement of operations separately from the service cost component, such as in other income and expense. The guidance is effective for fiscal years beginning after December 15, 2017. This guidance will impact the presentation of our Consolidated Financial Statements. Our current presentation of the service cost component is consistent with the requirements of the new standard. However, upon our adoption of the new standard, we expect to present the other components within Other (income) expense (we currently present the other components within Cost of products and services sold and Selling, general, and administrative expenses). All components will continue to be excluded from Segment Profit (see Note 10 Segment Financial Data).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August 2017, the FASB issued amendments to hedge accounting guidance. These amendments are intended to better align a company’s risk management strategies and financial reporting for hedging relationships. Under the new guidance, more hedging strategies will be eligible for hedge accounting and the application of hedge accounting is simplified. In addition, the new guidance amends presentation and disclosure requirements. The guidance is effective for fiscal years beginning after December 15, 2018 with early adoption permitted, including the interim periods within those years. The guidance requires the use of a modified retrospective approach. We are currently evaluating the impact of the guidance on our consolidated financial statements and whether we will early adopt this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Repositioning and Other Charges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r>
      <w:tr>
        <w:trPr>
          <w:trHeight w:val="169"/>
        </w:trPr>
        <w:tc>
          <w:tcPr>
            <w:tcW w:w="5620" w:type="dxa"/>
            <w:vAlign w:val="bottom"/>
            <w:tcBorders>
              <w:bottom w:val="single" w:sz="8" w:color="E5FF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E5FF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E5FF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r>
      <w:tr>
        <w:trPr>
          <w:trHeight w:val="196"/>
        </w:trPr>
        <w:tc>
          <w:tcPr>
            <w:tcW w:w="56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Severance</w:t>
            </w: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75</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155</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177</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253</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24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22</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57</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42</w:t>
            </w:r>
          </w:p>
        </w:tc>
      </w:tr>
      <w:tr>
        <w:trPr>
          <w:trHeight w:val="203"/>
        </w:trPr>
        <w:tc>
          <w:tcPr>
            <w:tcW w:w="5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Exit costs</w:t>
            </w: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11</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36</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20</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41</w:t>
            </w:r>
          </w:p>
        </w:tc>
      </w:tr>
      <w:tr>
        <w:trPr>
          <w:trHeight w:val="216"/>
        </w:trPr>
        <w:tc>
          <w:tcPr>
            <w:tcW w:w="56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Reserve adjustments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196"/>
        </w:trPr>
        <w:tc>
          <w:tcPr>
            <w:tcW w:w="562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net repositioning charge</w:t>
            </w:r>
          </w:p>
        </w:tc>
        <w:tc>
          <w:tcPr>
            <w:tcW w:w="24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101</w:t>
            </w:r>
          </w:p>
        </w:tc>
        <w:tc>
          <w:tcPr>
            <w:tcW w:w="340" w:type="dxa"/>
            <w:vAlign w:val="bottom"/>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171</w:t>
            </w:r>
          </w:p>
        </w:tc>
        <w:tc>
          <w:tcPr>
            <w:tcW w:w="32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247</w:t>
            </w:r>
          </w:p>
        </w:tc>
        <w:tc>
          <w:tcPr>
            <w:tcW w:w="320" w:type="dxa"/>
            <w:vAlign w:val="bottom"/>
            <w:shd w:val="clear" w:color="auto" w:fill="E5FFFF"/>
          </w:tcPr>
          <w:p>
            <w:pPr>
              <w:spacing w:after="0"/>
              <w:rPr>
                <w:sz w:val="17"/>
                <w:szCs w:val="17"/>
                <w:color w:val="auto"/>
              </w:rPr>
            </w:pPr>
          </w:p>
        </w:tc>
        <w:tc>
          <w:tcPr>
            <w:tcW w:w="360" w:type="dxa"/>
            <w:vAlign w:val="bottom"/>
            <w:tcBorders>
              <w:bottom w:val="single" w:sz="8" w:color="auto"/>
            </w:tcBorders>
            <w:shd w:val="clear" w:color="auto" w:fill="E5FFFF"/>
          </w:tcPr>
          <w:p>
            <w:pPr>
              <w:spacing w:after="0"/>
              <w:rPr>
                <w:sz w:val="17"/>
                <w:szCs w:val="17"/>
                <w:color w:val="auto"/>
              </w:rPr>
            </w:pPr>
          </w:p>
        </w:tc>
        <w:tc>
          <w:tcPr>
            <w:tcW w:w="72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244</w:t>
            </w:r>
          </w:p>
        </w:tc>
      </w:tr>
      <w:tr>
        <w:trPr>
          <w:trHeight w:val="399"/>
        </w:trPr>
        <w:tc>
          <w:tcPr>
            <w:tcW w:w="5620" w:type="dxa"/>
            <w:vAlign w:val="bottom"/>
          </w:tcPr>
          <w:p>
            <w:pPr>
              <w:spacing w:after="0"/>
              <w:rPr>
                <w:sz w:val="20"/>
                <w:szCs w:val="20"/>
                <w:color w:val="auto"/>
              </w:rPr>
            </w:pPr>
            <w:r>
              <w:rPr>
                <w:rFonts w:ascii="Arial" w:cs="Arial" w:eastAsia="Arial" w:hAnsi="Arial"/>
                <w:sz w:val="18"/>
                <w:szCs w:val="18"/>
                <w:color w:val="auto"/>
              </w:rPr>
              <w:t>Asbestos related litigation charges, net of insurance</w:t>
            </w:r>
          </w:p>
        </w:tc>
        <w:tc>
          <w:tcPr>
            <w:tcW w:w="240" w:type="dxa"/>
            <w:vAlign w:val="bottom"/>
          </w:tcPr>
          <w:p>
            <w:pPr>
              <w:spacing w:after="0"/>
              <w:rPr>
                <w:sz w:val="24"/>
                <w:szCs w:val="24"/>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173</w:t>
            </w:r>
          </w:p>
        </w:tc>
      </w:tr>
      <w:tr>
        <w:trPr>
          <w:trHeight w:val="203"/>
        </w:trPr>
        <w:tc>
          <w:tcPr>
            <w:tcW w:w="5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Probable and reasonably estimable environmental liabilities</w:t>
            </w: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62</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49</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167</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132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r>
      <w:tr>
        <w:trPr>
          <w:trHeight w:val="196"/>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6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Total net repositioning and other charges</w:t>
            </w:r>
          </w:p>
        </w:tc>
        <w:tc>
          <w:tcPr>
            <w:tcW w:w="240" w:type="dxa"/>
            <w:vAlign w:val="bottom"/>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230</w:t>
            </w:r>
          </w:p>
        </w:tc>
        <w:tc>
          <w:tcPr>
            <w:tcW w:w="680" w:type="dxa"/>
            <w:vAlign w:val="bottom"/>
            <w:gridSpan w:val="2"/>
            <w:shd w:val="clear" w:color="auto" w:fill="E5FF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302</w:t>
            </w:r>
          </w:p>
        </w:tc>
        <w:tc>
          <w:tcPr>
            <w:tcW w:w="560" w:type="dxa"/>
            <w:vAlign w:val="bottom"/>
            <w:gridSpan w:val="2"/>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583</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567</w:t>
            </w:r>
          </w:p>
        </w:tc>
      </w:tr>
      <w:tr>
        <w:trPr>
          <w:trHeight w:val="20"/>
        </w:trPr>
        <w:tc>
          <w:tcPr>
            <w:tcW w:w="56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income statement classification: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5"/>
                <w:szCs w:val="15"/>
                <w:color w:val="auto"/>
              </w:rPr>
            </w:pPr>
          </w:p>
        </w:tc>
      </w:tr>
      <w:tr>
        <w:trPr>
          <w:trHeight w:val="175"/>
        </w:trPr>
        <w:tc>
          <w:tcPr>
            <w:tcW w:w="5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r>
      <w:tr>
        <w:trPr>
          <w:trHeight w:val="169"/>
        </w:trPr>
        <w:tc>
          <w:tcPr>
            <w:tcW w:w="562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E5FF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E5FF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4"/>
                <w:szCs w:val="14"/>
                <w:color w:val="auto"/>
              </w:rPr>
            </w:pPr>
          </w:p>
        </w:tc>
      </w:tr>
      <w:tr>
        <w:trPr>
          <w:trHeight w:val="196"/>
        </w:trPr>
        <w:tc>
          <w:tcPr>
            <w:tcW w:w="56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193</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226</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503</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410</w:t>
            </w:r>
          </w:p>
        </w:tc>
        <w:tc>
          <w:tcPr>
            <w:tcW w:w="460" w:type="dxa"/>
            <w:vAlign w:val="bottom"/>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7"/>
                <w:szCs w:val="17"/>
                <w:color w:val="auto"/>
              </w:rPr>
            </w:pPr>
          </w:p>
        </w:tc>
        <w:tc>
          <w:tcPr>
            <w:tcW w:w="8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37</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54</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110</w:t>
            </w:r>
          </w:p>
        </w:tc>
        <w:tc>
          <w:tcPr>
            <w:tcW w:w="460" w:type="dxa"/>
            <w:vAlign w:val="bottom"/>
          </w:tcPr>
          <w:p>
            <w:pPr>
              <w:spacing w:after="0"/>
              <w:rPr>
                <w:sz w:val="17"/>
                <w:szCs w:val="17"/>
                <w:color w:val="auto"/>
              </w:rPr>
            </w:pPr>
          </w:p>
        </w:tc>
      </w:tr>
      <w:tr>
        <w:trPr>
          <w:trHeight w:val="216"/>
        </w:trPr>
        <w:tc>
          <w:tcPr>
            <w:tcW w:w="5620" w:type="dxa"/>
            <w:vAlign w:val="bottom"/>
            <w:shd w:val="clear" w:color="auto" w:fill="E5FF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23</w:t>
            </w:r>
          </w:p>
        </w:tc>
        <w:tc>
          <w:tcPr>
            <w:tcW w:w="3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26</w:t>
            </w:r>
          </w:p>
        </w:tc>
        <w:tc>
          <w:tcPr>
            <w:tcW w:w="320" w:type="dxa"/>
            <w:vAlign w:val="bottom"/>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18"/>
                <w:szCs w:val="18"/>
                <w:color w:val="auto"/>
              </w:rPr>
            </w:pPr>
          </w:p>
        </w:tc>
      </w:tr>
      <w:tr>
        <w:trPr>
          <w:trHeight w:val="196"/>
        </w:trPr>
        <w:tc>
          <w:tcPr>
            <w:tcW w:w="56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230</w:t>
            </w:r>
          </w:p>
        </w:tc>
        <w:tc>
          <w:tcPr>
            <w:tcW w:w="34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302</w:t>
            </w:r>
          </w:p>
        </w:tc>
        <w:tc>
          <w:tcPr>
            <w:tcW w:w="3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583</w:t>
            </w:r>
          </w:p>
        </w:tc>
        <w:tc>
          <w:tcPr>
            <w:tcW w:w="3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567</w:t>
            </w:r>
          </w:p>
        </w:tc>
        <w:tc>
          <w:tcPr>
            <w:tcW w:w="46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86"/>
        </w:trPr>
        <w:tc>
          <w:tcPr>
            <w:tcW w:w="562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7"/>
        </w:trPr>
        <w:tc>
          <w:tcPr>
            <w:tcW w:w="56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r>
      <w:tr>
        <w:trPr>
          <w:trHeight w:val="169"/>
        </w:trPr>
        <w:tc>
          <w:tcPr>
            <w:tcW w:w="5620" w:type="dxa"/>
            <w:vAlign w:val="bottom"/>
            <w:tcBorders>
              <w:bottom w:val="single" w:sz="8" w:color="E5FF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E5FF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E5FF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r>
      <w:tr>
        <w:trPr>
          <w:trHeight w:val="196"/>
        </w:trPr>
        <w:tc>
          <w:tcPr>
            <w:tcW w:w="56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rPr>
              <w:t>59</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144</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rPr>
              <w:t>216</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265</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240" w:type="dxa"/>
            <w:vAlign w:val="bottom"/>
          </w:tcPr>
          <w:p>
            <w:pPr>
              <w:spacing w:after="0"/>
              <w:rPr>
                <w:sz w:val="17"/>
                <w:szCs w:val="17"/>
                <w:color w:val="auto"/>
              </w:rPr>
            </w:pPr>
          </w:p>
        </w:tc>
        <w:tc>
          <w:tcPr>
            <w:tcW w:w="8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15</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24</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57</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w:t>
            </w:r>
          </w:p>
        </w:tc>
      </w:tr>
      <w:tr>
        <w:trPr>
          <w:trHeight w:val="203"/>
        </w:trPr>
        <w:tc>
          <w:tcPr>
            <w:tcW w:w="5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28</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35</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30</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71</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240" w:type="dxa"/>
            <w:vAlign w:val="bottom"/>
          </w:tcPr>
          <w:p>
            <w:pPr>
              <w:spacing w:after="0"/>
              <w:rPr>
                <w:sz w:val="17"/>
                <w:szCs w:val="17"/>
                <w:color w:val="auto"/>
              </w:rPr>
            </w:pPr>
          </w:p>
        </w:tc>
        <w:tc>
          <w:tcPr>
            <w:tcW w:w="8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34</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34</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w:t>
            </w:r>
          </w:p>
        </w:tc>
      </w:tr>
      <w:tr>
        <w:trPr>
          <w:trHeight w:val="216"/>
        </w:trPr>
        <w:tc>
          <w:tcPr>
            <w:tcW w:w="5620" w:type="dxa"/>
            <w:vAlign w:val="bottom"/>
            <w:shd w:val="clear" w:color="auto" w:fill="E5FFFF"/>
          </w:tcPr>
          <w:p>
            <w:pPr>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36"/>
              <w:spacing w:after="0"/>
              <w:rPr>
                <w:sz w:val="20"/>
                <w:szCs w:val="20"/>
                <w:color w:val="auto"/>
              </w:rPr>
            </w:pPr>
            <w:r>
              <w:rPr>
                <w:rFonts w:ascii="Arial" w:cs="Arial" w:eastAsia="Arial" w:hAnsi="Arial"/>
                <w:sz w:val="18"/>
                <w:szCs w:val="18"/>
                <w:color w:val="auto"/>
              </w:rPr>
              <w:t>94</w:t>
            </w:r>
          </w:p>
        </w:tc>
        <w:tc>
          <w:tcPr>
            <w:tcW w:w="34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89</w:t>
            </w:r>
          </w:p>
        </w:tc>
        <w:tc>
          <w:tcPr>
            <w:tcW w:w="3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36"/>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191</w:t>
            </w:r>
          </w:p>
        </w:tc>
      </w:tr>
      <w:tr>
        <w:trPr>
          <w:trHeight w:val="196"/>
        </w:trPr>
        <w:tc>
          <w:tcPr>
            <w:tcW w:w="56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230</w:t>
            </w:r>
          </w:p>
        </w:tc>
        <w:tc>
          <w:tcPr>
            <w:tcW w:w="34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302</w:t>
            </w:r>
          </w:p>
        </w:tc>
        <w:tc>
          <w:tcPr>
            <w:tcW w:w="3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583</w:t>
            </w:r>
          </w:p>
        </w:tc>
        <w:tc>
          <w:tcPr>
            <w:tcW w:w="3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567</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quarter ended September 30, 2017, we recognized repositioning charges totaling $108 million including severance costs of $75 million related to workforce reductions of 1,700 manufacturing and administrative positions across our segments. The workforce reductions were primarily related to site transitions, mainly in Safety and Productivity Solutions and Aerospace, to more cost-effective locations and cost savings actions taken in connection with our productivity and ongoing functional transformation initiatives. The repositioning charges included asset impairments of $22 million primarily related to the write-down of a research and development facility in our Corporate segment in connection with a planned exit from such facility.</w:t>
      </w:r>
    </w:p>
    <w:p>
      <w:pPr>
        <w:spacing w:after="0" w:line="19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the quarter ended September 30, 2016, we recognized repositioning charges totaling $202 million including severance costs of $155 million related to workforce reductions of 3,017 manufacturing and administrative positions across our segments. The workforce reductions were primarily related to the separation of the former Automation and Control Solutions reporting segment into two new reporting segments (Home and Building Technologies and Safety and Productivity Solutions); factory transitions in Aerospace, Home and Building Technologies, Safety and Productivity Solutions and Performance Materials and Technologies to more cost-effective locations; and cost savings actions taken in connection with our productivity and ongoing functional transformation initiatives. The repositioning charge included exit costs of $36 million principally for expenses related to the spin-off of our AdvanSix business and closure obligations associated with factory transitions. Also, $31 million of previously established accruals for severance were returned to income as a result of higher attrition than anticipated in prior severance programs resulting in lower required severance payments, and changes in the scope of previously announced repositioning actions.</w:t>
      </w:r>
    </w:p>
    <w:p>
      <w:pPr>
        <w:spacing w:after="0" w:line="19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nine months ended September 30, 2017, we recognized repositioning charges totaling $ 254 million including severance costs of $177 million related to workforce reductions of 4,224 manufacturing and administrative positions across our segments. The workforce reductions were primarily related to cost savings actions taken in connection with our productivity and ongoing functional transformation initiatives and with site transitions, mainly in Aerospace and Safety and Productivity Solutions, to more cost-effective locations. The repositioning charges included asset impairments of $57 million primarily in our Corporate segment related to the write-down of a research and development facility in connection with a planned exit from such facility and legacy properties in connection with their planned sale.</w:t>
      </w:r>
    </w:p>
    <w:p>
      <w:pPr>
        <w:spacing w:after="0" w:line="19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the nine months ended September 30, 2016, we recognized repositioning charges totaling $ 336 million including severance costs of $253 million related to workforce reductions of 5,888 manufacturing and administrative positions across our segments. The workforce reductions were primarily related to cost savings actions taken in connection with our productivity and ongoing functional transformation initiatives; the separation of the former Automation and Control Solutions reporting segment into two new reporting segments; factory transitions in Aerospace, Home and Building Technologies, Safety and Productivity Solutions and Performance Materials and Technologies to more cost-effective locations; and achieving acquisition-related synergies. The repositioning charge included asset impairments of $ 42 million principally related to the write-off of certain intangible assets in connection with the sale of a Performance Materials and Technologies business. The repositioning charge included exit costs of $41 million principally for expenses related to the spin-off of our AdvanSix business and closure obligations associated with factory transitions. Also, $92 million of previously established accruals, primarily for severance, were returned to income as a result of higher attrition than anticipated in prior severance programs resulting in lower required severance payments, lower than expected severance costs in certain repositioning actions, and changes in the scope of previously announced repositioning actions.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186" w:lineRule="exact"/>
        <w:rPr>
          <w:sz w:val="20"/>
          <w:szCs w:val="20"/>
          <w:color w:val="auto"/>
        </w:rPr>
      </w:pPr>
    </w:p>
    <w:tbl>
      <w:tblPr>
        <w:tblLayout w:type="fixed"/>
        <w:tblInd w:w="240" w:type="dxa"/>
        <w:tblCellMar>
          <w:top w:w="0" w:type="dxa"/>
          <w:left w:w="0" w:type="dxa"/>
          <w:bottom w:w="0" w:type="dxa"/>
          <w:right w:w="0" w:type="dxa"/>
        </w:tblCellMar>
      </w:tblPr>
      <w:tr>
        <w:trPr>
          <w:trHeight w:val="176"/>
        </w:trPr>
        <w:tc>
          <w:tcPr>
            <w:tcW w:w="4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14"/>
              <w:spacing w:after="0"/>
              <w:rPr>
                <w:sz w:val="20"/>
                <w:szCs w:val="20"/>
                <w:color w:val="auto"/>
              </w:rPr>
            </w:pPr>
            <w:r>
              <w:rPr>
                <w:rFonts w:ascii="Arial" w:cs="Arial" w:eastAsia="Arial" w:hAnsi="Arial"/>
                <w:sz w:val="14"/>
                <w:szCs w:val="14"/>
                <w:b w:val="1"/>
                <w:bCs w:val="1"/>
                <w:color w:val="auto"/>
              </w:rPr>
              <w:t>Severance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Asset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Exit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Costs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4"/>
              <w:spacing w:after="0"/>
              <w:rPr>
                <w:sz w:val="20"/>
                <w:szCs w:val="20"/>
                <w:color w:val="auto"/>
              </w:rPr>
            </w:pPr>
            <w:r>
              <w:rPr>
                <w:rFonts w:ascii="Arial" w:cs="Arial" w:eastAsia="Arial" w:hAnsi="Arial"/>
                <w:sz w:val="14"/>
                <w:szCs w:val="14"/>
                <w:b w:val="1"/>
                <w:bCs w:val="1"/>
                <w:color w:val="auto"/>
              </w:rPr>
              <w:t>Impairments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5"/>
                <w:szCs w:val="15"/>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r>
      <w:tr>
        <w:trPr>
          <w:trHeight w:val="196"/>
        </w:trPr>
        <w:tc>
          <w:tcPr>
            <w:tcW w:w="42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December 31, 2016</w:t>
            </w:r>
          </w:p>
        </w:tc>
        <w:tc>
          <w:tcPr>
            <w:tcW w:w="138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298</w:t>
            </w:r>
          </w:p>
        </w:tc>
        <w:tc>
          <w:tcPr>
            <w:tcW w:w="3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33</w:t>
            </w:r>
          </w:p>
        </w:tc>
        <w:tc>
          <w:tcPr>
            <w:tcW w:w="3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331</w:t>
            </w: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Charges</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254</w:t>
            </w:r>
          </w:p>
        </w:tc>
      </w:tr>
      <w:tr>
        <w:trPr>
          <w:trHeight w:val="203"/>
        </w:trPr>
        <w:tc>
          <w:tcPr>
            <w:tcW w:w="42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Usage - cash</w:t>
            </w:r>
          </w:p>
        </w:tc>
        <w:tc>
          <w:tcPr>
            <w:tcW w:w="13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(115)</w:t>
            </w: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(123)</w:t>
            </w: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Usage - noncash</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42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3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16</w:t>
            </w: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18</w:t>
            </w:r>
          </w:p>
        </w:tc>
      </w:tr>
      <w:tr>
        <w:trPr>
          <w:trHeight w:val="216"/>
        </w:trPr>
        <w:tc>
          <w:tcPr>
            <w:tcW w:w="42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Adjustments and reclassifications</w:t>
            </w:r>
          </w:p>
        </w:tc>
        <w:tc>
          <w:tcPr>
            <w:tcW w:w="13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196"/>
        </w:trPr>
        <w:tc>
          <w:tcPr>
            <w:tcW w:w="4220" w:type="dxa"/>
            <w:vAlign w:val="bottom"/>
            <w:tcBorders>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September 30, 2017</w:t>
            </w:r>
          </w:p>
        </w:tc>
        <w:tc>
          <w:tcPr>
            <w:tcW w:w="1380" w:type="dxa"/>
            <w:vAlign w:val="bottom"/>
            <w:tcBorders>
              <w:bottom w:val="single" w:sz="8" w:color="E5FFFF"/>
            </w:tcBorders>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372</w:t>
            </w:r>
          </w:p>
        </w:tc>
        <w:tc>
          <w:tcPr>
            <w:tcW w:w="3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37</w:t>
            </w:r>
          </w:p>
        </w:tc>
        <w:tc>
          <w:tcPr>
            <w:tcW w:w="32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409</w:t>
            </w:r>
          </w:p>
        </w:tc>
      </w:tr>
      <w:tr>
        <w:trPr>
          <w:trHeight w:val="20"/>
        </w:trPr>
        <w:tc>
          <w:tcPr>
            <w:tcW w:w="4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Certain repositioning projects in 2017 and 2016 included exit or disposal activities, the costs related to which will be recognized in future periods when the actual liability is incurred. Such exit and disposal costs are not expected to be significant.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6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Basic</w:t>
            </w: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40" w:type="dxa"/>
            <w:vAlign w:val="bottom"/>
            <w:gridSpan w:val="5"/>
            <w:vMerge w:val="continue"/>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38"/>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E5FFFF"/>
            </w:tcBorders>
            <w:shd w:val="clear" w:color="auto" w:fill="000000"/>
          </w:tcPr>
          <w:p>
            <w:pPr>
              <w:spacing w:after="0" w:line="20" w:lineRule="exact"/>
              <w:rPr>
                <w:sz w:val="1"/>
                <w:szCs w:val="1"/>
                <w:color w:val="auto"/>
              </w:rPr>
            </w:pPr>
          </w:p>
        </w:tc>
        <w:tc>
          <w:tcPr>
            <w:tcW w:w="70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3360" w:type="dxa"/>
            <w:vAlign w:val="bottom"/>
            <w:tcBorders>
              <w:bottom w:val="single" w:sz="8" w:color="E5FFFF"/>
            </w:tcBorders>
          </w:tcPr>
          <w:p>
            <w:pPr>
              <w:spacing w:after="0" w:line="20" w:lineRule="exact"/>
              <w:rPr>
                <w:sz w:val="1"/>
                <w:szCs w:val="1"/>
                <w:color w:val="auto"/>
              </w:rPr>
            </w:pPr>
          </w:p>
        </w:tc>
        <w:tc>
          <w:tcPr>
            <w:tcW w:w="120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E5FF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gridSpan w:val="4"/>
            <w:shd w:val="clear" w:color="auto" w:fill="E5FFFF"/>
          </w:tcPr>
          <w:p>
            <w:pPr>
              <w:spacing w:after="0" w:line="189" w:lineRule="exact"/>
              <w:rPr>
                <w:sz w:val="20"/>
                <w:szCs w:val="20"/>
                <w:color w:val="auto"/>
              </w:rPr>
            </w:pPr>
            <w:r>
              <w:rPr>
                <w:rFonts w:ascii="Arial" w:cs="Arial" w:eastAsia="Arial" w:hAnsi="Arial"/>
                <w:sz w:val="18"/>
                <w:szCs w:val="18"/>
                <w:color w:val="auto"/>
              </w:rPr>
              <w:t>Net income attributable to Honeywell</w:t>
            </w:r>
          </w:p>
        </w:tc>
        <w:tc>
          <w:tcPr>
            <w:tcW w:w="1200" w:type="dxa"/>
            <w:vAlign w:val="bottom"/>
            <w:shd w:val="clear" w:color="auto" w:fill="E5FFFF"/>
          </w:tcPr>
          <w:p>
            <w:pPr>
              <w:spacing w:after="0"/>
              <w:rPr>
                <w:sz w:val="16"/>
                <w:szCs w:val="16"/>
                <w:color w:val="auto"/>
              </w:rPr>
            </w:pPr>
          </w:p>
        </w:tc>
        <w:tc>
          <w:tcPr>
            <w:tcW w:w="260" w:type="dxa"/>
            <w:vAlign w:val="bottom"/>
            <w:shd w:val="clear" w:color="auto" w:fill="E5FF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38"/>
              <w:spacing w:after="0" w:line="189" w:lineRule="exact"/>
              <w:rPr>
                <w:sz w:val="20"/>
                <w:szCs w:val="20"/>
                <w:color w:val="auto"/>
              </w:rPr>
            </w:pPr>
            <w:r>
              <w:rPr>
                <w:rFonts w:ascii="Arial" w:cs="Arial" w:eastAsia="Arial" w:hAnsi="Arial"/>
                <w:sz w:val="18"/>
                <w:szCs w:val="18"/>
                <w:color w:val="auto"/>
              </w:rPr>
              <w:t>1,348</w:t>
            </w:r>
          </w:p>
        </w:tc>
        <w:tc>
          <w:tcPr>
            <w:tcW w:w="360" w:type="dxa"/>
            <w:vAlign w:val="bottom"/>
            <w:shd w:val="clear" w:color="auto" w:fill="E5FFFF"/>
          </w:tcPr>
          <w:p>
            <w:pPr>
              <w:spacing w:after="0"/>
              <w:rPr>
                <w:sz w:val="16"/>
                <w:szCs w:val="16"/>
                <w:color w:val="auto"/>
              </w:rPr>
            </w:pPr>
          </w:p>
        </w:tc>
        <w:tc>
          <w:tcPr>
            <w:tcW w:w="360" w:type="dxa"/>
            <w:vAlign w:val="bottom"/>
            <w:shd w:val="clear" w:color="auto" w:fill="E5FFFF"/>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1,240</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8"/>
              <w:spacing w:after="0" w:line="189" w:lineRule="exact"/>
              <w:rPr>
                <w:sz w:val="20"/>
                <w:szCs w:val="20"/>
                <w:color w:val="auto"/>
              </w:rPr>
            </w:pPr>
            <w:r>
              <w:rPr>
                <w:rFonts w:ascii="Arial" w:cs="Arial" w:eastAsia="Arial" w:hAnsi="Arial"/>
                <w:sz w:val="18"/>
                <w:szCs w:val="18"/>
                <w:color w:val="auto"/>
              </w:rPr>
              <w:t>4,066</w:t>
            </w:r>
          </w:p>
        </w:tc>
        <w:tc>
          <w:tcPr>
            <w:tcW w:w="340" w:type="dxa"/>
            <w:vAlign w:val="bottom"/>
            <w:shd w:val="clear" w:color="auto" w:fill="E5FFFF"/>
          </w:tcPr>
          <w:p>
            <w:pPr>
              <w:spacing w:after="0"/>
              <w:rPr>
                <w:sz w:val="16"/>
                <w:szCs w:val="16"/>
                <w:color w:val="auto"/>
              </w:rPr>
            </w:pPr>
          </w:p>
        </w:tc>
        <w:tc>
          <w:tcPr>
            <w:tcW w:w="360" w:type="dxa"/>
            <w:vAlign w:val="bottom"/>
            <w:shd w:val="clear" w:color="auto" w:fill="E5FFFF"/>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4"/>
          </w:tcPr>
          <w:p>
            <w:pPr>
              <w:spacing w:after="0" w:line="202" w:lineRule="exact"/>
              <w:rPr>
                <w:sz w:val="20"/>
                <w:szCs w:val="20"/>
                <w:color w:val="auto"/>
              </w:rPr>
            </w:pPr>
            <w:r>
              <w:rPr>
                <w:rFonts w:ascii="Arial" w:cs="Arial" w:eastAsia="Arial" w:hAnsi="Arial"/>
                <w:sz w:val="18"/>
                <w:szCs w:val="18"/>
                <w:color w:val="auto"/>
              </w:rPr>
              <w:t>Weighted average shares outstanding</w:t>
            </w: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762.2</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763.7</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763.1</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4"/>
            <w:shd w:val="clear" w:color="auto" w:fill="E5FFFF"/>
          </w:tcPr>
          <w:p>
            <w:pPr>
              <w:spacing w:after="0" w:line="202" w:lineRule="exact"/>
              <w:rPr>
                <w:sz w:val="20"/>
                <w:szCs w:val="20"/>
                <w:color w:val="auto"/>
              </w:rPr>
            </w:pPr>
            <w:r>
              <w:rPr>
                <w:rFonts w:ascii="Arial" w:cs="Arial" w:eastAsia="Arial" w:hAnsi="Arial"/>
                <w:sz w:val="18"/>
                <w:szCs w:val="18"/>
                <w:color w:val="auto"/>
              </w:rPr>
              <w:t>Earnings per share of common stock</w:t>
            </w:r>
          </w:p>
        </w:tc>
        <w:tc>
          <w:tcPr>
            <w:tcW w:w="146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1.77</w:t>
            </w:r>
          </w:p>
        </w:tc>
        <w:tc>
          <w:tcPr>
            <w:tcW w:w="720" w:type="dxa"/>
            <w:vAlign w:val="bottom"/>
            <w:gridSpan w:val="2"/>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1.62</w:t>
            </w:r>
          </w:p>
        </w:tc>
        <w:tc>
          <w:tcPr>
            <w:tcW w:w="60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8"/>
              <w:spacing w:after="0" w:line="202" w:lineRule="exact"/>
              <w:rPr>
                <w:sz w:val="20"/>
                <w:szCs w:val="20"/>
                <w:color w:val="auto"/>
              </w:rPr>
            </w:pPr>
            <w:r>
              <w:rPr>
                <w:rFonts w:ascii="Arial" w:cs="Arial" w:eastAsia="Arial" w:hAnsi="Arial"/>
                <w:sz w:val="18"/>
                <w:szCs w:val="18"/>
                <w:color w:val="auto"/>
              </w:rPr>
              <w:t>5.33</w:t>
            </w:r>
          </w:p>
        </w:tc>
        <w:tc>
          <w:tcPr>
            <w:tcW w:w="700" w:type="dxa"/>
            <w:vAlign w:val="bottom"/>
            <w:gridSpan w:val="2"/>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6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Assuming Dilution</w:t>
            </w: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40" w:type="dxa"/>
            <w:vAlign w:val="bottom"/>
            <w:gridSpan w:val="5"/>
            <w:vMerge w:val="continue"/>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38"/>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E5FFFF"/>
            </w:tcBorders>
            <w:shd w:val="clear" w:color="auto" w:fill="000000"/>
          </w:tcPr>
          <w:p>
            <w:pPr>
              <w:spacing w:after="0" w:line="20" w:lineRule="exact"/>
              <w:rPr>
                <w:sz w:val="1"/>
                <w:szCs w:val="1"/>
                <w:color w:val="auto"/>
              </w:rPr>
            </w:pPr>
          </w:p>
        </w:tc>
        <w:tc>
          <w:tcPr>
            <w:tcW w:w="700" w:type="dxa"/>
            <w:vAlign w:val="bottom"/>
            <w:tcBorders>
              <w:bottom w:val="single" w:sz="8" w:color="E5FFFF"/>
            </w:tcBorders>
            <w:shd w:val="clear" w:color="auto" w:fill="000000"/>
          </w:tcPr>
          <w:p>
            <w:pPr>
              <w:spacing w:after="0" w:line="20" w:lineRule="exact"/>
              <w:rPr>
                <w:sz w:val="1"/>
                <w:szCs w:val="1"/>
                <w:color w:val="auto"/>
              </w:rPr>
            </w:pPr>
          </w:p>
        </w:tc>
        <w:tc>
          <w:tcPr>
            <w:tcW w:w="200" w:type="dxa"/>
            <w:vAlign w:val="bottom"/>
            <w:tcBorders>
              <w:bottom w:val="single" w:sz="8" w:color="E5FFFF"/>
            </w:tcBorders>
            <w:shd w:val="clear" w:color="auto" w:fill="000000"/>
          </w:tcPr>
          <w:p>
            <w:pPr>
              <w:spacing w:after="0" w:line="20" w:lineRule="exact"/>
              <w:rPr>
                <w:sz w:val="1"/>
                <w:szCs w:val="1"/>
                <w:color w:val="auto"/>
              </w:rPr>
            </w:pPr>
          </w:p>
        </w:tc>
        <w:tc>
          <w:tcPr>
            <w:tcW w:w="3360" w:type="dxa"/>
            <w:vAlign w:val="bottom"/>
            <w:tcBorders>
              <w:bottom w:val="single" w:sz="8" w:color="E5FFFF"/>
            </w:tcBorders>
          </w:tcPr>
          <w:p>
            <w:pPr>
              <w:spacing w:after="0" w:line="20" w:lineRule="exact"/>
              <w:rPr>
                <w:sz w:val="1"/>
                <w:szCs w:val="1"/>
                <w:color w:val="auto"/>
              </w:rPr>
            </w:pPr>
          </w:p>
        </w:tc>
        <w:tc>
          <w:tcPr>
            <w:tcW w:w="120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E5FF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gridSpan w:val="4"/>
            <w:shd w:val="clear" w:color="auto" w:fill="E5FFFF"/>
          </w:tcPr>
          <w:p>
            <w:pPr>
              <w:spacing w:after="0" w:line="189" w:lineRule="exact"/>
              <w:rPr>
                <w:sz w:val="20"/>
                <w:szCs w:val="20"/>
                <w:color w:val="auto"/>
              </w:rPr>
            </w:pPr>
            <w:r>
              <w:rPr>
                <w:rFonts w:ascii="Arial" w:cs="Arial" w:eastAsia="Arial" w:hAnsi="Arial"/>
                <w:sz w:val="18"/>
                <w:szCs w:val="18"/>
                <w:color w:val="auto"/>
              </w:rPr>
              <w:t>Net income attributable to Honeywell</w:t>
            </w:r>
          </w:p>
        </w:tc>
        <w:tc>
          <w:tcPr>
            <w:tcW w:w="1200" w:type="dxa"/>
            <w:vAlign w:val="bottom"/>
            <w:shd w:val="clear" w:color="auto" w:fill="E5FFFF"/>
          </w:tcPr>
          <w:p>
            <w:pPr>
              <w:spacing w:after="0"/>
              <w:rPr>
                <w:sz w:val="16"/>
                <w:szCs w:val="16"/>
                <w:color w:val="auto"/>
              </w:rPr>
            </w:pPr>
          </w:p>
        </w:tc>
        <w:tc>
          <w:tcPr>
            <w:tcW w:w="260" w:type="dxa"/>
            <w:vAlign w:val="bottom"/>
            <w:shd w:val="clear" w:color="auto" w:fill="E5FF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38"/>
              <w:spacing w:after="0" w:line="189" w:lineRule="exact"/>
              <w:rPr>
                <w:sz w:val="20"/>
                <w:szCs w:val="20"/>
                <w:color w:val="auto"/>
              </w:rPr>
            </w:pPr>
            <w:r>
              <w:rPr>
                <w:rFonts w:ascii="Arial" w:cs="Arial" w:eastAsia="Arial" w:hAnsi="Arial"/>
                <w:sz w:val="18"/>
                <w:szCs w:val="18"/>
                <w:color w:val="auto"/>
              </w:rPr>
              <w:t>1,348</w:t>
            </w:r>
          </w:p>
        </w:tc>
        <w:tc>
          <w:tcPr>
            <w:tcW w:w="360" w:type="dxa"/>
            <w:vAlign w:val="bottom"/>
            <w:shd w:val="clear" w:color="auto" w:fill="E5FFFF"/>
          </w:tcPr>
          <w:p>
            <w:pPr>
              <w:spacing w:after="0"/>
              <w:rPr>
                <w:sz w:val="16"/>
                <w:szCs w:val="16"/>
                <w:color w:val="auto"/>
              </w:rPr>
            </w:pPr>
          </w:p>
        </w:tc>
        <w:tc>
          <w:tcPr>
            <w:tcW w:w="360" w:type="dxa"/>
            <w:vAlign w:val="bottom"/>
            <w:shd w:val="clear" w:color="auto" w:fill="E5FFFF"/>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1,240</w:t>
            </w:r>
          </w:p>
        </w:tc>
        <w:tc>
          <w:tcPr>
            <w:tcW w:w="340" w:type="dxa"/>
            <w:vAlign w:val="bottom"/>
            <w:shd w:val="clear" w:color="auto" w:fill="E5FFFF"/>
          </w:tcPr>
          <w:p>
            <w:pPr>
              <w:spacing w:after="0"/>
              <w:rPr>
                <w:sz w:val="16"/>
                <w:szCs w:val="16"/>
                <w:color w:val="auto"/>
              </w:rPr>
            </w:pPr>
          </w:p>
        </w:tc>
        <w:tc>
          <w:tcPr>
            <w:tcW w:w="260" w:type="dxa"/>
            <w:vAlign w:val="bottom"/>
            <w:shd w:val="clear" w:color="auto" w:fill="E5FF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8"/>
              <w:spacing w:after="0" w:line="189" w:lineRule="exact"/>
              <w:rPr>
                <w:sz w:val="20"/>
                <w:szCs w:val="20"/>
                <w:color w:val="auto"/>
              </w:rPr>
            </w:pPr>
            <w:r>
              <w:rPr>
                <w:rFonts w:ascii="Arial" w:cs="Arial" w:eastAsia="Arial" w:hAnsi="Arial"/>
                <w:sz w:val="18"/>
                <w:szCs w:val="18"/>
                <w:color w:val="auto"/>
              </w:rPr>
              <w:t>4,066</w:t>
            </w:r>
          </w:p>
        </w:tc>
        <w:tc>
          <w:tcPr>
            <w:tcW w:w="340" w:type="dxa"/>
            <w:vAlign w:val="bottom"/>
            <w:shd w:val="clear" w:color="auto" w:fill="E5FFFF"/>
          </w:tcPr>
          <w:p>
            <w:pPr>
              <w:spacing w:after="0"/>
              <w:rPr>
                <w:sz w:val="16"/>
                <w:szCs w:val="16"/>
                <w:color w:val="auto"/>
              </w:rPr>
            </w:pPr>
          </w:p>
        </w:tc>
        <w:tc>
          <w:tcPr>
            <w:tcW w:w="360" w:type="dxa"/>
            <w:vAlign w:val="bottom"/>
            <w:shd w:val="clear" w:color="auto" w:fill="E5FFFF"/>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365"/>
        </w:trPr>
        <w:tc>
          <w:tcPr>
            <w:tcW w:w="4640" w:type="dxa"/>
            <w:vAlign w:val="bottom"/>
            <w:gridSpan w:val="5"/>
          </w:tcPr>
          <w:p>
            <w:pPr>
              <w:spacing w:after="0"/>
              <w:rPr>
                <w:sz w:val="20"/>
                <w:szCs w:val="20"/>
                <w:color w:val="auto"/>
              </w:rPr>
            </w:pPr>
            <w:r>
              <w:rPr>
                <w:rFonts w:ascii="Arial" w:cs="Arial" w:eastAsia="Arial" w:hAnsi="Arial"/>
                <w:sz w:val="14"/>
                <w:szCs w:val="14"/>
                <w:b w:val="1"/>
                <w:bCs w:val="1"/>
                <w:color w:val="auto"/>
              </w:rPr>
              <w:t>Average Shares</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20" w:type="dxa"/>
            <w:vAlign w:val="bottom"/>
            <w:gridSpan w:val="4"/>
            <w:shd w:val="clear" w:color="auto" w:fill="E5FF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12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762.2</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763.7</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8"/>
              <w:spacing w:after="0" w:line="196" w:lineRule="exact"/>
              <w:rPr>
                <w:sz w:val="20"/>
                <w:szCs w:val="20"/>
                <w:color w:val="auto"/>
              </w:rPr>
            </w:pPr>
            <w:r>
              <w:rPr>
                <w:rFonts w:ascii="Arial" w:cs="Arial" w:eastAsia="Arial" w:hAnsi="Arial"/>
                <w:sz w:val="18"/>
                <w:szCs w:val="18"/>
                <w:color w:val="auto"/>
              </w:rPr>
              <w:t>763.1</w:t>
            </w:r>
          </w:p>
        </w:tc>
        <w:tc>
          <w:tcPr>
            <w:tcW w:w="3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color w:val="auto"/>
              </w:rPr>
              <w:t>Dilutive securities issuable - stock plans</w:t>
            </w:r>
          </w:p>
        </w:tc>
        <w:tc>
          <w:tcPr>
            <w:tcW w:w="12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9.2</w:t>
            </w:r>
          </w:p>
        </w:tc>
        <w:tc>
          <w:tcPr>
            <w:tcW w:w="36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10.7</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bottom w:val="single" w:sz="8" w:color="E5FFFF"/>
            </w:tcBorders>
            <w:gridSpan w:val="4"/>
            <w:shd w:val="clear" w:color="auto" w:fill="E5FFFF"/>
          </w:tcPr>
          <w:p>
            <w:pPr>
              <w:spacing w:after="0" w:line="196" w:lineRule="exact"/>
              <w:rPr>
                <w:sz w:val="20"/>
                <w:szCs w:val="20"/>
                <w:color w:val="auto"/>
              </w:rPr>
            </w:pPr>
            <w:r>
              <w:rPr>
                <w:rFonts w:ascii="Arial" w:cs="Arial" w:eastAsia="Arial" w:hAnsi="Arial"/>
                <w:sz w:val="18"/>
                <w:szCs w:val="18"/>
                <w:color w:val="auto"/>
              </w:rPr>
              <w:t>Total weighted average shares outstanding</w:t>
            </w:r>
          </w:p>
        </w:tc>
        <w:tc>
          <w:tcPr>
            <w:tcW w:w="120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771.4</w:t>
            </w:r>
          </w:p>
        </w:tc>
        <w:tc>
          <w:tcPr>
            <w:tcW w:w="36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774.4</w:t>
            </w:r>
          </w:p>
        </w:tc>
        <w:tc>
          <w:tcPr>
            <w:tcW w:w="34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8"/>
              <w:spacing w:after="0" w:line="196" w:lineRule="exact"/>
              <w:rPr>
                <w:sz w:val="20"/>
                <w:szCs w:val="20"/>
                <w:color w:val="auto"/>
              </w:rPr>
            </w:pPr>
            <w:r>
              <w:rPr>
                <w:rFonts w:ascii="Arial" w:cs="Arial" w:eastAsia="Arial" w:hAnsi="Arial"/>
                <w:sz w:val="18"/>
                <w:szCs w:val="18"/>
                <w:color w:val="auto"/>
              </w:rPr>
              <w:t>773.1</w:t>
            </w:r>
          </w:p>
        </w:tc>
        <w:tc>
          <w:tcPr>
            <w:tcW w:w="34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auto"/>
            </w:tcBorders>
            <w:shd w:val="clear" w:color="auto" w:fill="E5FFFF"/>
          </w:tcPr>
          <w:p>
            <w:pPr>
              <w:spacing w:after="0"/>
              <w:rPr>
                <w:sz w:val="17"/>
                <w:szCs w:val="17"/>
                <w:color w:val="auto"/>
              </w:rPr>
            </w:pPr>
          </w:p>
        </w:tc>
        <w:tc>
          <w:tcPr>
            <w:tcW w:w="76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0"/>
        </w:trPr>
        <w:tc>
          <w:tcPr>
            <w:tcW w:w="4640" w:type="dxa"/>
            <w:vAlign w:val="bottom"/>
            <w:gridSpan w:val="5"/>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gridSpan w:val="5"/>
            <w:vMerge w:val="continue"/>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Borders>
              <w:top w:val="single" w:sz="8" w:color="auto"/>
            </w:tcBorders>
          </w:tcPr>
          <w:p>
            <w:pPr>
              <w:jc w:val="right"/>
              <w:ind w:right="70"/>
              <w:spacing w:after="0" w:line="197"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8"/>
              <w:spacing w:after="0" w:line="197" w:lineRule="exact"/>
              <w:rPr>
                <w:sz w:val="20"/>
                <w:szCs w:val="20"/>
                <w:color w:val="auto"/>
              </w:rPr>
            </w:pPr>
            <w:r>
              <w:rPr>
                <w:rFonts w:ascii="Arial" w:cs="Arial" w:eastAsia="Arial" w:hAnsi="Arial"/>
                <w:sz w:val="18"/>
                <w:szCs w:val="18"/>
                <w:color w:val="auto"/>
              </w:rPr>
              <w:t>1.75</w:t>
            </w:r>
          </w:p>
        </w:tc>
        <w:tc>
          <w:tcPr>
            <w:tcW w:w="360" w:type="dxa"/>
            <w:vAlign w:val="bottom"/>
          </w:tcPr>
          <w:p>
            <w:pPr>
              <w:spacing w:after="0"/>
              <w:rPr>
                <w:sz w:val="17"/>
                <w:szCs w:val="17"/>
                <w:color w:val="auto"/>
              </w:rPr>
            </w:pPr>
          </w:p>
        </w:tc>
        <w:tc>
          <w:tcPr>
            <w:tcW w:w="360" w:type="dxa"/>
            <w:vAlign w:val="bottom"/>
            <w:tcBorders>
              <w:top w:val="single" w:sz="8" w:color="auto"/>
            </w:tcBorders>
          </w:tcPr>
          <w:p>
            <w:pPr>
              <w:jc w:val="right"/>
              <w:ind w:right="170"/>
              <w:spacing w:after="0" w:line="197"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4"/>
              <w:spacing w:after="0" w:line="197" w:lineRule="exact"/>
              <w:rPr>
                <w:sz w:val="20"/>
                <w:szCs w:val="20"/>
                <w:color w:val="auto"/>
              </w:rPr>
            </w:pPr>
            <w:r>
              <w:rPr>
                <w:rFonts w:ascii="Arial" w:cs="Arial" w:eastAsia="Arial" w:hAnsi="Arial"/>
                <w:sz w:val="18"/>
                <w:szCs w:val="18"/>
                <w:color w:val="auto"/>
              </w:rPr>
              <w:t>1.60</w:t>
            </w:r>
          </w:p>
        </w:tc>
        <w:tc>
          <w:tcPr>
            <w:tcW w:w="340" w:type="dxa"/>
            <w:vAlign w:val="bottom"/>
          </w:tcPr>
          <w:p>
            <w:pPr>
              <w:spacing w:after="0"/>
              <w:rPr>
                <w:sz w:val="17"/>
                <w:szCs w:val="17"/>
                <w:color w:val="auto"/>
              </w:rPr>
            </w:pPr>
          </w:p>
        </w:tc>
        <w:tc>
          <w:tcPr>
            <w:tcW w:w="260" w:type="dxa"/>
            <w:vAlign w:val="bottom"/>
            <w:tcBorders>
              <w:top w:val="single" w:sz="8" w:color="auto"/>
            </w:tcBorders>
          </w:tcPr>
          <w:p>
            <w:pPr>
              <w:jc w:val="right"/>
              <w:ind w:right="70"/>
              <w:spacing w:after="0" w:line="197"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8"/>
              <w:spacing w:after="0" w:line="197" w:lineRule="exact"/>
              <w:rPr>
                <w:sz w:val="20"/>
                <w:szCs w:val="20"/>
                <w:color w:val="auto"/>
              </w:rPr>
            </w:pPr>
            <w:r>
              <w:rPr>
                <w:rFonts w:ascii="Arial" w:cs="Arial" w:eastAsia="Arial" w:hAnsi="Arial"/>
                <w:sz w:val="18"/>
                <w:szCs w:val="18"/>
                <w:color w:val="auto"/>
              </w:rPr>
              <w:t>5.26</w:t>
            </w:r>
          </w:p>
        </w:tc>
        <w:tc>
          <w:tcPr>
            <w:tcW w:w="340" w:type="dxa"/>
            <w:vAlign w:val="bottom"/>
          </w:tcPr>
          <w:p>
            <w:pPr>
              <w:spacing w:after="0"/>
              <w:rPr>
                <w:sz w:val="17"/>
                <w:szCs w:val="17"/>
                <w:color w:val="auto"/>
              </w:rPr>
            </w:pPr>
          </w:p>
        </w:tc>
        <w:tc>
          <w:tcPr>
            <w:tcW w:w="360" w:type="dxa"/>
            <w:vAlign w:val="bottom"/>
            <w:tcBorders>
              <w:top w:val="single" w:sz="8" w:color="auto"/>
            </w:tcBorders>
          </w:tcPr>
          <w:p>
            <w:pPr>
              <w:jc w:val="right"/>
              <w:ind w:right="170"/>
              <w:spacing w:after="0" w:line="197"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4"/>
              <w:spacing w:after="0" w:line="197"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and nine months ended September 30, 2017, the weighted average number of stock options excluded from the computations were 4.2 million and 3.8 million. For the three and nine months ended September 30, 2016, the weighted average number of stock options excluded from the computations were 5.5 million and 6.9 million. These stock options were outstanding at the end of each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Accounts Receivable</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1060" w:type="dxa"/>
            <w:vAlign w:val="bottom"/>
          </w:tcPr>
          <w:p>
            <w:pPr>
              <w:jc w:val="right"/>
              <w:ind w:right="3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Trade</w:t>
            </w:r>
          </w:p>
        </w:tc>
        <w:tc>
          <w:tcPr>
            <w:tcW w:w="280" w:type="dxa"/>
            <w:vAlign w:val="bottom"/>
            <w:shd w:val="clear" w:color="auto" w:fill="E5FFFF"/>
          </w:tcPr>
          <w:p>
            <w:pPr>
              <w:jc w:val="right"/>
              <w:ind w:right="96"/>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8,790</w:t>
            </w:r>
          </w:p>
        </w:tc>
        <w:tc>
          <w:tcPr>
            <w:tcW w:w="28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17"/>
              <w:spacing w:after="0" w:line="202" w:lineRule="exact"/>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Less - Allowance for doubtful accounts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jc w:val="right"/>
              <w:ind w:right="9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8,587</w:t>
            </w:r>
          </w:p>
        </w:tc>
        <w:tc>
          <w:tcPr>
            <w:tcW w:w="28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8,177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Trade receivables include $1,898 million and $1,626 million of unbilled balances under long-term contracts as of September 30, 2017 and December 31, 2016. These amounts are billed in accordance with the terms of the customer contracts to which they relate.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1060" w:type="dxa"/>
            <w:vAlign w:val="bottom"/>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vMerge w:val="continue"/>
          </w:tcPr>
          <w:p>
            <w:pPr>
              <w:spacing w:after="0"/>
              <w:rPr>
                <w:sz w:val="17"/>
                <w:szCs w:val="17"/>
                <w:color w:val="auto"/>
              </w:rPr>
            </w:pPr>
          </w:p>
        </w:tc>
        <w:tc>
          <w:tcPr>
            <w:tcW w:w="36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Raw materials</w:t>
            </w:r>
          </w:p>
        </w:tc>
        <w:tc>
          <w:tcPr>
            <w:tcW w:w="3800" w:type="dxa"/>
            <w:vAlign w:val="bottom"/>
            <w:gridSpan w:val="2"/>
            <w:shd w:val="clear" w:color="auto" w:fill="E5FFFF"/>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1,186</w:t>
            </w:r>
          </w:p>
        </w:tc>
        <w:tc>
          <w:tcPr>
            <w:tcW w:w="28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1,104</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3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853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775</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E5FFFF"/>
          </w:tcPr>
          <w:p>
            <w:pPr>
              <w:spacing w:after="0"/>
              <w:rPr>
                <w:sz w:val="20"/>
                <w:szCs w:val="20"/>
                <w:color w:val="auto"/>
              </w:rPr>
            </w:pPr>
            <w:r>
              <w:rPr>
                <w:rFonts w:ascii="Arial" w:cs="Arial" w:eastAsia="Arial" w:hAnsi="Arial"/>
                <w:sz w:val="18"/>
                <w:szCs w:val="18"/>
                <w:color w:val="auto"/>
              </w:rPr>
              <w:t>Finished products</w:t>
            </w:r>
          </w:p>
        </w:tc>
        <w:tc>
          <w:tcPr>
            <w:tcW w:w="352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2,750</w:t>
            </w:r>
          </w:p>
        </w:tc>
        <w:tc>
          <w:tcPr>
            <w:tcW w:w="28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2,552</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13"/>
              <w:spacing w:after="0" w:line="196" w:lineRule="exact"/>
              <w:rPr>
                <w:sz w:val="20"/>
                <w:szCs w:val="20"/>
                <w:color w:val="auto"/>
              </w:rPr>
            </w:pPr>
            <w:r>
              <w:rPr>
                <w:rFonts w:ascii="Arial" w:cs="Arial" w:eastAsia="Arial" w:hAnsi="Arial"/>
                <w:sz w:val="18"/>
                <w:szCs w:val="18"/>
                <w:color w:val="auto"/>
              </w:rPr>
              <w:t>4,789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4,431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E5FFFF"/>
          </w:tcPr>
          <w:p>
            <w:pPr>
              <w:spacing w:after="0"/>
              <w:rPr>
                <w:sz w:val="20"/>
                <w:szCs w:val="20"/>
                <w:color w:val="auto"/>
              </w:rPr>
            </w:pPr>
            <w:r>
              <w:rPr>
                <w:rFonts w:ascii="Arial" w:cs="Arial" w:eastAsia="Arial" w:hAnsi="Arial"/>
                <w:sz w:val="18"/>
                <w:szCs w:val="18"/>
                <w:color w:val="auto"/>
              </w:rPr>
              <w:t>Reduction to LIFO cost basis</w:t>
            </w:r>
          </w:p>
        </w:tc>
        <w:tc>
          <w:tcPr>
            <w:tcW w:w="352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(65)</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4,751</w:t>
            </w: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4,366</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520" w:type="dxa"/>
            <w:vAlign w:val="bottom"/>
            <w:vMerge w:val="restart"/>
          </w:tcPr>
          <w:p>
            <w:pPr>
              <w:jc w:val="right"/>
              <w:ind w:right="1910"/>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Borders>
              <w:bottom w:val="single" w:sz="8" w:color="C0C0C0"/>
            </w:tcBorders>
          </w:tcPr>
          <w:p>
            <w:pPr>
              <w:spacing w:after="0"/>
              <w:rPr>
                <w:sz w:val="20"/>
                <w:szCs w:val="20"/>
                <w:color w:val="auto"/>
              </w:rPr>
            </w:pPr>
          </w:p>
        </w:tc>
        <w:tc>
          <w:tcPr>
            <w:tcW w:w="3640" w:type="dxa"/>
            <w:vAlign w:val="bottom"/>
            <w:tcBorders>
              <w:bottom w:val="single" w:sz="8" w:color="C0C0C0"/>
            </w:tcBorders>
          </w:tcPr>
          <w:p>
            <w:pPr>
              <w:spacing w:after="0"/>
              <w:rPr>
                <w:sz w:val="20"/>
                <w:szCs w:val="20"/>
                <w:color w:val="auto"/>
              </w:rPr>
            </w:pPr>
          </w:p>
        </w:tc>
        <w:tc>
          <w:tcPr>
            <w:tcW w:w="352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 and Credit Agreements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560" w:type="dxa"/>
            <w:vAlign w:val="bottom"/>
            <w:tcBorders>
              <w:bottom w:val="single" w:sz="8" w:color="E5FFFF"/>
            </w:tcBorders>
          </w:tcPr>
          <w:p>
            <w:pPr>
              <w:spacing w:after="0"/>
              <w:rPr>
                <w:sz w:val="15"/>
                <w:szCs w:val="15"/>
                <w:color w:val="auto"/>
              </w:rPr>
            </w:pPr>
          </w:p>
        </w:tc>
        <w:tc>
          <w:tcPr>
            <w:tcW w:w="18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196"/>
        </w:trPr>
        <w:tc>
          <w:tcPr>
            <w:tcW w:w="75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Floating rate Euro notes due 2018</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1,181</w:t>
            </w: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1,054</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1.40% notes due 2019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1,250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1,250</w:t>
            </w:r>
          </w:p>
        </w:tc>
      </w:tr>
      <w:tr>
        <w:trPr>
          <w:trHeight w:val="203"/>
        </w:trPr>
        <w:tc>
          <w:tcPr>
            <w:tcW w:w="7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Floating rate notes due 2019</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250</w:t>
            </w: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250</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0.65% Euro notes due 2020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1,181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1,054</w:t>
            </w:r>
          </w:p>
        </w:tc>
      </w:tr>
      <w:tr>
        <w:trPr>
          <w:trHeight w:val="203"/>
        </w:trPr>
        <w:tc>
          <w:tcPr>
            <w:tcW w:w="7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4.25% notes due 2021</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800</w:t>
            </w: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800</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1.85% notes due 2021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1,500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7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1.30% Euro notes due 2023</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1,476</w:t>
            </w: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1,317</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3.35% notes due 2023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300</w:t>
            </w:r>
          </w:p>
        </w:tc>
      </w:tr>
      <w:tr>
        <w:trPr>
          <w:trHeight w:val="203"/>
        </w:trPr>
        <w:tc>
          <w:tcPr>
            <w:tcW w:w="7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2.50% notes due 2026</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1,500</w:t>
            </w: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2.25% Euro notes due 2028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886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790</w:t>
            </w:r>
          </w:p>
        </w:tc>
      </w:tr>
      <w:tr>
        <w:trPr>
          <w:trHeight w:val="203"/>
        </w:trPr>
        <w:tc>
          <w:tcPr>
            <w:tcW w:w="7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5.70% notes due 2036</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550</w:t>
            </w: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550</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5.70% notes due 2037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w:t>
            </w:r>
          </w:p>
        </w:tc>
      </w:tr>
      <w:tr>
        <w:trPr>
          <w:trHeight w:val="203"/>
        </w:trPr>
        <w:tc>
          <w:tcPr>
            <w:tcW w:w="7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5.375% notes due 2041</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600</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w:t>
            </w:r>
          </w:p>
        </w:tc>
      </w:tr>
      <w:tr>
        <w:trPr>
          <w:trHeight w:val="203"/>
        </w:trPr>
        <w:tc>
          <w:tcPr>
            <w:tcW w:w="7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6.625% debentures due 2028</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216</w:t>
            </w: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216</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9.065% debentures due 2033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w:t>
            </w:r>
          </w:p>
        </w:tc>
      </w:tr>
      <w:tr>
        <w:trPr>
          <w:trHeight w:val="202"/>
        </w:trPr>
        <w:tc>
          <w:tcPr>
            <w:tcW w:w="75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Other (including capitalized leases and debt issuance costs), 0.3% weighted average</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r>
      <w:tr>
        <w:trPr>
          <w:trHeight w:val="217"/>
        </w:trPr>
        <w:tc>
          <w:tcPr>
            <w:tcW w:w="75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maturing at various dates through 2023</w:t>
            </w:r>
          </w:p>
        </w:tc>
        <w:tc>
          <w:tcPr>
            <w:tcW w:w="18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547</w:t>
            </w:r>
          </w:p>
        </w:tc>
      </w:tr>
      <w:tr>
        <w:trPr>
          <w:trHeight w:val="196"/>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12,851</w:t>
            </w:r>
          </w:p>
        </w:tc>
        <w:tc>
          <w:tcPr>
            <w:tcW w:w="3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12,409</w:t>
            </w:r>
          </w:p>
        </w:tc>
      </w:tr>
      <w:tr>
        <w:trPr>
          <w:trHeight w:val="216"/>
        </w:trPr>
        <w:tc>
          <w:tcPr>
            <w:tcW w:w="7560" w:type="dxa"/>
            <w:vAlign w:val="bottom"/>
            <w:shd w:val="clear" w:color="auto" w:fill="E5FFFF"/>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(1,398)</w:t>
            </w:r>
          </w:p>
        </w:tc>
        <w:tc>
          <w:tcPr>
            <w:tcW w:w="3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(227)</w:t>
            </w:r>
          </w:p>
        </w:tc>
      </w:tr>
      <w:tr>
        <w:trPr>
          <w:trHeight w:val="196"/>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11,453</w:t>
            </w: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12,182</w:t>
            </w: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 April 28, 2017, the Company entered into Amendment No. 3 (Amendment) to the Amended and Restated $4 billion Credit Agreement dated as of July 10, 2015, as amended by Amendment No. 1 dated as of September 30, 2015 and Amendment No. 2 dated as of April 29, 2016 (as so amended, the “Credit Agreement”), with a syndicate of banks. The Credit Agreement is maintained for general corporate purposes. Commitments under the Credit Agreement can be increased pursuant to the terms of the Credit Agreement to an aggregate amount not to exceed $4.5 billion. The Amendment, among other things, extends the Credit Agreement’s termination date from July 10, 2021 to April 28, 2022.</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April 28, 2017, the Company entered into a $1.5 billion 364-Day Credit Agreement (364-Day Credit Agreement) with a syndicate of banks. The 364-Day Credit Agreement is maintained for general corporate purposes.</w:t>
      </w:r>
    </w:p>
    <w:p>
      <w:pPr>
        <w:spacing w:after="0" w:line="18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A full description of the Amendment and 364-Day Credit Agreement can be found in the Company’s Current Report on Form 8-K, dated April 28, 2017.</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borrowings under any of the credit agreements previously described.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 and Fair Value Measures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credit, market, foreign currency and interest rate risk management policies are described in Note 14, Financial Instruments and Fair Value Measures, of Notes to Consolidated Financial Statements in our 2016 Annual Report on Form 10-K.</w:t>
      </w:r>
    </w:p>
    <w:p>
      <w:pPr>
        <w:spacing w:after="0" w:line="18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10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95"/>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80" w:type="dxa"/>
            <w:vAlign w:val="bottom"/>
            <w:tcBorders>
              <w:bottom w:val="single" w:sz="8" w:color="E5FFFF"/>
            </w:tcBorders>
          </w:tcPr>
          <w:p>
            <w:pPr>
              <w:spacing w:after="0"/>
              <w:rPr>
                <w:sz w:val="15"/>
                <w:szCs w:val="15"/>
                <w:color w:val="auto"/>
              </w:rPr>
            </w:pPr>
          </w:p>
        </w:tc>
        <w:tc>
          <w:tcPr>
            <w:tcW w:w="166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exchange contracts</w:t>
            </w:r>
          </w:p>
        </w:tc>
        <w:tc>
          <w:tcPr>
            <w:tcW w:w="1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29</w:t>
            </w:r>
          </w:p>
        </w:tc>
        <w:tc>
          <w:tcPr>
            <w:tcW w:w="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Available for sale investments</w:t>
            </w:r>
          </w:p>
        </w:tc>
        <w:tc>
          <w:tcPr>
            <w:tcW w:w="1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2,943</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Interest rate swap agreements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exchange contracts</w:t>
            </w:r>
          </w:p>
        </w:tc>
        <w:tc>
          <w:tcPr>
            <w:tcW w:w="1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73</w:t>
            </w:r>
          </w:p>
        </w:tc>
        <w:tc>
          <w:tcPr>
            <w:tcW w:w="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Interest rate swap agreements</w:t>
            </w:r>
          </w:p>
        </w:tc>
        <w:tc>
          <w:tcPr>
            <w:tcW w:w="16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43</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foreign currency exchange contracts and interest rate swap agreements are valued using broker quotations or market transactions in either the listed or over-the-counter markets. These derivative instruments are classified within level 2. The Company holds investments in certificates of deposits, time deposits and commercial paper that are designated as available for sale and are valued using published prices based on observable market data.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carrying value of cash and cash equivalents, accounts receivable, payables, commercial paper and short-term borrowings contained in the Consolidated Balance Sheet approximates fair value. The following table sets forth the Company’s financial assets and liabilities that were not carried at fair value: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September 30, 2017</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December 31, 2016</w:t>
            </w:r>
          </w:p>
        </w:tc>
      </w:tr>
      <w:tr>
        <w:trPr>
          <w:trHeight w:val="156"/>
        </w:trPr>
        <w:tc>
          <w:tcPr>
            <w:tcW w:w="4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01"/>
              <w:spacing w:after="0" w:line="156"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59"/>
              <w:spacing w:after="0" w:line="156"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81"/>
              <w:spacing w:after="0" w:line="156"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9"/>
              <w:spacing w:after="0" w:line="156" w:lineRule="exact"/>
              <w:rPr>
                <w:sz w:val="20"/>
                <w:szCs w:val="20"/>
                <w:color w:val="auto"/>
              </w:rPr>
            </w:pPr>
            <w:r>
              <w:rPr>
                <w:rFonts w:ascii="Arial" w:cs="Arial" w:eastAsia="Arial" w:hAnsi="Arial"/>
                <w:sz w:val="14"/>
                <w:szCs w:val="14"/>
                <w:b w:val="1"/>
                <w:bCs w:val="1"/>
                <w:color w:val="auto"/>
              </w:rPr>
              <w:t>Fair</w:t>
            </w:r>
          </w:p>
        </w:tc>
      </w:tr>
      <w:tr>
        <w:trPr>
          <w:trHeight w:val="175"/>
        </w:trPr>
        <w:tc>
          <w:tcPr>
            <w:tcW w:w="4820" w:type="dxa"/>
            <w:vAlign w:val="bottom"/>
            <w:tcBorders>
              <w:bottom w:val="single" w:sz="8" w:color="E5FFFF"/>
            </w:tcBorders>
          </w:tcPr>
          <w:p>
            <w:pPr>
              <w:spacing w:after="0"/>
              <w:rPr>
                <w:sz w:val="15"/>
                <w:szCs w:val="15"/>
                <w:color w:val="auto"/>
              </w:rPr>
            </w:pPr>
          </w:p>
        </w:tc>
        <w:tc>
          <w:tcPr>
            <w:tcW w:w="10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Value</w:t>
            </w:r>
          </w:p>
        </w:tc>
        <w:tc>
          <w:tcPr>
            <w:tcW w:w="36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Value</w:t>
            </w:r>
          </w:p>
        </w:tc>
      </w:tr>
      <w:tr>
        <w:trPr>
          <w:trHeight w:val="196"/>
        </w:trPr>
        <w:tc>
          <w:tcPr>
            <w:tcW w:w="482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Long-term receivables</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271</w:t>
            </w: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260</w:t>
            </w:r>
          </w:p>
        </w:tc>
        <w:tc>
          <w:tcPr>
            <w:tcW w:w="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280</w:t>
            </w:r>
          </w:p>
        </w:tc>
        <w:tc>
          <w:tcPr>
            <w:tcW w:w="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273</w:t>
            </w:r>
          </w:p>
        </w:tc>
      </w:tr>
      <w:tr>
        <w:trPr>
          <w:trHeight w:val="203"/>
        </w:trPr>
        <w:tc>
          <w:tcPr>
            <w:tcW w:w="48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0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r>
      <w:tr>
        <w:trPr>
          <w:trHeight w:val="217"/>
        </w:trPr>
        <w:tc>
          <w:tcPr>
            <w:tcW w:w="4820" w:type="dxa"/>
            <w:vAlign w:val="bottom"/>
          </w:tcPr>
          <w:p>
            <w:pPr>
              <w:ind w:left="180"/>
              <w:spacing w:after="0"/>
              <w:rPr>
                <w:sz w:val="20"/>
                <w:szCs w:val="20"/>
                <w:color w:val="auto"/>
              </w:rPr>
            </w:pPr>
            <w:r>
              <w:rPr>
                <w:rFonts w:ascii="Arial" w:cs="Arial" w:eastAsia="Arial" w:hAnsi="Arial"/>
                <w:sz w:val="18"/>
                <w:szCs w:val="18"/>
                <w:color w:val="auto"/>
              </w:rPr>
              <w:t>Long-term debt and related current maturities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1"/>
              <w:spacing w:after="0"/>
              <w:rPr>
                <w:sz w:val="20"/>
                <w:szCs w:val="20"/>
                <w:color w:val="auto"/>
              </w:rPr>
            </w:pPr>
            <w:r>
              <w:rPr>
                <w:rFonts w:ascii="Arial" w:cs="Arial" w:eastAsia="Arial" w:hAnsi="Arial"/>
                <w:sz w:val="18"/>
                <w:szCs w:val="18"/>
                <w:color w:val="auto"/>
              </w:rPr>
              <w:t>12,851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13,661</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rPr>
                <w:sz w:val="20"/>
                <w:szCs w:val="20"/>
                <w:color w:val="auto"/>
              </w:rPr>
            </w:pPr>
            <w:r>
              <w:rPr>
                <w:rFonts w:ascii="Arial" w:cs="Arial" w:eastAsia="Arial" w:hAnsi="Arial"/>
                <w:sz w:val="18"/>
                <w:szCs w:val="18"/>
                <w:color w:val="auto"/>
              </w:rPr>
              <w:t>12,409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13,008</w:t>
            </w:r>
          </w:p>
        </w:tc>
      </w:tr>
    </w:tbl>
    <w:p>
      <w:pPr>
        <w:spacing w:after="0" w:line="18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 as well.</w:t>
      </w:r>
    </w:p>
    <w:p>
      <w:pPr>
        <w:spacing w:after="0" w:line="188"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and nine months ended September 30, 2017, we recognized $4 million and $6 million of losses in earnings on interest rate swap agreements. For the three and nine months ended September 30, 2016, we recognized $14 million of losses and $23 million of gains in earnings on interest rate swap agreements. Gains and losses are fully offset by losses and gains on the underlying debt being hedged.</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also economically hedge our exposure to changes in foreign exchange rates primarily with forward contracts. These contracts are marked-to-market with the resulting gains and losses recognized in earnings offsetting the gains and losses on the non-functional currency denominated monetary assets and liabilities being hedged. We recognized $76 million and $194 million of expense in Other (income) expense for the three and nine months ended September 30, 2017. We recognized $24 million and $114 million of income in Other (income) expense for the three and nine months ended September 30, 2016.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8"/>
              <w:spacing w:after="0"/>
              <w:rPr>
                <w:sz w:val="20"/>
                <w:szCs w:val="20"/>
                <w:color w:val="auto"/>
              </w:rPr>
            </w:pPr>
            <w:r>
              <w:rPr>
                <w:rFonts w:ascii="Arial" w:cs="Arial" w:eastAsia="Arial" w:hAnsi="Arial"/>
                <w:sz w:val="14"/>
                <w:szCs w:val="14"/>
                <w:b w:val="1"/>
                <w:bCs w:val="1"/>
                <w:color w:val="auto"/>
              </w:rPr>
              <w:t>Pension</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Changes in</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rPr>
              <w:t>Foreign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8"/>
              <w:spacing w:after="0"/>
              <w:rPr>
                <w:sz w:val="20"/>
                <w:szCs w:val="20"/>
                <w:color w:val="auto"/>
              </w:rPr>
            </w:pPr>
            <w:r>
              <w:rPr>
                <w:rFonts w:ascii="Arial" w:cs="Arial" w:eastAsia="Arial" w:hAnsi="Arial"/>
                <w:sz w:val="14"/>
                <w:szCs w:val="14"/>
                <w:b w:val="1"/>
                <w:bCs w:val="1"/>
                <w:color w:val="auto"/>
              </w:rPr>
              <w:t>and Other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8"/>
              <w:spacing w:after="0"/>
              <w:rPr>
                <w:sz w:val="20"/>
                <w:szCs w:val="20"/>
                <w:color w:val="auto"/>
              </w:rPr>
            </w:pPr>
            <w:r>
              <w:rPr>
                <w:rFonts w:ascii="Arial" w:cs="Arial" w:eastAsia="Arial" w:hAnsi="Arial"/>
                <w:sz w:val="14"/>
                <w:szCs w:val="14"/>
                <w:b w:val="1"/>
                <w:bCs w:val="1"/>
                <w:color w:val="auto"/>
              </w:rPr>
              <w:t>Exchange</w:t>
            </w:r>
          </w:p>
        </w:tc>
        <w:tc>
          <w:tcPr>
            <w:tcW w:w="3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Postretirement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of Effective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rPr>
              <w:t>Translation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38"/>
              <w:spacing w:after="0"/>
              <w:rPr>
                <w:sz w:val="20"/>
                <w:szCs w:val="20"/>
                <w:color w:val="auto"/>
              </w:rPr>
            </w:pPr>
            <w:r>
              <w:rPr>
                <w:rFonts w:ascii="Arial" w:cs="Arial" w:eastAsia="Arial" w:hAnsi="Arial"/>
                <w:sz w:val="14"/>
                <w:szCs w:val="14"/>
                <w:b w:val="1"/>
                <w:bCs w:val="1"/>
                <w:color w:val="auto"/>
              </w:rPr>
              <w:t>Benefits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Cash Flow</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rPr>
              <w:t>Adjustment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38"/>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Hedges</w:t>
            </w:r>
          </w:p>
        </w:tc>
        <w:tc>
          <w:tcPr>
            <w:tcW w:w="240" w:type="dxa"/>
            <w:vAlign w:val="bottom"/>
          </w:tcPr>
          <w:p>
            <w:pPr>
              <w:spacing w:after="0"/>
              <w:rPr>
                <w:sz w:val="15"/>
                <w:szCs w:val="15"/>
                <w:color w:val="auto"/>
              </w:rPr>
            </w:pPr>
          </w:p>
        </w:tc>
        <w:tc>
          <w:tcPr>
            <w:tcW w:w="840" w:type="dxa"/>
            <w:vAlign w:val="bottom"/>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Balance at December 31, 2016</w:t>
            </w:r>
          </w:p>
        </w:tc>
        <w:tc>
          <w:tcPr>
            <w:tcW w:w="1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(1,944)</w:t>
            </w:r>
          </w:p>
        </w:tc>
        <w:tc>
          <w:tcPr>
            <w:tcW w:w="4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(879)</w:t>
            </w:r>
          </w:p>
        </w:tc>
        <w:tc>
          <w:tcPr>
            <w:tcW w:w="4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ind w:right="39"/>
              <w:spacing w:after="0" w:line="202" w:lineRule="exact"/>
              <w:rPr>
                <w:sz w:val="20"/>
                <w:szCs w:val="20"/>
                <w:color w:val="auto"/>
              </w:rPr>
            </w:pPr>
            <w:r>
              <w:rPr>
                <w:rFonts w:ascii="Arial" w:cs="Arial" w:eastAsia="Arial" w:hAnsi="Arial"/>
                <w:sz w:val="18"/>
                <w:szCs w:val="18"/>
                <w:color w:val="auto"/>
              </w:rPr>
              <w:t>109</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(2,714)</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7"/>
                <w:szCs w:val="17"/>
                <w:color w:val="auto"/>
              </w:rPr>
            </w:pPr>
          </w:p>
        </w:tc>
        <w:tc>
          <w:tcPr>
            <w:tcW w:w="10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112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E5FFFF"/>
          </w:tcPr>
          <w:p>
            <w:pPr>
              <w:ind w:left="340"/>
              <w:spacing w:after="0"/>
              <w:rPr>
                <w:sz w:val="20"/>
                <w:szCs w:val="20"/>
                <w:color w:val="auto"/>
              </w:rPr>
            </w:pPr>
            <w:r>
              <w:rPr>
                <w:rFonts w:ascii="Arial" w:cs="Arial" w:eastAsia="Arial" w:hAnsi="Arial"/>
                <w:sz w:val="18"/>
                <w:szCs w:val="18"/>
                <w:color w:val="auto"/>
              </w:rPr>
              <w:t>income</w:t>
            </w:r>
          </w:p>
        </w:tc>
        <w:tc>
          <w:tcPr>
            <w:tcW w:w="12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112</w:t>
            </w:r>
          </w:p>
        </w:tc>
        <w:tc>
          <w:tcPr>
            <w:tcW w:w="340" w:type="dxa"/>
            <w:vAlign w:val="bottom"/>
            <w:tcBorders>
              <w:bottom w:val="single" w:sz="8" w:color="E5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32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w:t>
            </w:r>
          </w:p>
        </w:tc>
        <w:tc>
          <w:tcPr>
            <w:tcW w:w="32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Balance at September 30, 2017</w:t>
            </w:r>
          </w:p>
        </w:tc>
        <w:tc>
          <w:tcPr>
            <w:tcW w:w="120" w:type="dxa"/>
            <w:vAlign w:val="bottom"/>
            <w:tcBorders>
              <w:bottom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(1,832)</w:t>
            </w:r>
          </w:p>
        </w:tc>
        <w:tc>
          <w:tcPr>
            <w:tcW w:w="3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(967)</w:t>
            </w:r>
          </w:p>
        </w:tc>
        <w:tc>
          <w:tcPr>
            <w:tcW w:w="32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(41)</w:t>
            </w:r>
          </w:p>
        </w:tc>
        <w:tc>
          <w:tcPr>
            <w:tcW w:w="32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(2,840)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ind w:right="18"/>
              <w:spacing w:after="0"/>
              <w:rPr>
                <w:sz w:val="20"/>
                <w:szCs w:val="20"/>
                <w:color w:val="auto"/>
              </w:rPr>
            </w:pPr>
            <w:r>
              <w:rPr>
                <w:rFonts w:ascii="Arial" w:cs="Arial" w:eastAsia="Arial" w:hAnsi="Arial"/>
                <w:sz w:val="14"/>
                <w:szCs w:val="14"/>
                <w:b w:val="1"/>
                <w:bCs w:val="1"/>
                <w:color w:val="auto"/>
              </w:rPr>
              <w:t>Pension</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Changes in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rPr>
              <w:t>Foreign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8"/>
              <w:spacing w:after="0"/>
              <w:rPr>
                <w:sz w:val="20"/>
                <w:szCs w:val="20"/>
                <w:color w:val="auto"/>
              </w:rPr>
            </w:pPr>
            <w:r>
              <w:rPr>
                <w:rFonts w:ascii="Arial" w:cs="Arial" w:eastAsia="Arial" w:hAnsi="Arial"/>
                <w:sz w:val="14"/>
                <w:szCs w:val="14"/>
                <w:b w:val="1"/>
                <w:bCs w:val="1"/>
                <w:color w:val="auto"/>
              </w:rPr>
              <w:t>and Other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8"/>
              <w:spacing w:after="0"/>
              <w:rPr>
                <w:sz w:val="20"/>
                <w:szCs w:val="20"/>
                <w:color w:val="auto"/>
              </w:rPr>
            </w:pPr>
            <w:r>
              <w:rPr>
                <w:rFonts w:ascii="Arial" w:cs="Arial" w:eastAsia="Arial" w:hAnsi="Arial"/>
                <w:sz w:val="14"/>
                <w:szCs w:val="14"/>
                <w:b w:val="1"/>
                <w:bCs w:val="1"/>
                <w:color w:val="auto"/>
              </w:rPr>
              <w:t>Exchange</w:t>
            </w:r>
          </w:p>
        </w:tc>
        <w:tc>
          <w:tcPr>
            <w:tcW w:w="3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Postretirement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of Effective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rPr>
              <w:t>Translation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38"/>
              <w:spacing w:after="0"/>
              <w:rPr>
                <w:sz w:val="20"/>
                <w:szCs w:val="20"/>
                <w:color w:val="auto"/>
              </w:rPr>
            </w:pPr>
            <w:r>
              <w:rPr>
                <w:rFonts w:ascii="Arial" w:cs="Arial" w:eastAsia="Arial" w:hAnsi="Arial"/>
                <w:sz w:val="14"/>
                <w:szCs w:val="14"/>
                <w:b w:val="1"/>
                <w:bCs w:val="1"/>
                <w:color w:val="auto"/>
              </w:rPr>
              <w:t>Benefits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Cash Flow</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rPr>
              <w:t>Adjustment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38"/>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Hedges</w:t>
            </w:r>
          </w:p>
        </w:tc>
        <w:tc>
          <w:tcPr>
            <w:tcW w:w="240" w:type="dxa"/>
            <w:vAlign w:val="bottom"/>
          </w:tcPr>
          <w:p>
            <w:pPr>
              <w:spacing w:after="0"/>
              <w:rPr>
                <w:sz w:val="15"/>
                <w:szCs w:val="15"/>
                <w:color w:val="auto"/>
              </w:rPr>
            </w:pPr>
          </w:p>
        </w:tc>
        <w:tc>
          <w:tcPr>
            <w:tcW w:w="840" w:type="dxa"/>
            <w:vAlign w:val="bottom"/>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Balance at December 31, 2015</w:t>
            </w:r>
          </w:p>
        </w:tc>
        <w:tc>
          <w:tcPr>
            <w:tcW w:w="1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(1,892)</w:t>
            </w:r>
          </w:p>
        </w:tc>
        <w:tc>
          <w:tcPr>
            <w:tcW w:w="4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(644)</w:t>
            </w:r>
          </w:p>
        </w:tc>
        <w:tc>
          <w:tcPr>
            <w:tcW w:w="4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ind w:right="39"/>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(2,535)</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7"/>
                <w:szCs w:val="17"/>
                <w:color w:val="auto"/>
              </w:rPr>
            </w:pPr>
          </w:p>
        </w:tc>
        <w:tc>
          <w:tcPr>
            <w:tcW w:w="10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83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82</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E5FFFF"/>
          </w:tcPr>
          <w:p>
            <w:pPr>
              <w:ind w:left="340"/>
              <w:spacing w:after="0"/>
              <w:rPr>
                <w:sz w:val="20"/>
                <w:szCs w:val="20"/>
                <w:color w:val="auto"/>
              </w:rPr>
            </w:pPr>
            <w:r>
              <w:rPr>
                <w:rFonts w:ascii="Arial" w:cs="Arial" w:eastAsia="Arial" w:hAnsi="Arial"/>
                <w:sz w:val="18"/>
                <w:szCs w:val="18"/>
                <w:color w:val="auto"/>
              </w:rPr>
              <w:t>income</w:t>
            </w:r>
          </w:p>
        </w:tc>
        <w:tc>
          <w:tcPr>
            <w:tcW w:w="12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ind w:right="39"/>
              <w:spacing w:after="0"/>
              <w:rPr>
                <w:sz w:val="20"/>
                <w:szCs w:val="20"/>
                <w:color w:val="auto"/>
              </w:rPr>
            </w:pPr>
            <w:r>
              <w:rPr>
                <w:rFonts w:ascii="Arial" w:cs="Arial" w:eastAsia="Arial" w:hAnsi="Arial"/>
                <w:sz w:val="18"/>
                <w:szCs w:val="18"/>
                <w:color w:val="auto"/>
              </w:rPr>
              <w:t>18</w:t>
            </w:r>
          </w:p>
        </w:tc>
        <w:tc>
          <w:tcPr>
            <w:tcW w:w="3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83</w:t>
            </w:r>
          </w:p>
        </w:tc>
        <w:tc>
          <w:tcPr>
            <w:tcW w:w="340" w:type="dxa"/>
            <w:vAlign w:val="bottom"/>
            <w:tcBorders>
              <w:bottom w:val="single" w:sz="8" w:color="E5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w:t>
            </w:r>
          </w:p>
        </w:tc>
        <w:tc>
          <w:tcPr>
            <w:tcW w:w="32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17</w:t>
            </w:r>
          </w:p>
        </w:tc>
        <w:tc>
          <w:tcPr>
            <w:tcW w:w="32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53</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Balance at September 30, 2016</w:t>
            </w:r>
          </w:p>
        </w:tc>
        <w:tc>
          <w:tcPr>
            <w:tcW w:w="120" w:type="dxa"/>
            <w:vAlign w:val="bottom"/>
            <w:tcBorders>
              <w:bottom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(1,809)</w:t>
            </w:r>
          </w:p>
        </w:tc>
        <w:tc>
          <w:tcPr>
            <w:tcW w:w="3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(691)</w:t>
            </w:r>
          </w:p>
        </w:tc>
        <w:tc>
          <w:tcPr>
            <w:tcW w:w="32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5FFFF"/>
          </w:tcPr>
          <w:p>
            <w:pPr>
              <w:jc w:val="right"/>
              <w:ind w:right="39"/>
              <w:spacing w:after="0" w:line="196" w:lineRule="exact"/>
              <w:rPr>
                <w:sz w:val="20"/>
                <w:szCs w:val="20"/>
                <w:color w:val="auto"/>
              </w:rPr>
            </w:pPr>
            <w:r>
              <w:rPr>
                <w:rFonts w:ascii="Arial" w:cs="Arial" w:eastAsia="Arial" w:hAnsi="Arial"/>
                <w:sz w:val="18"/>
                <w:szCs w:val="18"/>
                <w:color w:val="auto"/>
              </w:rPr>
              <w:t>18</w:t>
            </w:r>
          </w:p>
        </w:tc>
        <w:tc>
          <w:tcPr>
            <w:tcW w:w="32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(2,482)</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Financial Data</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globally manage our business operations through four reportable operating segments. Segment information is consistent with how management reviews the businesses, makes investing and resource allocation decisions and assesses operating performance.</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Honeywell’s senior management evaluates segment performance based on segment profit. Segment profit is measured as segment income (loss) before taxes excluding general corporate unallocated expense, other income (expense), interest and other financial charges, stock compensation expense, pension and other postretirement income (expense), and repositioning and other charges.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jc w:val="right"/>
              <w:ind w:right="531"/>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56"/>
        </w:trPr>
        <w:tc>
          <w:tcPr>
            <w:tcW w:w="40" w:type="dxa"/>
            <w:vAlign w:val="bottom"/>
            <w:tcBorders>
              <w:bottom w:val="single" w:sz="8" w:color="E5FFFF"/>
            </w:tcBorders>
          </w:tcPr>
          <w:p>
            <w:pPr>
              <w:spacing w:after="0"/>
              <w:rPr>
                <w:sz w:val="13"/>
                <w:szCs w:val="13"/>
                <w:color w:val="auto"/>
              </w:rPr>
            </w:pPr>
          </w:p>
        </w:tc>
        <w:tc>
          <w:tcPr>
            <w:tcW w:w="1200" w:type="dxa"/>
            <w:vAlign w:val="bottom"/>
            <w:tcBorders>
              <w:bottom w:val="single" w:sz="8" w:color="E5FFFF"/>
            </w:tcBorders>
          </w:tcPr>
          <w:p>
            <w:pPr>
              <w:spacing w:after="0"/>
              <w:rPr>
                <w:sz w:val="13"/>
                <w:szCs w:val="13"/>
                <w:color w:val="auto"/>
              </w:rPr>
            </w:pPr>
          </w:p>
        </w:tc>
        <w:tc>
          <w:tcPr>
            <w:tcW w:w="3360" w:type="dxa"/>
            <w:vAlign w:val="bottom"/>
            <w:tcBorders>
              <w:bottom w:val="single" w:sz="8" w:color="E5FFFF"/>
            </w:tcBorders>
          </w:tcPr>
          <w:p>
            <w:pPr>
              <w:spacing w:after="0"/>
              <w:rPr>
                <w:sz w:val="13"/>
                <w:szCs w:val="13"/>
                <w:color w:val="auto"/>
              </w:rPr>
            </w:pPr>
          </w:p>
        </w:tc>
        <w:tc>
          <w:tcPr>
            <w:tcW w:w="1240" w:type="dxa"/>
            <w:vAlign w:val="bottom"/>
            <w:tcBorders>
              <w:bottom w:val="single" w:sz="8" w:color="E5FF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E5FF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E5FF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3"/>
                <w:szCs w:val="13"/>
                <w:color w:val="auto"/>
              </w:rPr>
            </w:pPr>
          </w:p>
        </w:tc>
        <w:tc>
          <w:tcPr>
            <w:tcW w:w="20" w:type="dxa"/>
            <w:vAlign w:val="bottom"/>
            <w:tcBorders>
              <w:bottom w:val="single" w:sz="8" w:color="E5FF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r>
      <w:tr>
        <w:trPr>
          <w:trHeight w:val="210"/>
        </w:trPr>
        <w:tc>
          <w:tcPr>
            <w:tcW w:w="40" w:type="dxa"/>
            <w:vAlign w:val="bottom"/>
            <w:shd w:val="clear" w:color="auto" w:fill="E5FFFF"/>
          </w:tcPr>
          <w:p>
            <w:pPr>
              <w:spacing w:after="0"/>
              <w:rPr>
                <w:sz w:val="18"/>
                <w:szCs w:val="18"/>
                <w:color w:val="auto"/>
              </w:rPr>
            </w:pPr>
          </w:p>
        </w:tc>
        <w:tc>
          <w:tcPr>
            <w:tcW w:w="45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Net Sales</w:t>
            </w:r>
          </w:p>
        </w:tc>
        <w:tc>
          <w:tcPr>
            <w:tcW w:w="12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Aerospace</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40" w:type="dxa"/>
            <w:vAlign w:val="bottom"/>
            <w:shd w:val="clear" w:color="auto" w:fill="E5FFFF"/>
          </w:tcPr>
          <w:p>
            <w:pPr>
              <w:spacing w:after="0"/>
              <w:rPr>
                <w:sz w:val="17"/>
                <w:szCs w:val="17"/>
                <w:color w:val="auto"/>
              </w:rPr>
            </w:pPr>
          </w:p>
        </w:tc>
        <w:tc>
          <w:tcPr>
            <w:tcW w:w="4560" w:type="dxa"/>
            <w:vAlign w:val="bottom"/>
            <w:gridSpan w:val="2"/>
            <w:shd w:val="clear" w:color="auto" w:fill="E5FFFF"/>
          </w:tcPr>
          <w:p>
            <w:pPr>
              <w:jc w:val="center"/>
              <w:ind w:right="3560"/>
              <w:spacing w:after="0" w:line="202" w:lineRule="exact"/>
              <w:rPr>
                <w:sz w:val="20"/>
                <w:szCs w:val="20"/>
                <w:color w:val="auto"/>
              </w:rPr>
            </w:pPr>
            <w:r>
              <w:rPr>
                <w:rFonts w:ascii="Arial" w:cs="Arial" w:eastAsia="Arial" w:hAnsi="Arial"/>
                <w:sz w:val="18"/>
                <w:szCs w:val="18"/>
                <w:color w:val="auto"/>
              </w:rPr>
              <w:t>Products</w:t>
            </w:r>
          </w:p>
        </w:tc>
        <w:tc>
          <w:tcPr>
            <w:tcW w:w="150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2,452</w:t>
            </w:r>
          </w:p>
        </w:tc>
        <w:tc>
          <w:tcPr>
            <w:tcW w:w="720" w:type="dxa"/>
            <w:vAlign w:val="bottom"/>
            <w:gridSpan w:val="2"/>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2,358</w:t>
            </w:r>
          </w:p>
        </w:tc>
        <w:tc>
          <w:tcPr>
            <w:tcW w:w="60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7,393</w:t>
            </w:r>
          </w:p>
        </w:tc>
        <w:tc>
          <w:tcPr>
            <w:tcW w:w="340" w:type="dxa"/>
            <w:vAlign w:val="bottom"/>
            <w:shd w:val="clear" w:color="auto" w:fill="E5FFFF"/>
          </w:tcPr>
          <w:p>
            <w:pPr>
              <w:spacing w:after="0"/>
              <w:rPr>
                <w:sz w:val="17"/>
                <w:szCs w:val="17"/>
                <w:color w:val="auto"/>
              </w:rPr>
            </w:pPr>
          </w:p>
        </w:tc>
        <w:tc>
          <w:tcPr>
            <w:tcW w:w="360" w:type="dxa"/>
            <w:vAlign w:val="bottom"/>
            <w:gridSpan w:val="2"/>
            <w:shd w:val="clear" w:color="auto" w:fill="E5FFFF"/>
          </w:tcPr>
          <w:p>
            <w:pPr>
              <w:jc w:val="right"/>
              <w:ind w:right="185"/>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7,404</w:t>
            </w:r>
          </w:p>
        </w:tc>
      </w:tr>
      <w:tr>
        <w:trPr>
          <w:trHeight w:val="216"/>
        </w:trPr>
        <w:tc>
          <w:tcPr>
            <w:tcW w:w="40" w:type="dxa"/>
            <w:vAlign w:val="bottom"/>
            <w:tcBorders>
              <w:bottom w:val="single" w:sz="8" w:color="E5FFFF"/>
            </w:tcBorders>
          </w:tcPr>
          <w:p>
            <w:pPr>
              <w:spacing w:after="0"/>
              <w:rPr>
                <w:sz w:val="18"/>
                <w:szCs w:val="18"/>
                <w:color w:val="auto"/>
              </w:rPr>
            </w:pPr>
          </w:p>
        </w:tc>
        <w:tc>
          <w:tcPr>
            <w:tcW w:w="4560" w:type="dxa"/>
            <w:vAlign w:val="bottom"/>
            <w:tcBorders>
              <w:bottom w:val="single" w:sz="8" w:color="E5FFFF"/>
            </w:tcBorders>
            <w:gridSpan w:val="2"/>
          </w:tcPr>
          <w:p>
            <w:pPr>
              <w:jc w:val="center"/>
              <w:ind w:right="3580"/>
              <w:spacing w:after="0"/>
              <w:rPr>
                <w:sz w:val="20"/>
                <w:szCs w:val="20"/>
                <w:color w:val="auto"/>
              </w:rPr>
            </w:pPr>
            <w:r>
              <w:rPr>
                <w:rFonts w:ascii="Arial" w:cs="Arial" w:eastAsia="Arial" w:hAnsi="Arial"/>
                <w:sz w:val="18"/>
                <w:szCs w:val="18"/>
                <w:color w:val="auto"/>
              </w:rPr>
              <w:t>Services</w:t>
            </w:r>
          </w:p>
        </w:tc>
        <w:tc>
          <w:tcPr>
            <w:tcW w:w="1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1,205</w:t>
            </w:r>
          </w:p>
        </w:tc>
        <w:tc>
          <w:tcPr>
            <w:tcW w:w="36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1,243</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3,484</w:t>
            </w:r>
          </w:p>
        </w:tc>
        <w:tc>
          <w:tcPr>
            <w:tcW w:w="3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3,681</w:t>
            </w:r>
          </w:p>
        </w:tc>
      </w:tr>
      <w:tr>
        <w:trPr>
          <w:trHeight w:val="196"/>
        </w:trPr>
        <w:tc>
          <w:tcPr>
            <w:tcW w:w="40" w:type="dxa"/>
            <w:vAlign w:val="bottom"/>
            <w:shd w:val="clear" w:color="auto" w:fill="E5FFFF"/>
          </w:tcPr>
          <w:p>
            <w:pPr>
              <w:spacing w:after="0"/>
              <w:rPr>
                <w:sz w:val="17"/>
                <w:szCs w:val="17"/>
                <w:color w:val="auto"/>
              </w:rPr>
            </w:pPr>
          </w:p>
        </w:tc>
        <w:tc>
          <w:tcPr>
            <w:tcW w:w="4560" w:type="dxa"/>
            <w:vAlign w:val="bottom"/>
            <w:gridSpan w:val="2"/>
            <w:shd w:val="clear" w:color="auto" w:fill="E5FFFF"/>
          </w:tcPr>
          <w:p>
            <w:pPr>
              <w:jc w:val="center"/>
              <w:ind w:right="3540"/>
              <w:spacing w:after="0" w:line="196" w:lineRule="exact"/>
              <w:rPr>
                <w:sz w:val="20"/>
                <w:szCs w:val="20"/>
                <w:color w:val="auto"/>
              </w:rPr>
            </w:pPr>
            <w:r>
              <w:rPr>
                <w:rFonts w:ascii="Arial" w:cs="Arial" w:eastAsia="Arial" w:hAnsi="Arial"/>
                <w:sz w:val="18"/>
                <w:szCs w:val="18"/>
                <w:color w:val="auto"/>
                <w:w w:val="94"/>
              </w:rPr>
              <w:t>Total</w:t>
            </w:r>
          </w:p>
        </w:tc>
        <w:tc>
          <w:tcPr>
            <w:tcW w:w="1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3,657</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3,601</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10,877</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11,085</w:t>
            </w:r>
          </w:p>
        </w:tc>
      </w:tr>
      <w:tr>
        <w:trPr>
          <w:trHeight w:val="216"/>
        </w:trPr>
        <w:tc>
          <w:tcPr>
            <w:tcW w:w="4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Home and Building Technologies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40" w:type="dxa"/>
            <w:vAlign w:val="bottom"/>
            <w:shd w:val="clear" w:color="auto" w:fill="E5FFFF"/>
          </w:tcPr>
          <w:p>
            <w:pPr>
              <w:spacing w:after="0"/>
              <w:rPr>
                <w:sz w:val="17"/>
                <w:szCs w:val="17"/>
                <w:color w:val="auto"/>
              </w:rPr>
            </w:pPr>
          </w:p>
        </w:tc>
        <w:tc>
          <w:tcPr>
            <w:tcW w:w="4560" w:type="dxa"/>
            <w:vAlign w:val="bottom"/>
            <w:gridSpan w:val="2"/>
            <w:shd w:val="clear" w:color="auto" w:fill="E5FFFF"/>
          </w:tcPr>
          <w:p>
            <w:pPr>
              <w:jc w:val="center"/>
              <w:ind w:right="3560"/>
              <w:spacing w:after="0" w:line="202" w:lineRule="exact"/>
              <w:rPr>
                <w:sz w:val="20"/>
                <w:szCs w:val="20"/>
                <w:color w:val="auto"/>
              </w:rPr>
            </w:pPr>
            <w:r>
              <w:rPr>
                <w:rFonts w:ascii="Arial" w:cs="Arial" w:eastAsia="Arial" w:hAnsi="Arial"/>
                <w:sz w:val="18"/>
                <w:szCs w:val="18"/>
                <w:color w:val="auto"/>
              </w:rPr>
              <w:t>Products</w:t>
            </w:r>
          </w:p>
        </w:tc>
        <w:tc>
          <w:tcPr>
            <w:tcW w:w="1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2,419</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2,360</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7,015</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6,931</w:t>
            </w:r>
          </w:p>
        </w:tc>
      </w:tr>
      <w:tr>
        <w:trPr>
          <w:trHeight w:val="216"/>
        </w:trPr>
        <w:tc>
          <w:tcPr>
            <w:tcW w:w="40" w:type="dxa"/>
            <w:vAlign w:val="bottom"/>
            <w:tcBorders>
              <w:bottom w:val="single" w:sz="8" w:color="E5FFFF"/>
            </w:tcBorders>
          </w:tcPr>
          <w:p>
            <w:pPr>
              <w:spacing w:after="0"/>
              <w:rPr>
                <w:sz w:val="18"/>
                <w:szCs w:val="18"/>
                <w:color w:val="auto"/>
              </w:rPr>
            </w:pPr>
          </w:p>
        </w:tc>
        <w:tc>
          <w:tcPr>
            <w:tcW w:w="4560" w:type="dxa"/>
            <w:vAlign w:val="bottom"/>
            <w:tcBorders>
              <w:bottom w:val="single" w:sz="8" w:color="E5FFFF"/>
            </w:tcBorders>
            <w:gridSpan w:val="2"/>
          </w:tcPr>
          <w:p>
            <w:pPr>
              <w:jc w:val="center"/>
              <w:ind w:right="3580"/>
              <w:spacing w:after="0"/>
              <w:rPr>
                <w:sz w:val="20"/>
                <w:szCs w:val="20"/>
                <w:color w:val="auto"/>
              </w:rPr>
            </w:pPr>
            <w:r>
              <w:rPr>
                <w:rFonts w:ascii="Arial" w:cs="Arial" w:eastAsia="Arial" w:hAnsi="Arial"/>
                <w:sz w:val="18"/>
                <w:szCs w:val="18"/>
                <w:color w:val="auto"/>
              </w:rPr>
              <w:t>Services</w:t>
            </w:r>
          </w:p>
        </w:tc>
        <w:tc>
          <w:tcPr>
            <w:tcW w:w="1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371</w:t>
            </w:r>
          </w:p>
        </w:tc>
        <w:tc>
          <w:tcPr>
            <w:tcW w:w="36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341</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1,064</w:t>
            </w:r>
          </w:p>
        </w:tc>
        <w:tc>
          <w:tcPr>
            <w:tcW w:w="3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923</w:t>
            </w:r>
          </w:p>
        </w:tc>
      </w:tr>
      <w:tr>
        <w:trPr>
          <w:trHeight w:val="196"/>
        </w:trPr>
        <w:tc>
          <w:tcPr>
            <w:tcW w:w="40" w:type="dxa"/>
            <w:vAlign w:val="bottom"/>
            <w:shd w:val="clear" w:color="auto" w:fill="E5FFFF"/>
          </w:tcPr>
          <w:p>
            <w:pPr>
              <w:spacing w:after="0"/>
              <w:rPr>
                <w:sz w:val="17"/>
                <w:szCs w:val="17"/>
                <w:color w:val="auto"/>
              </w:rPr>
            </w:pPr>
          </w:p>
        </w:tc>
        <w:tc>
          <w:tcPr>
            <w:tcW w:w="4560" w:type="dxa"/>
            <w:vAlign w:val="bottom"/>
            <w:gridSpan w:val="2"/>
            <w:shd w:val="clear" w:color="auto" w:fill="E5FFFF"/>
          </w:tcPr>
          <w:p>
            <w:pPr>
              <w:jc w:val="center"/>
              <w:ind w:right="3540"/>
              <w:spacing w:after="0" w:line="196" w:lineRule="exact"/>
              <w:rPr>
                <w:sz w:val="20"/>
                <w:szCs w:val="20"/>
                <w:color w:val="auto"/>
              </w:rPr>
            </w:pPr>
            <w:r>
              <w:rPr>
                <w:rFonts w:ascii="Arial" w:cs="Arial" w:eastAsia="Arial" w:hAnsi="Arial"/>
                <w:sz w:val="18"/>
                <w:szCs w:val="18"/>
                <w:color w:val="auto"/>
                <w:w w:val="94"/>
              </w:rPr>
              <w:t>Total</w:t>
            </w:r>
          </w:p>
        </w:tc>
        <w:tc>
          <w:tcPr>
            <w:tcW w:w="1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2,790</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2,701</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8,079</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7,854</w:t>
            </w:r>
          </w:p>
        </w:tc>
      </w:tr>
      <w:tr>
        <w:trPr>
          <w:trHeight w:val="216"/>
        </w:trPr>
        <w:tc>
          <w:tcPr>
            <w:tcW w:w="4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Performance Materials and Technologies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40" w:type="dxa"/>
            <w:vAlign w:val="bottom"/>
            <w:shd w:val="clear" w:color="auto" w:fill="E5FFFF"/>
          </w:tcPr>
          <w:p>
            <w:pPr>
              <w:spacing w:after="0"/>
              <w:rPr>
                <w:sz w:val="17"/>
                <w:szCs w:val="17"/>
                <w:color w:val="auto"/>
              </w:rPr>
            </w:pPr>
          </w:p>
        </w:tc>
        <w:tc>
          <w:tcPr>
            <w:tcW w:w="4560" w:type="dxa"/>
            <w:vAlign w:val="bottom"/>
            <w:gridSpan w:val="2"/>
            <w:shd w:val="clear" w:color="auto" w:fill="E5FFFF"/>
          </w:tcPr>
          <w:p>
            <w:pPr>
              <w:jc w:val="center"/>
              <w:ind w:right="3560"/>
              <w:spacing w:after="0" w:line="202" w:lineRule="exact"/>
              <w:rPr>
                <w:sz w:val="20"/>
                <w:szCs w:val="20"/>
                <w:color w:val="auto"/>
              </w:rPr>
            </w:pPr>
            <w:r>
              <w:rPr>
                <w:rFonts w:ascii="Arial" w:cs="Arial" w:eastAsia="Arial" w:hAnsi="Arial"/>
                <w:sz w:val="18"/>
                <w:szCs w:val="18"/>
                <w:color w:val="auto"/>
              </w:rPr>
              <w:t>Products</w:t>
            </w:r>
          </w:p>
        </w:tc>
        <w:tc>
          <w:tcPr>
            <w:tcW w:w="1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1,846</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1,924</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5,320</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5,822</w:t>
            </w:r>
          </w:p>
        </w:tc>
      </w:tr>
      <w:tr>
        <w:trPr>
          <w:trHeight w:val="216"/>
        </w:trPr>
        <w:tc>
          <w:tcPr>
            <w:tcW w:w="40" w:type="dxa"/>
            <w:vAlign w:val="bottom"/>
            <w:tcBorders>
              <w:bottom w:val="single" w:sz="8" w:color="E5FFFF"/>
            </w:tcBorders>
          </w:tcPr>
          <w:p>
            <w:pPr>
              <w:spacing w:after="0"/>
              <w:rPr>
                <w:sz w:val="18"/>
                <w:szCs w:val="18"/>
                <w:color w:val="auto"/>
              </w:rPr>
            </w:pPr>
          </w:p>
        </w:tc>
        <w:tc>
          <w:tcPr>
            <w:tcW w:w="4560" w:type="dxa"/>
            <w:vAlign w:val="bottom"/>
            <w:tcBorders>
              <w:bottom w:val="single" w:sz="8" w:color="E5FFFF"/>
            </w:tcBorders>
            <w:gridSpan w:val="2"/>
          </w:tcPr>
          <w:p>
            <w:pPr>
              <w:jc w:val="center"/>
              <w:ind w:right="3580"/>
              <w:spacing w:after="0"/>
              <w:rPr>
                <w:sz w:val="20"/>
                <w:szCs w:val="20"/>
                <w:color w:val="auto"/>
              </w:rPr>
            </w:pPr>
            <w:r>
              <w:rPr>
                <w:rFonts w:ascii="Arial" w:cs="Arial" w:eastAsia="Arial" w:hAnsi="Arial"/>
                <w:sz w:val="18"/>
                <w:szCs w:val="18"/>
                <w:color w:val="auto"/>
              </w:rPr>
              <w:t>Services</w:t>
            </w:r>
          </w:p>
        </w:tc>
        <w:tc>
          <w:tcPr>
            <w:tcW w:w="1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414</w:t>
            </w:r>
          </w:p>
        </w:tc>
        <w:tc>
          <w:tcPr>
            <w:tcW w:w="36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405</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1,248</w:t>
            </w:r>
          </w:p>
        </w:tc>
        <w:tc>
          <w:tcPr>
            <w:tcW w:w="3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1,222</w:t>
            </w:r>
          </w:p>
        </w:tc>
      </w:tr>
      <w:tr>
        <w:trPr>
          <w:trHeight w:val="196"/>
        </w:trPr>
        <w:tc>
          <w:tcPr>
            <w:tcW w:w="40" w:type="dxa"/>
            <w:vAlign w:val="bottom"/>
            <w:shd w:val="clear" w:color="auto" w:fill="E5FFFF"/>
          </w:tcPr>
          <w:p>
            <w:pPr>
              <w:spacing w:after="0"/>
              <w:rPr>
                <w:sz w:val="17"/>
                <w:szCs w:val="17"/>
                <w:color w:val="auto"/>
              </w:rPr>
            </w:pPr>
          </w:p>
        </w:tc>
        <w:tc>
          <w:tcPr>
            <w:tcW w:w="4560" w:type="dxa"/>
            <w:vAlign w:val="bottom"/>
            <w:gridSpan w:val="2"/>
            <w:shd w:val="clear" w:color="auto" w:fill="E5FFFF"/>
          </w:tcPr>
          <w:p>
            <w:pPr>
              <w:jc w:val="center"/>
              <w:ind w:right="3540"/>
              <w:spacing w:after="0" w:line="196" w:lineRule="exact"/>
              <w:rPr>
                <w:sz w:val="20"/>
                <w:szCs w:val="20"/>
                <w:color w:val="auto"/>
              </w:rPr>
            </w:pPr>
            <w:r>
              <w:rPr>
                <w:rFonts w:ascii="Arial" w:cs="Arial" w:eastAsia="Arial" w:hAnsi="Arial"/>
                <w:sz w:val="18"/>
                <w:szCs w:val="18"/>
                <w:color w:val="auto"/>
                <w:w w:val="94"/>
              </w:rPr>
              <w:t>Total</w:t>
            </w:r>
          </w:p>
        </w:tc>
        <w:tc>
          <w:tcPr>
            <w:tcW w:w="1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2,260</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2,329</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6,568</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7,044</w:t>
            </w:r>
          </w:p>
        </w:tc>
      </w:tr>
      <w:tr>
        <w:trPr>
          <w:trHeight w:val="216"/>
        </w:trPr>
        <w:tc>
          <w:tcPr>
            <w:tcW w:w="4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Safety and Productivity Solutions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40" w:type="dxa"/>
            <w:vAlign w:val="bottom"/>
            <w:shd w:val="clear" w:color="auto" w:fill="E5FFFF"/>
          </w:tcPr>
          <w:p>
            <w:pPr>
              <w:spacing w:after="0"/>
              <w:rPr>
                <w:sz w:val="17"/>
                <w:szCs w:val="17"/>
                <w:color w:val="auto"/>
              </w:rPr>
            </w:pPr>
          </w:p>
        </w:tc>
        <w:tc>
          <w:tcPr>
            <w:tcW w:w="4560" w:type="dxa"/>
            <w:vAlign w:val="bottom"/>
            <w:gridSpan w:val="2"/>
            <w:shd w:val="clear" w:color="auto" w:fill="E5FFFF"/>
          </w:tcPr>
          <w:p>
            <w:pPr>
              <w:jc w:val="center"/>
              <w:ind w:right="3560"/>
              <w:spacing w:after="0" w:line="202" w:lineRule="exact"/>
              <w:rPr>
                <w:sz w:val="20"/>
                <w:szCs w:val="20"/>
                <w:color w:val="auto"/>
              </w:rPr>
            </w:pPr>
            <w:r>
              <w:rPr>
                <w:rFonts w:ascii="Arial" w:cs="Arial" w:eastAsia="Arial" w:hAnsi="Arial"/>
                <w:sz w:val="18"/>
                <w:szCs w:val="18"/>
                <w:color w:val="auto"/>
              </w:rPr>
              <w:t>Products</w:t>
            </w:r>
          </w:p>
        </w:tc>
        <w:tc>
          <w:tcPr>
            <w:tcW w:w="1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1,335</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1,102</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3,943</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3,241</w:t>
            </w:r>
          </w:p>
        </w:tc>
      </w:tr>
      <w:tr>
        <w:trPr>
          <w:trHeight w:val="216"/>
        </w:trPr>
        <w:tc>
          <w:tcPr>
            <w:tcW w:w="40" w:type="dxa"/>
            <w:vAlign w:val="bottom"/>
            <w:tcBorders>
              <w:bottom w:val="single" w:sz="8" w:color="E5FFFF"/>
            </w:tcBorders>
          </w:tcPr>
          <w:p>
            <w:pPr>
              <w:spacing w:after="0"/>
              <w:rPr>
                <w:sz w:val="18"/>
                <w:szCs w:val="18"/>
                <w:color w:val="auto"/>
              </w:rPr>
            </w:pPr>
          </w:p>
        </w:tc>
        <w:tc>
          <w:tcPr>
            <w:tcW w:w="4560" w:type="dxa"/>
            <w:vAlign w:val="bottom"/>
            <w:tcBorders>
              <w:bottom w:val="single" w:sz="8" w:color="E5FFFF"/>
            </w:tcBorders>
            <w:gridSpan w:val="2"/>
          </w:tcPr>
          <w:p>
            <w:pPr>
              <w:jc w:val="center"/>
              <w:ind w:right="3580"/>
              <w:spacing w:after="0"/>
              <w:rPr>
                <w:sz w:val="20"/>
                <w:szCs w:val="20"/>
                <w:color w:val="auto"/>
              </w:rPr>
            </w:pPr>
            <w:r>
              <w:rPr>
                <w:rFonts w:ascii="Arial" w:cs="Arial" w:eastAsia="Arial" w:hAnsi="Arial"/>
                <w:sz w:val="18"/>
                <w:szCs w:val="18"/>
                <w:color w:val="auto"/>
              </w:rPr>
              <w:t>Services</w:t>
            </w:r>
          </w:p>
        </w:tc>
        <w:tc>
          <w:tcPr>
            <w:tcW w:w="1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w:t>
            </w:r>
          </w:p>
        </w:tc>
        <w:tc>
          <w:tcPr>
            <w:tcW w:w="36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224</w:t>
            </w:r>
          </w:p>
        </w:tc>
        <w:tc>
          <w:tcPr>
            <w:tcW w:w="3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w:t>
            </w:r>
          </w:p>
        </w:tc>
      </w:tr>
      <w:tr>
        <w:trPr>
          <w:trHeight w:val="196"/>
        </w:trPr>
        <w:tc>
          <w:tcPr>
            <w:tcW w:w="40" w:type="dxa"/>
            <w:vAlign w:val="bottom"/>
            <w:shd w:val="clear" w:color="auto" w:fill="E5FFFF"/>
          </w:tcPr>
          <w:p>
            <w:pPr>
              <w:spacing w:after="0"/>
              <w:rPr>
                <w:sz w:val="17"/>
                <w:szCs w:val="17"/>
                <w:color w:val="auto"/>
              </w:rPr>
            </w:pPr>
          </w:p>
        </w:tc>
        <w:tc>
          <w:tcPr>
            <w:tcW w:w="4560" w:type="dxa"/>
            <w:vAlign w:val="bottom"/>
            <w:gridSpan w:val="2"/>
            <w:shd w:val="clear" w:color="auto" w:fill="E5FFFF"/>
          </w:tcPr>
          <w:p>
            <w:pPr>
              <w:jc w:val="center"/>
              <w:ind w:right="3540"/>
              <w:spacing w:after="0" w:line="196" w:lineRule="exact"/>
              <w:rPr>
                <w:sz w:val="20"/>
                <w:szCs w:val="20"/>
                <w:color w:val="auto"/>
              </w:rPr>
            </w:pPr>
            <w:r>
              <w:rPr>
                <w:rFonts w:ascii="Arial" w:cs="Arial" w:eastAsia="Arial" w:hAnsi="Arial"/>
                <w:sz w:val="18"/>
                <w:szCs w:val="18"/>
                <w:color w:val="auto"/>
                <w:w w:val="94"/>
              </w:rPr>
              <w:t>Total</w:t>
            </w:r>
          </w:p>
        </w:tc>
        <w:tc>
          <w:tcPr>
            <w:tcW w:w="12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1,414</w:t>
            </w:r>
          </w:p>
        </w:tc>
        <w:tc>
          <w:tcPr>
            <w:tcW w:w="360" w:type="dxa"/>
            <w:vAlign w:val="bottom"/>
            <w:shd w:val="clear" w:color="auto" w:fill="E5FFFF"/>
          </w:tcPr>
          <w:p>
            <w:pPr>
              <w:spacing w:after="0"/>
              <w:rPr>
                <w:sz w:val="17"/>
                <w:szCs w:val="17"/>
                <w:color w:val="auto"/>
              </w:rPr>
            </w:pPr>
          </w:p>
        </w:tc>
        <w:tc>
          <w:tcPr>
            <w:tcW w:w="36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1,173</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4,167</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spacing w:after="0"/>
              <w:rPr>
                <w:sz w:val="17"/>
                <w:szCs w:val="17"/>
                <w:color w:val="auto"/>
              </w:rPr>
            </w:pPr>
          </w:p>
        </w:tc>
        <w:tc>
          <w:tcPr>
            <w:tcW w:w="7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3,334</w:t>
            </w:r>
          </w:p>
        </w:tc>
      </w:tr>
      <w:tr>
        <w:trPr>
          <w:trHeight w:val="196"/>
        </w:trPr>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10,121</w:t>
            </w:r>
          </w:p>
        </w:tc>
        <w:tc>
          <w:tcPr>
            <w:tcW w:w="3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9,804</w:t>
            </w:r>
          </w:p>
        </w:tc>
        <w:tc>
          <w:tcPr>
            <w:tcW w:w="3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29,691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29,317</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40" w:type="dxa"/>
            <w:vAlign w:val="bottom"/>
            <w:tcBorders>
              <w:bottom w:val="single" w:sz="8" w:color="E5FFFF"/>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spacing w:after="0" w:line="189" w:lineRule="exact"/>
              <w:rPr>
                <w:sz w:val="20"/>
                <w:szCs w:val="20"/>
                <w:color w:val="auto"/>
              </w:rPr>
            </w:pPr>
            <w:r>
              <w:rPr>
                <w:rFonts w:ascii="Arial" w:cs="Arial" w:eastAsia="Arial" w:hAnsi="Arial"/>
                <w:sz w:val="18"/>
                <w:szCs w:val="18"/>
                <w:color w:val="auto"/>
                <w:w w:val="99"/>
              </w:rPr>
              <w:t>Segment Profit</w:t>
            </w:r>
          </w:p>
        </w:tc>
        <w:tc>
          <w:tcPr>
            <w:tcW w:w="336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E5FFFF"/>
            </w:tcBorders>
            <w:shd w:val="clear" w:color="auto" w:fill="E5FFFF"/>
          </w:tcPr>
          <w:p>
            <w:pPr>
              <w:spacing w:after="0"/>
              <w:rPr>
                <w:sz w:val="17"/>
                <w:szCs w:val="17"/>
                <w:color w:val="auto"/>
              </w:rPr>
            </w:pPr>
          </w:p>
        </w:tc>
        <w:tc>
          <w:tcPr>
            <w:tcW w:w="90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78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E5FFFF"/>
            </w:tcBorders>
            <w:shd w:val="clear" w:color="auto" w:fill="E5FFFF"/>
          </w:tcPr>
          <w:p>
            <w:pPr>
              <w:spacing w:after="0"/>
              <w:rPr>
                <w:sz w:val="17"/>
                <w:szCs w:val="17"/>
                <w:color w:val="auto"/>
              </w:rPr>
            </w:pPr>
          </w:p>
        </w:tc>
        <w:tc>
          <w:tcPr>
            <w:tcW w:w="86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2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760" w:type="dxa"/>
            <w:vAlign w:val="bottom"/>
            <w:tcBorders>
              <w:bottom w:val="single" w:sz="8" w:color="E5FFFF"/>
            </w:tcBorders>
            <w:shd w:val="clear" w:color="auto" w:fill="E5FFFF"/>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Aerospace</w:t>
            </w:r>
          </w:p>
        </w:tc>
        <w:tc>
          <w:tcPr>
            <w:tcW w:w="15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780</w:t>
            </w:r>
          </w:p>
        </w:tc>
        <w:tc>
          <w:tcPr>
            <w:tcW w:w="7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663</w:t>
            </w:r>
          </w:p>
        </w:tc>
        <w:tc>
          <w:tcPr>
            <w:tcW w:w="6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2,395</w:t>
            </w:r>
          </w:p>
        </w:tc>
        <w:tc>
          <w:tcPr>
            <w:tcW w:w="340" w:type="dxa"/>
            <w:vAlign w:val="bottom"/>
          </w:tcPr>
          <w:p>
            <w:pPr>
              <w:spacing w:after="0"/>
              <w:rPr>
                <w:sz w:val="17"/>
                <w:szCs w:val="17"/>
                <w:color w:val="auto"/>
              </w:rPr>
            </w:pPr>
          </w:p>
        </w:tc>
        <w:tc>
          <w:tcPr>
            <w:tcW w:w="360" w:type="dxa"/>
            <w:vAlign w:val="bottom"/>
            <w:gridSpan w:val="2"/>
          </w:tcPr>
          <w:p>
            <w:pPr>
              <w:jc w:val="right"/>
              <w:ind w:right="185"/>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2,252</w:t>
            </w:r>
          </w:p>
        </w:tc>
      </w:tr>
      <w:tr>
        <w:trPr>
          <w:trHeight w:val="203"/>
        </w:trPr>
        <w:tc>
          <w:tcPr>
            <w:tcW w:w="40" w:type="dxa"/>
            <w:vAlign w:val="bottom"/>
            <w:shd w:val="clear" w:color="auto" w:fill="E5FFFF"/>
          </w:tcPr>
          <w:p>
            <w:pPr>
              <w:spacing w:after="0"/>
              <w:rPr>
                <w:sz w:val="17"/>
                <w:szCs w:val="17"/>
                <w:color w:val="auto"/>
              </w:rPr>
            </w:pPr>
          </w:p>
        </w:tc>
        <w:tc>
          <w:tcPr>
            <w:tcW w:w="456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1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458</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441</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1,267</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1,213</w:t>
            </w:r>
          </w:p>
        </w:tc>
      </w:tr>
      <w:tr>
        <w:trPr>
          <w:trHeight w:val="203"/>
        </w:trPr>
        <w:tc>
          <w:tcPr>
            <w:tcW w:w="40" w:type="dxa"/>
            <w:vAlign w:val="bottom"/>
          </w:tcPr>
          <w:p>
            <w:pPr>
              <w:spacing w:after="0"/>
              <w:rPr>
                <w:sz w:val="17"/>
                <w:szCs w:val="17"/>
                <w:color w:val="auto"/>
              </w:rPr>
            </w:pPr>
          </w:p>
        </w:tc>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526</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503</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1,521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1,484</w:t>
            </w:r>
          </w:p>
        </w:tc>
      </w:tr>
      <w:tr>
        <w:trPr>
          <w:trHeight w:val="203"/>
        </w:trPr>
        <w:tc>
          <w:tcPr>
            <w:tcW w:w="40" w:type="dxa"/>
            <w:vAlign w:val="bottom"/>
            <w:shd w:val="clear" w:color="auto" w:fill="E5FFFF"/>
          </w:tcPr>
          <w:p>
            <w:pPr>
              <w:spacing w:after="0"/>
              <w:rPr>
                <w:sz w:val="17"/>
                <w:szCs w:val="17"/>
                <w:color w:val="auto"/>
              </w:rPr>
            </w:pPr>
          </w:p>
        </w:tc>
        <w:tc>
          <w:tcPr>
            <w:tcW w:w="456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1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213</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172</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621</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495</w:t>
            </w:r>
          </w:p>
        </w:tc>
      </w:tr>
      <w:tr>
        <w:trPr>
          <w:trHeight w:val="216"/>
        </w:trPr>
        <w:tc>
          <w:tcPr>
            <w:tcW w:w="40" w:type="dxa"/>
            <w:vAlign w:val="bottom"/>
            <w:tcBorders>
              <w:bottom w:val="single" w:sz="8" w:color="E5FFFF"/>
            </w:tcBorders>
          </w:tcPr>
          <w:p>
            <w:pPr>
              <w:spacing w:after="0"/>
              <w:rPr>
                <w:sz w:val="18"/>
                <w:szCs w:val="18"/>
                <w:color w:val="auto"/>
              </w:rPr>
            </w:pPr>
          </w:p>
        </w:tc>
        <w:tc>
          <w:tcPr>
            <w:tcW w:w="456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Corporate</w:t>
            </w:r>
          </w:p>
        </w:tc>
        <w:tc>
          <w:tcPr>
            <w:tcW w:w="1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6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3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196"/>
        </w:trPr>
        <w:tc>
          <w:tcPr>
            <w:tcW w:w="40" w:type="dxa"/>
            <w:vAlign w:val="bottom"/>
            <w:shd w:val="clear" w:color="auto" w:fill="E5FFFF"/>
          </w:tcPr>
          <w:p>
            <w:pPr>
              <w:spacing w:after="0"/>
              <w:rPr>
                <w:sz w:val="17"/>
                <w:szCs w:val="17"/>
                <w:color w:val="auto"/>
              </w:rPr>
            </w:pPr>
          </w:p>
        </w:tc>
        <w:tc>
          <w:tcPr>
            <w:tcW w:w="4560" w:type="dxa"/>
            <w:vAlign w:val="bottom"/>
            <w:gridSpan w:val="2"/>
            <w:shd w:val="clear" w:color="auto" w:fill="E5FFFF"/>
          </w:tcPr>
          <w:p>
            <w:pPr>
              <w:ind w:left="140"/>
              <w:spacing w:after="0" w:line="196" w:lineRule="exact"/>
              <w:rPr>
                <w:sz w:val="20"/>
                <w:szCs w:val="20"/>
                <w:color w:val="auto"/>
              </w:rPr>
            </w:pPr>
            <w:r>
              <w:rPr>
                <w:rFonts w:ascii="Arial" w:cs="Arial" w:eastAsia="Arial" w:hAnsi="Arial"/>
                <w:sz w:val="18"/>
                <w:szCs w:val="18"/>
                <w:color w:val="auto"/>
              </w:rPr>
              <w:t>Total segment profit</w:t>
            </w:r>
          </w:p>
        </w:tc>
        <w:tc>
          <w:tcPr>
            <w:tcW w:w="12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1,895</w:t>
            </w:r>
          </w:p>
        </w:tc>
        <w:tc>
          <w:tcPr>
            <w:tcW w:w="360" w:type="dxa"/>
            <w:vAlign w:val="bottom"/>
            <w:shd w:val="clear" w:color="auto" w:fill="E5FFFF"/>
          </w:tcPr>
          <w:p>
            <w:pPr>
              <w:spacing w:after="0"/>
              <w:rPr>
                <w:sz w:val="17"/>
                <w:szCs w:val="17"/>
                <w:color w:val="auto"/>
              </w:rPr>
            </w:pPr>
          </w:p>
        </w:tc>
        <w:tc>
          <w:tcPr>
            <w:tcW w:w="36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1,720</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5,594</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spacing w:after="0"/>
              <w:rPr>
                <w:sz w:val="17"/>
                <w:szCs w:val="17"/>
                <w:color w:val="auto"/>
              </w:rPr>
            </w:pPr>
          </w:p>
        </w:tc>
        <w:tc>
          <w:tcPr>
            <w:tcW w:w="7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5,287</w:t>
            </w:r>
          </w:p>
        </w:tc>
      </w:tr>
      <w:tr>
        <w:trPr>
          <w:trHeight w:val="453"/>
        </w:trPr>
        <w:tc>
          <w:tcPr>
            <w:tcW w:w="4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Other income (expense)</w:t>
            </w:r>
            <w:r>
              <w:rPr>
                <w:rFonts w:ascii="Arial" w:cs="Arial" w:eastAsia="Arial" w:hAnsi="Arial"/>
                <w:sz w:val="30"/>
                <w:szCs w:val="30"/>
                <w:color w:val="auto"/>
                <w:vertAlign w:val="superscript"/>
              </w:rPr>
              <w:t>(a)</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174</w:t>
            </w:r>
          </w:p>
        </w:tc>
      </w:tr>
      <w:tr>
        <w:trPr>
          <w:trHeight w:val="203"/>
        </w:trPr>
        <w:tc>
          <w:tcPr>
            <w:tcW w:w="40" w:type="dxa"/>
            <w:vAlign w:val="bottom"/>
            <w:shd w:val="clear" w:color="auto" w:fill="E5FFFF"/>
          </w:tcPr>
          <w:p>
            <w:pPr>
              <w:spacing w:after="0"/>
              <w:rPr>
                <w:sz w:val="17"/>
                <w:szCs w:val="17"/>
                <w:color w:val="auto"/>
              </w:rPr>
            </w:pPr>
          </w:p>
        </w:tc>
        <w:tc>
          <w:tcPr>
            <w:tcW w:w="456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Interest and other financial charges</w:t>
            </w:r>
          </w:p>
        </w:tc>
        <w:tc>
          <w:tcPr>
            <w:tcW w:w="1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(81)</w:t>
            </w:r>
          </w:p>
        </w:tc>
        <w:tc>
          <w:tcPr>
            <w:tcW w:w="3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(82)</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(235)</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(252)</w:t>
            </w:r>
          </w:p>
        </w:tc>
      </w:tr>
      <w:tr>
        <w:trPr>
          <w:trHeight w:val="243"/>
        </w:trPr>
        <w:tc>
          <w:tcPr>
            <w:tcW w:w="40" w:type="dxa"/>
            <w:vAlign w:val="bottom"/>
          </w:tcPr>
          <w:p>
            <w:pPr>
              <w:spacing w:after="0"/>
              <w:rPr>
                <w:sz w:val="21"/>
                <w:szCs w:val="21"/>
                <w:color w:val="auto"/>
              </w:rPr>
            </w:pPr>
          </w:p>
        </w:tc>
        <w:tc>
          <w:tcPr>
            <w:tcW w:w="4560" w:type="dxa"/>
            <w:vAlign w:val="bottom"/>
            <w:gridSpan w:val="2"/>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(b)</w:t>
            </w: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40" w:type="dxa"/>
            <w:vAlign w:val="bottom"/>
            <w:shd w:val="clear" w:color="auto" w:fill="E5FFFF"/>
          </w:tcPr>
          <w:p>
            <w:pPr>
              <w:spacing w:after="0"/>
              <w:rPr>
                <w:sz w:val="21"/>
                <w:szCs w:val="21"/>
                <w:color w:val="auto"/>
              </w:rPr>
            </w:pPr>
          </w:p>
        </w:tc>
        <w:tc>
          <w:tcPr>
            <w:tcW w:w="4560" w:type="dxa"/>
            <w:vAlign w:val="bottom"/>
            <w:gridSpan w:val="2"/>
            <w:shd w:val="clear" w:color="auto" w:fill="E5FFFF"/>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12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90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183</w:t>
            </w:r>
          </w:p>
        </w:tc>
        <w:tc>
          <w:tcPr>
            <w:tcW w:w="36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78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546</w:t>
            </w:r>
          </w:p>
        </w:tc>
        <w:tc>
          <w:tcPr>
            <w:tcW w:w="3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447</w:t>
            </w:r>
          </w:p>
        </w:tc>
      </w:tr>
      <w:tr>
        <w:trPr>
          <w:trHeight w:val="243"/>
        </w:trPr>
        <w:tc>
          <w:tcPr>
            <w:tcW w:w="40" w:type="dxa"/>
            <w:vAlign w:val="bottom"/>
          </w:tcPr>
          <w:p>
            <w:pPr>
              <w:spacing w:after="0"/>
              <w:rPr>
                <w:sz w:val="21"/>
                <w:szCs w:val="21"/>
                <w:color w:val="auto"/>
              </w:rPr>
            </w:pPr>
          </w:p>
        </w:tc>
        <w:tc>
          <w:tcPr>
            <w:tcW w:w="4560" w:type="dxa"/>
            <w:vAlign w:val="bottom"/>
            <w:gridSpan w:val="2"/>
          </w:tcPr>
          <w:p>
            <w:pPr>
              <w:spacing w:after="0" w:line="243" w:lineRule="exact"/>
              <w:rPr>
                <w:sz w:val="20"/>
                <w:szCs w:val="20"/>
                <w:color w:val="auto"/>
              </w:rPr>
            </w:pPr>
            <w:r>
              <w:rPr>
                <w:rFonts w:ascii="Arial" w:cs="Arial" w:eastAsia="Arial" w:hAnsi="Arial"/>
                <w:sz w:val="17"/>
                <w:szCs w:val="17"/>
                <w:color w:val="auto"/>
              </w:rPr>
              <w:t>Other postretirement income (expense)</w:t>
            </w:r>
            <w:r>
              <w:rPr>
                <w:rFonts w:ascii="Arial" w:cs="Arial" w:eastAsia="Arial" w:hAnsi="Arial"/>
                <w:sz w:val="28"/>
                <w:szCs w:val="28"/>
                <w:color w:val="auto"/>
                <w:vertAlign w:val="superscript"/>
              </w:rPr>
              <w:t>(b)</w:t>
            </w: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57"/>
        </w:trPr>
        <w:tc>
          <w:tcPr>
            <w:tcW w:w="40" w:type="dxa"/>
            <w:vAlign w:val="bottom"/>
            <w:shd w:val="clear" w:color="auto" w:fill="E5FFFF"/>
          </w:tcPr>
          <w:p>
            <w:pPr>
              <w:spacing w:after="0"/>
              <w:rPr>
                <w:sz w:val="22"/>
                <w:szCs w:val="22"/>
                <w:color w:val="auto"/>
              </w:rPr>
            </w:pPr>
          </w:p>
        </w:tc>
        <w:tc>
          <w:tcPr>
            <w:tcW w:w="456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 xml:space="preserve">Repositioning and other charges </w:t>
            </w:r>
            <w:r>
              <w:rPr>
                <w:rFonts w:ascii="Arial" w:cs="Arial" w:eastAsia="Arial" w:hAnsi="Arial"/>
                <w:sz w:val="29"/>
                <w:szCs w:val="29"/>
                <w:color w:val="auto"/>
                <w:vertAlign w:val="superscript"/>
              </w:rPr>
              <w:t>(b)</w:t>
            </w:r>
          </w:p>
        </w:tc>
        <w:tc>
          <w:tcPr>
            <w:tcW w:w="1240" w:type="dxa"/>
            <w:vAlign w:val="bottom"/>
            <w:shd w:val="clear" w:color="auto" w:fill="E5FFFF"/>
          </w:tcPr>
          <w:p>
            <w:pPr>
              <w:spacing w:after="0"/>
              <w:rPr>
                <w:sz w:val="22"/>
                <w:szCs w:val="22"/>
                <w:color w:val="auto"/>
              </w:rPr>
            </w:pPr>
          </w:p>
        </w:tc>
        <w:tc>
          <w:tcPr>
            <w:tcW w:w="260" w:type="dxa"/>
            <w:vAlign w:val="bottom"/>
            <w:tcBorders>
              <w:bottom w:val="single" w:sz="8" w:color="auto"/>
            </w:tcBorders>
            <w:shd w:val="clear" w:color="auto" w:fill="E5FFFF"/>
          </w:tcPr>
          <w:p>
            <w:pPr>
              <w:spacing w:after="0"/>
              <w:rPr>
                <w:sz w:val="22"/>
                <w:szCs w:val="22"/>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(230)</w:t>
            </w:r>
          </w:p>
        </w:tc>
        <w:tc>
          <w:tcPr>
            <w:tcW w:w="360" w:type="dxa"/>
            <w:vAlign w:val="bottom"/>
            <w:shd w:val="clear" w:color="auto" w:fill="E5FFFF"/>
          </w:tcPr>
          <w:p>
            <w:pPr>
              <w:spacing w:after="0"/>
              <w:rPr>
                <w:sz w:val="22"/>
                <w:szCs w:val="22"/>
                <w:color w:val="auto"/>
              </w:rPr>
            </w:pPr>
          </w:p>
        </w:tc>
        <w:tc>
          <w:tcPr>
            <w:tcW w:w="360" w:type="dxa"/>
            <w:vAlign w:val="bottom"/>
            <w:tcBorders>
              <w:bottom w:val="single" w:sz="8" w:color="auto"/>
            </w:tcBorders>
            <w:shd w:val="clear" w:color="auto" w:fill="E5FFFF"/>
          </w:tcPr>
          <w:p>
            <w:pPr>
              <w:spacing w:after="0"/>
              <w:rPr>
                <w:sz w:val="22"/>
                <w:szCs w:val="22"/>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(279)</w:t>
            </w:r>
          </w:p>
        </w:tc>
        <w:tc>
          <w:tcPr>
            <w:tcW w:w="340" w:type="dxa"/>
            <w:vAlign w:val="bottom"/>
            <w:shd w:val="clear" w:color="auto" w:fill="E5FFFF"/>
          </w:tcPr>
          <w:p>
            <w:pPr>
              <w:spacing w:after="0"/>
              <w:rPr>
                <w:sz w:val="22"/>
                <w:szCs w:val="22"/>
                <w:color w:val="auto"/>
              </w:rPr>
            </w:pPr>
          </w:p>
        </w:tc>
        <w:tc>
          <w:tcPr>
            <w:tcW w:w="260" w:type="dxa"/>
            <w:vAlign w:val="bottom"/>
            <w:tcBorders>
              <w:bottom w:val="single" w:sz="8" w:color="auto"/>
            </w:tcBorders>
            <w:shd w:val="clear" w:color="auto" w:fill="E5FFFF"/>
          </w:tcPr>
          <w:p>
            <w:pPr>
              <w:spacing w:after="0"/>
              <w:rPr>
                <w:sz w:val="22"/>
                <w:szCs w:val="22"/>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(557)</w:t>
            </w:r>
          </w:p>
        </w:tc>
        <w:tc>
          <w:tcPr>
            <w:tcW w:w="34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340" w:type="dxa"/>
            <w:vAlign w:val="bottom"/>
            <w:tcBorders>
              <w:bottom w:val="single" w:sz="8" w:color="auto"/>
            </w:tcBorders>
            <w:shd w:val="clear" w:color="auto" w:fill="E5FFFF"/>
          </w:tcPr>
          <w:p>
            <w:pPr>
              <w:spacing w:after="0"/>
              <w:rPr>
                <w:sz w:val="22"/>
                <w:szCs w:val="22"/>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(520)</w:t>
            </w:r>
          </w:p>
        </w:tc>
      </w:tr>
      <w:tr>
        <w:trPr>
          <w:trHeight w:val="196"/>
        </w:trPr>
        <w:tc>
          <w:tcPr>
            <w:tcW w:w="40" w:type="dxa"/>
            <w:vAlign w:val="bottom"/>
          </w:tcPr>
          <w:p>
            <w:pPr>
              <w:spacing w:after="0"/>
              <w:rPr>
                <w:sz w:val="17"/>
                <w:szCs w:val="17"/>
                <w:color w:val="auto"/>
              </w:rPr>
            </w:pPr>
          </w:p>
        </w:tc>
        <w:tc>
          <w:tcPr>
            <w:tcW w:w="4560" w:type="dxa"/>
            <w:vAlign w:val="bottom"/>
            <w:gridSpan w:val="2"/>
          </w:tcPr>
          <w:p>
            <w:pPr>
              <w:spacing w:after="0" w:line="196" w:lineRule="exact"/>
              <w:rPr>
                <w:sz w:val="20"/>
                <w:szCs w:val="20"/>
                <w:color w:val="auto"/>
              </w:rPr>
            </w:pPr>
            <w:r>
              <w:rPr>
                <w:rFonts w:ascii="Arial" w:cs="Arial" w:eastAsia="Arial" w:hAnsi="Arial"/>
                <w:sz w:val="18"/>
                <w:szCs w:val="18"/>
                <w:color w:val="auto"/>
              </w:rPr>
              <w:t>Income before taxes</w:t>
            </w:r>
          </w:p>
        </w:tc>
        <w:tc>
          <w:tcPr>
            <w:tcW w:w="1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1,783</w:t>
            </w:r>
          </w:p>
        </w:tc>
        <w:tc>
          <w:tcPr>
            <w:tcW w:w="3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1,632</w:t>
            </w:r>
          </w:p>
        </w:tc>
        <w:tc>
          <w:tcPr>
            <w:tcW w:w="3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5,285</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5,015</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 income (loss) of affiliated companies is included in segment profit.</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Benefits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income for our significant defined benefit plans include the following components: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U.S. Plans</w:t>
            </w: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4"/>
          </w:tcPr>
          <w:p>
            <w:pPr>
              <w:jc w:val="center"/>
              <w:ind w:right="155"/>
              <w:spacing w:after="0" w:line="143" w:lineRule="exact"/>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gridSpan w:val="4"/>
          </w:tcPr>
          <w:p>
            <w:pPr>
              <w:jc w:val="center"/>
              <w:ind w:right="293"/>
              <w:spacing w:after="0" w:line="143" w:lineRule="exact"/>
              <w:rPr>
                <w:sz w:val="20"/>
                <w:szCs w:val="20"/>
                <w:color w:val="auto"/>
              </w:rPr>
            </w:pPr>
            <w:r>
              <w:rPr>
                <w:rFonts w:ascii="Arial" w:cs="Arial" w:eastAsia="Arial" w:hAnsi="Arial"/>
                <w:sz w:val="14"/>
                <w:szCs w:val="14"/>
                <w:b w:val="1"/>
                <w:bCs w:val="1"/>
                <w:color w:val="auto"/>
              </w:rPr>
              <w:t>Nine Months Ended</w:t>
            </w:r>
          </w:p>
        </w:tc>
      </w:tr>
      <w:tr>
        <w:trPr>
          <w:trHeight w:val="175"/>
        </w:trPr>
        <w:tc>
          <w:tcPr>
            <w:tcW w:w="5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r>
      <w:tr>
        <w:trPr>
          <w:trHeight w:val="156"/>
        </w:trPr>
        <w:tc>
          <w:tcPr>
            <w:tcW w:w="55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2016</w:t>
            </w:r>
          </w:p>
        </w:tc>
      </w:tr>
      <w:tr>
        <w:trPr>
          <w:trHeight w:val="210"/>
        </w:trPr>
        <w:tc>
          <w:tcPr>
            <w:tcW w:w="5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554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Service cost</w:t>
            </w:r>
          </w:p>
        </w:tc>
        <w:tc>
          <w:tcPr>
            <w:tcW w:w="240" w:type="dxa"/>
            <w:vAlign w:val="bottom"/>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7"/>
              <w:spacing w:after="0" w:line="202" w:lineRule="exact"/>
              <w:rPr>
                <w:sz w:val="20"/>
                <w:szCs w:val="20"/>
                <w:color w:val="auto"/>
              </w:rPr>
            </w:pPr>
            <w:r>
              <w:rPr>
                <w:rFonts w:ascii="Arial" w:cs="Arial" w:eastAsia="Arial" w:hAnsi="Arial"/>
                <w:sz w:val="18"/>
                <w:szCs w:val="18"/>
                <w:color w:val="auto"/>
              </w:rPr>
              <w:t>43</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48</w:t>
            </w:r>
          </w:p>
        </w:tc>
        <w:tc>
          <w:tcPr>
            <w:tcW w:w="68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37"/>
              <w:spacing w:after="0" w:line="202" w:lineRule="exact"/>
              <w:rPr>
                <w:sz w:val="20"/>
                <w:szCs w:val="20"/>
                <w:color w:val="auto"/>
              </w:rPr>
            </w:pPr>
            <w:r>
              <w:rPr>
                <w:rFonts w:ascii="Arial" w:cs="Arial" w:eastAsia="Arial" w:hAnsi="Arial"/>
                <w:sz w:val="18"/>
                <w:szCs w:val="18"/>
                <w:color w:val="auto"/>
              </w:rPr>
              <w:t>129</w:t>
            </w:r>
          </w:p>
        </w:tc>
        <w:tc>
          <w:tcPr>
            <w:tcW w:w="68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143</w:t>
            </w:r>
          </w:p>
        </w:tc>
      </w:tr>
      <w:tr>
        <w:trPr>
          <w:trHeight w:val="203"/>
        </w:trPr>
        <w:tc>
          <w:tcPr>
            <w:tcW w:w="5540" w:type="dxa"/>
            <w:vAlign w:val="bottom"/>
          </w:tcPr>
          <w:p>
            <w:pPr>
              <w:ind w:left="40"/>
              <w:spacing w:after="0" w:line="202" w:lineRule="exact"/>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7"/>
                <w:szCs w:val="17"/>
                <w:color w:val="auto"/>
              </w:rPr>
            </w:pPr>
          </w:p>
        </w:tc>
        <w:tc>
          <w:tcPr>
            <w:tcW w:w="8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147</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150</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440</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450</w:t>
            </w:r>
          </w:p>
        </w:tc>
      </w:tr>
      <w:tr>
        <w:trPr>
          <w:trHeight w:val="203"/>
        </w:trPr>
        <w:tc>
          <w:tcPr>
            <w:tcW w:w="554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(316)</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(306)</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(946)</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(918)</w:t>
            </w:r>
          </w:p>
        </w:tc>
      </w:tr>
      <w:tr>
        <w:trPr>
          <w:trHeight w:val="216"/>
        </w:trPr>
        <w:tc>
          <w:tcPr>
            <w:tcW w:w="554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Amortization of prior service (credit)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5540" w:type="dxa"/>
            <w:vAlign w:val="bottom"/>
            <w:shd w:val="clear" w:color="auto" w:fill="E5FFFF"/>
          </w:tcPr>
          <w:p>
            <w:pPr>
              <w:spacing w:after="0"/>
              <w:rPr>
                <w:sz w:val="19"/>
                <w:szCs w:val="19"/>
                <w:color w:val="auto"/>
              </w:rPr>
            </w:pPr>
          </w:p>
        </w:tc>
        <w:tc>
          <w:tcPr>
            <w:tcW w:w="2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E5FFFF"/>
          </w:tcPr>
          <w:p>
            <w:pPr>
              <w:spacing w:after="0"/>
              <w:rPr>
                <w:sz w:val="19"/>
                <w:szCs w:val="19"/>
                <w:color w:val="auto"/>
              </w:rPr>
            </w:pPr>
          </w:p>
        </w:tc>
        <w:tc>
          <w:tcPr>
            <w:tcW w:w="360" w:type="dxa"/>
            <w:vAlign w:val="bottom"/>
            <w:shd w:val="clear" w:color="auto" w:fill="E5FF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(119)</w:t>
            </w:r>
          </w:p>
        </w:tc>
        <w:tc>
          <w:tcPr>
            <w:tcW w:w="68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(409)</w:t>
            </w:r>
          </w:p>
        </w:tc>
        <w:tc>
          <w:tcPr>
            <w:tcW w:w="68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(358)</w:t>
            </w:r>
          </w:p>
        </w:tc>
      </w:tr>
      <w:tr>
        <w:trPr>
          <w:trHeight w:val="20"/>
        </w:trPr>
        <w:tc>
          <w:tcPr>
            <w:tcW w:w="55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5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Non-U.S. Plans</w:t>
            </w: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56"/>
        </w:trPr>
        <w:tc>
          <w:tcPr>
            <w:tcW w:w="5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4"/>
          </w:tcPr>
          <w:p>
            <w:pPr>
              <w:jc w:val="center"/>
              <w:ind w:right="155"/>
              <w:spacing w:after="0" w:line="156" w:lineRule="exact"/>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20" w:type="dxa"/>
            <w:vAlign w:val="bottom"/>
            <w:gridSpan w:val="4"/>
          </w:tcPr>
          <w:p>
            <w:pPr>
              <w:jc w:val="center"/>
              <w:ind w:right="293"/>
              <w:spacing w:after="0" w:line="156" w:lineRule="exact"/>
              <w:rPr>
                <w:sz w:val="20"/>
                <w:szCs w:val="20"/>
                <w:color w:val="auto"/>
              </w:rPr>
            </w:pPr>
            <w:r>
              <w:rPr>
                <w:rFonts w:ascii="Arial" w:cs="Arial" w:eastAsia="Arial" w:hAnsi="Arial"/>
                <w:sz w:val="14"/>
                <w:szCs w:val="14"/>
                <w:b w:val="1"/>
                <w:bCs w:val="1"/>
                <w:color w:val="auto"/>
              </w:rPr>
              <w:t>Nine Months Ended</w:t>
            </w:r>
          </w:p>
        </w:tc>
      </w:tr>
      <w:tr>
        <w:trPr>
          <w:trHeight w:val="175"/>
        </w:trPr>
        <w:tc>
          <w:tcPr>
            <w:tcW w:w="5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r>
      <w:tr>
        <w:trPr>
          <w:trHeight w:val="196"/>
        </w:trPr>
        <w:tc>
          <w:tcPr>
            <w:tcW w:w="5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r>
      <w:tr>
        <w:trPr>
          <w:trHeight w:val="210"/>
        </w:trPr>
        <w:tc>
          <w:tcPr>
            <w:tcW w:w="5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554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Service cost</w:t>
            </w:r>
          </w:p>
        </w:tc>
        <w:tc>
          <w:tcPr>
            <w:tcW w:w="240" w:type="dxa"/>
            <w:vAlign w:val="bottom"/>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7"/>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11</w:t>
            </w:r>
          </w:p>
        </w:tc>
        <w:tc>
          <w:tcPr>
            <w:tcW w:w="68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37"/>
              <w:spacing w:after="0" w:line="202" w:lineRule="exact"/>
              <w:rPr>
                <w:sz w:val="20"/>
                <w:szCs w:val="20"/>
                <w:color w:val="auto"/>
              </w:rPr>
            </w:pPr>
            <w:r>
              <w:rPr>
                <w:rFonts w:ascii="Arial" w:cs="Arial" w:eastAsia="Arial" w:hAnsi="Arial"/>
                <w:sz w:val="18"/>
                <w:szCs w:val="18"/>
                <w:color w:val="auto"/>
              </w:rPr>
              <w:t>29</w:t>
            </w:r>
          </w:p>
        </w:tc>
        <w:tc>
          <w:tcPr>
            <w:tcW w:w="68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36</w:t>
            </w:r>
          </w:p>
        </w:tc>
      </w:tr>
      <w:tr>
        <w:trPr>
          <w:trHeight w:val="203"/>
        </w:trPr>
        <w:tc>
          <w:tcPr>
            <w:tcW w:w="5540" w:type="dxa"/>
            <w:vAlign w:val="bottom"/>
          </w:tcPr>
          <w:p>
            <w:pPr>
              <w:ind w:left="40"/>
              <w:spacing w:after="0" w:line="202" w:lineRule="exact"/>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7"/>
                <w:szCs w:val="17"/>
                <w:color w:val="auto"/>
              </w:rPr>
            </w:pPr>
          </w:p>
        </w:tc>
        <w:tc>
          <w:tcPr>
            <w:tcW w:w="8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37</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43</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109</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137</w:t>
            </w:r>
          </w:p>
        </w:tc>
      </w:tr>
      <w:tr>
        <w:trPr>
          <w:trHeight w:val="203"/>
        </w:trPr>
        <w:tc>
          <w:tcPr>
            <w:tcW w:w="554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(104)</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(92)</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(305)</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(291)</w:t>
            </w:r>
          </w:p>
        </w:tc>
      </w:tr>
      <w:tr>
        <w:trPr>
          <w:trHeight w:val="216"/>
        </w:trPr>
        <w:tc>
          <w:tcPr>
            <w:tcW w:w="554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Amortization of prior service (credit)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540" w:type="dxa"/>
            <w:vAlign w:val="bottom"/>
            <w:shd w:val="clear" w:color="auto" w:fill="E5FFFF"/>
          </w:tcPr>
          <w:p>
            <w:pPr>
              <w:spacing w:after="0"/>
              <w:rPr>
                <w:sz w:val="19"/>
                <w:szCs w:val="19"/>
                <w:color w:val="auto"/>
              </w:rPr>
            </w:pPr>
          </w:p>
        </w:tc>
        <w:tc>
          <w:tcPr>
            <w:tcW w:w="2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E5FFFF"/>
          </w:tcPr>
          <w:p>
            <w:pPr>
              <w:spacing w:after="0"/>
              <w:rPr>
                <w:sz w:val="19"/>
                <w:szCs w:val="19"/>
                <w:color w:val="auto"/>
              </w:rPr>
            </w:pPr>
          </w:p>
        </w:tc>
        <w:tc>
          <w:tcPr>
            <w:tcW w:w="360" w:type="dxa"/>
            <w:vAlign w:val="bottom"/>
            <w:shd w:val="clear" w:color="auto" w:fill="E5FF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(38)</w:t>
            </w:r>
          </w:p>
        </w:tc>
        <w:tc>
          <w:tcPr>
            <w:tcW w:w="68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(168)</w:t>
            </w:r>
          </w:p>
        </w:tc>
        <w:tc>
          <w:tcPr>
            <w:tcW w:w="68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55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environmental matters are described in Note 19 Commitments and Contingencies of Notes to Consolidated Financial Statements in our 2016 Annual Report on Form 10-K.</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40" w:type="dxa"/>
            <w:vAlign w:val="bottom"/>
          </w:tcPr>
          <w:p>
            <w:pPr>
              <w:spacing w:after="0"/>
              <w:rPr>
                <w:sz w:val="18"/>
                <w:szCs w:val="18"/>
                <w:color w:val="auto"/>
              </w:rPr>
            </w:pPr>
          </w:p>
        </w:tc>
        <w:tc>
          <w:tcPr>
            <w:tcW w:w="5840" w:type="dxa"/>
            <w:vAlign w:val="bottom"/>
            <w:shd w:val="clear" w:color="auto" w:fill="E5FFFF"/>
          </w:tcPr>
          <w:p>
            <w:pPr>
              <w:spacing w:after="0"/>
              <w:rPr>
                <w:sz w:val="20"/>
                <w:szCs w:val="20"/>
                <w:color w:val="auto"/>
              </w:rPr>
            </w:pPr>
            <w:r>
              <w:rPr>
                <w:rFonts w:ascii="Arial" w:cs="Arial" w:eastAsia="Arial" w:hAnsi="Arial"/>
                <w:sz w:val="18"/>
                <w:szCs w:val="18"/>
                <w:color w:val="auto"/>
              </w:rPr>
              <w:t>December 31, 2016</w:t>
            </w:r>
          </w:p>
        </w:tc>
        <w:tc>
          <w:tcPr>
            <w:tcW w:w="42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511</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5840" w:type="dxa"/>
            <w:vAlign w:val="bottom"/>
          </w:tcPr>
          <w:p>
            <w:pPr>
              <w:ind w:left="180"/>
              <w:spacing w:after="0" w:line="201" w:lineRule="exact"/>
              <w:rPr>
                <w:sz w:val="20"/>
                <w:szCs w:val="20"/>
                <w:color w:val="auto"/>
              </w:rPr>
            </w:pPr>
            <w:r>
              <w:rPr>
                <w:rFonts w:ascii="Arial" w:cs="Arial" w:eastAsia="Arial" w:hAnsi="Arial"/>
                <w:sz w:val="18"/>
                <w:szCs w:val="18"/>
                <w:color w:val="auto"/>
              </w:rPr>
              <w:t>Accruals for environmental matters deemed probable and reasonably</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840" w:type="dxa"/>
            <w:vAlign w:val="bottom"/>
          </w:tcPr>
          <w:p>
            <w:pPr>
              <w:ind w:left="360"/>
              <w:spacing w:after="0" w:line="203" w:lineRule="exact"/>
              <w:rPr>
                <w:sz w:val="20"/>
                <w:szCs w:val="20"/>
                <w:color w:val="auto"/>
              </w:rPr>
            </w:pPr>
            <w:r>
              <w:rPr>
                <w:rFonts w:ascii="Arial" w:cs="Arial" w:eastAsia="Arial" w:hAnsi="Arial"/>
                <w:sz w:val="18"/>
                <w:szCs w:val="18"/>
                <w:color w:val="auto"/>
              </w:rPr>
              <w:t>estimable</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167</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8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Environmental liability payments</w:t>
            </w:r>
          </w:p>
        </w:tc>
        <w:tc>
          <w:tcPr>
            <w:tcW w:w="1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6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(116)</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84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5840" w:type="dxa"/>
            <w:vAlign w:val="bottom"/>
            <w:tcBorders>
              <w:bottom w:val="single" w:sz="8" w:color="E5FFFF"/>
            </w:tcBorders>
            <w:shd w:val="clear" w:color="auto" w:fill="E5FFFF"/>
          </w:tcPr>
          <w:p>
            <w:pPr>
              <w:spacing w:after="0" w:line="197" w:lineRule="exact"/>
              <w:rPr>
                <w:sz w:val="20"/>
                <w:szCs w:val="20"/>
                <w:color w:val="auto"/>
              </w:rPr>
            </w:pPr>
            <w:r>
              <w:rPr>
                <w:rFonts w:ascii="Arial" w:cs="Arial" w:eastAsia="Arial" w:hAnsi="Arial"/>
                <w:sz w:val="18"/>
                <w:szCs w:val="18"/>
                <w:color w:val="auto"/>
              </w:rPr>
              <w:t>September 30, 2017</w:t>
            </w:r>
          </w:p>
        </w:tc>
        <w:tc>
          <w:tcPr>
            <w:tcW w:w="160" w:type="dxa"/>
            <w:vAlign w:val="bottom"/>
            <w:tcBorders>
              <w:bottom w:val="single" w:sz="8" w:color="E5FFFF"/>
            </w:tcBorders>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571</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Environmental liabilities are included in the following balance sheet accounts:</w:t>
            </w: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4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5840" w:type="dxa"/>
            <w:vAlign w:val="bottom"/>
            <w:tcBorders>
              <w:bottom w:val="single" w:sz="8" w:color="E5FFFF"/>
            </w:tcBorders>
          </w:tcPr>
          <w:p>
            <w:pPr>
              <w:spacing w:after="0"/>
              <w:rPr>
                <w:sz w:val="15"/>
                <w:szCs w:val="15"/>
                <w:color w:val="auto"/>
              </w:rPr>
            </w:pPr>
          </w:p>
        </w:tc>
        <w:tc>
          <w:tcPr>
            <w:tcW w:w="160" w:type="dxa"/>
            <w:vAlign w:val="bottom"/>
            <w:tcBorders>
              <w:bottom w:val="single" w:sz="8" w:color="E5FFFF"/>
            </w:tcBorders>
          </w:tcPr>
          <w:p>
            <w:pPr>
              <w:spacing w:after="0"/>
              <w:rPr>
                <w:sz w:val="15"/>
                <w:szCs w:val="15"/>
                <w:color w:val="auto"/>
              </w:rPr>
            </w:pPr>
          </w:p>
        </w:tc>
        <w:tc>
          <w:tcPr>
            <w:tcW w:w="260" w:type="dxa"/>
            <w:vAlign w:val="bottom"/>
            <w:tcBorders>
              <w:bottom w:val="single" w:sz="8" w:color="E5FFFF"/>
            </w:tcBorders>
          </w:tcPr>
          <w:p>
            <w:pPr>
              <w:spacing w:after="0"/>
              <w:rPr>
                <w:sz w:val="15"/>
                <w:szCs w:val="15"/>
                <w:color w:val="auto"/>
              </w:rPr>
            </w:pPr>
          </w:p>
        </w:tc>
        <w:tc>
          <w:tcPr>
            <w:tcW w:w="42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84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Accrued liabilities</w:t>
            </w:r>
          </w:p>
        </w:tc>
        <w:tc>
          <w:tcPr>
            <w:tcW w:w="1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252</w:t>
            </w:r>
          </w:p>
        </w:tc>
        <w:tc>
          <w:tcPr>
            <w:tcW w:w="26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84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E5FFFF"/>
            </w:tcBorders>
          </w:tcPr>
          <w:p>
            <w:pPr>
              <w:spacing w:after="0"/>
              <w:rPr>
                <w:sz w:val="18"/>
                <w:szCs w:val="18"/>
                <w:color w:val="auto"/>
              </w:rPr>
            </w:pPr>
          </w:p>
        </w:tc>
        <w:tc>
          <w:tcPr>
            <w:tcW w:w="260" w:type="dxa"/>
            <w:vAlign w:val="bottom"/>
            <w:tcBorders>
              <w:bottom w:val="single" w:sz="8" w:color="E5FFFF"/>
            </w:tcBorders>
          </w:tcPr>
          <w:p>
            <w:pPr>
              <w:spacing w:after="0"/>
              <w:rPr>
                <w:sz w:val="18"/>
                <w:szCs w:val="18"/>
                <w:color w:val="auto"/>
              </w:rPr>
            </w:pPr>
          </w:p>
        </w:tc>
        <w:tc>
          <w:tcPr>
            <w:tcW w:w="42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319</w:t>
            </w:r>
          </w:p>
        </w:tc>
        <w:tc>
          <w:tcPr>
            <w:tcW w:w="26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8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571</w:t>
            </w:r>
          </w:p>
        </w:tc>
        <w:tc>
          <w:tcPr>
            <w:tcW w:w="260" w:type="dxa"/>
            <w:vAlign w:val="bottom"/>
            <w:shd w:val="clear" w:color="auto" w:fill="E5FFFF"/>
          </w:tcPr>
          <w:p>
            <w:pPr>
              <w:spacing w:after="0"/>
              <w:rPr>
                <w:sz w:val="19"/>
                <w:szCs w:val="19"/>
                <w:color w:val="auto"/>
              </w:rPr>
            </w:pPr>
          </w:p>
        </w:tc>
        <w:tc>
          <w:tcPr>
            <w:tcW w:w="240" w:type="dxa"/>
            <w:vAlign w:val="bottom"/>
            <w:shd w:val="clear" w:color="auto" w:fill="E5FFFF"/>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8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i w:val="1"/>
          <w:iCs w:val="1"/>
          <w:color w:val="auto"/>
        </w:rPr>
        <w:t>Onondaga Lake, Syracuse, NY</w:t>
      </w:r>
      <w:r>
        <w:rPr>
          <w:rFonts w:ascii="Arial" w:cs="Arial" w:eastAsia="Arial" w:hAnsi="Arial"/>
          <w:sz w:val="18"/>
          <w:szCs w:val="18"/>
          <w:color w:val="auto"/>
        </w:rPr>
        <w:t>—In 2016, we largely completed a dredging/capping remedy of Onondaga Lake pursuant to a consent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decree approved by the United States District Court for the Northern District of New York in January 2007. Some additional long-term monitoring and maintenance activities will continue, as required by the consent decree. Honeywell is also conducting remedial investigations and activities at other sites in Syracuse. We have recorded reserves for these investigations and activities where appropriate.</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 has entered into a cooperative agreement with potential natural resource trustees to assess alleged natural resource damages relating to these sites. It is not possible to predict the outcome or duration of this assessment, or the amounts of, or responsibility for, any damages.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is a defendant in asbestos related personal injury actions related to two predecessor companies:</w:t>
      </w:r>
    </w:p>
    <w:p>
      <w:pPr>
        <w:spacing w:after="0" w:line="198" w:lineRule="exact"/>
        <w:rPr>
          <w:sz w:val="20"/>
          <w:szCs w:val="20"/>
          <w:color w:val="auto"/>
        </w:rPr>
      </w:pPr>
    </w:p>
    <w:p>
      <w:pPr>
        <w:jc w:val="both"/>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American Refractories Company (NARCO), which was sold in 1986, produced refractory products (bricks and cement used in high temperature applications). Claimants consist largely of individuals who allege exposure to NARCO asbestos-containing refractory products in an occupational setting.</w:t>
      </w:r>
    </w:p>
    <w:p>
      <w:pPr>
        <w:spacing w:after="0" w:line="202" w:lineRule="exact"/>
        <w:rPr>
          <w:rFonts w:ascii="Arial" w:cs="Arial" w:eastAsia="Arial" w:hAnsi="Arial"/>
          <w:sz w:val="18"/>
          <w:szCs w:val="18"/>
          <w:color w:val="auto"/>
        </w:rPr>
      </w:pPr>
    </w:p>
    <w:p>
      <w:pPr>
        <w:jc w:val="both"/>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Bendix Friction Materials (Bendix) business, which was sold in 2014,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concerning NARCO and Bendix asbestos related balances:</w:t>
      </w:r>
    </w:p>
    <w:p>
      <w:pPr>
        <w:spacing w:after="0" w:line="226" w:lineRule="exact"/>
        <w:rPr>
          <w:sz w:val="20"/>
          <w:szCs w:val="20"/>
          <w:color w:val="auto"/>
        </w:rPr>
      </w:pPr>
    </w:p>
    <w:tbl>
      <w:tblPr>
        <w:tblLayout w:type="fixed"/>
        <w:tblInd w:w="840" w:type="dxa"/>
        <w:tblCellMar>
          <w:top w:w="0" w:type="dxa"/>
          <w:left w:w="0" w:type="dxa"/>
          <w:bottom w:w="0" w:type="dxa"/>
          <w:right w:w="0" w:type="dxa"/>
        </w:tblCellMar>
      </w:tblPr>
      <w:tr>
        <w:trPr>
          <w:trHeight w:val="162"/>
        </w:trPr>
        <w:tc>
          <w:tcPr>
            <w:tcW w:w="5640" w:type="dxa"/>
            <w:vAlign w:val="bottom"/>
            <w:gridSpan w:val="4"/>
          </w:tcPr>
          <w:p>
            <w:pPr>
              <w:ind w:left="20"/>
              <w:spacing w:after="0"/>
              <w:rPr>
                <w:sz w:val="20"/>
                <w:szCs w:val="20"/>
                <w:color w:val="auto"/>
              </w:rPr>
            </w:pPr>
            <w:r>
              <w:rPr>
                <w:rFonts w:ascii="Arial" w:cs="Arial" w:eastAsia="Arial" w:hAnsi="Arial"/>
                <w:sz w:val="14"/>
                <w:szCs w:val="14"/>
                <w:b w:val="1"/>
                <w:bCs w:val="1"/>
                <w:color w:val="auto"/>
              </w:rPr>
              <w:t>Asbestos Related Liabilities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7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Bendix</w:t>
            </w:r>
          </w:p>
        </w:tc>
        <w:tc>
          <w:tcPr>
            <w:tcW w:w="20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NARCO</w:t>
            </w:r>
          </w:p>
        </w:tc>
        <w:tc>
          <w:tcPr>
            <w:tcW w:w="260" w:type="dxa"/>
            <w:vAlign w:val="bottom"/>
          </w:tcPr>
          <w:p>
            <w:pPr>
              <w:spacing w:after="0"/>
              <w:rPr>
                <w:sz w:val="17"/>
                <w:szCs w:val="17"/>
                <w:color w:val="auto"/>
              </w:rPr>
            </w:pPr>
          </w:p>
        </w:tc>
        <w:tc>
          <w:tcPr>
            <w:tcW w:w="900" w:type="dxa"/>
            <w:vAlign w:val="bottom"/>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640" w:type="dxa"/>
            <w:vAlign w:val="bottom"/>
            <w:tcBorders>
              <w:top w:val="single" w:sz="8" w:color="E5FFFF"/>
            </w:tcBorders>
            <w:gridSpan w:val="4"/>
            <w:shd w:val="clear" w:color="auto" w:fill="E5FFFF"/>
          </w:tcPr>
          <w:p>
            <w:pPr>
              <w:ind w:left="20"/>
              <w:spacing w:after="0" w:line="196" w:lineRule="exact"/>
              <w:rPr>
                <w:sz w:val="20"/>
                <w:szCs w:val="20"/>
                <w:color w:val="auto"/>
              </w:rPr>
            </w:pPr>
            <w:r>
              <w:rPr>
                <w:rFonts w:ascii="Arial" w:cs="Arial" w:eastAsia="Arial" w:hAnsi="Arial"/>
                <w:sz w:val="18"/>
                <w:szCs w:val="18"/>
                <w:color w:val="auto"/>
              </w:rPr>
              <w:t>December 31, 2016</w:t>
            </w: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641</w:t>
            </w:r>
          </w:p>
        </w:tc>
        <w:tc>
          <w:tcPr>
            <w:tcW w:w="28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919</w:t>
            </w:r>
          </w:p>
        </w:tc>
        <w:tc>
          <w:tcPr>
            <w:tcW w:w="28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Accrual for update to estimated liability</w:t>
            </w:r>
          </w:p>
        </w:tc>
        <w:tc>
          <w:tcPr>
            <w:tcW w:w="220" w:type="dxa"/>
            <w:vAlign w:val="bottom"/>
          </w:tcPr>
          <w:p>
            <w:pPr>
              <w:spacing w:after="0"/>
              <w:rPr>
                <w:sz w:val="17"/>
                <w:szCs w:val="17"/>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shd w:val="clear" w:color="auto" w:fill="E5FFFF"/>
          </w:tcPr>
          <w:p>
            <w:pPr>
              <w:spacing w:after="0"/>
              <w:rPr>
                <w:sz w:val="18"/>
                <w:szCs w:val="18"/>
                <w:color w:val="auto"/>
              </w:rPr>
            </w:pPr>
          </w:p>
        </w:tc>
        <w:tc>
          <w:tcPr>
            <w:tcW w:w="5620" w:type="dxa"/>
            <w:vAlign w:val="bottom"/>
            <w:gridSpan w:val="3"/>
            <w:shd w:val="clear" w:color="auto" w:fill="E5FFFF"/>
          </w:tcPr>
          <w:p>
            <w:pPr>
              <w:ind w:left="180"/>
              <w:spacing w:after="0"/>
              <w:rPr>
                <w:sz w:val="20"/>
                <w:szCs w:val="20"/>
                <w:color w:val="auto"/>
              </w:rPr>
            </w:pPr>
            <w:r>
              <w:rPr>
                <w:rFonts w:ascii="Arial" w:cs="Arial" w:eastAsia="Arial" w:hAnsi="Arial"/>
                <w:sz w:val="18"/>
                <w:szCs w:val="18"/>
                <w:color w:val="auto"/>
              </w:rPr>
              <w:t>Asbestos related liability payments</w:t>
            </w:r>
          </w:p>
        </w:tc>
        <w:tc>
          <w:tcPr>
            <w:tcW w:w="22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0"/>
        </w:trPr>
        <w:tc>
          <w:tcPr>
            <w:tcW w:w="5640" w:type="dxa"/>
            <w:vAlign w:val="bottom"/>
            <w:gridSpan w:val="4"/>
          </w:tcPr>
          <w:p>
            <w:pPr>
              <w:ind w:left="20"/>
              <w:spacing w:after="0" w:line="197" w:lineRule="exact"/>
              <w:rPr>
                <w:sz w:val="20"/>
                <w:szCs w:val="20"/>
                <w:color w:val="auto"/>
              </w:rPr>
            </w:pPr>
            <w:r>
              <w:rPr>
                <w:rFonts w:ascii="Arial" w:cs="Arial" w:eastAsia="Arial" w:hAnsi="Arial"/>
                <w:sz w:val="18"/>
                <w:szCs w:val="18"/>
                <w:color w:val="auto"/>
              </w:rPr>
              <w:t>September 30, 2017</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631</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920</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0"/>
        </w:trPr>
        <w:tc>
          <w:tcPr>
            <w:tcW w:w="56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Insurance Recoveries for Asbestos Related 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64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Bendix</w:t>
            </w:r>
          </w:p>
        </w:tc>
        <w:tc>
          <w:tcPr>
            <w:tcW w:w="20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NARCO</w:t>
            </w:r>
          </w:p>
        </w:tc>
        <w:tc>
          <w:tcPr>
            <w:tcW w:w="260" w:type="dxa"/>
            <w:vAlign w:val="bottom"/>
          </w:tcPr>
          <w:p>
            <w:pPr>
              <w:spacing w:after="0"/>
              <w:rPr>
                <w:sz w:val="17"/>
                <w:szCs w:val="17"/>
                <w:color w:val="auto"/>
              </w:rPr>
            </w:pPr>
          </w:p>
        </w:tc>
        <w:tc>
          <w:tcPr>
            <w:tcW w:w="900" w:type="dxa"/>
            <w:vAlign w:val="bottom"/>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640" w:type="dxa"/>
            <w:vAlign w:val="bottom"/>
            <w:tcBorders>
              <w:top w:val="single" w:sz="8" w:color="E5FFFF"/>
            </w:tcBorders>
            <w:gridSpan w:val="4"/>
            <w:shd w:val="clear" w:color="auto" w:fill="E5FFFF"/>
          </w:tcPr>
          <w:p>
            <w:pPr>
              <w:ind w:left="20"/>
              <w:spacing w:after="0" w:line="196" w:lineRule="exact"/>
              <w:rPr>
                <w:sz w:val="20"/>
                <w:szCs w:val="20"/>
                <w:color w:val="auto"/>
              </w:rPr>
            </w:pPr>
            <w:r>
              <w:rPr>
                <w:rFonts w:ascii="Arial" w:cs="Arial" w:eastAsia="Arial" w:hAnsi="Arial"/>
                <w:sz w:val="18"/>
                <w:szCs w:val="18"/>
                <w:color w:val="auto"/>
              </w:rPr>
              <w:t>December 31, 2016</w:t>
            </w: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121</w:t>
            </w:r>
          </w:p>
        </w:tc>
        <w:tc>
          <w:tcPr>
            <w:tcW w:w="28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319</w:t>
            </w:r>
          </w:p>
        </w:tc>
        <w:tc>
          <w:tcPr>
            <w:tcW w:w="28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Probable insurance recoveries related to estimated liability</w:t>
            </w:r>
          </w:p>
        </w:tc>
        <w:tc>
          <w:tcPr>
            <w:tcW w:w="220" w:type="dxa"/>
            <w:vAlign w:val="bottom"/>
          </w:tcPr>
          <w:p>
            <w:pPr>
              <w:spacing w:after="0"/>
              <w:rPr>
                <w:sz w:val="17"/>
                <w:szCs w:val="17"/>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shd w:val="clear" w:color="auto" w:fill="E5FFFF"/>
          </w:tcPr>
          <w:p>
            <w:pPr>
              <w:spacing w:after="0"/>
              <w:rPr>
                <w:sz w:val="18"/>
                <w:szCs w:val="18"/>
                <w:color w:val="auto"/>
              </w:rPr>
            </w:pPr>
          </w:p>
        </w:tc>
        <w:tc>
          <w:tcPr>
            <w:tcW w:w="5620" w:type="dxa"/>
            <w:vAlign w:val="bottom"/>
            <w:gridSpan w:val="3"/>
            <w:shd w:val="clear" w:color="auto" w:fill="E5FFFF"/>
          </w:tcPr>
          <w:p>
            <w:pPr>
              <w:ind w:left="180"/>
              <w:spacing w:after="0"/>
              <w:rPr>
                <w:sz w:val="20"/>
                <w:szCs w:val="20"/>
                <w:color w:val="auto"/>
              </w:rPr>
            </w:pPr>
            <w:r>
              <w:rPr>
                <w:rFonts w:ascii="Arial" w:cs="Arial" w:eastAsia="Arial" w:hAnsi="Arial"/>
                <w:sz w:val="18"/>
                <w:szCs w:val="18"/>
                <w:color w:val="auto"/>
              </w:rPr>
              <w:t>Insurance receipts for asbestos related liabilities</w:t>
            </w:r>
          </w:p>
        </w:tc>
        <w:tc>
          <w:tcPr>
            <w:tcW w:w="22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5640" w:type="dxa"/>
            <w:vAlign w:val="bottom"/>
            <w:gridSpan w:val="4"/>
          </w:tcPr>
          <w:p>
            <w:pPr>
              <w:ind w:left="20"/>
              <w:spacing w:after="0" w:line="197" w:lineRule="exact"/>
              <w:rPr>
                <w:sz w:val="20"/>
                <w:szCs w:val="20"/>
                <w:color w:val="auto"/>
              </w:rPr>
            </w:pPr>
            <w:r>
              <w:rPr>
                <w:rFonts w:ascii="Arial" w:cs="Arial" w:eastAsia="Arial" w:hAnsi="Arial"/>
                <w:sz w:val="18"/>
                <w:szCs w:val="18"/>
                <w:color w:val="auto"/>
              </w:rPr>
              <w:t>September 30, 2017</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1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0" w:type="dxa"/>
            <w:vAlign w:val="bottom"/>
          </w:tcPr>
          <w:p>
            <w:pPr>
              <w:spacing w:after="0"/>
              <w:rPr>
                <w:sz w:val="17"/>
                <w:szCs w:val="17"/>
                <w:color w:val="auto"/>
              </w:rPr>
            </w:pPr>
          </w:p>
        </w:tc>
        <w:tc>
          <w:tcPr>
            <w:tcW w:w="4420" w:type="dxa"/>
            <w:vAlign w:val="bottom"/>
            <w:tcBorders>
              <w:bottom w:val="single" w:sz="8" w:color="E5FFFF"/>
            </w:tcBorders>
          </w:tcPr>
          <w:p>
            <w:pPr>
              <w:spacing w:after="0"/>
              <w:rPr>
                <w:sz w:val="17"/>
                <w:szCs w:val="17"/>
                <w:color w:val="auto"/>
              </w:rPr>
            </w:pPr>
          </w:p>
        </w:tc>
        <w:tc>
          <w:tcPr>
            <w:tcW w:w="266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E5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4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Other current assets</w:t>
            </w:r>
          </w:p>
        </w:tc>
        <w:tc>
          <w:tcPr>
            <w:tcW w:w="266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23</w:t>
            </w: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23</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4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Insurance recoveries for asbestos related liabilities</w:t>
            </w:r>
          </w:p>
        </w:tc>
        <w:tc>
          <w:tcPr>
            <w:tcW w:w="26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411</w:t>
            </w:r>
          </w:p>
        </w:tc>
        <w:tc>
          <w:tcPr>
            <w:tcW w:w="28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4420" w:type="dxa"/>
            <w:vAlign w:val="bottom"/>
            <w:shd w:val="clear" w:color="auto" w:fill="E5FFFF"/>
          </w:tcPr>
          <w:p>
            <w:pPr>
              <w:spacing w:after="0"/>
              <w:rPr>
                <w:sz w:val="19"/>
                <w:szCs w:val="19"/>
                <w:color w:val="auto"/>
              </w:rPr>
            </w:pPr>
          </w:p>
        </w:tc>
        <w:tc>
          <w:tcPr>
            <w:tcW w:w="2660" w:type="dxa"/>
            <w:vAlign w:val="bottom"/>
            <w:shd w:val="clear" w:color="auto" w:fill="E5FFFF"/>
          </w:tcPr>
          <w:p>
            <w:pPr>
              <w:spacing w:after="0"/>
              <w:rPr>
                <w:sz w:val="19"/>
                <w:szCs w:val="19"/>
                <w:color w:val="auto"/>
              </w:rPr>
            </w:pPr>
          </w:p>
        </w:tc>
        <w:tc>
          <w:tcPr>
            <w:tcW w:w="260" w:type="dxa"/>
            <w:vAlign w:val="bottom"/>
            <w:shd w:val="clear" w:color="auto" w:fill="E5FFFF"/>
          </w:tcPr>
          <w:p>
            <w:pPr>
              <w:jc w:val="right"/>
              <w:ind w:right="7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434</w:t>
            </w:r>
          </w:p>
        </w:tc>
        <w:tc>
          <w:tcPr>
            <w:tcW w:w="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440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420" w:type="dxa"/>
            <w:vAlign w:val="bottom"/>
            <w:tcBorders>
              <w:top w:val="single" w:sz="8" w:color="E5FFFF"/>
            </w:tcBorders>
          </w:tcPr>
          <w:p>
            <w:pPr>
              <w:spacing w:after="0" w:line="20" w:lineRule="exact"/>
              <w:rPr>
                <w:sz w:val="1"/>
                <w:szCs w:val="1"/>
                <w:color w:val="auto"/>
              </w:rPr>
            </w:pPr>
          </w:p>
        </w:tc>
        <w:tc>
          <w:tcPr>
            <w:tcW w:w="26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Accrued liabilities</w:t>
            </w:r>
          </w:p>
        </w:tc>
        <w:tc>
          <w:tcPr>
            <w:tcW w:w="292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420" w:type="dxa"/>
            <w:vAlign w:val="bottom"/>
            <w:shd w:val="clear" w:color="auto" w:fill="E5FFFF"/>
          </w:tcPr>
          <w:p>
            <w:pPr>
              <w:spacing w:after="0"/>
              <w:rPr>
                <w:sz w:val="20"/>
                <w:szCs w:val="20"/>
                <w:color w:val="auto"/>
              </w:rPr>
            </w:pPr>
            <w:r>
              <w:rPr>
                <w:rFonts w:ascii="Arial" w:cs="Arial" w:eastAsia="Arial" w:hAnsi="Arial"/>
                <w:sz w:val="18"/>
                <w:szCs w:val="18"/>
                <w:color w:val="auto"/>
              </w:rPr>
              <w:t>Asbestos related liabilities</w:t>
            </w:r>
          </w:p>
        </w:tc>
        <w:tc>
          <w:tcPr>
            <w:tcW w:w="266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1,004</w:t>
            </w:r>
          </w:p>
        </w:tc>
        <w:tc>
          <w:tcPr>
            <w:tcW w:w="28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1,014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92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1,551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1,560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60" w:type="dxa"/>
            <w:vAlign w:val="bottom"/>
            <w:vMerge w:val="restart"/>
          </w:tcPr>
          <w:p>
            <w:pPr>
              <w:jc w:val="right"/>
              <w:ind w:right="1990"/>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C0C0C0"/>
            </w:tcBorders>
          </w:tcPr>
          <w:p>
            <w:pPr>
              <w:spacing w:after="0"/>
              <w:rPr>
                <w:sz w:val="20"/>
                <w:szCs w:val="20"/>
                <w:color w:val="auto"/>
              </w:rPr>
            </w:pPr>
          </w:p>
        </w:tc>
        <w:tc>
          <w:tcPr>
            <w:tcW w:w="4420" w:type="dxa"/>
            <w:vAlign w:val="bottom"/>
            <w:tcBorders>
              <w:bottom w:val="single" w:sz="8" w:color="C0C0C0"/>
            </w:tcBorders>
          </w:tcPr>
          <w:p>
            <w:pPr>
              <w:spacing w:after="0"/>
              <w:rPr>
                <w:sz w:val="20"/>
                <w:szCs w:val="20"/>
                <w:color w:val="auto"/>
              </w:rPr>
            </w:pPr>
          </w:p>
        </w:tc>
        <w:tc>
          <w:tcPr>
            <w:tcW w:w="266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–In connection with NARCO’s emergence from bankruptcy on April 30, 2013, a federally authorized 524(g)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 The NARCO Trust reviews submitted claims and determines award amounts in accordance with established Trust Distribution Procedures approved by the Bankruptcy Court which set forth the criteria claimants must meet to qualify for compensation including, among other things, exposure and medical criteria that determine the award amount. In addition, Honeywell provided, and continues to provide, input to the design of control procedures for processing NARCO claims, and has on-going audit rights to review and monitor the claims processor’s adherence to the established requirements of the Trust Distribution Procedures.</w:t>
      </w:r>
    </w:p>
    <w:p>
      <w:pPr>
        <w:spacing w:after="0" w:line="19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Honeywell is obligated to fund NARCO asbestos claims submitted to the NARCO Trust which qualify for payment under the Trust Distribution Procedures (Annual Contribution Claims), subject to annual caps of $140 million in the years 2017 and 2018 and $145 million for each year thereafter. However, the initial $100 million of claims processed through the NARCO Trust (the Initial Claims Amount) will not count against the annual cap and any unused portion of the Initial Claims Amount will roll over to subsequent years until fully utilized. In 2015, Honeywell filed suit against the NARCO Trust in Bankruptcy Court alleging breach of certain provisions of the Trust Agreement and Trust Distribution Procedures. The parties agreed to dismiss the proceeding without prejudice pursuant to an 18 month Standstill Agreement. Claims processing continued during this period subject to a defined dispute resolution process. The Standstill Agreement expired on October 12, 2017. Notwithstanding its expiration, claims processing will continue, and Honeywell will continue to negotiate and attempt to resolve remaining disputed issues. Honeywell reserves its right to seek judicial intervention should negotiations fail or prove futile. Honeywell has not made any payments to the NARCO Trust for Annual Contribution Claims and does not anticipate making any such payments for the remainder of 2017.</w:t>
      </w:r>
    </w:p>
    <w:p>
      <w:pPr>
        <w:spacing w:after="0" w:line="19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Honeywell is also responsible for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(Pre-established Unliquidated Claims), which amounts are estimated at $ 150 million and are expected to be paid during the initial years of trust operations ($5 million of which has been paid since the effective date of the NARCO Trust). Such payments are not subject to the annual cap described above.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consolidated financial statements reflect an estimated liability for Pre-established Unliquidated Claims ($145 million), as well as unsettled claims pending as of the time NARCO filed for bankruptcy protection and operating and legal costs related to the Trust (collectively $32 million) and for the estimated value of future NARCO asbestos claims expected to be asserted against the NARCO Trust ($743 million). The estimate of future NARCO claims is based on a commonly accepted methodology used by numerous bankruptcy courts addressing 524(g) trusts and also reflects disputes concerning implementation of the Trust Distribution Procedures by the NARCO Trust, a lack of sufficient trust claims processing experience, as well as the stay of all NARCO asbestos claims which remained in place throughout NARCO’s Chapter 11 case. Some critical assumptions underlying this commonly accepted methodology include claims filing rates, disease criteria and payment values contained in the Trust Distribution Procedures, estimated approval rates of claims submitted to the NARCO Trust and epidemiological studies estimating disease instances. The estimated value of future NARCO claims was originally established at the time of the NARCO Chapter 11 filing reflecting claims expected to be asserted against NARCO over a fifteen year period. This projection resulted in a range of estimated liability of $743 million to $961 million. We believe that no amount within this range is a better estimate than any other amount, and accordingly, we have recorded the minimum amount in the range.</w:t>
      </w:r>
    </w:p>
    <w:p>
      <w:pPr>
        <w:spacing w:after="0" w:line="19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Projecting future events is subject to many uncertainties that could cause the NARCO-related asbestos liabilities or assets to be higher or lower than those projected and recorded. Given the uncertainties,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Bendix Products</w:t>
      </w:r>
      <w:r>
        <w:rPr>
          <w:rFonts w:ascii="Arial" w:cs="Arial" w:eastAsia="Arial" w:hAnsi="Arial"/>
          <w:sz w:val="18"/>
          <w:szCs w:val="18"/>
          <w:color w:val="auto"/>
        </w:rPr>
        <w:t>—The following tables present information regarding Bendix related asbestos claims activity:</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Claims Activity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Claims Unresolved at the beginning of period</w:t>
      </w:r>
    </w:p>
    <w:p>
      <w:pPr>
        <w:spacing w:after="0" w:line="234" w:lineRule="auto"/>
        <w:rPr>
          <w:sz w:val="20"/>
          <w:szCs w:val="20"/>
          <w:color w:val="auto"/>
        </w:rPr>
      </w:pPr>
      <w:r>
        <w:rPr>
          <w:rFonts w:ascii="Arial" w:cs="Arial" w:eastAsia="Arial" w:hAnsi="Arial"/>
          <w:sz w:val="18"/>
          <w:szCs w:val="18"/>
          <w:color w:val="auto"/>
        </w:rPr>
        <w:t>Claims Filed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Claims Resolved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Claims Unresolved at the end of period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Disease Distribution of Unresolved Claims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2020" w:type="dxa"/>
            <w:vAlign w:val="bottom"/>
            <w:gridSpan w:val="3"/>
          </w:tcPr>
          <w:p>
            <w:pPr>
              <w:jc w:val="center"/>
              <w:ind w:left="820"/>
              <w:spacing w:after="0"/>
              <w:rPr>
                <w:sz w:val="20"/>
                <w:szCs w:val="20"/>
                <w:color w:val="auto"/>
              </w:rPr>
            </w:pPr>
            <w:r>
              <w:rPr>
                <w:rFonts w:ascii="Arial" w:cs="Arial" w:eastAsia="Arial" w:hAnsi="Arial"/>
                <w:sz w:val="14"/>
                <w:szCs w:val="14"/>
                <w:b w:val="1"/>
                <w:bCs w:val="1"/>
                <w:color w:val="auto"/>
              </w:rPr>
              <w:t>Years Ended</w:t>
            </w:r>
          </w:p>
        </w:tc>
        <w:tc>
          <w:tcPr>
            <w:tcW w:w="90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020" w:type="dxa"/>
            <w:vAlign w:val="bottom"/>
            <w:tcBorders>
              <w:bottom w:val="single" w:sz="8" w:color="auto"/>
            </w:tcBorders>
            <w:gridSpan w:val="3"/>
          </w:tcPr>
          <w:p>
            <w:pPr>
              <w:jc w:val="center"/>
              <w:ind w:left="8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183"/>
        </w:trPr>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5"/>
                <w:szCs w:val="15"/>
                <w:color w:val="auto"/>
              </w:rPr>
            </w:pPr>
          </w:p>
        </w:tc>
        <w:tc>
          <w:tcPr>
            <w:tcW w:w="1300" w:type="dxa"/>
            <w:vAlign w:val="bottom"/>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396"/>
              <w:spacing w:after="0"/>
              <w:rPr>
                <w:sz w:val="20"/>
                <w:szCs w:val="20"/>
                <w:color w:val="auto"/>
              </w:rPr>
            </w:pPr>
            <w:r>
              <w:rPr>
                <w:rFonts w:ascii="Arial" w:cs="Arial" w:eastAsia="Arial" w:hAnsi="Arial"/>
                <w:sz w:val="14"/>
                <w:szCs w:val="14"/>
                <w:b w:val="1"/>
                <w:bCs w:val="1"/>
                <w:color w:val="auto"/>
              </w:rPr>
              <w:t>2015</w:t>
            </w:r>
          </w:p>
        </w:tc>
      </w:tr>
      <w:tr>
        <w:trPr>
          <w:trHeight w:val="195"/>
        </w:trPr>
        <w:tc>
          <w:tcPr>
            <w:tcW w:w="20" w:type="dxa"/>
            <w:vAlign w:val="bottom"/>
          </w:tcPr>
          <w:p>
            <w:pPr>
              <w:spacing w:after="0"/>
              <w:rPr>
                <w:sz w:val="16"/>
                <w:szCs w:val="16"/>
                <w:color w:val="auto"/>
              </w:rPr>
            </w:pPr>
          </w:p>
        </w:tc>
        <w:tc>
          <w:tcPr>
            <w:tcW w:w="1300" w:type="dxa"/>
            <w:vAlign w:val="bottom"/>
            <w:tcBorders>
              <w:top w:val="single" w:sz="8" w:color="auto"/>
            </w:tcBorders>
          </w:tcPr>
          <w:p>
            <w:pPr>
              <w:jc w:val="right"/>
              <w:ind w:right="17"/>
              <w:spacing w:after="0" w:line="195" w:lineRule="exact"/>
              <w:rPr>
                <w:sz w:val="20"/>
                <w:szCs w:val="20"/>
                <w:color w:val="auto"/>
              </w:rPr>
            </w:pPr>
            <w:r>
              <w:rPr>
                <w:rFonts w:ascii="Arial" w:cs="Arial" w:eastAsia="Arial" w:hAnsi="Arial"/>
                <w:sz w:val="18"/>
                <w:szCs w:val="18"/>
                <w:color w:val="auto"/>
              </w:rPr>
              <w:t>7,724</w:t>
            </w:r>
          </w:p>
        </w:tc>
        <w:tc>
          <w:tcPr>
            <w:tcW w:w="320" w:type="dxa"/>
            <w:vAlign w:val="bottom"/>
          </w:tcPr>
          <w:p>
            <w:pPr>
              <w:spacing w:after="0"/>
              <w:rPr>
                <w:sz w:val="16"/>
                <w:szCs w:val="16"/>
                <w:color w:val="auto"/>
              </w:rPr>
            </w:pPr>
          </w:p>
        </w:tc>
        <w:tc>
          <w:tcPr>
            <w:tcW w:w="1300" w:type="dxa"/>
            <w:vAlign w:val="bottom"/>
            <w:tcBorders>
              <w:top w:val="single" w:sz="8" w:color="auto"/>
            </w:tcBorders>
          </w:tcPr>
          <w:p>
            <w:pPr>
              <w:jc w:val="right"/>
              <w:ind w:right="20"/>
              <w:spacing w:after="0" w:line="195" w:lineRule="exact"/>
              <w:rPr>
                <w:sz w:val="20"/>
                <w:szCs w:val="20"/>
                <w:color w:val="auto"/>
              </w:rPr>
            </w:pPr>
            <w:r>
              <w:rPr>
                <w:rFonts w:ascii="Arial" w:cs="Arial" w:eastAsia="Arial" w:hAnsi="Arial"/>
                <w:sz w:val="18"/>
                <w:szCs w:val="18"/>
                <w:color w:val="auto"/>
              </w:rPr>
              <w:t>7,779</w:t>
            </w:r>
          </w:p>
        </w:tc>
        <w:tc>
          <w:tcPr>
            <w:tcW w:w="3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6"/>
              <w:spacing w:after="0" w:line="195" w:lineRule="exact"/>
              <w:rPr>
                <w:sz w:val="20"/>
                <w:szCs w:val="20"/>
                <w:color w:val="auto"/>
              </w:rPr>
            </w:pPr>
            <w:r>
              <w:rPr>
                <w:rFonts w:ascii="Arial" w:cs="Arial" w:eastAsia="Arial" w:hAnsi="Arial"/>
                <w:sz w:val="18"/>
                <w:szCs w:val="18"/>
                <w:color w:val="auto"/>
              </w:rPr>
              <w:t>9,267</w:t>
            </w:r>
          </w:p>
        </w:tc>
      </w:tr>
      <w:tr>
        <w:trPr>
          <w:trHeight w:val="216"/>
        </w:trPr>
        <w:tc>
          <w:tcPr>
            <w:tcW w:w="1320" w:type="dxa"/>
            <w:vAlign w:val="bottom"/>
            <w:gridSpan w:val="2"/>
          </w:tcPr>
          <w:p>
            <w:pPr>
              <w:jc w:val="right"/>
              <w:ind w:right="17"/>
              <w:spacing w:after="0"/>
              <w:rPr>
                <w:sz w:val="20"/>
                <w:szCs w:val="20"/>
                <w:color w:val="auto"/>
              </w:rPr>
            </w:pPr>
            <w:r>
              <w:rPr>
                <w:rFonts w:ascii="Arial" w:cs="Arial" w:eastAsia="Arial" w:hAnsi="Arial"/>
                <w:sz w:val="18"/>
                <w:szCs w:val="18"/>
                <w:color w:val="auto"/>
              </w:rPr>
              <w:t>1,976</w:t>
            </w:r>
          </w:p>
        </w:tc>
        <w:tc>
          <w:tcPr>
            <w:tcW w:w="32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2,830</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2,862</w:t>
            </w:r>
          </w:p>
        </w:tc>
      </w:tr>
      <w:tr>
        <w:trPr>
          <w:trHeight w:val="203"/>
        </w:trPr>
        <w:tc>
          <w:tcPr>
            <w:tcW w:w="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(2,925)</w:t>
            </w:r>
          </w:p>
        </w:tc>
        <w:tc>
          <w:tcPr>
            <w:tcW w:w="3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(2,885)</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(4,350)</w:t>
            </w:r>
          </w:p>
        </w:tc>
      </w:tr>
      <w:tr>
        <w:trPr>
          <w:trHeight w:val="210"/>
        </w:trPr>
        <w:tc>
          <w:tcPr>
            <w:tcW w:w="20" w:type="dxa"/>
            <w:vAlign w:val="bottom"/>
          </w:tcPr>
          <w:p>
            <w:pPr>
              <w:spacing w:after="0"/>
              <w:rPr>
                <w:sz w:val="18"/>
                <w:szCs w:val="18"/>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6,775</w:t>
            </w:r>
          </w:p>
        </w:tc>
        <w:tc>
          <w:tcPr>
            <w:tcW w:w="32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7,724</w:t>
            </w: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7,779</w:t>
            </w:r>
          </w:p>
        </w:tc>
      </w:tr>
      <w:tr>
        <w:trPr>
          <w:trHeight w:val="20"/>
        </w:trPr>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020" w:type="dxa"/>
            <w:vAlign w:val="bottom"/>
            <w:tcBorders>
              <w:bottom w:val="single" w:sz="8" w:color="auto"/>
            </w:tcBorders>
            <w:gridSpan w:val="3"/>
          </w:tcPr>
          <w:p>
            <w:pPr>
              <w:jc w:val="center"/>
              <w:ind w:left="8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156"/>
        </w:trPr>
        <w:tc>
          <w:tcPr>
            <w:tcW w:w="13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1300" w:type="dxa"/>
            <w:vAlign w:val="bottom"/>
          </w:tcPr>
          <w:p>
            <w:pPr>
              <w:jc w:val="right"/>
              <w:ind w:right="400"/>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jc w:val="right"/>
              <w:ind w:right="396"/>
              <w:spacing w:after="0" w:line="155" w:lineRule="exact"/>
              <w:rPr>
                <w:sz w:val="20"/>
                <w:szCs w:val="20"/>
                <w:color w:val="auto"/>
              </w:rPr>
            </w:pPr>
            <w:r>
              <w:rPr>
                <w:rFonts w:ascii="Arial" w:cs="Arial" w:eastAsia="Arial" w:hAnsi="Arial"/>
                <w:sz w:val="14"/>
                <w:szCs w:val="14"/>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-942975</wp:posOffset>
            </wp:positionV>
            <wp:extent cx="68776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-676910</wp:posOffset>
            </wp:positionV>
            <wp:extent cx="68776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60" w:space="720"/>
            <w:col w:w="5140"/>
          </w:cols>
          <w:pgMar w:left="240" w:top="400"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640" w:type="dxa"/>
            <w:vAlign w:val="bottom"/>
            <w:tcBorders>
              <w:top w:val="single" w:sz="8" w:color="auto"/>
            </w:tcBorders>
            <w:shd w:val="clear" w:color="auto" w:fill="E5FFFF"/>
          </w:tcPr>
          <w:p>
            <w:pPr>
              <w:ind w:left="40"/>
              <w:spacing w:after="0"/>
              <w:rPr>
                <w:sz w:val="20"/>
                <w:szCs w:val="20"/>
                <w:color w:val="auto"/>
              </w:rPr>
            </w:pPr>
            <w:r>
              <w:rPr>
                <w:rFonts w:ascii="Arial" w:cs="Arial" w:eastAsia="Arial" w:hAnsi="Arial"/>
                <w:sz w:val="18"/>
                <w:szCs w:val="18"/>
                <w:color w:val="auto"/>
              </w:rPr>
              <w:t>Mesothelioma and Other Cancer Claims</w:t>
            </w:r>
          </w:p>
        </w:tc>
        <w:tc>
          <w:tcPr>
            <w:tcW w:w="2660" w:type="dxa"/>
            <w:vAlign w:val="bottom"/>
            <w:tcBorders>
              <w:top w:val="single" w:sz="8" w:color="E5FFFF"/>
            </w:tcBorders>
            <w:shd w:val="clear" w:color="auto" w:fill="E5FFFF"/>
          </w:tcPr>
          <w:p>
            <w:pPr>
              <w:spacing w:after="0"/>
              <w:rPr>
                <w:sz w:val="19"/>
                <w:szCs w:val="19"/>
                <w:color w:val="auto"/>
              </w:rPr>
            </w:pPr>
          </w:p>
        </w:tc>
        <w:tc>
          <w:tcPr>
            <w:tcW w:w="1300" w:type="dxa"/>
            <w:vAlign w:val="bottom"/>
            <w:tcBorders>
              <w:top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3,102</w:t>
            </w:r>
          </w:p>
        </w:tc>
        <w:tc>
          <w:tcPr>
            <w:tcW w:w="320" w:type="dxa"/>
            <w:vAlign w:val="bottom"/>
            <w:tcBorders>
              <w:top w:val="single" w:sz="8" w:color="E5FFFF"/>
            </w:tcBorders>
            <w:shd w:val="clear" w:color="auto" w:fill="E5FFFF"/>
          </w:tcPr>
          <w:p>
            <w:pPr>
              <w:spacing w:after="0"/>
              <w:rPr>
                <w:sz w:val="19"/>
                <w:szCs w:val="19"/>
                <w:color w:val="auto"/>
              </w:rPr>
            </w:pPr>
          </w:p>
        </w:tc>
        <w:tc>
          <w:tcPr>
            <w:tcW w:w="1300" w:type="dxa"/>
            <w:vAlign w:val="bottom"/>
            <w:tcBorders>
              <w:top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3,490</w:t>
            </w:r>
          </w:p>
        </w:tc>
        <w:tc>
          <w:tcPr>
            <w:tcW w:w="320" w:type="dxa"/>
            <w:vAlign w:val="bottom"/>
            <w:tcBorders>
              <w:top w:val="single" w:sz="8" w:color="E5FFFF"/>
            </w:tcBorders>
            <w:shd w:val="clear" w:color="auto" w:fill="E5FFFF"/>
          </w:tcPr>
          <w:p>
            <w:pPr>
              <w:spacing w:after="0"/>
              <w:rPr>
                <w:sz w:val="19"/>
                <w:szCs w:val="19"/>
                <w:color w:val="auto"/>
              </w:rPr>
            </w:pPr>
          </w:p>
        </w:tc>
        <w:tc>
          <w:tcPr>
            <w:tcW w:w="1300" w:type="dxa"/>
            <w:vAlign w:val="bottom"/>
            <w:tcBorders>
              <w:top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3,772</w:t>
            </w:r>
          </w:p>
        </w:tc>
      </w:tr>
      <w:tr>
        <w:trPr>
          <w:trHeight w:val="216"/>
        </w:trPr>
        <w:tc>
          <w:tcPr>
            <w:tcW w:w="6300" w:type="dxa"/>
            <w:vAlign w:val="bottom"/>
            <w:tcBorders>
              <w:bottom w:val="single" w:sz="8" w:color="E5FFFF"/>
            </w:tcBorders>
            <w:gridSpan w:val="2"/>
          </w:tcPr>
          <w:p>
            <w:pPr>
              <w:ind w:left="40"/>
              <w:spacing w:after="0"/>
              <w:rPr>
                <w:sz w:val="20"/>
                <w:szCs w:val="20"/>
                <w:color w:val="auto"/>
              </w:rPr>
            </w:pPr>
            <w:r>
              <w:rPr>
                <w:rFonts w:ascii="Arial" w:cs="Arial" w:eastAsia="Arial" w:hAnsi="Arial"/>
                <w:sz w:val="18"/>
                <w:szCs w:val="18"/>
                <w:color w:val="auto"/>
              </w:rPr>
              <w:t>Nonmalignant Claims</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3,673</w:t>
            </w:r>
          </w:p>
        </w:tc>
        <w:tc>
          <w:tcPr>
            <w:tcW w:w="32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4,234</w:t>
            </w:r>
          </w:p>
        </w:tc>
        <w:tc>
          <w:tcPr>
            <w:tcW w:w="32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4,007</w:t>
            </w:r>
          </w:p>
        </w:tc>
      </w:tr>
      <w:tr>
        <w:trPr>
          <w:trHeight w:val="210"/>
        </w:trPr>
        <w:tc>
          <w:tcPr>
            <w:tcW w:w="6300" w:type="dxa"/>
            <w:vAlign w:val="bottom"/>
            <w:tcBorders>
              <w:bottom w:val="single" w:sz="8" w:color="E5FFFF"/>
            </w:tcBorders>
            <w:gridSpan w:val="2"/>
            <w:shd w:val="clear" w:color="auto" w:fill="E5FFFF"/>
          </w:tcPr>
          <w:p>
            <w:pPr>
              <w:ind w:left="180"/>
              <w:spacing w:after="0" w:line="197" w:lineRule="exact"/>
              <w:rPr>
                <w:sz w:val="20"/>
                <w:szCs w:val="20"/>
                <w:color w:val="auto"/>
              </w:rPr>
            </w:pPr>
            <w:r>
              <w:rPr>
                <w:rFonts w:ascii="Arial" w:cs="Arial" w:eastAsia="Arial" w:hAnsi="Arial"/>
                <w:sz w:val="18"/>
                <w:szCs w:val="18"/>
                <w:color w:val="auto"/>
              </w:rPr>
              <w:t>Total Claims</w:t>
            </w:r>
          </w:p>
        </w:tc>
        <w:tc>
          <w:tcPr>
            <w:tcW w:w="13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6,775</w:t>
            </w:r>
          </w:p>
        </w:tc>
        <w:tc>
          <w:tcPr>
            <w:tcW w:w="320" w:type="dxa"/>
            <w:vAlign w:val="bottom"/>
            <w:tcBorders>
              <w:bottom w:val="single" w:sz="8" w:color="E5FFFF"/>
            </w:tcBorders>
            <w:shd w:val="clear" w:color="auto" w:fill="E5FFFF"/>
          </w:tcPr>
          <w:p>
            <w:pPr>
              <w:spacing w:after="0"/>
              <w:rPr>
                <w:sz w:val="18"/>
                <w:szCs w:val="18"/>
                <w:color w:val="auto"/>
              </w:rPr>
            </w:pPr>
          </w:p>
        </w:tc>
        <w:tc>
          <w:tcPr>
            <w:tcW w:w="13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7,724</w:t>
            </w:r>
          </w:p>
        </w:tc>
        <w:tc>
          <w:tcPr>
            <w:tcW w:w="320" w:type="dxa"/>
            <w:vAlign w:val="bottom"/>
            <w:tcBorders>
              <w:bottom w:val="single" w:sz="8" w:color="E5FFFF"/>
            </w:tcBorders>
            <w:shd w:val="clear" w:color="auto" w:fill="E5FFFF"/>
          </w:tcPr>
          <w:p>
            <w:pPr>
              <w:spacing w:after="0"/>
              <w:rPr>
                <w:sz w:val="18"/>
                <w:szCs w:val="18"/>
                <w:color w:val="auto"/>
              </w:rPr>
            </w:pPr>
          </w:p>
        </w:tc>
        <w:tc>
          <w:tcPr>
            <w:tcW w:w="13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7,779</w:t>
            </w:r>
          </w:p>
        </w:tc>
      </w:tr>
      <w:tr>
        <w:trPr>
          <w:trHeight w:val="20"/>
        </w:trPr>
        <w:tc>
          <w:tcPr>
            <w:tcW w:w="3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3"/>
        </w:trPr>
        <w:tc>
          <w:tcPr>
            <w:tcW w:w="4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r>
      <w:tr>
        <w:trPr>
          <w:trHeight w:val="182"/>
        </w:trPr>
        <w:tc>
          <w:tcPr>
            <w:tcW w:w="4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(in whole dollars)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Malignant claims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44,000</w:t>
            </w:r>
          </w:p>
        </w:tc>
        <w:tc>
          <w:tcPr>
            <w:tcW w:w="4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44,000</w:t>
            </w:r>
          </w:p>
        </w:tc>
        <w:tc>
          <w:tcPr>
            <w:tcW w:w="700" w:type="dxa"/>
            <w:vAlign w:val="bottom"/>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53,500</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51,000</w:t>
            </w:r>
          </w:p>
        </w:tc>
        <w:tc>
          <w:tcPr>
            <w:tcW w:w="4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49,000</w:t>
            </w: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Nonmalignant claims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4,485</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70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6"/>
              <w:spacing w:after="0"/>
              <w:rPr>
                <w:sz w:val="20"/>
                <w:szCs w:val="20"/>
                <w:color w:val="auto"/>
              </w:rPr>
            </w:pPr>
            <w:r>
              <w:rPr>
                <w:rFonts w:ascii="Arial" w:cs="Arial" w:eastAsia="Arial" w:hAnsi="Arial"/>
                <w:sz w:val="18"/>
                <w:szCs w:val="18"/>
                <w:color w:val="auto"/>
              </w:rPr>
              <w:t>120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6"/>
              <w:spacing w:after="0"/>
              <w:rPr>
                <w:sz w:val="20"/>
                <w:szCs w:val="20"/>
                <w:color w:val="auto"/>
              </w:rPr>
            </w:pPr>
            <w:r>
              <w:rPr>
                <w:rFonts w:ascii="Arial" w:cs="Arial" w:eastAsia="Arial" w:hAnsi="Arial"/>
                <w:sz w:val="18"/>
                <w:szCs w:val="18"/>
                <w:color w:val="auto"/>
              </w:rPr>
              <w:t>850</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1,400</w:t>
            </w: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rPr>
          <w:sz w:val="20"/>
          <w:szCs w:val="20"/>
          <w:color w:val="auto"/>
        </w:rPr>
      </w:pPr>
      <w:r>
        <w:rPr>
          <w:rFonts w:ascii="Arial" w:cs="Arial" w:eastAsia="Arial" w:hAnsi="Arial"/>
          <w:sz w:val="18"/>
          <w:szCs w:val="18"/>
          <w:color w:val="auto"/>
        </w:rPr>
        <w:t>future.</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liability for future NARCO-related asbestos claims.</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employment,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is the following:</w:t>
      </w:r>
    </w:p>
    <w:p>
      <w:pPr>
        <w:spacing w:after="0" w:line="168"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September 2011, the UAW and certain Honeywell retirees filed a suit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Eastern District of Michigan alleging that the Master Collective Bargaining Agreements (MCBAs) between Honeywell and the UAW do not provide for limitations on Honeywell’s obligation to contribute toward healthcare coverage for former employees who retired under the MCBAs (CAPS). Honeywell subsequently answered the UAW’s complaint and asserted counterclaims.</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began enforcing the CAPS against former employees who retired after the initial inclusion of the CAPS in the 2003 MCBA (the post-2003 retirees) on January 1, 2014. The UAW and certain of the plaintiffs filed a motion for partial summary judgment with respect to the post-2003 retirees, seeking a ruling that the 2003 MCBA did not limit Honeywell’s obligation to contribute to healthcare coverage for those retirees. That motion remains pending. Honeywell is confident that the District Court will find that the 2003 MCBA does, in fact, limit Honeywell’s retiree healthcare obligation for the post-2003 retirees. In the event of an adverse ruling, however, Honeywell’s other postretirement benefits for post-2003 retirees would increase by approximately $95 million, reflecting the estimated value of these CAPS.</w:t>
      </w:r>
    </w:p>
    <w:p>
      <w:pPr>
        <w:spacing w:after="0" w:line="19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In the second quarter of 2014, the parties agreed to stay the proceedings with respect to former employees who retired before the initial inclusion of the CAPS in the 2003 MCBA (the pre-2003 retirees) until the Supreme Court decided </w:t>
      </w:r>
      <w:r>
        <w:rPr>
          <w:rFonts w:ascii="Arial" w:cs="Arial" w:eastAsia="Arial" w:hAnsi="Arial"/>
          <w:sz w:val="18"/>
          <w:szCs w:val="18"/>
          <w:i w:val="1"/>
          <w:iCs w:val="1"/>
          <w:color w:val="auto"/>
        </w:rPr>
        <w:t>M&amp;G Polymers USA, LLC v. Tackett</w:t>
      </w:r>
      <w:r>
        <w:rPr>
          <w:rFonts w:ascii="Arial" w:cs="Arial" w:eastAsia="Arial" w:hAnsi="Arial"/>
          <w:sz w:val="21"/>
          <w:szCs w:val="21"/>
          <w:color w:val="auto"/>
        </w:rPr>
        <w:t>.</w:t>
      </w:r>
      <w:r>
        <w:rPr>
          <w:rFonts w:ascii="Arial" w:cs="Arial" w:eastAsia="Arial" w:hAnsi="Arial"/>
          <w:sz w:val="18"/>
          <w:szCs w:val="18"/>
          <w:color w:val="auto"/>
        </w:rPr>
        <w:t xml:space="preserve"> The Supreme Court decided the case on January 26, 2015 and, based on the ruling, Honeywell began enforcing the CAPS against the pre-2003 retirees as of May 1, 2015. Honeywell is confident that the CAPS will be upheld by the District Court and that its liability for healthcare coverage premiums with respect to the putative class will be limited as negotiated and expressly set forth in the applicable MCBAs. In the event of an adverse ruling, however, Honeywell’s other postretirement benefits for the pre-2003 retirees would increase by approximately $129 million, reflecting the estimated value of these CAPS.</w:t>
      </w:r>
    </w:p>
    <w:p>
      <w:pPr>
        <w:spacing w:after="0" w:line="23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Given the uncertainty inherent in litigation and investigations (including the specific matter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5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October 10, 2017, the Company announced its intention to separately spin off the Homes and Global Distribution business and the Transportation Systems business into two stand-alone, publicly-traded companies. The planned separation transactions are intended to be tax-free spins to Company shareowners for U.S. federal income tax purposes and are expected to be completed by the end of 2018.</w:t>
      </w:r>
    </w:p>
    <w:p>
      <w:pPr>
        <w:spacing w:after="0" w:line="189"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On October 10, 2017, the Company also announced that it is realigning the Smart Energy business unit from the Home and Building Technologies segment to the Performance Materials and Technologies segment. The Company intends to report its financial performance based on this realignment effective with the reporting of results for full year 2017 in its Annual Report on Form 10-K. This realignment will have no impact on the Company’s historical consolidated financial position, results of operations or cash flows.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0" w:right="2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198"/>
        </w:trPr>
        <w:tc>
          <w:tcPr>
            <w:tcW w:w="3240" w:type="dxa"/>
            <w:vAlign w:val="bottom"/>
          </w:tcPr>
          <w:p>
            <w:pPr>
              <w:spacing w:after="0"/>
              <w:rPr>
                <w:sz w:val="17"/>
                <w:szCs w:val="17"/>
                <w:color w:val="auto"/>
              </w:rPr>
            </w:pPr>
          </w:p>
        </w:tc>
        <w:tc>
          <w:tcPr>
            <w:tcW w:w="5600" w:type="dxa"/>
            <w:vAlign w:val="bottom"/>
            <w:gridSpan w:val="2"/>
          </w:tcPr>
          <w:p>
            <w:pPr>
              <w:jc w:val="center"/>
              <w:ind w:right="20"/>
              <w:spacing w:after="0" w:line="199" w:lineRule="exact"/>
              <w:rPr>
                <w:sz w:val="20"/>
                <w:szCs w:val="20"/>
                <w:color w:val="auto"/>
              </w:rPr>
            </w:pPr>
            <w:r>
              <w:rPr>
                <w:rFonts w:ascii="Arial" w:cs="Arial" w:eastAsia="Arial" w:hAnsi="Arial"/>
                <w:sz w:val="18"/>
                <w:szCs w:val="18"/>
                <w:b w:val="1"/>
                <w:bCs w:val="1"/>
                <w:color w:val="auto"/>
                <w:w w:val="99"/>
              </w:rPr>
              <w:t>FINANCIAL CONDITION AND RESULTS OF OPERATIONS (MD&amp;A)</w:t>
            </w:r>
          </w:p>
        </w:tc>
      </w:tr>
      <w:tr>
        <w:trPr>
          <w:trHeight w:val="232"/>
        </w:trPr>
        <w:tc>
          <w:tcPr>
            <w:tcW w:w="324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20" w:type="dxa"/>
            <w:vAlign w:val="bottom"/>
          </w:tcPr>
          <w:p>
            <w:pPr>
              <w:spacing w:after="0"/>
              <w:rPr>
                <w:sz w:val="20"/>
                <w:szCs w:val="20"/>
                <w:color w:val="auto"/>
              </w:rPr>
            </w:pPr>
          </w:p>
        </w:tc>
      </w:tr>
    </w:tbl>
    <w:p>
      <w:pPr>
        <w:spacing w:after="0" w:line="19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MD&amp;A is intended to help the reader understand the results of operations and financial condition of Honeywell International Inc. and its consolidated subsidiaries (Honeywell or the Company) for the three months (quarter) and nine months ended September 30, 2017. The financial information as of September 30, 2017 should be read in conjunction with the consolidated financial statements for the year ended December 31, 2016 contained in our 2016 Annual Report on Form 10-K.</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On October 10, 2017, the Company announced its intention to separately spin off the Homes and Global Distribution business and the Transportation Systems business into two stand-alone, publicly-traded companies. The planned separation transactions are intended to be tax-free spins to Honeywell shareowners for U.S. federal income tax purposes and are expected to be completed by the end of 2018. Completion of each proposed spin-off is subject to finalization of the financial statements of the spun-off business, assurance that the separation will be tax-free to Honeywell shareowners for U.S. federal income tax purposes, finalization of the capital structure of the three corporations, the effectiveness of appropriate filings with the U.S. Securities and Exchange Commission, final approval of the Honeywell Board of Directors, and other customary matters. Each proposed spin-off is complex in nature, and may be affected by unanticipated developments, credit and equity markets, or changes in market conditions.</w:t>
      </w:r>
    </w:p>
    <w:p>
      <w:pPr>
        <w:spacing w:after="0" w:line="19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 October 10, 2017, the Company also announced that it is realigning the Smart Energy business unit from the Home and Building Technologies segment to the Performance Materials and Technologies segment. The Company intends to report its financial performance based on this realignment effective with the reporting of full year results for 2017 in its Annual Report on Form 10-K. This realignment will have no impact on the Company’s historical consolidated financial position, results of operations or cash flows.</w:t>
      </w:r>
    </w:p>
    <w:p>
      <w:pPr>
        <w:spacing w:after="0" w:line="166" w:lineRule="exact"/>
        <w:rPr>
          <w:sz w:val="20"/>
          <w:szCs w:val="20"/>
          <w:color w:val="auto"/>
        </w:rPr>
      </w:pPr>
    </w:p>
    <w:p>
      <w:pPr>
        <w:ind w:left="340" w:right="580" w:hanging="332"/>
        <w:spacing w:after="0" w:line="271" w:lineRule="auto"/>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Results of Operations – three and nine months ended September 30, 2017 compared with the three and nine months ended September 30,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59"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80" w:type="dxa"/>
            <w:vAlign w:val="bottom"/>
            <w:gridSpan w:val="4"/>
          </w:tcPr>
          <w:p>
            <w:pPr>
              <w:jc w:val="center"/>
              <w:ind w:right="1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1"/>
        </w:trPr>
        <w:tc>
          <w:tcPr>
            <w:tcW w:w="5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81"/>
              <w:spacing w:after="0"/>
              <w:rPr>
                <w:sz w:val="20"/>
                <w:szCs w:val="20"/>
                <w:color w:val="auto"/>
              </w:rPr>
            </w:pPr>
            <w:r>
              <w:rPr>
                <w:rFonts w:ascii="Arial" w:cs="Arial" w:eastAsia="Arial" w:hAnsi="Arial"/>
                <w:sz w:val="18"/>
                <w:szCs w:val="18"/>
                <w:color w:val="auto"/>
              </w:rPr>
              <w:t>10,121</w:t>
            </w:r>
          </w:p>
        </w:tc>
        <w:tc>
          <w:tcPr>
            <w:tcW w:w="3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9,804</w:t>
            </w:r>
          </w:p>
        </w:tc>
        <w:tc>
          <w:tcPr>
            <w:tcW w:w="3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81"/>
              <w:spacing w:after="0"/>
              <w:rPr>
                <w:sz w:val="20"/>
                <w:szCs w:val="20"/>
                <w:color w:val="auto"/>
              </w:rPr>
            </w:pPr>
            <w:r>
              <w:rPr>
                <w:rFonts w:ascii="Arial" w:cs="Arial" w:eastAsia="Arial" w:hAnsi="Arial"/>
                <w:sz w:val="18"/>
                <w:szCs w:val="18"/>
                <w:color w:val="auto"/>
              </w:rPr>
              <w:t>29,691</w:t>
            </w:r>
          </w:p>
        </w:tc>
        <w:tc>
          <w:tcPr>
            <w:tcW w:w="3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29,317</w:t>
            </w:r>
          </w:p>
        </w:tc>
        <w:tc>
          <w:tcPr>
            <w:tcW w:w="0" w:type="dxa"/>
            <w:vAlign w:val="bottom"/>
          </w:tcPr>
          <w:p>
            <w:pPr>
              <w:spacing w:after="0"/>
              <w:rPr>
                <w:sz w:val="1"/>
                <w:szCs w:val="1"/>
                <w:color w:val="auto"/>
              </w:rPr>
            </w:pPr>
          </w:p>
        </w:tc>
      </w:tr>
      <w:tr>
        <w:trPr>
          <w:trHeight w:val="217"/>
        </w:trPr>
        <w:tc>
          <w:tcPr>
            <w:tcW w:w="5080" w:type="dxa"/>
            <w:vAlign w:val="bottom"/>
          </w:tcPr>
          <w:p>
            <w:pPr>
              <w:spacing w:after="0"/>
              <w:rPr>
                <w:sz w:val="20"/>
                <w:szCs w:val="20"/>
                <w:color w:val="auto"/>
              </w:rPr>
            </w:pPr>
            <w:r>
              <w:rPr>
                <w:rFonts w:ascii="Arial" w:cs="Arial" w:eastAsia="Arial" w:hAnsi="Arial"/>
                <w:sz w:val="18"/>
                <w:szCs w:val="18"/>
                <w:color w:val="auto"/>
              </w:rPr>
              <w:t>% change compared with prior period</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p>
      <w:pPr>
        <w:spacing w:after="0" w:line="253" w:lineRule="exact"/>
        <w:rPr>
          <w:sz w:val="20"/>
          <w:szCs w:val="20"/>
          <w:color w:val="auto"/>
        </w:rPr>
      </w:pPr>
    </w:p>
    <w:tbl>
      <w:tblPr>
        <w:tblLayout w:type="fixed"/>
        <w:tblInd w:w="230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Three Months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Year to Date</w:t>
            </w:r>
          </w:p>
        </w:tc>
      </w:tr>
      <w:tr>
        <w:trPr>
          <w:trHeight w:val="196"/>
        </w:trPr>
        <w:tc>
          <w:tcPr>
            <w:tcW w:w="44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Volume</w:t>
            </w:r>
          </w:p>
        </w:tc>
        <w:tc>
          <w:tcPr>
            <w:tcW w:w="12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Price</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4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2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16"/>
        </w:trPr>
        <w:tc>
          <w:tcPr>
            <w:tcW w:w="44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Acquisitions/Divestitures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480" w:type="dxa"/>
            <w:vAlign w:val="bottom"/>
            <w:tcBorders>
              <w:bottom w:val="single" w:sz="8" w:color="E5FFFF"/>
            </w:tcBorders>
            <w:shd w:val="clear" w:color="auto" w:fill="E5FFFF"/>
          </w:tcPr>
          <w:p>
            <w:pPr>
              <w:spacing w:after="0"/>
              <w:rPr>
                <w:sz w:val="19"/>
                <w:szCs w:val="19"/>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E5FFFF"/>
            </w:tcBorders>
            <w:shd w:val="clear" w:color="auto" w:fill="E5FFFF"/>
          </w:tcPr>
          <w:p>
            <w:pPr>
              <w:spacing w:after="0"/>
              <w:rPr>
                <w:sz w:val="19"/>
                <w:szCs w:val="19"/>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A discussion of net sales by segment can be found in the Review of Business Segments section of this MD&amp;A. The foreign currency translation impact in the quarter is primarily driven by the strengthening of the Euro and Canadian Dollar against the U.S. Dollar.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86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Borders>
              <w:bottom w:val="single" w:sz="8" w:color="E5FF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E5FF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78"/>
              <w:spacing w:after="0" w:line="196" w:lineRule="exact"/>
              <w:rPr>
                <w:sz w:val="20"/>
                <w:szCs w:val="20"/>
                <w:color w:val="auto"/>
              </w:rPr>
            </w:pPr>
            <w:r>
              <w:rPr>
                <w:rFonts w:ascii="Arial" w:cs="Arial" w:eastAsia="Arial" w:hAnsi="Arial"/>
                <w:sz w:val="18"/>
                <w:szCs w:val="18"/>
                <w:color w:val="auto"/>
              </w:rPr>
              <w:t>6,873</w:t>
            </w:r>
          </w:p>
        </w:tc>
        <w:tc>
          <w:tcPr>
            <w:tcW w:w="340" w:type="dxa"/>
            <w:vAlign w:val="bottom"/>
            <w:shd w:val="clear" w:color="auto" w:fill="E5FFFF"/>
          </w:tcPr>
          <w:p>
            <w:pPr>
              <w:spacing w:after="0"/>
              <w:rPr>
                <w:sz w:val="17"/>
                <w:szCs w:val="17"/>
                <w:color w:val="auto"/>
              </w:rPr>
            </w:pPr>
          </w:p>
        </w:tc>
        <w:tc>
          <w:tcPr>
            <w:tcW w:w="400" w:type="dxa"/>
            <w:vAlign w:val="bottom"/>
            <w:shd w:val="clear" w:color="auto" w:fill="E5FF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6,903</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139"/>
              <w:spacing w:after="0" w:line="196" w:lineRule="exact"/>
              <w:rPr>
                <w:sz w:val="20"/>
                <w:szCs w:val="20"/>
                <w:color w:val="auto"/>
              </w:rPr>
            </w:pPr>
            <w:r>
              <w:rPr>
                <w:rFonts w:ascii="Arial" w:cs="Arial" w:eastAsia="Arial" w:hAnsi="Arial"/>
                <w:sz w:val="18"/>
                <w:szCs w:val="18"/>
                <w:color w:val="auto"/>
              </w:rPr>
              <w:t>20,079</w:t>
            </w:r>
          </w:p>
        </w:tc>
        <w:tc>
          <w:tcPr>
            <w:tcW w:w="340" w:type="dxa"/>
            <w:vAlign w:val="bottom"/>
            <w:shd w:val="clear" w:color="auto" w:fill="E5FFFF"/>
          </w:tcPr>
          <w:p>
            <w:pPr>
              <w:spacing w:after="0"/>
              <w:rPr>
                <w:sz w:val="17"/>
                <w:szCs w:val="17"/>
                <w:color w:val="auto"/>
              </w:rPr>
            </w:pPr>
          </w:p>
        </w:tc>
        <w:tc>
          <w:tcPr>
            <w:tcW w:w="480" w:type="dxa"/>
            <w:vAlign w:val="bottom"/>
            <w:shd w:val="clear" w:color="auto" w:fill="E5FF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20,271</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 change compared with prior period</w:t>
            </w:r>
          </w:p>
        </w:tc>
        <w:tc>
          <w:tcPr>
            <w:tcW w:w="260" w:type="dxa"/>
            <w:vAlign w:val="bottom"/>
          </w:tcPr>
          <w:p>
            <w:pPr>
              <w:spacing w:after="0"/>
              <w:rPr>
                <w:sz w:val="19"/>
                <w:szCs w:val="19"/>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Gross Margin percentage</w:t>
            </w:r>
          </w:p>
        </w:tc>
        <w:tc>
          <w:tcPr>
            <w:tcW w:w="26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32.1%</w:t>
            </w:r>
          </w:p>
        </w:tc>
        <w:tc>
          <w:tcPr>
            <w:tcW w:w="34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29.6%</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32.4%</w:t>
            </w:r>
          </w:p>
        </w:tc>
        <w:tc>
          <w:tcPr>
            <w:tcW w:w="34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578"/>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48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6" w:right="239" w:bottom="1440" w:gutter="0" w:footer="0" w:header="0"/>
        </w:sectPr>
      </w:pPr>
    </w:p>
    <w:bookmarkStart w:id="23" w:name="page24"/>
    <w:bookmarkEnd w:id="23"/>
    <w:p>
      <w:pPr>
        <w:jc w:val="both"/>
        <w:ind w:firstLine="648"/>
        <w:spacing w:after="0" w:line="239" w:lineRule="auto"/>
        <w:rPr>
          <w:sz w:val="20"/>
          <w:szCs w:val="20"/>
          <w:color w:val="auto"/>
        </w:rPr>
      </w:pPr>
      <w:r>
        <w:rPr>
          <w:rFonts w:ascii="Arial" w:cs="Arial" w:eastAsia="Arial" w:hAnsi="Arial"/>
          <w:sz w:val="18"/>
          <w:szCs w:val="18"/>
          <w:color w:val="auto"/>
        </w:rPr>
        <w:t>Cost of products and services sold decreased in the quarter primarily due to lower labor costs of approximately $110 million (driven primarily by divestitures, net of acquisitions), and decreased indirect material costs of approximately $90 million (driven primarily by productivity, net of inflation), and lower repositioning and other charges of approximately $30 million, partially offset by higher organic sales volumes that drove increased direct materials of approximately $220 million.</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Cost of products and services sold decreased in the nine months primarily due to lower labor costs of approximately $390 million (driven primarily by divestitures, net of acquisitions), and decreased indirect material costs of approximately $180 million (driven primarily by productivity, net of inflation), partially offset by higher organic sales volumes that drove increased direct materials of approximately $350 million and increased repositioning and other charges of approximately $90 million.</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Gross margin percentage increased in the quarter primarily due to higher gross margin in Aerospace and Performance Materials and Technologies (approximately 2.5 percentage point impact collectively) and lower repositioning and other charges allocated to cost of products and services sold (approximately 0.3 percentage point impact), partially offset by lower gross margin in Home and Building Technologies and Safety and Productivity Solutions (approximately 0.4 percentage point impact collectively).</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Gross margin percentage increased in the nine months primarily due to higher gross margin in Aerospace and Performance Materials and Technologies (approximately 2.0 percentage point impact collectively), partially offset by lower gross margin in Home and Building Technologies and Safety and Productivity Solutions (approximately 0.3 percentage point impact collectively) and higher repositioning and other charges allocated to cost of products and services sold (approximately 0.3 percentage point impact).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4"/>
          </w:tcPr>
          <w:p>
            <w:pPr>
              <w:jc w:val="center"/>
              <w:ind w:right="19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4"/>
          </w:tcPr>
          <w:p>
            <w:pPr>
              <w:jc w:val="center"/>
              <w:ind w:right="1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0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1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5"/>
        </w:trPr>
        <w:tc>
          <w:tcPr>
            <w:tcW w:w="460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81"/>
              <w:spacing w:after="0" w:line="195" w:lineRule="exact"/>
              <w:rPr>
                <w:sz w:val="20"/>
                <w:szCs w:val="20"/>
                <w:color w:val="auto"/>
              </w:rPr>
            </w:pPr>
            <w:r>
              <w:rPr>
                <w:rFonts w:ascii="Arial" w:cs="Arial" w:eastAsia="Arial" w:hAnsi="Arial"/>
                <w:sz w:val="18"/>
                <w:szCs w:val="18"/>
                <w:color w:val="auto"/>
              </w:rPr>
              <w:t>1,447</w:t>
            </w:r>
          </w:p>
        </w:tc>
        <w:tc>
          <w:tcPr>
            <w:tcW w:w="340" w:type="dxa"/>
            <w:vAlign w:val="bottom"/>
          </w:tcPr>
          <w:p>
            <w:pPr>
              <w:spacing w:after="0"/>
              <w:rPr>
                <w:sz w:val="16"/>
                <w:szCs w:val="16"/>
                <w:color w:val="auto"/>
              </w:rPr>
            </w:pPr>
          </w:p>
        </w:tc>
        <w:tc>
          <w:tcPr>
            <w:tcW w:w="38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76"/>
              <w:spacing w:after="0" w:line="195" w:lineRule="exact"/>
              <w:rPr>
                <w:sz w:val="20"/>
                <w:szCs w:val="20"/>
                <w:color w:val="auto"/>
              </w:rPr>
            </w:pPr>
            <w:r>
              <w:rPr>
                <w:rFonts w:ascii="Arial" w:cs="Arial" w:eastAsia="Arial" w:hAnsi="Arial"/>
                <w:sz w:val="18"/>
                <w:szCs w:val="18"/>
                <w:color w:val="auto"/>
              </w:rPr>
              <w:t>1,367</w:t>
            </w:r>
          </w:p>
        </w:tc>
        <w:tc>
          <w:tcPr>
            <w:tcW w:w="340" w:type="dxa"/>
            <w:vAlign w:val="bottom"/>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81"/>
              <w:spacing w:after="0" w:line="195" w:lineRule="exact"/>
              <w:rPr>
                <w:sz w:val="20"/>
                <w:szCs w:val="20"/>
                <w:color w:val="auto"/>
              </w:rPr>
            </w:pPr>
            <w:r>
              <w:rPr>
                <w:rFonts w:ascii="Arial" w:cs="Arial" w:eastAsia="Arial" w:hAnsi="Arial"/>
                <w:sz w:val="18"/>
                <w:szCs w:val="18"/>
                <w:color w:val="auto"/>
              </w:rPr>
              <w:t>4,177</w:t>
            </w:r>
          </w:p>
        </w:tc>
        <w:tc>
          <w:tcPr>
            <w:tcW w:w="340" w:type="dxa"/>
            <w:vAlign w:val="bottom"/>
          </w:tcPr>
          <w:p>
            <w:pPr>
              <w:spacing w:after="0"/>
              <w:rPr>
                <w:sz w:val="16"/>
                <w:szCs w:val="16"/>
                <w:color w:val="auto"/>
              </w:rPr>
            </w:pPr>
          </w:p>
        </w:tc>
        <w:tc>
          <w:tcPr>
            <w:tcW w:w="38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76"/>
              <w:spacing w:after="0" w:line="195" w:lineRule="exact"/>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Percent of sales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Selling, general and administrative expenses increased in the quarter and nine months primarily driven by an increase in labor costs (primarily attributed to acquisitions, net of divestitures, investment for growth and merit increases), partially offset by benefits from repositioning.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4"/>
          </w:tcPr>
          <w:p>
            <w:pPr>
              <w:jc w:val="center"/>
              <w:ind w:right="19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4"/>
          </w:tcPr>
          <w:p>
            <w:pPr>
              <w:jc w:val="center"/>
              <w:ind w:right="196"/>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35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r>
      <w:tr>
        <w:trPr>
          <w:trHeight w:val="156"/>
        </w:trPr>
        <w:tc>
          <w:tcPr>
            <w:tcW w:w="35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2016</w:t>
            </w:r>
          </w:p>
        </w:tc>
      </w:tr>
      <w:tr>
        <w:trPr>
          <w:trHeight w:val="411"/>
        </w:trPr>
        <w:tc>
          <w:tcPr>
            <w:tcW w:w="3520" w:type="dxa"/>
            <w:vAlign w:val="bottom"/>
          </w:tcPr>
          <w:p>
            <w:pPr>
              <w:spacing w:after="0"/>
              <w:rPr>
                <w:sz w:val="20"/>
                <w:szCs w:val="20"/>
                <w:color w:val="auto"/>
              </w:rPr>
            </w:pPr>
            <w:r>
              <w:rPr>
                <w:rFonts w:ascii="Arial" w:cs="Arial" w:eastAsia="Arial" w:hAnsi="Arial"/>
                <w:sz w:val="18"/>
                <w:szCs w:val="18"/>
                <w:color w:val="auto"/>
              </w:rPr>
              <w:t>Tax expense</w:t>
            </w:r>
          </w:p>
        </w:tc>
        <w:tc>
          <w:tcPr>
            <w:tcW w:w="2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81"/>
              <w:spacing w:after="0"/>
              <w:rPr>
                <w:sz w:val="20"/>
                <w:szCs w:val="20"/>
                <w:color w:val="auto"/>
              </w:rPr>
            </w:pPr>
            <w:r>
              <w:rPr>
                <w:rFonts w:ascii="Arial" w:cs="Arial" w:eastAsia="Arial" w:hAnsi="Arial"/>
                <w:sz w:val="18"/>
                <w:szCs w:val="18"/>
                <w:color w:val="auto"/>
              </w:rPr>
              <w:t>418</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6"/>
              <w:spacing w:after="0"/>
              <w:rPr>
                <w:sz w:val="20"/>
                <w:szCs w:val="20"/>
                <w:color w:val="auto"/>
              </w:rPr>
            </w:pPr>
            <w:r>
              <w:rPr>
                <w:rFonts w:ascii="Arial" w:cs="Arial" w:eastAsia="Arial" w:hAnsi="Arial"/>
                <w:sz w:val="18"/>
                <w:szCs w:val="18"/>
                <w:color w:val="auto"/>
              </w:rPr>
              <w:t>384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81"/>
              <w:spacing w:after="0"/>
              <w:rPr>
                <w:sz w:val="20"/>
                <w:szCs w:val="20"/>
                <w:color w:val="auto"/>
              </w:rPr>
            </w:pPr>
            <w:r>
              <w:rPr>
                <w:rFonts w:ascii="Arial" w:cs="Arial" w:eastAsia="Arial" w:hAnsi="Arial"/>
                <w:sz w:val="18"/>
                <w:szCs w:val="18"/>
                <w:color w:val="auto"/>
              </w:rPr>
              <w:t>1,188</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6"/>
              <w:spacing w:after="0"/>
              <w:rPr>
                <w:sz w:val="20"/>
                <w:szCs w:val="20"/>
                <w:color w:val="auto"/>
              </w:rPr>
            </w:pPr>
            <w:r>
              <w:rPr>
                <w:rFonts w:ascii="Arial" w:cs="Arial" w:eastAsia="Arial" w:hAnsi="Arial"/>
                <w:sz w:val="18"/>
                <w:szCs w:val="18"/>
                <w:color w:val="auto"/>
              </w:rPr>
              <w:t>1,214</w:t>
            </w:r>
          </w:p>
        </w:tc>
      </w:tr>
      <w:tr>
        <w:trPr>
          <w:trHeight w:val="217"/>
        </w:trPr>
        <w:tc>
          <w:tcPr>
            <w:tcW w:w="3520" w:type="dxa"/>
            <w:vAlign w:val="bottom"/>
          </w:tcPr>
          <w:p>
            <w:pPr>
              <w:spacing w:after="0"/>
              <w:rPr>
                <w:sz w:val="20"/>
                <w:szCs w:val="20"/>
                <w:color w:val="auto"/>
              </w:rPr>
            </w:pPr>
            <w:r>
              <w:rPr>
                <w:rFonts w:ascii="Arial" w:cs="Arial" w:eastAsia="Arial" w:hAnsi="Arial"/>
                <w:sz w:val="18"/>
                <w:szCs w:val="18"/>
                <w:color w:val="auto"/>
              </w:rPr>
              <w:t>Effective tax rate</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w:t>
            </w:r>
          </w:p>
        </w:tc>
      </w:tr>
    </w:tbl>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 decreased for the quarter primarily driven by increased tax benefits from foreign tax credits and the absence of divestitures taxed at higher rates, partially offset by increased expense for reserves and decreased tax benefits for employee share-based payments.</w:t>
      </w:r>
    </w:p>
    <w:p>
      <w:pPr>
        <w:spacing w:after="0" w:line="189"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The effective tax rate decreased for the nine months primarily driven by increased tax benefits from foreign tax credits, increased tax benefits for employee share-based payments and the absence of divestitures taxed at higher rates, partially offset by increased expense for reserves.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rates for the quarter and nine months ended September 30, 2017 and 2016 were lower than the U.S. federal statutory rate of 35% resulting in part from non-U.S. earnings taxed at lower rates, the vast majority of which we intend to permanently reinvest outside the United States, and from benefits from manufacturing incentives.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 currently expects the effective tax rate for 2017 to be approximately 22%. The effective tax rate can vary from quarter to quarter for unusual or infrequently occurring items, the resolution of income tax audits, changes in tax laws or other items such as pension mark-to-market adjustments and the tax impact from employee share-based payments.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56"/>
        </w:trPr>
        <w:tc>
          <w:tcPr>
            <w:tcW w:w="5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r>
      <w:tr>
        <w:trPr>
          <w:trHeight w:val="412"/>
        </w:trPr>
        <w:tc>
          <w:tcPr>
            <w:tcW w:w="5180" w:type="dxa"/>
            <w:vAlign w:val="bottom"/>
          </w:tcPr>
          <w:p>
            <w:pPr>
              <w:spacing w:after="0"/>
              <w:rPr>
                <w:sz w:val="20"/>
                <w:szCs w:val="20"/>
                <w:color w:val="auto"/>
              </w:rPr>
            </w:pPr>
            <w:r>
              <w:rPr>
                <w:rFonts w:ascii="Arial" w:cs="Arial" w:eastAsia="Arial" w:hAnsi="Arial"/>
                <w:sz w:val="18"/>
                <w:szCs w:val="18"/>
                <w:color w:val="auto"/>
              </w:rPr>
              <w:t>Net income attributable to Honeywell</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1"/>
              <w:spacing w:after="0"/>
              <w:rPr>
                <w:sz w:val="20"/>
                <w:szCs w:val="20"/>
                <w:color w:val="auto"/>
              </w:rPr>
            </w:pPr>
            <w:r>
              <w:rPr>
                <w:rFonts w:ascii="Arial" w:cs="Arial" w:eastAsia="Arial" w:hAnsi="Arial"/>
                <w:sz w:val="18"/>
                <w:szCs w:val="18"/>
                <w:color w:val="auto"/>
              </w:rPr>
              <w:t>1,348</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1,240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4,066</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3,775</w:t>
            </w:r>
          </w:p>
        </w:tc>
      </w:tr>
      <w:tr>
        <w:trPr>
          <w:trHeight w:val="419"/>
        </w:trPr>
        <w:tc>
          <w:tcPr>
            <w:tcW w:w="5180" w:type="dxa"/>
            <w:vAlign w:val="bottom"/>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1"/>
              <w:spacing w:after="0"/>
              <w:rPr>
                <w:sz w:val="20"/>
                <w:szCs w:val="20"/>
                <w:color w:val="auto"/>
              </w:rPr>
            </w:pPr>
            <w:r>
              <w:rPr>
                <w:rFonts w:ascii="Arial" w:cs="Arial" w:eastAsia="Arial" w:hAnsi="Arial"/>
                <w:sz w:val="18"/>
                <w:szCs w:val="18"/>
                <w:color w:val="auto"/>
              </w:rPr>
              <w:t>1.75</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1.60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5.26</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4.86</w:t>
            </w:r>
          </w:p>
        </w:tc>
      </w:tr>
    </w:tbl>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Earnings per share of common stock – assuming dilution increased in the quarter primarily driven by increased segment profit in each of our business segments and pension income.</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Earnings per share of common stock – assuming dilution increased in the nine months primarily driven by increased segment profit in each of our business segments, pension income, and lower effective tax rate.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40" w:type="dxa"/>
            <w:vAlign w:val="bottom"/>
            <w:gridSpan w:val="5"/>
          </w:tcPr>
          <w:p>
            <w:pPr>
              <w:spacing w:after="0"/>
              <w:rPr>
                <w:sz w:val="20"/>
                <w:szCs w:val="20"/>
                <w:color w:val="auto"/>
              </w:rPr>
            </w:pPr>
            <w:r>
              <w:rPr>
                <w:rFonts w:ascii="Arial" w:cs="Arial" w:eastAsia="Arial" w:hAnsi="Arial"/>
                <w:sz w:val="18"/>
                <w:szCs w:val="18"/>
                <w:b w:val="1"/>
                <w:bCs w:val="1"/>
                <w:color w:val="auto"/>
              </w:rPr>
              <w:t>Review of Business Segments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8"/>
          </w:tcPr>
          <w:p>
            <w:pPr>
              <w:jc w:val="center"/>
              <w:ind w:right="7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7"/>
          </w:tcPr>
          <w:p>
            <w:pPr>
              <w:jc w:val="center"/>
              <w:ind w:right="9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5"/>
        </w:trPr>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9"/>
              </w:rPr>
              <w:t>September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50"/>
              <w:spacing w:after="0" w:line="201"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30"/>
              <w:spacing w:after="0" w:line="20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740" w:type="dxa"/>
            <w:vAlign w:val="bottom"/>
            <w:gridSpan w:val="5"/>
            <w:shd w:val="clear" w:color="auto" w:fill="E5FFFF"/>
          </w:tcPr>
          <w:p>
            <w:pPr>
              <w:spacing w:after="0" w:line="189" w:lineRule="exact"/>
              <w:rPr>
                <w:sz w:val="20"/>
                <w:szCs w:val="20"/>
                <w:color w:val="auto"/>
              </w:rPr>
            </w:pPr>
            <w:r>
              <w:rPr>
                <w:rFonts w:ascii="Arial" w:cs="Arial" w:eastAsia="Arial" w:hAnsi="Arial"/>
                <w:sz w:val="18"/>
                <w:szCs w:val="18"/>
                <w:color w:val="auto"/>
              </w:rPr>
              <w:t>Aerospace Sales</w:t>
            </w:r>
          </w:p>
        </w:tc>
        <w:tc>
          <w:tcPr>
            <w:tcW w:w="180" w:type="dxa"/>
            <w:vAlign w:val="bottom"/>
            <w:shd w:val="clear" w:color="auto" w:fill="E5FFFF"/>
          </w:tcPr>
          <w:p>
            <w:pPr>
              <w:spacing w:after="0"/>
              <w:rPr>
                <w:sz w:val="16"/>
                <w:szCs w:val="16"/>
                <w:color w:val="auto"/>
              </w:rPr>
            </w:pPr>
          </w:p>
        </w:tc>
        <w:tc>
          <w:tcPr>
            <w:tcW w:w="66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7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9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7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7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92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360" w:type="dxa"/>
            <w:vAlign w:val="bottom"/>
            <w:shd w:val="clear" w:color="auto" w:fill="000000"/>
          </w:tcPr>
          <w:p>
            <w:pPr>
              <w:spacing w:after="0"/>
              <w:rPr>
                <w:sz w:val="2"/>
                <w:szCs w:val="2"/>
                <w:color w:val="auto"/>
              </w:rPr>
            </w:pPr>
          </w:p>
        </w:tc>
        <w:tc>
          <w:tcPr>
            <w:tcW w:w="176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620" w:type="dxa"/>
            <w:vAlign w:val="bottom"/>
            <w:shd w:val="clear" w:color="auto" w:fill="E5FFFF"/>
          </w:tcPr>
          <w:p>
            <w:pPr>
              <w:spacing w:after="0"/>
              <w:rPr>
                <w:sz w:val="2"/>
                <w:szCs w:val="2"/>
                <w:color w:val="auto"/>
              </w:rPr>
            </w:pPr>
          </w:p>
        </w:tc>
        <w:tc>
          <w:tcPr>
            <w:tcW w:w="980" w:type="dxa"/>
            <w:vAlign w:val="bottom"/>
            <w:shd w:val="clear" w:color="auto" w:fill="E5FFFF"/>
          </w:tcPr>
          <w:p>
            <w:pPr>
              <w:spacing w:after="0"/>
              <w:rPr>
                <w:sz w:val="2"/>
                <w:szCs w:val="2"/>
                <w:color w:val="auto"/>
              </w:rPr>
            </w:pPr>
          </w:p>
        </w:tc>
        <w:tc>
          <w:tcPr>
            <w:tcW w:w="180" w:type="dxa"/>
            <w:vAlign w:val="bottom"/>
            <w:shd w:val="clear" w:color="auto" w:fill="E5FFFF"/>
          </w:tcPr>
          <w:p>
            <w:pPr>
              <w:spacing w:after="0"/>
              <w:rPr>
                <w:sz w:val="2"/>
                <w:szCs w:val="2"/>
                <w:color w:val="auto"/>
              </w:rPr>
            </w:pPr>
          </w:p>
        </w:tc>
        <w:tc>
          <w:tcPr>
            <w:tcW w:w="660" w:type="dxa"/>
            <w:vAlign w:val="bottom"/>
            <w:shd w:val="clear" w:color="auto" w:fill="E5FFFF"/>
          </w:tcPr>
          <w:p>
            <w:pPr>
              <w:spacing w:after="0"/>
              <w:rPr>
                <w:sz w:val="2"/>
                <w:szCs w:val="2"/>
                <w:color w:val="auto"/>
              </w:rPr>
            </w:pPr>
          </w:p>
        </w:tc>
        <w:tc>
          <w:tcPr>
            <w:tcW w:w="6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160" w:type="dxa"/>
            <w:vAlign w:val="bottom"/>
            <w:shd w:val="clear" w:color="auto" w:fill="E5FFFF"/>
          </w:tcPr>
          <w:p>
            <w:pPr>
              <w:spacing w:after="0"/>
              <w:rPr>
                <w:sz w:val="2"/>
                <w:szCs w:val="2"/>
                <w:color w:val="auto"/>
              </w:rPr>
            </w:pPr>
          </w:p>
        </w:tc>
        <w:tc>
          <w:tcPr>
            <w:tcW w:w="72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c>
          <w:tcPr>
            <w:tcW w:w="92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160" w:type="dxa"/>
            <w:vAlign w:val="bottom"/>
            <w:shd w:val="clear" w:color="auto" w:fill="E5FFFF"/>
          </w:tcPr>
          <w:p>
            <w:pPr>
              <w:spacing w:after="0"/>
              <w:rPr>
                <w:sz w:val="2"/>
                <w:szCs w:val="2"/>
                <w:color w:val="auto"/>
              </w:rPr>
            </w:pPr>
          </w:p>
        </w:tc>
        <w:tc>
          <w:tcPr>
            <w:tcW w:w="72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160" w:type="dxa"/>
            <w:vAlign w:val="bottom"/>
            <w:shd w:val="clear" w:color="auto" w:fill="E5FFFF"/>
          </w:tcPr>
          <w:p>
            <w:pPr>
              <w:spacing w:after="0"/>
              <w:rPr>
                <w:sz w:val="2"/>
                <w:szCs w:val="2"/>
                <w:color w:val="auto"/>
              </w:rPr>
            </w:pPr>
          </w:p>
        </w:tc>
        <w:tc>
          <w:tcPr>
            <w:tcW w:w="740" w:type="dxa"/>
            <w:vAlign w:val="bottom"/>
            <w:shd w:val="clear" w:color="auto" w:fill="E5FFFF"/>
          </w:tcPr>
          <w:p>
            <w:pPr>
              <w:spacing w:after="0"/>
              <w:rPr>
                <w:sz w:val="2"/>
                <w:szCs w:val="2"/>
                <w:color w:val="auto"/>
              </w:rPr>
            </w:pPr>
          </w:p>
        </w:tc>
        <w:tc>
          <w:tcPr>
            <w:tcW w:w="200" w:type="dxa"/>
            <w:vAlign w:val="bottom"/>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c>
          <w:tcPr>
            <w:tcW w:w="92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Commercial Aviation Original Equipment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593</w:t>
            </w:r>
          </w:p>
        </w:tc>
        <w:tc>
          <w:tcPr>
            <w:tcW w:w="4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1,845</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1,915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74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Commercial Aviation Aftermarket</w:t>
            </w:r>
          </w:p>
        </w:tc>
        <w:tc>
          <w:tcPr>
            <w:tcW w:w="18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1,312</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1,215</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3,775</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3,570</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74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Defense and Space</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992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3,290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E5FFFF"/>
          </w:tcPr>
          <w:p>
            <w:pPr>
              <w:ind w:left="180"/>
              <w:spacing w:after="0"/>
              <w:rPr>
                <w:sz w:val="20"/>
                <w:szCs w:val="20"/>
                <w:color w:val="auto"/>
              </w:rPr>
            </w:pPr>
            <w:r>
              <w:rPr>
                <w:rFonts w:ascii="Arial" w:cs="Arial" w:eastAsia="Arial" w:hAnsi="Arial"/>
                <w:sz w:val="18"/>
                <w:szCs w:val="18"/>
                <w:color w:val="auto"/>
              </w:rPr>
              <w:t>Transportation Systems</w:t>
            </w:r>
          </w:p>
        </w:tc>
        <w:tc>
          <w:tcPr>
            <w:tcW w:w="18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760</w:t>
            </w:r>
          </w:p>
        </w:tc>
        <w:tc>
          <w:tcPr>
            <w:tcW w:w="6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723</w:t>
            </w: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2,332</w:t>
            </w: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2,310</w:t>
            </w:r>
          </w:p>
        </w:tc>
        <w:tc>
          <w:tcPr>
            <w:tcW w:w="2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740" w:type="dxa"/>
            <w:vAlign w:val="bottom"/>
            <w:gridSpan w:val="5"/>
          </w:tcPr>
          <w:p>
            <w:pPr>
              <w:ind w:left="360"/>
              <w:spacing w:after="0"/>
              <w:rPr>
                <w:sz w:val="20"/>
                <w:szCs w:val="20"/>
                <w:color w:val="auto"/>
              </w:rPr>
            </w:pPr>
            <w:r>
              <w:rPr>
                <w:rFonts w:ascii="Arial" w:cs="Arial" w:eastAsia="Arial" w:hAnsi="Arial"/>
                <w:sz w:val="18"/>
                <w:szCs w:val="18"/>
                <w:color w:val="auto"/>
              </w:rPr>
              <w:t>Total Aerospace Sales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10,877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11,085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gridSpan w:val="5"/>
            <w:shd w:val="clear" w:color="auto" w:fill="E5FFFF"/>
          </w:tcPr>
          <w:p>
            <w:pPr>
              <w:spacing w:after="0" w:line="189" w:lineRule="exact"/>
              <w:rPr>
                <w:sz w:val="20"/>
                <w:szCs w:val="20"/>
                <w:color w:val="auto"/>
              </w:rPr>
            </w:pPr>
            <w:r>
              <w:rPr>
                <w:rFonts w:ascii="Arial" w:cs="Arial" w:eastAsia="Arial" w:hAnsi="Arial"/>
                <w:sz w:val="18"/>
                <w:szCs w:val="18"/>
                <w:color w:val="auto"/>
              </w:rPr>
              <w:t>Home and Building Technologies Sales</w:t>
            </w:r>
          </w:p>
        </w:tc>
        <w:tc>
          <w:tcPr>
            <w:tcW w:w="18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Home and Building Products</w:t>
            </w:r>
          </w:p>
        </w:tc>
        <w:tc>
          <w:tcPr>
            <w:tcW w:w="1620" w:type="dxa"/>
            <w:vAlign w:val="bottom"/>
            <w:tcBorders>
              <w:top w:val="single" w:sz="8" w:color="E5FFFF"/>
            </w:tcBorders>
            <w:gridSpan w:val="3"/>
          </w:tcPr>
          <w:p>
            <w:pPr>
              <w:spacing w:after="0"/>
              <w:rPr>
                <w:sz w:val="17"/>
                <w:szCs w:val="17"/>
                <w:color w:val="auto"/>
              </w:rPr>
            </w:pPr>
          </w:p>
        </w:tc>
        <w:tc>
          <w:tcPr>
            <w:tcW w:w="180" w:type="dxa"/>
            <w:vAlign w:val="bottom"/>
            <w:tcBorders>
              <w:top w:val="single" w:sz="8" w:color="E5FFFF"/>
            </w:tcBorders>
          </w:tcPr>
          <w:p>
            <w:pPr>
              <w:spacing w:after="0"/>
              <w:rPr>
                <w:sz w:val="17"/>
                <w:szCs w:val="17"/>
                <w:color w:val="auto"/>
              </w:rPr>
            </w:pPr>
          </w:p>
        </w:tc>
        <w:tc>
          <w:tcPr>
            <w:tcW w:w="660" w:type="dxa"/>
            <w:vAlign w:val="bottom"/>
            <w:tcBorders>
              <w:top w:val="single" w:sz="8" w:color="E5FFFF"/>
            </w:tcBorders>
          </w:tcPr>
          <w:p>
            <w:pPr>
              <w:jc w:val="right"/>
              <w:spacing w:after="0" w:line="202" w:lineRule="exact"/>
              <w:rPr>
                <w:sz w:val="20"/>
                <w:szCs w:val="20"/>
                <w:color w:val="auto"/>
              </w:rPr>
            </w:pPr>
            <w:r>
              <w:rPr>
                <w:rFonts w:ascii="Arial" w:cs="Arial" w:eastAsia="Arial" w:hAnsi="Arial"/>
                <w:sz w:val="18"/>
                <w:szCs w:val="18"/>
                <w:color w:val="auto"/>
              </w:rPr>
              <w:t>1,554</w:t>
            </w:r>
          </w:p>
        </w:tc>
        <w:tc>
          <w:tcPr>
            <w:tcW w:w="60" w:type="dxa"/>
            <w:vAlign w:val="bottom"/>
            <w:tcBorders>
              <w:top w:val="single" w:sz="8" w:color="E5FFFF"/>
            </w:tcBorders>
          </w:tcPr>
          <w:p>
            <w:pPr>
              <w:spacing w:after="0"/>
              <w:rPr>
                <w:sz w:val="17"/>
                <w:szCs w:val="17"/>
                <w:color w:val="auto"/>
              </w:rPr>
            </w:pPr>
          </w:p>
        </w:tc>
        <w:tc>
          <w:tcPr>
            <w:tcW w:w="220" w:type="dxa"/>
            <w:vAlign w:val="bottom"/>
            <w:tcBorders>
              <w:top w:val="single" w:sz="8" w:color="E5FFFF"/>
            </w:tcBorders>
          </w:tcPr>
          <w:p>
            <w:pPr>
              <w:spacing w:after="0"/>
              <w:rPr>
                <w:sz w:val="17"/>
                <w:szCs w:val="17"/>
                <w:color w:val="auto"/>
              </w:rPr>
            </w:pPr>
          </w:p>
        </w:tc>
        <w:tc>
          <w:tcPr>
            <w:tcW w:w="160" w:type="dxa"/>
            <w:vAlign w:val="bottom"/>
            <w:tcBorders>
              <w:top w:val="single" w:sz="8" w:color="E5FFFF"/>
            </w:tcBorders>
          </w:tcPr>
          <w:p>
            <w:pPr>
              <w:spacing w:after="0"/>
              <w:rPr>
                <w:sz w:val="17"/>
                <w:szCs w:val="17"/>
                <w:color w:val="auto"/>
              </w:rPr>
            </w:pPr>
          </w:p>
        </w:tc>
        <w:tc>
          <w:tcPr>
            <w:tcW w:w="720" w:type="dxa"/>
            <w:vAlign w:val="bottom"/>
            <w:tcBorders>
              <w:top w:val="single" w:sz="8" w:color="E5FFFF"/>
            </w:tcBorders>
          </w:tcPr>
          <w:p>
            <w:pPr>
              <w:jc w:val="right"/>
              <w:ind w:right="10"/>
              <w:spacing w:after="0" w:line="202" w:lineRule="exact"/>
              <w:rPr>
                <w:sz w:val="20"/>
                <w:szCs w:val="20"/>
                <w:color w:val="auto"/>
              </w:rPr>
            </w:pPr>
            <w:r>
              <w:rPr>
                <w:rFonts w:ascii="Arial" w:cs="Arial" w:eastAsia="Arial" w:hAnsi="Arial"/>
                <w:sz w:val="18"/>
                <w:szCs w:val="18"/>
                <w:color w:val="auto"/>
              </w:rPr>
              <w:t>1,499</w:t>
            </w:r>
          </w:p>
        </w:tc>
        <w:tc>
          <w:tcPr>
            <w:tcW w:w="220" w:type="dxa"/>
            <w:vAlign w:val="bottom"/>
            <w:tcBorders>
              <w:top w:val="single" w:sz="8" w:color="E5FFFF"/>
            </w:tcBorders>
          </w:tcPr>
          <w:p>
            <w:pPr>
              <w:spacing w:after="0"/>
              <w:rPr>
                <w:sz w:val="17"/>
                <w:szCs w:val="17"/>
                <w:color w:val="auto"/>
              </w:rPr>
            </w:pPr>
          </w:p>
        </w:tc>
        <w:tc>
          <w:tcPr>
            <w:tcW w:w="100" w:type="dxa"/>
            <w:vAlign w:val="bottom"/>
            <w:tcBorders>
              <w:top w:val="single" w:sz="8" w:color="E5FFFF"/>
            </w:tcBorders>
          </w:tcPr>
          <w:p>
            <w:pPr>
              <w:spacing w:after="0"/>
              <w:rPr>
                <w:sz w:val="17"/>
                <w:szCs w:val="17"/>
                <w:color w:val="auto"/>
              </w:rPr>
            </w:pPr>
          </w:p>
        </w:tc>
        <w:tc>
          <w:tcPr>
            <w:tcW w:w="920" w:type="dxa"/>
            <w:vAlign w:val="bottom"/>
            <w:tcBorders>
              <w:top w:val="single" w:sz="8" w:color="E5FFFF"/>
            </w:tcBorders>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Borders>
              <w:top w:val="single" w:sz="8" w:color="E5FFFF"/>
            </w:tcBorders>
          </w:tcPr>
          <w:p>
            <w:pPr>
              <w:spacing w:after="0"/>
              <w:rPr>
                <w:sz w:val="17"/>
                <w:szCs w:val="17"/>
                <w:color w:val="auto"/>
              </w:rPr>
            </w:pPr>
          </w:p>
        </w:tc>
        <w:tc>
          <w:tcPr>
            <w:tcW w:w="160" w:type="dxa"/>
            <w:vAlign w:val="bottom"/>
            <w:tcBorders>
              <w:top w:val="single" w:sz="8" w:color="E5FFFF"/>
            </w:tcBorders>
          </w:tcPr>
          <w:p>
            <w:pPr>
              <w:spacing w:after="0"/>
              <w:rPr>
                <w:sz w:val="17"/>
                <w:szCs w:val="17"/>
                <w:color w:val="auto"/>
              </w:rPr>
            </w:pPr>
          </w:p>
        </w:tc>
        <w:tc>
          <w:tcPr>
            <w:tcW w:w="720" w:type="dxa"/>
            <w:vAlign w:val="bottom"/>
            <w:tcBorders>
              <w:top w:val="single" w:sz="8" w:color="E5FFFF"/>
            </w:tcBorders>
          </w:tcPr>
          <w:p>
            <w:pPr>
              <w:jc w:val="right"/>
              <w:ind w:right="10"/>
              <w:spacing w:after="0" w:line="202" w:lineRule="exact"/>
              <w:rPr>
                <w:sz w:val="20"/>
                <w:szCs w:val="20"/>
                <w:color w:val="auto"/>
              </w:rPr>
            </w:pPr>
            <w:r>
              <w:rPr>
                <w:rFonts w:ascii="Arial" w:cs="Arial" w:eastAsia="Arial" w:hAnsi="Arial"/>
                <w:sz w:val="18"/>
                <w:szCs w:val="18"/>
                <w:color w:val="auto"/>
              </w:rPr>
              <w:t>4,522</w:t>
            </w:r>
          </w:p>
        </w:tc>
        <w:tc>
          <w:tcPr>
            <w:tcW w:w="220" w:type="dxa"/>
            <w:vAlign w:val="bottom"/>
            <w:tcBorders>
              <w:top w:val="single" w:sz="8" w:color="E5FFFF"/>
            </w:tcBorders>
          </w:tcPr>
          <w:p>
            <w:pPr>
              <w:spacing w:after="0"/>
              <w:rPr>
                <w:sz w:val="17"/>
                <w:szCs w:val="17"/>
                <w:color w:val="auto"/>
              </w:rPr>
            </w:pPr>
          </w:p>
        </w:tc>
        <w:tc>
          <w:tcPr>
            <w:tcW w:w="160" w:type="dxa"/>
            <w:vAlign w:val="bottom"/>
            <w:tcBorders>
              <w:top w:val="single" w:sz="8" w:color="E5FFFF"/>
            </w:tcBorders>
          </w:tcPr>
          <w:p>
            <w:pPr>
              <w:spacing w:after="0"/>
              <w:rPr>
                <w:sz w:val="17"/>
                <w:szCs w:val="17"/>
                <w:color w:val="auto"/>
              </w:rPr>
            </w:pPr>
          </w:p>
        </w:tc>
        <w:tc>
          <w:tcPr>
            <w:tcW w:w="740" w:type="dxa"/>
            <w:vAlign w:val="bottom"/>
            <w:tcBorders>
              <w:top w:val="single" w:sz="8" w:color="E5FFFF"/>
            </w:tcBorders>
          </w:tcPr>
          <w:p>
            <w:pPr>
              <w:jc w:val="right"/>
              <w:ind w:right="30"/>
              <w:spacing w:after="0" w:line="202" w:lineRule="exact"/>
              <w:rPr>
                <w:sz w:val="20"/>
                <w:szCs w:val="20"/>
                <w:color w:val="auto"/>
              </w:rPr>
            </w:pPr>
            <w:r>
              <w:rPr>
                <w:rFonts w:ascii="Arial" w:cs="Arial" w:eastAsia="Arial" w:hAnsi="Arial"/>
                <w:sz w:val="18"/>
                <w:szCs w:val="18"/>
                <w:color w:val="auto"/>
              </w:rPr>
              <w:t>4,396</w:t>
            </w:r>
          </w:p>
        </w:tc>
        <w:tc>
          <w:tcPr>
            <w:tcW w:w="200" w:type="dxa"/>
            <w:vAlign w:val="bottom"/>
            <w:tcBorders>
              <w:top w:val="single" w:sz="8" w:color="E5FFFF"/>
            </w:tcBorders>
          </w:tcPr>
          <w:p>
            <w:pPr>
              <w:spacing w:after="0"/>
              <w:rPr>
                <w:sz w:val="17"/>
                <w:szCs w:val="17"/>
                <w:color w:val="auto"/>
              </w:rPr>
            </w:pPr>
          </w:p>
        </w:tc>
        <w:tc>
          <w:tcPr>
            <w:tcW w:w="100" w:type="dxa"/>
            <w:vAlign w:val="bottom"/>
            <w:tcBorders>
              <w:top w:val="single" w:sz="8" w:color="E5FFFF"/>
            </w:tcBorders>
          </w:tcPr>
          <w:p>
            <w:pPr>
              <w:spacing w:after="0"/>
              <w:rPr>
                <w:sz w:val="17"/>
                <w:szCs w:val="17"/>
                <w:color w:val="auto"/>
              </w:rPr>
            </w:pPr>
          </w:p>
        </w:tc>
        <w:tc>
          <w:tcPr>
            <w:tcW w:w="920" w:type="dxa"/>
            <w:vAlign w:val="bottom"/>
            <w:tcBorders>
              <w:top w:val="single" w:sz="8" w:color="E5FFFF"/>
            </w:tcBorders>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E5FFFF"/>
          </w:tcPr>
          <w:p>
            <w:pPr>
              <w:ind w:left="180"/>
              <w:spacing w:after="0"/>
              <w:rPr>
                <w:sz w:val="20"/>
                <w:szCs w:val="20"/>
                <w:color w:val="auto"/>
              </w:rPr>
            </w:pPr>
            <w:r>
              <w:rPr>
                <w:rFonts w:ascii="Arial" w:cs="Arial" w:eastAsia="Arial" w:hAnsi="Arial"/>
                <w:sz w:val="18"/>
                <w:szCs w:val="18"/>
                <w:color w:val="auto"/>
              </w:rPr>
              <w:t>Home and Building Distribution</w:t>
            </w:r>
          </w:p>
        </w:tc>
        <w:tc>
          <w:tcPr>
            <w:tcW w:w="18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1,236</w:t>
            </w:r>
          </w:p>
        </w:tc>
        <w:tc>
          <w:tcPr>
            <w:tcW w:w="6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1,202</w:t>
            </w: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3,557</w:t>
            </w: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3,458</w:t>
            </w:r>
          </w:p>
        </w:tc>
        <w:tc>
          <w:tcPr>
            <w:tcW w:w="2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4740" w:type="dxa"/>
            <w:vAlign w:val="bottom"/>
            <w:gridSpan w:val="5"/>
          </w:tcPr>
          <w:p>
            <w:pPr>
              <w:ind w:left="360"/>
              <w:spacing w:after="0"/>
              <w:rPr>
                <w:sz w:val="20"/>
                <w:szCs w:val="20"/>
                <w:color w:val="auto"/>
              </w:rPr>
            </w:pPr>
            <w:r>
              <w:rPr>
                <w:rFonts w:ascii="Arial" w:cs="Arial" w:eastAsia="Arial" w:hAnsi="Arial"/>
                <w:sz w:val="18"/>
                <w:szCs w:val="18"/>
                <w:color w:val="auto"/>
              </w:rPr>
              <w:t>Total Home and Building Technologies Sales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2,790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8,079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7,854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gridSpan w:val="5"/>
            <w:shd w:val="clear" w:color="auto" w:fill="E5FFFF"/>
          </w:tcPr>
          <w:p>
            <w:pPr>
              <w:spacing w:after="0" w:line="189" w:lineRule="exact"/>
              <w:rPr>
                <w:sz w:val="20"/>
                <w:szCs w:val="20"/>
                <w:color w:val="auto"/>
              </w:rPr>
            </w:pPr>
            <w:r>
              <w:rPr>
                <w:rFonts w:ascii="Arial" w:cs="Arial" w:eastAsia="Arial" w:hAnsi="Arial"/>
                <w:sz w:val="18"/>
                <w:szCs w:val="18"/>
                <w:color w:val="auto"/>
              </w:rPr>
              <w:t>Performance Materials and Technologies Sales</w:t>
            </w:r>
          </w:p>
        </w:tc>
        <w:tc>
          <w:tcPr>
            <w:tcW w:w="18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Borders>
              <w:top w:val="single" w:sz="8" w:color="auto"/>
            </w:tcBorders>
            <w:gridSpan w:val="4"/>
          </w:tcPr>
          <w:p>
            <w:pPr>
              <w:ind w:left="180"/>
              <w:spacing w:after="0" w:line="202" w:lineRule="exact"/>
              <w:rPr>
                <w:sz w:val="20"/>
                <w:szCs w:val="20"/>
                <w:color w:val="auto"/>
              </w:rPr>
            </w:pPr>
            <w:r>
              <w:rPr>
                <w:rFonts w:ascii="Arial" w:cs="Arial" w:eastAsia="Arial" w:hAnsi="Arial"/>
                <w:sz w:val="18"/>
                <w:szCs w:val="18"/>
                <w:color w:val="auto"/>
              </w:rPr>
              <w:t>UOP</w:t>
            </w:r>
          </w:p>
        </w:tc>
        <w:tc>
          <w:tcPr>
            <w:tcW w:w="980" w:type="dxa"/>
            <w:vAlign w:val="bottom"/>
            <w:tcBorders>
              <w:top w:val="single" w:sz="8" w:color="E5FFFF"/>
            </w:tcBorders>
          </w:tcPr>
          <w:p>
            <w:pPr>
              <w:spacing w:after="0"/>
              <w:rPr>
                <w:sz w:val="17"/>
                <w:szCs w:val="17"/>
                <w:color w:val="auto"/>
              </w:rPr>
            </w:pPr>
          </w:p>
        </w:tc>
        <w:tc>
          <w:tcPr>
            <w:tcW w:w="180" w:type="dxa"/>
            <w:vAlign w:val="bottom"/>
            <w:tcBorders>
              <w:top w:val="single" w:sz="8" w:color="E5FFFF"/>
            </w:tcBorders>
          </w:tcPr>
          <w:p>
            <w:pPr>
              <w:spacing w:after="0"/>
              <w:rPr>
                <w:sz w:val="17"/>
                <w:szCs w:val="17"/>
                <w:color w:val="auto"/>
              </w:rPr>
            </w:pPr>
          </w:p>
        </w:tc>
        <w:tc>
          <w:tcPr>
            <w:tcW w:w="660" w:type="dxa"/>
            <w:vAlign w:val="bottom"/>
            <w:tcBorders>
              <w:top w:val="single" w:sz="8" w:color="E5FFFF"/>
            </w:tcBorders>
          </w:tcPr>
          <w:p>
            <w:pPr>
              <w:jc w:val="right"/>
              <w:spacing w:after="0" w:line="202" w:lineRule="exact"/>
              <w:rPr>
                <w:sz w:val="20"/>
                <w:szCs w:val="20"/>
                <w:color w:val="auto"/>
              </w:rPr>
            </w:pPr>
            <w:r>
              <w:rPr>
                <w:rFonts w:ascii="Arial" w:cs="Arial" w:eastAsia="Arial" w:hAnsi="Arial"/>
                <w:sz w:val="18"/>
                <w:szCs w:val="18"/>
                <w:color w:val="auto"/>
              </w:rPr>
              <w:t>706</w:t>
            </w:r>
          </w:p>
        </w:tc>
        <w:tc>
          <w:tcPr>
            <w:tcW w:w="60" w:type="dxa"/>
            <w:vAlign w:val="bottom"/>
            <w:tcBorders>
              <w:top w:val="single" w:sz="8" w:color="E5FFFF"/>
            </w:tcBorders>
          </w:tcPr>
          <w:p>
            <w:pPr>
              <w:spacing w:after="0"/>
              <w:rPr>
                <w:sz w:val="17"/>
                <w:szCs w:val="17"/>
                <w:color w:val="auto"/>
              </w:rPr>
            </w:pPr>
          </w:p>
        </w:tc>
        <w:tc>
          <w:tcPr>
            <w:tcW w:w="220" w:type="dxa"/>
            <w:vAlign w:val="bottom"/>
            <w:tcBorders>
              <w:top w:val="single" w:sz="8" w:color="E5FFFF"/>
            </w:tcBorders>
          </w:tcPr>
          <w:p>
            <w:pPr>
              <w:spacing w:after="0"/>
              <w:rPr>
                <w:sz w:val="17"/>
                <w:szCs w:val="17"/>
                <w:color w:val="auto"/>
              </w:rPr>
            </w:pPr>
          </w:p>
        </w:tc>
        <w:tc>
          <w:tcPr>
            <w:tcW w:w="160" w:type="dxa"/>
            <w:vAlign w:val="bottom"/>
            <w:tcBorders>
              <w:top w:val="single" w:sz="8" w:color="E5FFFF"/>
            </w:tcBorders>
          </w:tcPr>
          <w:p>
            <w:pPr>
              <w:spacing w:after="0"/>
              <w:rPr>
                <w:sz w:val="17"/>
                <w:szCs w:val="17"/>
                <w:color w:val="auto"/>
              </w:rPr>
            </w:pPr>
          </w:p>
        </w:tc>
        <w:tc>
          <w:tcPr>
            <w:tcW w:w="720" w:type="dxa"/>
            <w:vAlign w:val="bottom"/>
            <w:tcBorders>
              <w:top w:val="single" w:sz="8" w:color="E5FFFF"/>
            </w:tcBorders>
          </w:tcPr>
          <w:p>
            <w:pPr>
              <w:jc w:val="right"/>
              <w:ind w:right="10"/>
              <w:spacing w:after="0" w:line="202" w:lineRule="exact"/>
              <w:rPr>
                <w:sz w:val="20"/>
                <w:szCs w:val="20"/>
                <w:color w:val="auto"/>
              </w:rPr>
            </w:pPr>
            <w:r>
              <w:rPr>
                <w:rFonts w:ascii="Arial" w:cs="Arial" w:eastAsia="Arial" w:hAnsi="Arial"/>
                <w:sz w:val="18"/>
                <w:szCs w:val="18"/>
                <w:color w:val="auto"/>
              </w:rPr>
              <w:t>564</w:t>
            </w:r>
          </w:p>
        </w:tc>
        <w:tc>
          <w:tcPr>
            <w:tcW w:w="220" w:type="dxa"/>
            <w:vAlign w:val="bottom"/>
            <w:tcBorders>
              <w:top w:val="single" w:sz="8" w:color="E5FFFF"/>
            </w:tcBorders>
          </w:tcPr>
          <w:p>
            <w:pPr>
              <w:spacing w:after="0"/>
              <w:rPr>
                <w:sz w:val="17"/>
                <w:szCs w:val="17"/>
                <w:color w:val="auto"/>
              </w:rPr>
            </w:pPr>
          </w:p>
        </w:tc>
        <w:tc>
          <w:tcPr>
            <w:tcW w:w="100" w:type="dxa"/>
            <w:vAlign w:val="bottom"/>
            <w:tcBorders>
              <w:top w:val="single" w:sz="8" w:color="E5FFFF"/>
            </w:tcBorders>
          </w:tcPr>
          <w:p>
            <w:pPr>
              <w:spacing w:after="0"/>
              <w:rPr>
                <w:sz w:val="17"/>
                <w:szCs w:val="17"/>
                <w:color w:val="auto"/>
              </w:rPr>
            </w:pPr>
          </w:p>
        </w:tc>
        <w:tc>
          <w:tcPr>
            <w:tcW w:w="920" w:type="dxa"/>
            <w:vAlign w:val="bottom"/>
            <w:tcBorders>
              <w:top w:val="single" w:sz="8" w:color="E5FFFF"/>
            </w:tcBorders>
          </w:tcPr>
          <w:p>
            <w:pPr>
              <w:jc w:val="right"/>
              <w:spacing w:after="0" w:line="202" w:lineRule="exact"/>
              <w:rPr>
                <w:sz w:val="20"/>
                <w:szCs w:val="20"/>
                <w:color w:val="auto"/>
              </w:rPr>
            </w:pPr>
            <w:r>
              <w:rPr>
                <w:rFonts w:ascii="Arial" w:cs="Arial" w:eastAsia="Arial" w:hAnsi="Arial"/>
                <w:sz w:val="18"/>
                <w:szCs w:val="18"/>
                <w:color w:val="auto"/>
              </w:rPr>
              <w:t>25%</w:t>
            </w:r>
          </w:p>
        </w:tc>
        <w:tc>
          <w:tcPr>
            <w:tcW w:w="220" w:type="dxa"/>
            <w:vAlign w:val="bottom"/>
            <w:tcBorders>
              <w:top w:val="single" w:sz="8" w:color="E5FFFF"/>
            </w:tcBorders>
          </w:tcPr>
          <w:p>
            <w:pPr>
              <w:spacing w:after="0"/>
              <w:rPr>
                <w:sz w:val="17"/>
                <w:szCs w:val="17"/>
                <w:color w:val="auto"/>
              </w:rPr>
            </w:pPr>
          </w:p>
        </w:tc>
        <w:tc>
          <w:tcPr>
            <w:tcW w:w="160" w:type="dxa"/>
            <w:vAlign w:val="bottom"/>
            <w:tcBorders>
              <w:top w:val="single" w:sz="8" w:color="E5FFFF"/>
            </w:tcBorders>
          </w:tcPr>
          <w:p>
            <w:pPr>
              <w:spacing w:after="0"/>
              <w:rPr>
                <w:sz w:val="17"/>
                <w:szCs w:val="17"/>
                <w:color w:val="auto"/>
              </w:rPr>
            </w:pPr>
          </w:p>
        </w:tc>
        <w:tc>
          <w:tcPr>
            <w:tcW w:w="720" w:type="dxa"/>
            <w:vAlign w:val="bottom"/>
            <w:tcBorders>
              <w:top w:val="single" w:sz="8" w:color="E5FFFF"/>
            </w:tcBorders>
          </w:tcPr>
          <w:p>
            <w:pPr>
              <w:jc w:val="right"/>
              <w:ind w:right="10"/>
              <w:spacing w:after="0" w:line="202" w:lineRule="exact"/>
              <w:rPr>
                <w:sz w:val="20"/>
                <w:szCs w:val="20"/>
                <w:color w:val="auto"/>
              </w:rPr>
            </w:pPr>
            <w:r>
              <w:rPr>
                <w:rFonts w:ascii="Arial" w:cs="Arial" w:eastAsia="Arial" w:hAnsi="Arial"/>
                <w:sz w:val="18"/>
                <w:szCs w:val="18"/>
                <w:color w:val="auto"/>
              </w:rPr>
              <w:t>1,924</w:t>
            </w:r>
          </w:p>
        </w:tc>
        <w:tc>
          <w:tcPr>
            <w:tcW w:w="220" w:type="dxa"/>
            <w:vAlign w:val="bottom"/>
            <w:tcBorders>
              <w:top w:val="single" w:sz="8" w:color="E5FFFF"/>
            </w:tcBorders>
          </w:tcPr>
          <w:p>
            <w:pPr>
              <w:spacing w:after="0"/>
              <w:rPr>
                <w:sz w:val="17"/>
                <w:szCs w:val="17"/>
                <w:color w:val="auto"/>
              </w:rPr>
            </w:pPr>
          </w:p>
        </w:tc>
        <w:tc>
          <w:tcPr>
            <w:tcW w:w="160" w:type="dxa"/>
            <w:vAlign w:val="bottom"/>
            <w:tcBorders>
              <w:top w:val="single" w:sz="8" w:color="E5FFFF"/>
            </w:tcBorders>
          </w:tcPr>
          <w:p>
            <w:pPr>
              <w:spacing w:after="0"/>
              <w:rPr>
                <w:sz w:val="17"/>
                <w:szCs w:val="17"/>
                <w:color w:val="auto"/>
              </w:rPr>
            </w:pPr>
          </w:p>
        </w:tc>
        <w:tc>
          <w:tcPr>
            <w:tcW w:w="740" w:type="dxa"/>
            <w:vAlign w:val="bottom"/>
            <w:tcBorders>
              <w:top w:val="single" w:sz="8" w:color="E5FFFF"/>
            </w:tcBorders>
          </w:tcPr>
          <w:p>
            <w:pPr>
              <w:jc w:val="right"/>
              <w:ind w:right="30"/>
              <w:spacing w:after="0" w:line="202" w:lineRule="exact"/>
              <w:rPr>
                <w:sz w:val="20"/>
                <w:szCs w:val="20"/>
                <w:color w:val="auto"/>
              </w:rPr>
            </w:pPr>
            <w:r>
              <w:rPr>
                <w:rFonts w:ascii="Arial" w:cs="Arial" w:eastAsia="Arial" w:hAnsi="Arial"/>
                <w:sz w:val="18"/>
                <w:szCs w:val="18"/>
                <w:color w:val="auto"/>
              </w:rPr>
              <w:t>1,746</w:t>
            </w:r>
          </w:p>
        </w:tc>
        <w:tc>
          <w:tcPr>
            <w:tcW w:w="200" w:type="dxa"/>
            <w:vAlign w:val="bottom"/>
            <w:tcBorders>
              <w:top w:val="single" w:sz="8" w:color="E5FFFF"/>
            </w:tcBorders>
          </w:tcPr>
          <w:p>
            <w:pPr>
              <w:spacing w:after="0"/>
              <w:rPr>
                <w:sz w:val="17"/>
                <w:szCs w:val="17"/>
                <w:color w:val="auto"/>
              </w:rPr>
            </w:pPr>
          </w:p>
        </w:tc>
        <w:tc>
          <w:tcPr>
            <w:tcW w:w="100" w:type="dxa"/>
            <w:vAlign w:val="bottom"/>
            <w:tcBorders>
              <w:top w:val="single" w:sz="8" w:color="E5FFFF"/>
            </w:tcBorders>
          </w:tcPr>
          <w:p>
            <w:pPr>
              <w:spacing w:after="0"/>
              <w:rPr>
                <w:sz w:val="17"/>
                <w:szCs w:val="17"/>
                <w:color w:val="auto"/>
              </w:rPr>
            </w:pPr>
          </w:p>
        </w:tc>
        <w:tc>
          <w:tcPr>
            <w:tcW w:w="920" w:type="dxa"/>
            <w:vAlign w:val="bottom"/>
            <w:tcBorders>
              <w:top w:val="single" w:sz="8" w:color="E5FFFF"/>
            </w:tcBorders>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474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Process Solutions</w:t>
            </w:r>
          </w:p>
        </w:tc>
        <w:tc>
          <w:tcPr>
            <w:tcW w:w="18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895</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847</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2,587</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2,570</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E5FFFF"/>
            </w:tcBorders>
            <w:gridSpan w:val="5"/>
          </w:tcPr>
          <w:p>
            <w:pPr>
              <w:ind w:left="180"/>
              <w:spacing w:after="0"/>
              <w:rPr>
                <w:sz w:val="20"/>
                <w:szCs w:val="20"/>
                <w:color w:val="auto"/>
              </w:rPr>
            </w:pPr>
            <w:r>
              <w:rPr>
                <w:rFonts w:ascii="Arial" w:cs="Arial" w:eastAsia="Arial" w:hAnsi="Arial"/>
                <w:sz w:val="18"/>
                <w:szCs w:val="18"/>
                <w:color w:val="auto"/>
              </w:rPr>
              <w:t>Advanced Materials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918</w:t>
            </w:r>
          </w:p>
        </w:tc>
        <w:tc>
          <w:tcPr>
            <w:tcW w:w="22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920" w:type="dxa"/>
            <w:vAlign w:val="bottom"/>
            <w:tcBorders>
              <w:bottom w:val="single" w:sz="8" w:color="E5FFFF"/>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2,057</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2,728</w:t>
            </w:r>
          </w:p>
        </w:tc>
        <w:tc>
          <w:tcPr>
            <w:tcW w:w="20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920" w:type="dxa"/>
            <w:vAlign w:val="bottom"/>
            <w:tcBorders>
              <w:bottom w:val="single" w:sz="8" w:color="E5FFFF"/>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2"/>
        </w:trPr>
        <w:tc>
          <w:tcPr>
            <w:tcW w:w="4740" w:type="dxa"/>
            <w:vAlign w:val="bottom"/>
            <w:gridSpan w:val="5"/>
            <w:shd w:val="clear" w:color="auto" w:fill="E5FFFF"/>
          </w:tcPr>
          <w:p>
            <w:pPr>
              <w:ind w:left="360"/>
              <w:spacing w:after="0" w:line="182" w:lineRule="exact"/>
              <w:rPr>
                <w:sz w:val="20"/>
                <w:szCs w:val="20"/>
                <w:color w:val="auto"/>
              </w:rPr>
            </w:pPr>
            <w:r>
              <w:rPr>
                <w:rFonts w:ascii="Arial" w:cs="Arial" w:eastAsia="Arial" w:hAnsi="Arial"/>
                <w:sz w:val="18"/>
                <w:szCs w:val="18"/>
                <w:color w:val="auto"/>
              </w:rPr>
              <w:t>Total Performance Materials and Technologies</w:t>
            </w:r>
          </w:p>
        </w:tc>
        <w:tc>
          <w:tcPr>
            <w:tcW w:w="180" w:type="dxa"/>
            <w:vAlign w:val="bottom"/>
            <w:shd w:val="clear" w:color="auto" w:fill="E5FFFF"/>
          </w:tcPr>
          <w:p>
            <w:pPr>
              <w:spacing w:after="0"/>
              <w:rPr>
                <w:sz w:val="15"/>
                <w:szCs w:val="15"/>
                <w:color w:val="auto"/>
              </w:rPr>
            </w:pPr>
          </w:p>
        </w:tc>
        <w:tc>
          <w:tcPr>
            <w:tcW w:w="66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9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4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92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40" w:type="dxa"/>
            <w:vAlign w:val="bottom"/>
            <w:gridSpan w:val="5"/>
            <w:shd w:val="clear" w:color="auto" w:fill="E5FFFF"/>
          </w:tcPr>
          <w:p>
            <w:pPr>
              <w:ind w:left="540"/>
              <w:spacing w:after="0" w:line="203" w:lineRule="exact"/>
              <w:rPr>
                <w:sz w:val="20"/>
                <w:szCs w:val="20"/>
                <w:color w:val="auto"/>
              </w:rPr>
            </w:pPr>
            <w:r>
              <w:rPr>
                <w:rFonts w:ascii="Arial" w:cs="Arial" w:eastAsia="Arial" w:hAnsi="Arial"/>
                <w:sz w:val="18"/>
                <w:szCs w:val="18"/>
                <w:color w:val="auto"/>
              </w:rPr>
              <w:t>Sales</w:t>
            </w:r>
          </w:p>
        </w:tc>
        <w:tc>
          <w:tcPr>
            <w:tcW w:w="18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2,260</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2,329</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6,568</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0"/>
              <w:spacing w:after="0" w:line="203" w:lineRule="exact"/>
              <w:rPr>
                <w:sz w:val="20"/>
                <w:szCs w:val="20"/>
                <w:color w:val="auto"/>
              </w:rPr>
            </w:pPr>
            <w:r>
              <w:rPr>
                <w:rFonts w:ascii="Arial" w:cs="Arial" w:eastAsia="Arial" w:hAnsi="Arial"/>
                <w:sz w:val="18"/>
                <w:szCs w:val="18"/>
                <w:color w:val="auto"/>
              </w:rPr>
              <w:t>7,044</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Safety and Productivity Solutions Sales</w:t>
            </w:r>
          </w:p>
        </w:tc>
        <w:tc>
          <w:tcPr>
            <w:tcW w:w="1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4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Safety</w:t>
            </w:r>
          </w:p>
        </w:tc>
        <w:tc>
          <w:tcPr>
            <w:tcW w:w="18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537</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526</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1,587</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1,558</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E5FFFF"/>
            </w:tcBorders>
            <w:gridSpan w:val="5"/>
          </w:tcPr>
          <w:p>
            <w:pPr>
              <w:ind w:left="180"/>
              <w:spacing w:after="0"/>
              <w:rPr>
                <w:sz w:val="20"/>
                <w:szCs w:val="20"/>
                <w:color w:val="auto"/>
              </w:rPr>
            </w:pPr>
            <w:r>
              <w:rPr>
                <w:rFonts w:ascii="Arial" w:cs="Arial" w:eastAsia="Arial" w:hAnsi="Arial"/>
                <w:sz w:val="18"/>
                <w:szCs w:val="18"/>
                <w:color w:val="auto"/>
              </w:rPr>
              <w:t>Productivity Solutions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w:t>
            </w:r>
          </w:p>
        </w:tc>
        <w:tc>
          <w:tcPr>
            <w:tcW w:w="22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920" w:type="dxa"/>
            <w:vAlign w:val="bottom"/>
            <w:tcBorders>
              <w:bottom w:val="single" w:sz="8" w:color="E5FFFF"/>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2,580</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1,776</w:t>
            </w:r>
          </w:p>
        </w:tc>
        <w:tc>
          <w:tcPr>
            <w:tcW w:w="20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920" w:type="dxa"/>
            <w:vAlign w:val="bottom"/>
            <w:tcBorders>
              <w:bottom w:val="single" w:sz="8" w:color="E5FFFF"/>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740" w:type="dxa"/>
            <w:vAlign w:val="bottom"/>
            <w:gridSpan w:val="5"/>
            <w:shd w:val="clear" w:color="auto" w:fill="E5FFFF"/>
          </w:tcPr>
          <w:p>
            <w:pPr>
              <w:ind w:left="360"/>
              <w:spacing w:after="0" w:line="196" w:lineRule="exact"/>
              <w:rPr>
                <w:sz w:val="20"/>
                <w:szCs w:val="20"/>
                <w:color w:val="auto"/>
              </w:rPr>
            </w:pPr>
            <w:r>
              <w:rPr>
                <w:rFonts w:ascii="Arial" w:cs="Arial" w:eastAsia="Arial" w:hAnsi="Arial"/>
                <w:sz w:val="18"/>
                <w:szCs w:val="18"/>
                <w:color w:val="auto"/>
              </w:rPr>
              <w:t>Total Safety and Productivity Solutions Sales</w:t>
            </w:r>
          </w:p>
        </w:tc>
        <w:tc>
          <w:tcPr>
            <w:tcW w:w="18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1,414</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1,173</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4,167</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3,334</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5"/>
            <w:vMerge w:val="restart"/>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5"/>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10,121</w:t>
            </w: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9,804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29,691</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29,317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60" w:type="dxa"/>
            <w:vAlign w:val="bottom"/>
            <w:tcBorders>
              <w:bottom w:val="single" w:sz="8" w:color="C0C0C0"/>
            </w:tcBorders>
          </w:tcPr>
          <w:p>
            <w:pPr>
              <w:spacing w:after="0"/>
              <w:rPr>
                <w:sz w:val="20"/>
                <w:szCs w:val="20"/>
                <w:color w:val="auto"/>
              </w:rPr>
            </w:pPr>
          </w:p>
        </w:tc>
        <w:tc>
          <w:tcPr>
            <w:tcW w:w="176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Aerospace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339"/>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59"/>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3,657</w:t>
            </w:r>
          </w:p>
        </w:tc>
        <w:tc>
          <w:tcPr>
            <w:tcW w:w="480" w:type="dxa"/>
            <w:vAlign w:val="bottom"/>
            <w:gridSpan w:val="3"/>
            <w:shd w:val="clear" w:color="auto" w:fill="E5FFFF"/>
          </w:tcPr>
          <w:p>
            <w:pPr>
              <w:ind w:left="28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3,601</w:t>
            </w: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3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10,877</w:t>
            </w:r>
          </w:p>
        </w:tc>
        <w:tc>
          <w:tcPr>
            <w:tcW w:w="380" w:type="dxa"/>
            <w:vAlign w:val="bottom"/>
            <w:gridSpan w:val="3"/>
            <w:shd w:val="clear" w:color="auto" w:fill="E5FFFF"/>
          </w:tcPr>
          <w:p>
            <w:pPr>
              <w:ind w:left="2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11,085</w:t>
            </w:r>
          </w:p>
        </w:tc>
        <w:tc>
          <w:tcPr>
            <w:tcW w:w="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Cost of products and services sold</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2,699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7,626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8,138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E5FFFF"/>
          </w:tcPr>
          <w:p>
            <w:pPr>
              <w:ind w:left="160"/>
              <w:spacing w:after="0"/>
              <w:rPr>
                <w:sz w:val="20"/>
                <w:szCs w:val="20"/>
                <w:color w:val="auto"/>
              </w:rPr>
            </w:pPr>
            <w:r>
              <w:rPr>
                <w:rFonts w:ascii="Arial" w:cs="Arial" w:eastAsia="Arial" w:hAnsi="Arial"/>
                <w:sz w:val="18"/>
                <w:szCs w:val="18"/>
                <w:color w:val="auto"/>
              </w:rPr>
              <w:t>Selling, general and administrative and other expenses</w:t>
            </w:r>
          </w:p>
        </w:tc>
        <w:tc>
          <w:tcPr>
            <w:tcW w:w="180" w:type="dxa"/>
            <w:vAlign w:val="bottom"/>
            <w:tcBorders>
              <w:bottom w:val="single" w:sz="8" w:color="auto"/>
            </w:tcBorders>
            <w:shd w:val="clear" w:color="auto" w:fill="E5FFFF"/>
          </w:tcPr>
          <w:p>
            <w:pPr>
              <w:spacing w:after="0"/>
              <w:rPr>
                <w:sz w:val="19"/>
                <w:szCs w:val="19"/>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298</w:t>
            </w:r>
          </w:p>
        </w:tc>
        <w:tc>
          <w:tcPr>
            <w:tcW w:w="60" w:type="dxa"/>
            <w:vAlign w:val="bottom"/>
            <w:tcBorders>
              <w:bottom w:val="single" w:sz="8" w:color="auto"/>
            </w:tcBorders>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19"/>
                <w:szCs w:val="19"/>
                <w:color w:val="auto"/>
              </w:rPr>
            </w:pPr>
          </w:p>
        </w:tc>
        <w:tc>
          <w:tcPr>
            <w:tcW w:w="70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spacing w:after="0"/>
              <w:rPr>
                <w:sz w:val="19"/>
                <w:szCs w:val="19"/>
                <w:color w:val="auto"/>
              </w:rPr>
            </w:pPr>
          </w:p>
        </w:tc>
        <w:tc>
          <w:tcPr>
            <w:tcW w:w="72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856</w:t>
            </w:r>
          </w:p>
        </w:tc>
        <w:tc>
          <w:tcPr>
            <w:tcW w:w="22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spacing w:after="0"/>
              <w:rPr>
                <w:sz w:val="19"/>
                <w:szCs w:val="19"/>
                <w:color w:val="auto"/>
              </w:rPr>
            </w:pPr>
          </w:p>
        </w:tc>
        <w:tc>
          <w:tcPr>
            <w:tcW w:w="74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Pr>
          <w:p>
            <w:pPr>
              <w:spacing w:after="0" w:line="196" w:lineRule="exact"/>
              <w:rPr>
                <w:sz w:val="20"/>
                <w:szCs w:val="20"/>
                <w:color w:val="auto"/>
              </w:rPr>
            </w:pPr>
            <w:r>
              <w:rPr>
                <w:rFonts w:ascii="Arial" w:cs="Arial" w:eastAsia="Arial" w:hAnsi="Arial"/>
                <w:sz w:val="18"/>
                <w:szCs w:val="18"/>
                <w:color w:val="auto"/>
              </w:rPr>
              <w:t>Segment profit</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780</w:t>
            </w:r>
          </w:p>
        </w:tc>
        <w:tc>
          <w:tcPr>
            <w:tcW w:w="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663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2,395</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2,252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89" w:lineRule="exact"/>
        <w:rPr>
          <w:sz w:val="20"/>
          <w:szCs w:val="20"/>
          <w:color w:val="auto"/>
        </w:rPr>
      </w:pPr>
    </w:p>
    <w:tbl>
      <w:tblPr>
        <w:tblLayout w:type="fixed"/>
        <w:tblInd w:w="5900" w:type="dxa"/>
        <w:tblCellMar>
          <w:top w:w="0" w:type="dxa"/>
          <w:left w:w="0" w:type="dxa"/>
          <w:bottom w:w="0" w:type="dxa"/>
          <w:right w:w="0" w:type="dxa"/>
        </w:tblCellMar>
      </w:tblPr>
      <w:tr>
        <w:trPr>
          <w:trHeight w:val="175"/>
        </w:trPr>
        <w:tc>
          <w:tcPr>
            <w:tcW w:w="20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 vs. 2016</w:t>
            </w:r>
          </w:p>
        </w:tc>
      </w:tr>
      <w:tr>
        <w:trPr>
          <w:trHeight w:val="142"/>
        </w:trPr>
        <w:tc>
          <w:tcPr>
            <w:tcW w:w="2060" w:type="dxa"/>
            <w:vAlign w:val="bottom"/>
          </w:tcPr>
          <w:p>
            <w:pPr>
              <w:jc w:val="center"/>
              <w:ind w:left="328"/>
              <w:spacing w:after="0" w:line="143" w:lineRule="exact"/>
              <w:rPr>
                <w:sz w:val="20"/>
                <w:szCs w:val="20"/>
                <w:color w:val="auto"/>
              </w:rPr>
            </w:pPr>
            <w:r>
              <w:rPr>
                <w:rFonts w:ascii="Arial" w:cs="Arial" w:eastAsia="Arial" w:hAnsi="Arial"/>
                <w:sz w:val="14"/>
                <w:szCs w:val="14"/>
                <w:b w:val="1"/>
                <w:bCs w:val="1"/>
                <w:color w:val="auto"/>
              </w:rPr>
              <w:t>Three Months Ended</w:t>
            </w:r>
          </w:p>
        </w:tc>
        <w:tc>
          <w:tcPr>
            <w:tcW w:w="3180" w:type="dxa"/>
            <w:vAlign w:val="bottom"/>
          </w:tcPr>
          <w:p>
            <w:pPr>
              <w:jc w:val="center"/>
              <w:ind w:left="628"/>
              <w:spacing w:after="0" w:line="143" w:lineRule="exact"/>
              <w:rPr>
                <w:sz w:val="20"/>
                <w:szCs w:val="20"/>
                <w:color w:val="auto"/>
              </w:rPr>
            </w:pPr>
            <w:r>
              <w:rPr>
                <w:rFonts w:ascii="Arial" w:cs="Arial" w:eastAsia="Arial" w:hAnsi="Arial"/>
                <w:sz w:val="14"/>
                <w:szCs w:val="14"/>
                <w:b w:val="1"/>
                <w:bCs w:val="1"/>
                <w:color w:val="auto"/>
              </w:rPr>
              <w:t>Nine Months Ended</w:t>
            </w:r>
          </w:p>
        </w:tc>
      </w:tr>
      <w:tr>
        <w:trPr>
          <w:trHeight w:val="175"/>
        </w:trPr>
        <w:tc>
          <w:tcPr>
            <w:tcW w:w="2060" w:type="dxa"/>
            <w:vAlign w:val="bottom"/>
          </w:tcPr>
          <w:p>
            <w:pPr>
              <w:jc w:val="center"/>
              <w:ind w:left="328"/>
              <w:spacing w:after="0"/>
              <w:rPr>
                <w:sz w:val="20"/>
                <w:szCs w:val="20"/>
                <w:color w:val="auto"/>
              </w:rPr>
            </w:pPr>
            <w:r>
              <w:rPr>
                <w:rFonts w:ascii="Arial" w:cs="Arial" w:eastAsia="Arial" w:hAnsi="Arial"/>
                <w:sz w:val="14"/>
                <w:szCs w:val="14"/>
                <w:b w:val="1"/>
                <w:bCs w:val="1"/>
                <w:color w:val="auto"/>
              </w:rPr>
              <w:t>September 30,</w:t>
            </w:r>
          </w:p>
        </w:tc>
        <w:tc>
          <w:tcPr>
            <w:tcW w:w="3180" w:type="dxa"/>
            <w:vAlign w:val="bottom"/>
          </w:tcPr>
          <w:p>
            <w:pPr>
              <w:jc w:val="center"/>
              <w:ind w:left="628"/>
              <w:spacing w:after="0"/>
              <w:rPr>
                <w:sz w:val="20"/>
                <w:szCs w:val="20"/>
                <w:color w:val="auto"/>
              </w:rPr>
            </w:pPr>
            <w:r>
              <w:rPr>
                <w:rFonts w:ascii="Arial" w:cs="Arial" w:eastAsia="Arial" w:hAnsi="Arial"/>
                <w:sz w:val="14"/>
                <w:szCs w:val="14"/>
                <w:b w:val="1"/>
                <w:bCs w:val="1"/>
                <w:color w:val="auto"/>
              </w:rPr>
              <w:t>September 30,</w:t>
            </w:r>
          </w:p>
        </w:tc>
      </w:tr>
    </w:tbl>
    <w:p>
      <w:pPr>
        <w:spacing w:after="0" w:line="1"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16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27" w:lineRule="exact"/>
        <w:rPr>
          <w:sz w:val="20"/>
          <w:szCs w:val="20"/>
          <w:color w:val="auto"/>
        </w:rPr>
      </w:pPr>
    </w:p>
    <w:p>
      <w:pPr>
        <w:ind w:left="300" w:right="1440"/>
        <w:spacing w:after="0" w:line="243" w:lineRule="auto"/>
        <w:rPr>
          <w:sz w:val="20"/>
          <w:szCs w:val="20"/>
          <w:color w:val="auto"/>
        </w:rPr>
      </w:pPr>
      <w:r>
        <w:rPr>
          <w:rFonts w:ascii="Arial" w:cs="Arial" w:eastAsia="Arial" w:hAnsi="Arial"/>
          <w:sz w:val="18"/>
          <w:szCs w:val="18"/>
          <w:color w:val="auto"/>
        </w:rPr>
        <w:t>Organic growth/ Operational segment profit Foreign currency translation Acquisitions, divestitures and other, net Total % Change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9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3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216"/>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Sales</w:t>
            </w: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Profit</w:t>
            </w: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Sales</w:t>
            </w: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Profit</w:t>
            </w:r>
          </w:p>
        </w:tc>
      </w:tr>
      <w:tr>
        <w:trPr>
          <w:trHeight w:val="195"/>
        </w:trPr>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w:t>
            </w:r>
          </w:p>
        </w:tc>
        <w:tc>
          <w:tcPr>
            <w:tcW w:w="320" w:type="dxa"/>
            <w:vAlign w:val="bottom"/>
          </w:tcPr>
          <w:p>
            <w:pPr>
              <w:spacing w:after="0"/>
              <w:rPr>
                <w:sz w:val="16"/>
                <w:szCs w:val="16"/>
                <w:color w:val="auto"/>
              </w:rPr>
            </w:pP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w:t>
            </w:r>
          </w:p>
        </w:tc>
        <w:tc>
          <w:tcPr>
            <w:tcW w:w="320" w:type="dxa"/>
            <w:vAlign w:val="bottom"/>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6"/>
                <w:szCs w:val="16"/>
                <w:color w:val="auto"/>
              </w:rPr>
            </w:pP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3"/>
        </w:trPr>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r>
      <w:tr>
        <w:trPr>
          <w:trHeight w:val="210"/>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-307975</wp:posOffset>
            </wp:positionV>
            <wp:extent cx="687768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-574040</wp:posOffset>
            </wp:positionV>
            <wp:extent cx="687768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5520"/>
          </w:cols>
          <w:pgMar w:left="240" w:top="400" w:right="239" w:bottom="1440" w:gutter="0" w:footer="0" w:header="0"/>
          <w:type w:val="continuous"/>
        </w:sectPr>
      </w:pPr>
    </w:p>
    <w:p>
      <w:pPr>
        <w:spacing w:after="0" w:line="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Aerospace sales increased in the quarter ended September 30, 2017 primarily due to organic sales growth and favorable impact of foreign currency translation, partially offset by a decrease due to the government services business divestiture. Aerospace sales decreased in the nine months ended September 30, 2017 primarily due to the government services business divestiture, partially offset by an increase in organic sales growth.</w:t>
      </w:r>
    </w:p>
    <w:p>
      <w:pPr>
        <w:spacing w:after="0" w:line="188" w:lineRule="exact"/>
        <w:rPr>
          <w:sz w:val="20"/>
          <w:szCs w:val="20"/>
          <w:color w:val="auto"/>
        </w:rPr>
      </w:pPr>
    </w:p>
    <w:p>
      <w:pPr>
        <w:jc w:val="both"/>
        <w:ind w:left="980" w:hanging="324"/>
        <w:spacing w:after="0" w:line="23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Original Equipment sales increased 10% (increased 10% organic) in the quarter due to increased sales growth in the air transport market and lower incentives to original equipment manufacturers (OEM incentives). Commercial Original Equipment sales decreased 4% (decreased 4% organic) in the nine months primarily due to lower volumes in the business aviation market in the first half of the year, which drove lower shipments to business jet original equipment manufacturers (OEMs), partially offset by lower OEM incentives.</w:t>
      </w:r>
    </w:p>
    <w:p>
      <w:pPr>
        <w:spacing w:after="0" w:line="229" w:lineRule="exact"/>
        <w:rPr>
          <w:rFonts w:ascii="Arial" w:cs="Arial" w:eastAsia="Arial" w:hAnsi="Arial"/>
          <w:sz w:val="18"/>
          <w:szCs w:val="18"/>
          <w:color w:val="auto"/>
        </w:rPr>
      </w:pPr>
    </w:p>
    <w:p>
      <w:pPr>
        <w:ind w:left="980" w:right="20" w:hanging="324"/>
        <w:spacing w:after="0" w:line="24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Aftermarket sales increased 8% (increased 7% organic) in the quarter and increased 6% (increased 6% organic) in the nine months driven by higher repair and overhaul and increased spares shipments to air transport and regional customers.</w:t>
      </w:r>
    </w:p>
    <w:p>
      <w:pPr>
        <w:spacing w:after="0" w:line="223" w:lineRule="exact"/>
        <w:rPr>
          <w:rFonts w:ascii="Arial" w:cs="Arial" w:eastAsia="Arial" w:hAnsi="Arial"/>
          <w:sz w:val="18"/>
          <w:szCs w:val="18"/>
          <w:color w:val="auto"/>
        </w:rPr>
      </w:pPr>
    </w:p>
    <w:p>
      <w:pPr>
        <w:jc w:val="both"/>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Defense and Space sales decreased 12% (decreased 2% organic) in the quarter and decreased 11% (flat organic) in the nine months primarily due to the government services business divestiture. Organic sales decreased in the quarter due to lower volumes in international defense spares and space, partially offset by growth in U.S. defense.</w:t>
      </w:r>
    </w:p>
    <w:p>
      <w:pPr>
        <w:spacing w:after="0" w:line="229" w:lineRule="exact"/>
        <w:rPr>
          <w:rFonts w:ascii="Arial" w:cs="Arial" w:eastAsia="Arial" w:hAnsi="Arial"/>
          <w:sz w:val="18"/>
          <w:szCs w:val="18"/>
          <w:color w:val="auto"/>
        </w:rPr>
      </w:pPr>
    </w:p>
    <w:p>
      <w:pPr>
        <w:jc w:val="both"/>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Transportation Systems sales increased 5% (increased 3% organic) in the quarter and increased 1% (increased 2% organic) in the nine months primarily due to higher commercial vehicle volumes and gas turbo penetration partially offset by lower diesel turbo volumes and the unfavorable impact of foreign currency translation.</w:t>
      </w:r>
    </w:p>
    <w:p>
      <w:pPr>
        <w:spacing w:after="0" w:line="23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Aerospace segment profit increased in the quarter and nine months driven primarily by an increase in operational segment profit, partially offset by the government services business divestiture. The increase in operational segment profit was driven primarily by productivity including restructuring benefits, lower OEM incentives and higher organic sales volume, partially offset by inflation and the government services business divestiture. Cost of products and services sold decreased primarily due to the government services business divestiture, and productivity, net of inflation, including restructuring benefits.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Home and Building Technologies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4"/>
                <w:szCs w:val="14"/>
                <w:color w:val="auto"/>
              </w:rPr>
            </w:pPr>
          </w:p>
        </w:tc>
      </w:tr>
      <w:tr>
        <w:trPr>
          <w:trHeight w:val="175"/>
        </w:trPr>
        <w:tc>
          <w:tcPr>
            <w:tcW w:w="3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5"/>
                <w:szCs w:val="15"/>
                <w:color w:val="auto"/>
              </w:rPr>
            </w:pPr>
          </w:p>
        </w:tc>
      </w:tr>
      <w:tr>
        <w:trPr>
          <w:trHeight w:val="156"/>
        </w:trPr>
        <w:tc>
          <w:tcPr>
            <w:tcW w:w="3540" w:type="dxa"/>
            <w:vAlign w:val="bottom"/>
            <w:tcBorders>
              <w:bottom w:val="single" w:sz="8" w:color="E5FF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E5FFFF"/>
            </w:tcBorders>
          </w:tcPr>
          <w:p>
            <w:pPr>
              <w:spacing w:after="0"/>
              <w:rPr>
                <w:sz w:val="13"/>
                <w:szCs w:val="13"/>
                <w:color w:val="auto"/>
              </w:rPr>
            </w:pPr>
          </w:p>
        </w:tc>
        <w:tc>
          <w:tcPr>
            <w:tcW w:w="1080" w:type="dxa"/>
            <w:vAlign w:val="bottom"/>
            <w:tcBorders>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 Change</w:t>
            </w:r>
          </w:p>
        </w:tc>
        <w:tc>
          <w:tcPr>
            <w:tcW w:w="340" w:type="dxa"/>
            <w:vAlign w:val="bottom"/>
            <w:tcBorders>
              <w:bottom w:val="single" w:sz="8" w:color="E5FF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E5FFFF"/>
            </w:tcBorders>
          </w:tcPr>
          <w:p>
            <w:pPr>
              <w:spacing w:after="0"/>
              <w:rPr>
                <w:sz w:val="13"/>
                <w:szCs w:val="13"/>
                <w:color w:val="auto"/>
              </w:rPr>
            </w:pPr>
          </w:p>
        </w:tc>
        <w:tc>
          <w:tcPr>
            <w:tcW w:w="106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 Change</w:t>
            </w:r>
          </w:p>
        </w:tc>
      </w:tr>
      <w:tr>
        <w:trPr>
          <w:trHeight w:val="196"/>
        </w:trPr>
        <w:tc>
          <w:tcPr>
            <w:tcW w:w="35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2,790</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2,701</w:t>
            </w:r>
          </w:p>
        </w:tc>
        <w:tc>
          <w:tcPr>
            <w:tcW w:w="34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ind w:left="220"/>
              <w:spacing w:after="0" w:line="196" w:lineRule="exact"/>
              <w:rPr>
                <w:sz w:val="20"/>
                <w:szCs w:val="20"/>
                <w:color w:val="auto"/>
              </w:rPr>
            </w:pPr>
            <w:r>
              <w:rPr>
                <w:rFonts w:ascii="Arial" w:cs="Arial" w:eastAsia="Arial" w:hAnsi="Arial"/>
                <w:sz w:val="18"/>
                <w:szCs w:val="18"/>
                <w:color w:val="auto"/>
              </w:rPr>
              <w:t>8,079</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7,854</w:t>
            </w:r>
          </w:p>
        </w:tc>
        <w:tc>
          <w:tcPr>
            <w:tcW w:w="34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Cost of products and services sold</w:t>
            </w:r>
          </w:p>
        </w:tc>
        <w:tc>
          <w:tcPr>
            <w:tcW w:w="22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1,873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1,783</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5,440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5,225</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2"/>
        </w:trPr>
        <w:tc>
          <w:tcPr>
            <w:tcW w:w="354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r>
      <w:tr>
        <w:trPr>
          <w:trHeight w:val="217"/>
        </w:trPr>
        <w:tc>
          <w:tcPr>
            <w:tcW w:w="3540" w:type="dxa"/>
            <w:vAlign w:val="bottom"/>
            <w:shd w:val="clear" w:color="auto" w:fill="E5FFFF"/>
          </w:tcPr>
          <w:p>
            <w:pPr>
              <w:ind w:left="360"/>
              <w:spacing w:after="0"/>
              <w:rPr>
                <w:sz w:val="20"/>
                <w:szCs w:val="20"/>
                <w:color w:val="auto"/>
              </w:rPr>
            </w:pPr>
            <w:r>
              <w:rPr>
                <w:rFonts w:ascii="Arial" w:cs="Arial" w:eastAsia="Arial" w:hAnsi="Arial"/>
                <w:sz w:val="18"/>
                <w:szCs w:val="18"/>
                <w:color w:val="auto"/>
              </w:rPr>
              <w:t>and other expenses</w:t>
            </w:r>
          </w:p>
        </w:tc>
        <w:tc>
          <w:tcPr>
            <w:tcW w:w="220" w:type="dxa"/>
            <w:vAlign w:val="bottom"/>
            <w:tcBorders>
              <w:bottom w:val="single" w:sz="8" w:color="auto"/>
            </w:tcBorders>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459</w:t>
            </w:r>
          </w:p>
        </w:tc>
        <w:tc>
          <w:tcPr>
            <w:tcW w:w="3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477</w:t>
            </w:r>
          </w:p>
        </w:tc>
        <w:tc>
          <w:tcPr>
            <w:tcW w:w="34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ind w:left="220"/>
              <w:spacing w:after="0"/>
              <w:rPr>
                <w:sz w:val="20"/>
                <w:szCs w:val="20"/>
                <w:color w:val="auto"/>
              </w:rPr>
            </w:pPr>
            <w:r>
              <w:rPr>
                <w:rFonts w:ascii="Arial" w:cs="Arial" w:eastAsia="Arial" w:hAnsi="Arial"/>
                <w:sz w:val="18"/>
                <w:szCs w:val="18"/>
                <w:color w:val="auto"/>
              </w:rPr>
              <w:t>1,372</w:t>
            </w:r>
          </w:p>
        </w:tc>
        <w:tc>
          <w:tcPr>
            <w:tcW w:w="3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1,416</w:t>
            </w:r>
          </w:p>
        </w:tc>
        <w:tc>
          <w:tcPr>
            <w:tcW w:w="34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r>
      <w:tr>
        <w:trPr>
          <w:trHeight w:val="196"/>
        </w:trPr>
        <w:tc>
          <w:tcPr>
            <w:tcW w:w="3540" w:type="dxa"/>
            <w:vAlign w:val="bottom"/>
          </w:tcPr>
          <w:p>
            <w:pPr>
              <w:spacing w:after="0" w:line="196" w:lineRule="exact"/>
              <w:rPr>
                <w:sz w:val="20"/>
                <w:szCs w:val="20"/>
                <w:color w:val="auto"/>
              </w:rPr>
            </w:pPr>
            <w:r>
              <w:rPr>
                <w:rFonts w:ascii="Arial" w:cs="Arial" w:eastAsia="Arial" w:hAnsi="Arial"/>
                <w:sz w:val="18"/>
                <w:szCs w:val="18"/>
                <w:color w:val="auto"/>
              </w:rPr>
              <w:t>Segment profit</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458</w:t>
            </w:r>
          </w:p>
        </w:tc>
        <w:tc>
          <w:tcPr>
            <w:tcW w:w="34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441</w:t>
            </w:r>
          </w:p>
        </w:tc>
        <w:tc>
          <w:tcPr>
            <w:tcW w:w="3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1,267</w:t>
            </w:r>
          </w:p>
        </w:tc>
        <w:tc>
          <w:tcPr>
            <w:tcW w:w="34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1,213</w:t>
            </w:r>
          </w:p>
        </w:tc>
        <w:tc>
          <w:tcPr>
            <w:tcW w:w="34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58"/>
        </w:trPr>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ind w:left="240"/>
              <w:spacing w:after="0"/>
              <w:rPr>
                <w:sz w:val="20"/>
                <w:szCs w:val="20"/>
                <w:color w:val="auto"/>
              </w:rPr>
            </w:pPr>
            <w:r>
              <w:rPr>
                <w:rFonts w:ascii="Arial" w:cs="Arial" w:eastAsia="Arial" w:hAnsi="Arial"/>
                <w:sz w:val="14"/>
                <w:szCs w:val="14"/>
                <w:b w:val="1"/>
                <w:bCs w:val="1"/>
                <w:color w:val="auto"/>
              </w:rPr>
              <w:t>2017 vs. 2016</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Organic growth/ Operational segment profit</w:t>
      </w:r>
    </w:p>
    <w:p>
      <w:pPr>
        <w:ind w:left="340"/>
        <w:spacing w:after="0" w:line="234" w:lineRule="auto"/>
        <w:rPr>
          <w:sz w:val="20"/>
          <w:szCs w:val="20"/>
          <w:color w:val="auto"/>
        </w:rPr>
      </w:pPr>
      <w:r>
        <w:rPr>
          <w:rFonts w:ascii="Arial" w:cs="Arial" w:eastAsia="Arial" w:hAnsi="Arial"/>
          <w:sz w:val="18"/>
          <w:szCs w:val="18"/>
          <w:color w:val="auto"/>
        </w:rPr>
        <w:t>Foreign currency translation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Acquisitions and divestitures,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2680" w:type="dxa"/>
            <w:vAlign w:val="bottom"/>
            <w:tcBorders>
              <w:top w:val="single" w:sz="8" w:color="auto"/>
            </w:tcBorders>
            <w:gridSpan w:val="4"/>
          </w:tcPr>
          <w:p>
            <w:pPr>
              <w:jc w:val="center"/>
              <w:ind w:right="340"/>
              <w:spacing w:after="0" w:line="143" w:lineRule="exact"/>
              <w:rPr>
                <w:sz w:val="20"/>
                <w:szCs w:val="20"/>
                <w:color w:val="auto"/>
              </w:rPr>
            </w:pPr>
            <w:r>
              <w:rPr>
                <w:rFonts w:ascii="Arial" w:cs="Arial" w:eastAsia="Arial" w:hAnsi="Arial"/>
                <w:sz w:val="14"/>
                <w:szCs w:val="14"/>
                <w:b w:val="1"/>
                <w:bCs w:val="1"/>
                <w:color w:val="auto"/>
              </w:rPr>
              <w:t>Three Months Ended</w:t>
            </w:r>
          </w:p>
        </w:tc>
        <w:tc>
          <w:tcPr>
            <w:tcW w:w="2420" w:type="dxa"/>
            <w:vAlign w:val="bottom"/>
            <w:tcBorders>
              <w:top w:val="single" w:sz="8" w:color="auto"/>
            </w:tcBorders>
            <w:gridSpan w:val="3"/>
          </w:tcPr>
          <w:p>
            <w:pPr>
              <w:jc w:val="right"/>
              <w:ind w:right="456"/>
              <w:spacing w:after="0" w:line="143" w:lineRule="exact"/>
              <w:rPr>
                <w:sz w:val="20"/>
                <w:szCs w:val="20"/>
                <w:color w:val="auto"/>
              </w:rPr>
            </w:pPr>
            <w:r>
              <w:rPr>
                <w:rFonts w:ascii="Arial" w:cs="Arial" w:eastAsia="Arial" w:hAnsi="Arial"/>
                <w:sz w:val="14"/>
                <w:szCs w:val="14"/>
                <w:b w:val="1"/>
                <w:bCs w:val="1"/>
                <w:color w:val="auto"/>
              </w:rPr>
              <w:t>Nine Months Ended</w:t>
            </w:r>
          </w:p>
        </w:tc>
      </w:tr>
      <w:tr>
        <w:trPr>
          <w:trHeight w:val="175"/>
        </w:trPr>
        <w:tc>
          <w:tcPr>
            <w:tcW w:w="26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420" w:type="dxa"/>
            <w:vAlign w:val="bottom"/>
            <w:gridSpan w:val="3"/>
          </w:tcPr>
          <w:p>
            <w:pPr>
              <w:jc w:val="right"/>
              <w:ind w:right="636"/>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3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76"/>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Sales</w:t>
            </w: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Profit</w:t>
            </w: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Sales</w:t>
            </w:r>
          </w:p>
        </w:tc>
        <w:tc>
          <w:tcPr>
            <w:tcW w:w="1120" w:type="dxa"/>
            <w:vAlign w:val="bottom"/>
          </w:tcPr>
          <w:p>
            <w:pPr>
              <w:jc w:val="right"/>
              <w:ind w:right="296"/>
              <w:spacing w:after="0"/>
              <w:rPr>
                <w:sz w:val="20"/>
                <w:szCs w:val="20"/>
                <w:color w:val="auto"/>
              </w:rPr>
            </w:pPr>
            <w:r>
              <w:rPr>
                <w:rFonts w:ascii="Arial" w:cs="Arial" w:eastAsia="Arial" w:hAnsi="Arial"/>
                <w:sz w:val="14"/>
                <w:szCs w:val="14"/>
                <w:b w:val="1"/>
                <w:bCs w:val="1"/>
                <w:color w:val="auto"/>
              </w:rPr>
              <w:t>Profit</w:t>
            </w:r>
          </w:p>
        </w:tc>
      </w:tr>
      <w:tr>
        <w:trPr>
          <w:trHeight w:val="195"/>
        </w:trPr>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20" w:type="dxa"/>
            <w:vAlign w:val="bottom"/>
          </w:tcPr>
          <w:p>
            <w:pPr>
              <w:jc w:val="right"/>
              <w:ind w:right="96"/>
              <w:spacing w:after="0"/>
              <w:rPr>
                <w:sz w:val="20"/>
                <w:szCs w:val="20"/>
                <w:color w:val="auto"/>
              </w:rPr>
            </w:pPr>
            <w:r>
              <w:rPr>
                <w:rFonts w:ascii="Arial" w:cs="Arial" w:eastAsia="Arial" w:hAnsi="Arial"/>
                <w:sz w:val="18"/>
                <w:szCs w:val="18"/>
                <w:color w:val="auto"/>
              </w:rPr>
              <w:t>-</w:t>
            </w:r>
          </w:p>
        </w:tc>
      </w:tr>
      <w:tr>
        <w:trPr>
          <w:trHeight w:val="203"/>
        </w:trPr>
        <w:tc>
          <w:tcPr>
            <w:tcW w:w="900" w:type="dxa"/>
            <w:vAlign w:val="bottom"/>
            <w:tcBorders>
              <w:bottom w:val="single" w:sz="8" w:color="auto"/>
            </w:tcBorders>
          </w:tcPr>
          <w:p>
            <w:pPr>
              <w:jc w:val="right"/>
              <w:ind w:right="78"/>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ind w:right="96"/>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1120" w:type="dxa"/>
            <w:vAlign w:val="bottom"/>
            <w:tcBorders>
              <w:bottom w:val="single" w:sz="8" w:color="auto"/>
            </w:tcBorders>
          </w:tcPr>
          <w:p>
            <w:pPr>
              <w:jc w:val="right"/>
              <w:ind w:right="96"/>
              <w:spacing w:after="0" w:line="203" w:lineRule="exact"/>
              <w:rPr>
                <w:sz w:val="20"/>
                <w:szCs w:val="20"/>
                <w:color w:val="auto"/>
              </w:rPr>
            </w:pPr>
            <w:r>
              <w:rPr>
                <w:rFonts w:ascii="Arial" w:cs="Arial" w:eastAsia="Arial" w:hAnsi="Arial"/>
                <w:sz w:val="18"/>
                <w:szCs w:val="18"/>
                <w:color w:val="auto"/>
              </w:rPr>
              <w:t>-</w:t>
            </w:r>
          </w:p>
        </w:tc>
      </w:tr>
      <w:tr>
        <w:trPr>
          <w:trHeight w:val="210"/>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-307975</wp:posOffset>
            </wp:positionV>
            <wp:extent cx="687768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-574040</wp:posOffset>
            </wp:positionV>
            <wp:extent cx="68776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5380"/>
          </w:cols>
          <w:pgMar w:left="240" w:top="400" w:right="239" w:bottom="1440" w:gutter="0" w:footer="0" w:header="0"/>
          <w:type w:val="continuous"/>
        </w:sectPr>
      </w:pPr>
    </w:p>
    <w:p>
      <w:pPr>
        <w:spacing w:after="0" w:line="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Home and Building Technologies sales increased in the quarter and nine months ended September 30, 2017 primarily driven by organic growth.</w:t>
      </w:r>
    </w:p>
    <w:p>
      <w:pPr>
        <w:spacing w:after="0" w:line="183" w:lineRule="exact"/>
        <w:rPr>
          <w:sz w:val="20"/>
          <w:szCs w:val="20"/>
          <w:color w:val="auto"/>
        </w:rPr>
      </w:pPr>
    </w:p>
    <w:p>
      <w:pPr>
        <w:jc w:val="both"/>
        <w:ind w:left="980" w:hanging="324"/>
        <w:spacing w:after="0" w:line="23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Home and Building Products increased 4% (increased 2% organic) in the quarter due to organic sales growth and the favorable impact of foreign currency translation. Sales increased 3% (increased 3% organic) in the nine months primarily due to organic sales growth, partially offset by the unfavorable impact of foreign currency translation. Organic sales growth in the quarter and in the nine months was primarily driven by sales growth in Smart Energy and Security and Fire.</w:t>
      </w:r>
    </w:p>
    <w:p>
      <w:pPr>
        <w:spacing w:after="0" w:line="228" w:lineRule="exact"/>
        <w:rPr>
          <w:rFonts w:ascii="Arial" w:cs="Arial" w:eastAsia="Arial" w:hAnsi="Arial"/>
          <w:sz w:val="18"/>
          <w:szCs w:val="18"/>
          <w:color w:val="auto"/>
        </w:rPr>
      </w:pPr>
    </w:p>
    <w:p>
      <w:pPr>
        <w:jc w:val="both"/>
        <w:ind w:left="980" w:hanging="324"/>
        <w:spacing w:after="0" w:line="23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Home and Building Distribution increased 3% (increased 2% organic) in the quarter due to organic sales growth and the favorable impact of foreign currency translation. Sales increased 3% (increased 3% organic) in the nine months primarily due to organic sales growth. Organic sales growth in the quarter was primarily driven by growth in the global distribution business and in the nine months was due to global distribution business and Building Solutions.</w:t>
      </w:r>
    </w:p>
    <w:p>
      <w:pPr>
        <w:spacing w:after="0" w:line="22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Home and Building Technologies segment profit increased in the quarter due to higher operational segment profit and the favorable impact of foreign currency translation, and increased in the nine months due to higher operational segment profit. The increase in operational segment profit in the quarter and the nine months is primarily due to the positive impact of productivity, net of inflation, and pricing, offset by the unfavorable impact of product mix. Cost of products and services sold increased in the quarter primarily due to higher organic sales volumes and in the nine months primarily due to higher organic sales volumes, partially offset by the favorable impact of foreign currency translation.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gridSpan w:val="5"/>
          </w:tcPr>
          <w:p>
            <w:pPr>
              <w:jc w:val="center"/>
              <w:ind w:left="88"/>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5"/>
        </w:trPr>
        <w:tc>
          <w:tcPr>
            <w:tcW w:w="3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r>
      <w:tr>
        <w:trPr>
          <w:trHeight w:val="142"/>
        </w:trPr>
        <w:tc>
          <w:tcPr>
            <w:tcW w:w="3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500"/>
              <w:spacing w:after="0" w:line="143"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42"/>
              <w:spacing w:after="0" w:line="143"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75"/>
        </w:trPr>
        <w:tc>
          <w:tcPr>
            <w:tcW w:w="300" w:type="dxa"/>
            <w:vAlign w:val="bottom"/>
            <w:tcBorders>
              <w:bottom w:val="single" w:sz="8" w:color="E5FFFF"/>
            </w:tcBorders>
          </w:tcPr>
          <w:p>
            <w:pPr>
              <w:spacing w:after="0"/>
              <w:rPr>
                <w:sz w:val="15"/>
                <w:szCs w:val="15"/>
                <w:color w:val="auto"/>
              </w:rPr>
            </w:pPr>
          </w:p>
        </w:tc>
        <w:tc>
          <w:tcPr>
            <w:tcW w:w="314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E5FFFF"/>
            </w:tcBorders>
          </w:tcPr>
          <w:p>
            <w:pPr>
              <w:spacing w:after="0"/>
              <w:rPr>
                <w:sz w:val="15"/>
                <w:szCs w:val="15"/>
                <w:color w:val="auto"/>
              </w:rPr>
            </w:pPr>
          </w:p>
        </w:tc>
        <w:tc>
          <w:tcPr>
            <w:tcW w:w="18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E5FFFF"/>
            </w:tcBorders>
          </w:tcPr>
          <w:p>
            <w:pPr>
              <w:spacing w:after="0"/>
              <w:rPr>
                <w:sz w:val="15"/>
                <w:szCs w:val="15"/>
                <w:color w:val="auto"/>
              </w:rPr>
            </w:pPr>
          </w:p>
        </w:tc>
        <w:tc>
          <w:tcPr>
            <w:tcW w:w="220" w:type="dxa"/>
            <w:vAlign w:val="bottom"/>
            <w:tcBorders>
              <w:bottom w:val="single" w:sz="8" w:color="E5FFFF"/>
            </w:tcBorders>
          </w:tcPr>
          <w:p>
            <w:pPr>
              <w:spacing w:after="0"/>
              <w:rPr>
                <w:sz w:val="15"/>
                <w:szCs w:val="15"/>
                <w:color w:val="auto"/>
              </w:rPr>
            </w:pPr>
          </w:p>
        </w:tc>
        <w:tc>
          <w:tcPr>
            <w:tcW w:w="11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E5FF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E5FFFF"/>
            </w:tcBorders>
          </w:tcPr>
          <w:p>
            <w:pPr>
              <w:spacing w:after="0"/>
              <w:rPr>
                <w:sz w:val="15"/>
                <w:szCs w:val="15"/>
                <w:color w:val="auto"/>
              </w:rPr>
            </w:pPr>
          </w:p>
        </w:tc>
        <w:tc>
          <w:tcPr>
            <w:tcW w:w="28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E5FFFF"/>
            </w:tcBorders>
          </w:tcPr>
          <w:p>
            <w:pPr>
              <w:spacing w:after="0"/>
              <w:rPr>
                <w:sz w:val="15"/>
                <w:szCs w:val="15"/>
                <w:color w:val="auto"/>
              </w:rPr>
            </w:pPr>
          </w:p>
        </w:tc>
        <w:tc>
          <w:tcPr>
            <w:tcW w:w="80" w:type="dxa"/>
            <w:vAlign w:val="bottom"/>
            <w:tcBorders>
              <w:bottom w:val="single" w:sz="8" w:color="E5FFFF"/>
            </w:tcBorders>
          </w:tcPr>
          <w:p>
            <w:pPr>
              <w:spacing w:after="0"/>
              <w:rPr>
                <w:sz w:val="15"/>
                <w:szCs w:val="15"/>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r>
      <w:tr>
        <w:trPr>
          <w:trHeight w:val="196"/>
        </w:trPr>
        <w:tc>
          <w:tcPr>
            <w:tcW w:w="344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2,260</w:t>
            </w:r>
          </w:p>
        </w:tc>
        <w:tc>
          <w:tcPr>
            <w:tcW w:w="1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2,329</w:t>
            </w: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gridSpan w:val="3"/>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6,568</w:t>
            </w:r>
          </w:p>
        </w:tc>
        <w:tc>
          <w:tcPr>
            <w:tcW w:w="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7,044</w:t>
            </w:r>
          </w:p>
        </w:tc>
        <w:tc>
          <w:tcPr>
            <w:tcW w:w="2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(7)%</w:t>
            </w:r>
          </w:p>
        </w:tc>
      </w:tr>
      <w:tr>
        <w:trPr>
          <w:trHeight w:val="216"/>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Cost of products and services sold</w:t>
            </w:r>
          </w:p>
        </w:tc>
        <w:tc>
          <w:tcPr>
            <w:tcW w:w="22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1,414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4,150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4,683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2"/>
        </w:trPr>
        <w:tc>
          <w:tcPr>
            <w:tcW w:w="3440" w:type="dxa"/>
            <w:vAlign w:val="bottom"/>
            <w:gridSpan w:val="2"/>
            <w:shd w:val="clear" w:color="auto" w:fill="E5FFFF"/>
          </w:tcPr>
          <w:p>
            <w:pPr>
              <w:ind w:left="180"/>
              <w:spacing w:after="0" w:line="201" w:lineRule="exact"/>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r>
      <w:tr>
        <w:trPr>
          <w:trHeight w:val="217"/>
        </w:trPr>
        <w:tc>
          <w:tcPr>
            <w:tcW w:w="300" w:type="dxa"/>
            <w:vAlign w:val="bottom"/>
            <w:shd w:val="clear" w:color="auto" w:fill="E5FFFF"/>
          </w:tcPr>
          <w:p>
            <w:pPr>
              <w:spacing w:after="0"/>
              <w:rPr>
                <w:sz w:val="18"/>
                <w:szCs w:val="18"/>
                <w:color w:val="auto"/>
              </w:rPr>
            </w:pPr>
          </w:p>
        </w:tc>
        <w:tc>
          <w:tcPr>
            <w:tcW w:w="3140" w:type="dxa"/>
            <w:vAlign w:val="bottom"/>
            <w:shd w:val="clear" w:color="auto" w:fill="E5FFFF"/>
          </w:tcPr>
          <w:p>
            <w:pPr>
              <w:ind w:left="60"/>
              <w:spacing w:after="0"/>
              <w:rPr>
                <w:sz w:val="20"/>
                <w:szCs w:val="20"/>
                <w:color w:val="auto"/>
              </w:rPr>
            </w:pPr>
            <w:r>
              <w:rPr>
                <w:rFonts w:ascii="Arial" w:cs="Arial" w:eastAsia="Arial" w:hAnsi="Arial"/>
                <w:sz w:val="18"/>
                <w:szCs w:val="18"/>
                <w:color w:val="auto"/>
              </w:rPr>
              <w:t>and other expenses</w:t>
            </w:r>
          </w:p>
        </w:tc>
        <w:tc>
          <w:tcPr>
            <w:tcW w:w="2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897</w:t>
            </w:r>
          </w:p>
        </w:tc>
        <w:tc>
          <w:tcPr>
            <w:tcW w:w="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877</w:t>
            </w:r>
          </w:p>
        </w:tc>
        <w:tc>
          <w:tcPr>
            <w:tcW w:w="2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r>
      <w:tr>
        <w:trPr>
          <w:trHeight w:val="196"/>
        </w:trPr>
        <w:tc>
          <w:tcPr>
            <w:tcW w:w="3440" w:type="dxa"/>
            <w:vAlign w:val="bottom"/>
            <w:gridSpan w:val="2"/>
          </w:tcPr>
          <w:p>
            <w:pPr>
              <w:spacing w:after="0" w:line="196" w:lineRule="exact"/>
              <w:rPr>
                <w:sz w:val="20"/>
                <w:szCs w:val="20"/>
                <w:color w:val="auto"/>
              </w:rPr>
            </w:pPr>
            <w:r>
              <w:rPr>
                <w:rFonts w:ascii="Arial" w:cs="Arial" w:eastAsia="Arial" w:hAnsi="Arial"/>
                <w:sz w:val="18"/>
                <w:szCs w:val="18"/>
                <w:color w:val="auto"/>
              </w:rPr>
              <w:t>Segment profit</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526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503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w:t>
            </w: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1,521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1,484</w:t>
            </w:r>
          </w:p>
        </w:tc>
        <w:tc>
          <w:tcPr>
            <w:tcW w:w="260" w:type="dxa"/>
            <w:vAlign w:val="bottom"/>
          </w:tcPr>
          <w:p>
            <w:pPr>
              <w:spacing w:after="0"/>
              <w:rPr>
                <w:sz w:val="17"/>
                <w:szCs w:val="17"/>
                <w:color w:val="auto"/>
              </w:rPr>
            </w:pPr>
          </w:p>
        </w:tc>
        <w:tc>
          <w:tcPr>
            <w:tcW w:w="122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2%</w:t>
            </w:r>
          </w:p>
        </w:tc>
      </w:tr>
      <w:tr>
        <w:trPr>
          <w:trHeight w:val="412"/>
        </w:trPr>
        <w:tc>
          <w:tcPr>
            <w:tcW w:w="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2017 vs. 2016</w:t>
            </w: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211"/>
        </w:trPr>
        <w:tc>
          <w:tcPr>
            <w:tcW w:w="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3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5"/>
          </w:tcPr>
          <w:p>
            <w:pPr>
              <w:ind w:left="50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3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ind w:left="200"/>
              <w:spacing w:after="0" w:line="143" w:lineRule="exact"/>
              <w:rPr>
                <w:sz w:val="20"/>
                <w:szCs w:val="20"/>
                <w:color w:val="auto"/>
              </w:rPr>
            </w:pPr>
            <w:r>
              <w:rPr>
                <w:rFonts w:ascii="Arial" w:cs="Arial" w:eastAsia="Arial" w:hAnsi="Arial"/>
                <w:sz w:val="14"/>
                <w:szCs w:val="14"/>
                <w:b w:val="1"/>
                <w:bCs w:val="1"/>
                <w:color w:val="auto"/>
              </w:rPr>
              <w:t>Segment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222"/>
              <w:spacing w:after="0" w:line="143" w:lineRule="exact"/>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2"/>
                <w:szCs w:val="12"/>
                <w:color w:val="auto"/>
              </w:rPr>
            </w:pPr>
          </w:p>
        </w:tc>
      </w:tr>
      <w:tr>
        <w:trPr>
          <w:trHeight w:val="175"/>
        </w:trPr>
        <w:tc>
          <w:tcPr>
            <w:tcW w:w="300" w:type="dxa"/>
            <w:vAlign w:val="bottom"/>
          </w:tcPr>
          <w:p>
            <w:pPr>
              <w:spacing w:after="0"/>
              <w:rPr>
                <w:sz w:val="15"/>
                <w:szCs w:val="15"/>
                <w:color w:val="auto"/>
              </w:rPr>
            </w:pPr>
          </w:p>
        </w:tc>
        <w:tc>
          <w:tcPr>
            <w:tcW w:w="430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Sales</w:t>
            </w: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Profit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Sales</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Profit</w:t>
            </w:r>
          </w:p>
        </w:tc>
        <w:tc>
          <w:tcPr>
            <w:tcW w:w="28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1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Organic growth/ Operational segment profit</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translation</w:t>
      </w:r>
    </w:p>
    <w:p>
      <w:pPr>
        <w:ind w:left="340"/>
        <w:spacing w:after="0"/>
        <w:rPr>
          <w:sz w:val="20"/>
          <w:szCs w:val="20"/>
          <w:color w:val="auto"/>
        </w:rPr>
      </w:pPr>
      <w:r>
        <w:rPr>
          <w:rFonts w:ascii="Arial" w:cs="Arial" w:eastAsia="Arial" w:hAnsi="Arial"/>
          <w:sz w:val="18"/>
          <w:szCs w:val="18"/>
          <w:color w:val="auto"/>
        </w:rPr>
        <w:t>Acquisitions and divestitures,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w:t>
            </w:r>
          </w:p>
        </w:tc>
        <w:tc>
          <w:tcPr>
            <w:tcW w:w="30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r>
      <w:tr>
        <w:trPr>
          <w:trHeight w:val="210"/>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-565150</wp:posOffset>
            </wp:positionV>
            <wp:extent cx="687768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77685" cy="128905"/>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-307975</wp:posOffset>
            </wp:positionV>
            <wp:extent cx="687768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5520"/>
          </w:cols>
          <w:pgMar w:left="240" w:top="400" w:right="239" w:bottom="1440" w:gutter="0" w:footer="0" w:header="0"/>
          <w:type w:val="continuous"/>
        </w:sectPr>
      </w:pPr>
    </w:p>
    <w:p>
      <w:pPr>
        <w:spacing w:after="0" w:line="2"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Performance Materials and Technologies sales decreased in the quarter and nine months ended September 30, 2017 driven primarily by divestitures, partially offset by organic sales growth.</w:t>
      </w:r>
    </w:p>
    <w:p>
      <w:pPr>
        <w:spacing w:after="0" w:line="183" w:lineRule="exact"/>
        <w:rPr>
          <w:sz w:val="20"/>
          <w:szCs w:val="20"/>
          <w:color w:val="auto"/>
        </w:rPr>
      </w:pPr>
    </w:p>
    <w:p>
      <w:pPr>
        <w:jc w:val="both"/>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UOP sales increased 25% (increased 25% organic) in the quarter and increased 10% (increased 11% organic) in the nine months driven primarily by higher gas processing project revenues and increased equipment sales, with catalyst volumes and licensing also increasing in the quarter.</w:t>
      </w:r>
    </w:p>
    <w:p>
      <w:pPr>
        <w:spacing w:after="0" w:line="229" w:lineRule="exact"/>
        <w:rPr>
          <w:rFonts w:ascii="Arial" w:cs="Arial" w:eastAsia="Arial" w:hAnsi="Arial"/>
          <w:sz w:val="18"/>
          <w:szCs w:val="18"/>
          <w:color w:val="auto"/>
        </w:rPr>
      </w:pPr>
    </w:p>
    <w:p>
      <w:pPr>
        <w:jc w:val="both"/>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Process Solutions sales increased 6% (increased 5% organic) in the quarter and increased 1% (increased 1% organic) in the nine months driven primarily by higher revenue in services and software, partially offset by decreased revenues in projects and lower field product sales in the first half of the year.</w:t>
      </w:r>
    </w:p>
    <w:p>
      <w:pPr>
        <w:spacing w:after="0" w:line="229" w:lineRule="exact"/>
        <w:rPr>
          <w:rFonts w:ascii="Arial" w:cs="Arial" w:eastAsia="Arial" w:hAnsi="Arial"/>
          <w:sz w:val="18"/>
          <w:szCs w:val="18"/>
          <w:color w:val="auto"/>
        </w:rPr>
      </w:pPr>
    </w:p>
    <w:p>
      <w:pPr>
        <w:jc w:val="both"/>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Advanced Materials sales decreased 28% (increased 6% organic) in the quarter and decreased 25% (increased 10% organic) in the nine months driven primarily by the spin-off of the former resins and chemicals business, partially offset by increased fluorine products volumes.</w:t>
      </w:r>
    </w:p>
    <w:p>
      <w:pPr>
        <w:spacing w:after="0" w:line="23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Performance Materials and Technologies segment profit increased in the quarter and nine months driven primarily by an increase in operational segment profit, partially offset by divestitures. The increase in operational segment profit is primarily due to productivity, net of inflation, higher organic sales volume and pricing, partially offset by unfavorable product mix and continued investments for growth. Cost of products and services sold decreased in the quarter and nine months primarily due to divestitures and productivity, net of inflation, partially offset by higher organic sales volumes.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399"/>
              <w:spacing w:after="0" w:line="143"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99"/>
              <w:spacing w:after="0" w:line="143"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780" w:type="dxa"/>
            <w:vAlign w:val="bottom"/>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520" w:type="dxa"/>
            <w:vAlign w:val="bottom"/>
            <w:gridSpan w:val="2"/>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1,414</w:t>
            </w:r>
          </w:p>
        </w:tc>
        <w:tc>
          <w:tcPr>
            <w:tcW w:w="560" w:type="dxa"/>
            <w:vAlign w:val="bottom"/>
            <w:gridSpan w:val="2"/>
            <w:shd w:val="clear" w:color="auto" w:fill="E5FFFF"/>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1,173</w:t>
            </w:r>
          </w:p>
        </w:tc>
        <w:tc>
          <w:tcPr>
            <w:tcW w:w="1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21%</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4,167</w:t>
            </w:r>
          </w:p>
        </w:tc>
        <w:tc>
          <w:tcPr>
            <w:tcW w:w="560" w:type="dxa"/>
            <w:vAlign w:val="bottom"/>
            <w:gridSpan w:val="2"/>
            <w:shd w:val="clear" w:color="auto" w:fill="E5FFFF"/>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3,334</w:t>
            </w:r>
          </w:p>
        </w:tc>
        <w:tc>
          <w:tcPr>
            <w:tcW w:w="34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Cost of products and services sold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933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2,739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2,161</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shd w:val="clear" w:color="auto" w:fill="E5FFFF"/>
          </w:tcPr>
          <w:p>
            <w:pPr>
              <w:ind w:left="340"/>
              <w:spacing w:after="0"/>
              <w:rPr>
                <w:sz w:val="20"/>
                <w:szCs w:val="20"/>
                <w:color w:val="auto"/>
              </w:rPr>
            </w:pPr>
            <w:r>
              <w:rPr>
                <w:rFonts w:ascii="Arial" w:cs="Arial" w:eastAsia="Arial" w:hAnsi="Arial"/>
                <w:sz w:val="18"/>
                <w:szCs w:val="18"/>
                <w:color w:val="auto"/>
              </w:rPr>
              <w:t>and other expenses</w:t>
            </w:r>
          </w:p>
        </w:tc>
        <w:tc>
          <w:tcPr>
            <w:tcW w:w="3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268</w:t>
            </w:r>
          </w:p>
        </w:tc>
        <w:tc>
          <w:tcPr>
            <w:tcW w:w="3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807</w:t>
            </w:r>
          </w:p>
        </w:tc>
        <w:tc>
          <w:tcPr>
            <w:tcW w:w="3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678</w:t>
            </w:r>
          </w:p>
        </w:tc>
        <w:tc>
          <w:tcPr>
            <w:tcW w:w="34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Pr>
          <w:p>
            <w:pPr>
              <w:spacing w:after="0" w:line="196" w:lineRule="exact"/>
              <w:rPr>
                <w:sz w:val="20"/>
                <w:szCs w:val="20"/>
                <w:color w:val="auto"/>
              </w:rPr>
            </w:pPr>
            <w:r>
              <w:rPr>
                <w:rFonts w:ascii="Arial" w:cs="Arial" w:eastAsia="Arial" w:hAnsi="Arial"/>
                <w:sz w:val="18"/>
                <w:szCs w:val="18"/>
                <w:color w:val="auto"/>
              </w:rPr>
              <w:t>Segment profit</w:t>
            </w:r>
          </w:p>
        </w:tc>
        <w:tc>
          <w:tcPr>
            <w:tcW w:w="3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213</w:t>
            </w:r>
          </w:p>
        </w:tc>
        <w:tc>
          <w:tcPr>
            <w:tcW w:w="3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172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3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621</w:t>
            </w:r>
          </w:p>
        </w:tc>
        <w:tc>
          <w:tcPr>
            <w:tcW w:w="3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495</w:t>
            </w:r>
          </w:p>
        </w:tc>
        <w:tc>
          <w:tcPr>
            <w:tcW w:w="34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2017 vs. 2016</w:t>
            </w: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27" w:lineRule="exact"/>
        <w:rPr>
          <w:sz w:val="20"/>
          <w:szCs w:val="20"/>
          <w:color w:val="auto"/>
        </w:rPr>
      </w:pPr>
    </w:p>
    <w:p>
      <w:pPr>
        <w:ind w:left="340" w:right="1540"/>
        <w:spacing w:after="0" w:line="234" w:lineRule="auto"/>
        <w:rPr>
          <w:sz w:val="20"/>
          <w:szCs w:val="20"/>
          <w:color w:val="auto"/>
        </w:rPr>
      </w:pPr>
      <w:r>
        <w:rPr>
          <w:rFonts w:ascii="Arial" w:cs="Arial" w:eastAsia="Arial" w:hAnsi="Arial"/>
          <w:sz w:val="18"/>
          <w:szCs w:val="18"/>
          <w:color w:val="auto"/>
        </w:rPr>
        <w:t>Organic growth/ Operational segment profit Foreign exchange</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Acquisitions and divestitures,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244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2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44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3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216"/>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Sales</w:t>
            </w: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Profit</w:t>
            </w: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Sales</w:t>
            </w: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Profit</w:t>
            </w:r>
          </w:p>
        </w:tc>
      </w:tr>
      <w:tr>
        <w:trPr>
          <w:trHeight w:val="195"/>
        </w:trPr>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w:t>
            </w:r>
          </w:p>
        </w:tc>
        <w:tc>
          <w:tcPr>
            <w:tcW w:w="32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6"/>
                <w:szCs w:val="16"/>
                <w:color w:val="auto"/>
              </w:rPr>
            </w:pP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92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32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r>
      <w:tr>
        <w:trPr>
          <w:trHeight w:val="210"/>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-307975</wp:posOffset>
            </wp:positionV>
            <wp:extent cx="687768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-574040</wp:posOffset>
            </wp:positionV>
            <wp:extent cx="687768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5380"/>
          </w:cols>
          <w:pgMar w:left="240" w:top="400" w:right="239" w:bottom="1440" w:gutter="0" w:footer="0" w:header="0"/>
          <w:type w:val="continuous"/>
        </w:sectPr>
      </w:pPr>
    </w:p>
    <w:p>
      <w:pPr>
        <w:spacing w:after="0" w:line="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Safety and Productivity Solutions sales increased in the quarter and nine months ended September 30, 2017 primarily due to acquisitions and increased organic sales volume.</w:t>
      </w:r>
    </w:p>
    <w:p>
      <w:pPr>
        <w:spacing w:after="0" w:line="183" w:lineRule="exact"/>
        <w:rPr>
          <w:sz w:val="20"/>
          <w:szCs w:val="20"/>
          <w:color w:val="auto"/>
        </w:rPr>
      </w:pPr>
    </w:p>
    <w:p>
      <w:pPr>
        <w:jc w:val="both"/>
        <w:ind w:left="660" w:right="2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in Safety increased 2% (increased 1% organic) in the quarter and increased 2% (increased 2% organic) in the nine months due to increased sales volume in the Industrial Safety business and the favorable impact of foreign currency translation, partially offset by lower volume in Retail.</w:t>
      </w:r>
    </w:p>
    <w:p>
      <w:pPr>
        <w:spacing w:after="0" w:line="22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in Productivity Solutions increased 36% (increased 4% organic) in the quarter and increased 45% (increased 2% organic) in the nine months primarily due to growth from acquisitions (Intelligrated).</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Safety and Productivity Solutions segment profit increased in the quarter and nine months primarily due to increase from operational segment profit and acquisitions. The increase in operational segment profit for the quarter and nine months was driven by higher productivity, net of inflation, and sales volume. Cost of products and services sold increased primarily due to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Repositioning and Other Charges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repositioning actions are expected to generate incremental pretax savings of $350 million to $400 million in 2017 compared with 2016 primarily from planned workforce reductions. Cash spending related to our repositioning actions was $123 million in the nine months ended September 30, 2017 and was funded through operating cash flows. We expect cash spending for repositioning actions to be approximately $225 million in 2017 and to be funded through operating cash flows.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900" w:type="dxa"/>
            <w:vAlign w:val="bottom"/>
            <w:tcBorders>
              <w:bottom w:val="single" w:sz="8" w:color="E5FFFF"/>
            </w:tcBorders>
          </w:tcPr>
          <w:p>
            <w:pPr>
              <w:spacing w:after="0"/>
              <w:rPr>
                <w:sz w:val="15"/>
                <w:szCs w:val="15"/>
                <w:color w:val="auto"/>
              </w:rPr>
            </w:pPr>
          </w:p>
        </w:tc>
        <w:tc>
          <w:tcPr>
            <w:tcW w:w="1620" w:type="dxa"/>
            <w:vAlign w:val="bottom"/>
            <w:tcBorders>
              <w:bottom w:val="single" w:sz="8" w:color="E5FF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E5FF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r>
      <w:tr>
        <w:trPr>
          <w:trHeight w:val="196"/>
        </w:trPr>
        <w:tc>
          <w:tcPr>
            <w:tcW w:w="59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provided by (used for):</w:t>
            </w:r>
          </w:p>
        </w:tc>
        <w:tc>
          <w:tcPr>
            <w:tcW w:w="16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1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3,794</w:t>
            </w:r>
          </w:p>
        </w:tc>
        <w:tc>
          <w:tcPr>
            <w:tcW w:w="30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3,456</w:t>
            </w:r>
          </w:p>
        </w:tc>
      </w:tr>
      <w:tr>
        <w:trPr>
          <w:trHeight w:val="203"/>
        </w:trPr>
        <w:tc>
          <w:tcPr>
            <w:tcW w:w="590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16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(2,191)</w:t>
            </w:r>
          </w:p>
        </w:tc>
        <w:tc>
          <w:tcPr>
            <w:tcW w:w="30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(3,276)</w:t>
            </w: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w:t>
            </w: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(2,387)</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708</w:t>
            </w:r>
          </w:p>
        </w:tc>
      </w:tr>
      <w:tr>
        <w:trPr>
          <w:trHeight w:val="216"/>
        </w:trPr>
        <w:tc>
          <w:tcPr>
            <w:tcW w:w="59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16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ind w:right="17"/>
              <w:spacing w:after="0"/>
              <w:rPr>
                <w:sz w:val="20"/>
                <w:szCs w:val="20"/>
                <w:color w:val="auto"/>
              </w:rPr>
            </w:pPr>
            <w:r>
              <w:rPr>
                <w:rFonts w:ascii="Arial" w:cs="Arial" w:eastAsia="Arial" w:hAnsi="Arial"/>
                <w:sz w:val="18"/>
                <w:szCs w:val="18"/>
                <w:color w:val="auto"/>
              </w:rPr>
              <w:t>330</w:t>
            </w:r>
          </w:p>
        </w:tc>
        <w:tc>
          <w:tcPr>
            <w:tcW w:w="300" w:type="dxa"/>
            <w:vAlign w:val="bottom"/>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88</w:t>
            </w:r>
          </w:p>
        </w:tc>
      </w:tr>
      <w:tr>
        <w:trPr>
          <w:trHeight w:val="210"/>
        </w:trPr>
        <w:tc>
          <w:tcPr>
            <w:tcW w:w="5900" w:type="dxa"/>
            <w:vAlign w:val="bottom"/>
          </w:tcPr>
          <w:p>
            <w:pPr>
              <w:spacing w:after="0" w:line="197" w:lineRule="exact"/>
              <w:rPr>
                <w:sz w:val="20"/>
                <w:szCs w:val="20"/>
                <w:color w:val="auto"/>
              </w:rPr>
            </w:pPr>
            <w:r>
              <w:rPr>
                <w:rFonts w:ascii="Arial" w:cs="Arial" w:eastAsia="Arial" w:hAnsi="Arial"/>
                <w:sz w:val="18"/>
                <w:szCs w:val="18"/>
                <w:color w:val="auto"/>
              </w:rPr>
              <w:t>Net (decrease) increase in cash and cash equivalents</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(454)</w:t>
            </w:r>
          </w:p>
        </w:tc>
        <w:tc>
          <w:tcPr>
            <w:tcW w:w="3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976</w:t>
            </w:r>
          </w:p>
        </w:tc>
      </w:tr>
      <w:tr>
        <w:trPr>
          <w:trHeight w:val="20"/>
        </w:trPr>
        <w:tc>
          <w:tcPr>
            <w:tcW w:w="5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Cash provided by operating activities increased by $338 million primarily due to a $339 million lower use of cash from working capital compared to the prior year and an increase in net income of $296 million, partially offset by increased cash tax payments of $482 million.</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Cash used for investing activities decreased by $1,085 million primarily due to a decrease in cash paid for acquisitions of $2,496 million, partially offset by a net $ 931 million increase in investments, primarily short term marketable securities, an increase of $354 million in settlement payments of foreign currency exchange contracts used as economic hedges on certain non-functional currency denominated monetary assets and liabilities, and a decrease in proceeds from sales of businesses of $304 million.</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used for financing activities increased by $3,095 million primarily due to a decrease in the net proceeds from debt issuances of $3,437 million and an increase in cash dividends paid of $144 million, partially offset by a decrease in net repurchases of common stock of $608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2017, we are not required to make contributions to our U.S. pension plans. We plan to make contributions of cash and/or marketable securities of approximately $130 million ($ 89 million of marketable securities were contributed in January 2017) to our non-U.S. plans in 2017 to satisfy regulatory funding requirements. The timing and amount of contributions to both our U.S. and non-U.S. plans may be impacted by a number of factors, including the funded status of the plans.</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three months ended September 30, 2017, the Company repurchased $343 million of outstanding shares. Under the Company’s previously approved $5 billion share repurchase program, $2.7 billion remained available as of September 30, 2017 for additional share repurchases. Honeywell presently expects to repurchase outstanding shares from time to time to offset the dilutive impact over the long-term of employee stock-based compensation plans, including future option exercises, restricted unit vesting and matching contributions under our savings plans. The amount and timing of future repurchases may vary depending on market conditions and the level of operating, financing and other investing activities.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with the fourth quarter 2017 dividend, we increased our quarterly dividend rate by 12% to $0.745 per share of common stock.</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 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12 Commitments and Contingencies of Notes to Consolidated Financial Statements for further discussion of environmental, asbestos and other litigation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financial information as of September 30, 2017 should be read in conjunction with the consolidated financial statements for the year ended December 31, 2016 contained in our 2016 Annual Report on Form 10-K.</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2016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See Note 2 Recent Accounting Pronouncements of Notes to Consolidated Financial Statements for a discussion of recent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Quantitative and Qualitative Disclosures About Market Risks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2016 Annual Report on Form 10-K. As of September 30, 2017, there has been no material change in this information</w:t>
      </w:r>
      <w:r>
        <w:rPr>
          <w:rFonts w:ascii="Arial" w:cs="Arial" w:eastAsia="Arial" w:hAnsi="Arial"/>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Controls and Procedures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Legal Matters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12 Commitments and Contingencies of Notes to Consolidated Financial Statements for a discussion of environmental, asbestos and other litigation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Other than the additional risk factor presented below, there have been no material changes to the disclosure presented in our 2016 Annual Report on Form 10-K under Item 1A. Risk Factors.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proposed spin-offs of our Homes and Global Distribution business and of our Transportation Systems business into two stand-alone, publicly-traded companies are each contingent upon the satisfaction of a number of conditions, may not be completed on the currently contemplated timeline, or at all, and may not achieve the intended benefits.</w:t>
      </w:r>
    </w:p>
    <w:p>
      <w:pPr>
        <w:spacing w:after="0" w:line="17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On October 10, 2017, the Company announced its intention to separately spin off our Homes and Global Distribution business and our Transportation Systems business into two stand-alone, publicly-traded companies. Completion of each proposed spin-off is subject to finalization of the financial statements of the spun-off business, assurance that the separation will be tax-free to our shareowners for U.S. federal income tax purposes, finalization of the capital structure of the three corporations, the effectiveness of appropriate filings with the U.S. Securities and Exchange Commission, final approval of our Board of Directors, and other customary matters. Each proposed spin-off is complex in nature, and may be affected by unanticipated developments, credit and equity markets, or changes in market conditions. These or other unanticipated developments could delay or prevent the proposed spin-offs or cause the proposed spin-offs to occur on terms or conditions that are less favorable than anticipated, including without limitation, the failure to qualify as tax-free to our shareowners, and the inability of the two spun-off companies to incur sufficient indebtedness to allow for a distribution to Honeywell of proceeds concurrently with the consummation of the spin-offs or to make cash contributions towards the satisfaction of certain of our legacy asbestos and environmental remediation liabilities. Furthermore, if the spin-offs are completed, we cannot assure you that each will be successful in meeting its objectives. Any of these factors could have a material adverse effect on our business, financial condition, results of operations, cash flows or the price of our common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Honeywell purchased 2,500,000 shares of its common stock, par value $1 per share, in the quarter ended September 30, 2017. Under the Company’s previously approved $5 billion share repurchase program, $2.7 billion remained available as of September 30, 2017 for additional share repurchases. The following table summarizes Honeywell’s purchase of its common stock for the quarter ended September 30, 2017:</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80" w:type="dxa"/>
            <w:vAlign w:val="bottom"/>
            <w:gridSpan w:val="4"/>
          </w:tcPr>
          <w:p>
            <w:pPr>
              <w:ind w:left="300"/>
              <w:spacing w:after="0"/>
              <w:rPr>
                <w:sz w:val="20"/>
                <w:szCs w:val="20"/>
                <w:color w:val="auto"/>
              </w:rPr>
            </w:pPr>
            <w:r>
              <w:rPr>
                <w:rFonts w:ascii="Arial" w:cs="Arial" w:eastAsia="Arial" w:hAnsi="Arial"/>
                <w:sz w:val="14"/>
                <w:szCs w:val="14"/>
                <w:b w:val="1"/>
                <w:bCs w:val="1"/>
                <w:color w:val="auto"/>
              </w:rPr>
              <w:t>Issuer Purchases of Equity Securities</w:t>
            </w:r>
          </w:p>
        </w:tc>
        <w:tc>
          <w:tcPr>
            <w:tcW w:w="2960" w:type="dxa"/>
            <w:vAlign w:val="bottom"/>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162"/>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Total Number</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 Shares</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Purchased as</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May Yet be Purchased</w:t>
            </w:r>
          </w:p>
        </w:tc>
      </w:tr>
      <w:tr>
        <w:trPr>
          <w:trHeight w:val="162"/>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Part of Publicly</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Under Plans or</w:t>
            </w:r>
          </w:p>
        </w:tc>
      </w:tr>
      <w:tr>
        <w:trPr>
          <w:trHeight w:val="162"/>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 Paid</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Announced Plans</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r>
      <w:tr>
        <w:trPr>
          <w:trHeight w:val="175"/>
        </w:trPr>
        <w:tc>
          <w:tcPr>
            <w:tcW w:w="2080" w:type="dxa"/>
            <w:vAlign w:val="bottom"/>
            <w:gridSpan w:val="2"/>
          </w:tcPr>
          <w:p>
            <w:pPr>
              <w:ind w:left="700"/>
              <w:spacing w:after="0"/>
              <w:rPr>
                <w:sz w:val="20"/>
                <w:szCs w:val="20"/>
                <w:color w:val="auto"/>
              </w:rPr>
            </w:pPr>
            <w:r>
              <w:rPr>
                <w:rFonts w:ascii="Arial" w:cs="Arial" w:eastAsia="Arial" w:hAnsi="Arial"/>
                <w:sz w:val="14"/>
                <w:szCs w:val="14"/>
                <w:b w:val="1"/>
                <w:bCs w:val="1"/>
                <w:color w:val="auto"/>
              </w:rPr>
              <w:t>Period</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Purchased</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 Share</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or Programs</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195"/>
        </w:trPr>
        <w:tc>
          <w:tcPr>
            <w:tcW w:w="18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August 2017</w:t>
            </w:r>
          </w:p>
        </w:tc>
        <w:tc>
          <w:tcPr>
            <w:tcW w:w="240" w:type="dxa"/>
            <w:vAlign w:val="bottom"/>
          </w:tcPr>
          <w:p>
            <w:pPr>
              <w:spacing w:after="0"/>
              <w:rPr>
                <w:sz w:val="16"/>
                <w:szCs w:val="16"/>
                <w:color w:val="auto"/>
              </w:rPr>
            </w:pPr>
          </w:p>
        </w:tc>
        <w:tc>
          <w:tcPr>
            <w:tcW w:w="1380" w:type="dxa"/>
            <w:vAlign w:val="bottom"/>
            <w:tcBorders>
              <w:top w:val="single" w:sz="8" w:color="auto"/>
            </w:tcBorders>
          </w:tcPr>
          <w:p>
            <w:pPr>
              <w:jc w:val="right"/>
              <w:ind w:right="223"/>
              <w:spacing w:after="0" w:line="195" w:lineRule="exact"/>
              <w:rPr>
                <w:sz w:val="20"/>
                <w:szCs w:val="20"/>
                <w:color w:val="auto"/>
              </w:rPr>
            </w:pPr>
            <w:r>
              <w:rPr>
                <w:rFonts w:ascii="Arial" w:cs="Arial" w:eastAsia="Arial" w:hAnsi="Arial"/>
                <w:sz w:val="18"/>
                <w:szCs w:val="18"/>
                <w:color w:val="auto"/>
              </w:rPr>
              <w:t>2,100,000</w:t>
            </w:r>
          </w:p>
        </w:tc>
        <w:tc>
          <w:tcPr>
            <w:tcW w:w="22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$137.48</w:t>
            </w:r>
          </w:p>
        </w:tc>
        <w:tc>
          <w:tcPr>
            <w:tcW w:w="220" w:type="dxa"/>
            <w:vAlign w:val="bottom"/>
          </w:tcPr>
          <w:p>
            <w:pPr>
              <w:spacing w:after="0"/>
              <w:rPr>
                <w:sz w:val="16"/>
                <w:szCs w:val="16"/>
                <w:color w:val="auto"/>
              </w:rPr>
            </w:pPr>
          </w:p>
        </w:tc>
        <w:tc>
          <w:tcPr>
            <w:tcW w:w="2060" w:type="dxa"/>
            <w:vAlign w:val="bottom"/>
            <w:tcBorders>
              <w:top w:val="single" w:sz="8" w:color="auto"/>
            </w:tcBorders>
          </w:tcPr>
          <w:p>
            <w:pPr>
              <w:jc w:val="right"/>
              <w:ind w:right="544"/>
              <w:spacing w:after="0" w:line="195" w:lineRule="exact"/>
              <w:rPr>
                <w:sz w:val="20"/>
                <w:szCs w:val="20"/>
                <w:color w:val="auto"/>
              </w:rPr>
            </w:pPr>
            <w:r>
              <w:rPr>
                <w:rFonts w:ascii="Arial" w:cs="Arial" w:eastAsia="Arial" w:hAnsi="Arial"/>
                <w:sz w:val="18"/>
                <w:szCs w:val="18"/>
                <w:color w:val="auto"/>
              </w:rPr>
              <w:t>2,100,000</w:t>
            </w:r>
          </w:p>
        </w:tc>
        <w:tc>
          <w:tcPr>
            <w:tcW w:w="22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$2,797</w:t>
            </w:r>
          </w:p>
        </w:tc>
      </w:tr>
      <w:tr>
        <w:trPr>
          <w:trHeight w:val="217"/>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September 2017</w:t>
            </w:r>
          </w:p>
        </w:tc>
        <w:tc>
          <w:tcPr>
            <w:tcW w:w="1380" w:type="dxa"/>
            <w:vAlign w:val="bottom"/>
          </w:tcPr>
          <w:p>
            <w:pPr>
              <w:jc w:val="right"/>
              <w:ind w:right="303"/>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$136.88</w:t>
            </w:r>
          </w:p>
        </w:tc>
        <w:tc>
          <w:tcPr>
            <w:tcW w:w="220" w:type="dxa"/>
            <w:vAlign w:val="bottom"/>
          </w:tcPr>
          <w:p>
            <w:pPr>
              <w:spacing w:after="0"/>
              <w:rPr>
                <w:sz w:val="18"/>
                <w:szCs w:val="18"/>
                <w:color w:val="auto"/>
              </w:rPr>
            </w:pPr>
          </w:p>
        </w:tc>
        <w:tc>
          <w:tcPr>
            <w:tcW w:w="2060" w:type="dxa"/>
            <w:vAlign w:val="bottom"/>
          </w:tcPr>
          <w:p>
            <w:pPr>
              <w:jc w:val="right"/>
              <w:ind w:right="624"/>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$2,742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Other Information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Iran Threat Reduction and Syrian Human Rights Act of 2012</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Under the Iran Threat Reduction and Syrian Human Rights Act of 2012, which added Section 13(r) of the Securities Exchange Act of 1934, Honeywell is required to disclose in its periodic reports if it or any of its affiliates knowingly engaged in certain activities, transactions or dealings relating to Iran or with entities or individuals designated pursuant to certain Executive Orders. All of our activities in Iran during the three months ended September 30, 2017, including the activities disclosed below, were conducted by our non-U.S. subsidiaries under General License H, (ii) under General License I, or (iii) under a specific license issued by U.S. Treasury’s Office of Foreign Assets Control (OFAC), and otherwise in compliance with all applicable laws, including sanctions regulations administered by OFAC.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three months ended September 30, 2017, the non-U.S. subsidiaries of our UOP business, part of Performance Materials and</w:t>
      </w:r>
    </w:p>
    <w:p>
      <w:pPr>
        <w:spacing w:after="0"/>
        <w:rPr>
          <w:sz w:val="20"/>
          <w:szCs w:val="20"/>
          <w:color w:val="auto"/>
        </w:rPr>
      </w:pPr>
      <w:r>
        <w:rPr>
          <w:rFonts w:ascii="Arial" w:cs="Arial" w:eastAsia="Arial" w:hAnsi="Arial"/>
          <w:sz w:val="18"/>
          <w:szCs w:val="18"/>
          <w:color w:val="auto"/>
        </w:rPr>
        <w:t>Technologies, engaged in the following activities related to Iran’s oil, gas and/or petrochemical sectors:</w:t>
      </w:r>
    </w:p>
    <w:p>
      <w:pPr>
        <w:spacing w:after="0" w:line="198" w:lineRule="exact"/>
        <w:rPr>
          <w:sz w:val="20"/>
          <w:szCs w:val="20"/>
          <w:color w:val="auto"/>
        </w:rPr>
      </w:pPr>
    </w:p>
    <w:p>
      <w:pPr>
        <w:ind w:left="660" w:right="20" w:hanging="328"/>
        <w:spacing w:after="0" w:line="24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Delivered services to Iranian counterparties pursuant to new and existing contracts, which resulted in revenue of approximately $7.9 million (expected total value of these contracts is approximately $67.0 million).</w:t>
      </w:r>
    </w:p>
    <w:p>
      <w:pPr>
        <w:spacing w:after="0" w:line="196"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Sold non-U.S. origin products to non-U.S. third-parties for end-use in Iran pursuant to new and existing contracts, which resulted in revenue of approximately $44 thousand (expected total value of these contracts is approximately $0.9 million).</w:t>
      </w:r>
    </w:p>
    <w:p>
      <w:pPr>
        <w:spacing w:after="0" w:line="183"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In the three months ended September 30, 2017, the non-U.S. subsidiaries of our Process Solutions business, part of Performance Materials and Technologies, engaged in the following activities related to Iran’s oil, gas and/or petrochemical sectors:</w:t>
      </w:r>
    </w:p>
    <w:p>
      <w:pPr>
        <w:spacing w:after="0" w:line="183" w:lineRule="exact"/>
        <w:rPr>
          <w:sz w:val="20"/>
          <w:szCs w:val="20"/>
          <w:color w:val="auto"/>
        </w:rPr>
      </w:pPr>
    </w:p>
    <w:p>
      <w:pPr>
        <w:ind w:left="660" w:hanging="328"/>
        <w:spacing w:after="0" w:line="24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Sold non-U.S. origin products to non-U.S. third-parties for end-use in Iran pursuant to new contracts, which resulted in revenue of approximately $1.0M (expected total value of these contracts is approximately $6.9 million).</w:t>
      </w:r>
    </w:p>
    <w:p>
      <w:pPr>
        <w:spacing w:after="0" w:line="196"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Sold approximately $0.3 million of non-U.S. origin products to distributors (including an Iranian distributor) for use in the gas distribution sector in Iran.</w:t>
      </w:r>
    </w:p>
    <w:p>
      <w:pPr>
        <w:spacing w:after="0" w:line="183"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We intend to continue doing business in Iran under General Licenses H and I or under a specific license issued by OFAC, and otherwise in compliance with all applicable laws. Such activities may require additional disclosure pursuant to Section 13(r) of the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98" w:lineRule="exact"/>
        <w:rPr>
          <w:sz w:val="20"/>
          <w:szCs w:val="20"/>
          <w:color w:val="auto"/>
        </w:rPr>
      </w:pPr>
    </w:p>
    <w:p>
      <w:pPr>
        <w:ind w:left="5620" w:right="4520" w:hanging="5045"/>
        <w:spacing w:after="0" w:line="465" w:lineRule="auto"/>
        <w:tabs>
          <w:tab w:leader="none" w:pos="11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the Exhibit Index on page 35 of this Quarterly Report on Form 10-Q.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7640" w:type="dxa"/>
            <w:vAlign w:val="bottom"/>
            <w:gridSpan w:val="3"/>
          </w:tcPr>
          <w:p>
            <w:pPr>
              <w:ind w:left="3260"/>
              <w:spacing w:after="0"/>
              <w:rPr>
                <w:sz w:val="20"/>
                <w:szCs w:val="20"/>
                <w:color w:val="auto"/>
              </w:rPr>
            </w:pPr>
            <w:r>
              <w:rPr>
                <w:rFonts w:ascii="Arial" w:cs="Arial" w:eastAsia="Arial" w:hAnsi="Arial"/>
                <w:sz w:val="18"/>
                <w:szCs w:val="18"/>
                <w:color w:val="auto"/>
              </w:rPr>
              <w:t>Honeywell International Inc.</w:t>
            </w:r>
          </w:p>
        </w:tc>
      </w:tr>
      <w:tr>
        <w:trPr>
          <w:trHeight w:val="365"/>
        </w:trPr>
        <w:tc>
          <w:tcPr>
            <w:tcW w:w="3780" w:type="dxa"/>
            <w:vAlign w:val="bottom"/>
          </w:tcPr>
          <w:p>
            <w:pPr>
              <w:spacing w:after="0"/>
              <w:rPr>
                <w:sz w:val="20"/>
                <w:szCs w:val="20"/>
                <w:color w:val="auto"/>
              </w:rPr>
            </w:pPr>
            <w:r>
              <w:rPr>
                <w:rFonts w:ascii="Arial" w:cs="Arial" w:eastAsia="Arial" w:hAnsi="Arial"/>
                <w:sz w:val="18"/>
                <w:szCs w:val="18"/>
                <w:color w:val="auto"/>
              </w:rPr>
              <w:t>Date: October 20, 2017</w:t>
            </w:r>
          </w:p>
        </w:tc>
        <w:tc>
          <w:tcPr>
            <w:tcW w:w="7640" w:type="dxa"/>
            <w:vAlign w:val="bottom"/>
            <w:gridSpan w:val="3"/>
          </w:tcPr>
          <w:p>
            <w:pPr>
              <w:ind w:left="2980"/>
              <w:spacing w:after="0"/>
              <w:rPr>
                <w:sz w:val="20"/>
                <w:szCs w:val="20"/>
                <w:color w:val="auto"/>
              </w:rPr>
            </w:pPr>
            <w:r>
              <w:rPr>
                <w:rFonts w:ascii="Arial" w:cs="Arial" w:eastAsia="Arial" w:hAnsi="Arial"/>
                <w:sz w:val="18"/>
                <w:szCs w:val="18"/>
                <w:color w:val="auto"/>
              </w:rPr>
              <w:t>By: /s/ Jennifer H. Mak</w:t>
            </w:r>
          </w:p>
        </w:tc>
      </w:tr>
      <w:tr>
        <w:trPr>
          <w:trHeight w:val="209"/>
        </w:trPr>
        <w:tc>
          <w:tcPr>
            <w:tcW w:w="37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Jennifer H. Mak</w:t>
            </w:r>
          </w:p>
        </w:tc>
        <w:tc>
          <w:tcPr>
            <w:tcW w:w="2780" w:type="dxa"/>
            <w:vAlign w:val="bottom"/>
          </w:tcPr>
          <w:p>
            <w:pPr>
              <w:spacing w:after="0"/>
              <w:rPr>
                <w:sz w:val="18"/>
                <w:szCs w:val="18"/>
                <w:color w:val="auto"/>
              </w:rPr>
            </w:pPr>
          </w:p>
        </w:tc>
      </w:tr>
      <w:tr>
        <w:trPr>
          <w:trHeight w:val="203"/>
        </w:trPr>
        <w:tc>
          <w:tcPr>
            <w:tcW w:w="37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Vice President and Controller</w:t>
            </w:r>
          </w:p>
        </w:tc>
      </w:tr>
      <w:tr>
        <w:trPr>
          <w:trHeight w:val="203"/>
        </w:trPr>
        <w:tc>
          <w:tcPr>
            <w:tcW w:w="37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(on behalf of the Registrant</w:t>
            </w:r>
          </w:p>
        </w:tc>
      </w:tr>
      <w:tr>
        <w:trPr>
          <w:trHeight w:val="203"/>
        </w:trPr>
        <w:tc>
          <w:tcPr>
            <w:tcW w:w="37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and as the Registrant’s</w:t>
            </w:r>
          </w:p>
        </w:tc>
      </w:tr>
      <w:tr>
        <w:trPr>
          <w:trHeight w:val="217"/>
        </w:trPr>
        <w:tc>
          <w:tcPr>
            <w:tcW w:w="37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392"/>
        </w:trPr>
        <w:tc>
          <w:tcPr>
            <w:tcW w:w="3780" w:type="dxa"/>
            <w:vAlign w:val="bottom"/>
          </w:tcPr>
          <w:p>
            <w:pPr>
              <w:spacing w:after="0"/>
              <w:rPr>
                <w:sz w:val="24"/>
                <w:szCs w:val="24"/>
                <w:color w:val="auto"/>
              </w:rPr>
            </w:pPr>
          </w:p>
        </w:tc>
        <w:tc>
          <w:tcPr>
            <w:tcW w:w="3360" w:type="dxa"/>
            <w:vAlign w:val="bottom"/>
          </w:tcPr>
          <w:p>
            <w:pPr>
              <w:jc w:val="right"/>
              <w:ind w:right="1230"/>
              <w:spacing w:after="0"/>
              <w:rPr>
                <w:sz w:val="20"/>
                <w:szCs w:val="20"/>
                <w:color w:val="auto"/>
              </w:rPr>
            </w:pPr>
            <w:r>
              <w:rPr>
                <w:rFonts w:ascii="Arial" w:cs="Arial" w:eastAsia="Arial" w:hAnsi="Arial"/>
                <w:sz w:val="18"/>
                <w:szCs w:val="18"/>
                <w:color w:val="auto"/>
              </w:rPr>
              <w:t>34</w:t>
            </w:r>
          </w:p>
        </w:tc>
        <w:tc>
          <w:tcPr>
            <w:tcW w:w="15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7"/>
        </w:trPr>
        <w:tc>
          <w:tcPr>
            <w:tcW w:w="3780" w:type="dxa"/>
            <w:vAlign w:val="bottom"/>
            <w:tcBorders>
              <w:bottom w:val="single" w:sz="8" w:color="C0C0C0"/>
            </w:tcBorders>
          </w:tcPr>
          <w:p>
            <w:pPr>
              <w:spacing w:after="0"/>
              <w:rPr>
                <w:sz w:val="20"/>
                <w:szCs w:val="20"/>
                <w:color w:val="auto"/>
              </w:rPr>
            </w:pPr>
          </w:p>
        </w:tc>
        <w:tc>
          <w:tcPr>
            <w:tcW w:w="3360" w:type="dxa"/>
            <w:vAlign w:val="bottom"/>
            <w:tcBorders>
              <w:bottom w:val="single" w:sz="8" w:color="C0C0C0"/>
            </w:tcBorders>
          </w:tcPr>
          <w:p>
            <w:pPr>
              <w:spacing w:after="0"/>
              <w:rPr>
                <w:sz w:val="20"/>
                <w:szCs w:val="20"/>
                <w:color w:val="auto"/>
              </w:rPr>
            </w:pPr>
          </w:p>
        </w:tc>
        <w:tc>
          <w:tcPr>
            <w:tcW w:w="1500" w:type="dxa"/>
            <w:vAlign w:val="bottom"/>
            <w:tcBorders>
              <w:bottom w:val="single" w:sz="8" w:color="C0C0C0"/>
            </w:tcBorders>
          </w:tcPr>
          <w:p>
            <w:pPr>
              <w:spacing w:after="0"/>
              <w:rPr>
                <w:sz w:val="20"/>
                <w:szCs w:val="20"/>
                <w:color w:val="auto"/>
              </w:rPr>
            </w:pPr>
          </w:p>
        </w:tc>
        <w:tc>
          <w:tcPr>
            <w:tcW w:w="27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Exhibit</w:t>
            </w:r>
          </w:p>
        </w:tc>
        <w:tc>
          <w:tcPr>
            <w:tcW w:w="39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225"/>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19"/>
                <w:szCs w:val="19"/>
                <w:color w:val="auto"/>
              </w:rPr>
            </w:pPr>
          </w:p>
        </w:tc>
        <w:tc>
          <w:tcPr>
            <w:tcW w:w="636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Description</w:t>
            </w:r>
          </w:p>
        </w:tc>
      </w:tr>
    </w:tbl>
    <w:p>
      <w:pPr>
        <w:spacing w:after="0" w:line="171" w:lineRule="exact"/>
        <w:rPr>
          <w:sz w:val="20"/>
          <w:szCs w:val="20"/>
          <w:color w:val="auto"/>
        </w:rPr>
      </w:pPr>
    </w:p>
    <w:p>
      <w:pPr>
        <w:ind w:left="1160" w:hanging="1152"/>
        <w:spacing w:after="0"/>
        <w:tabs>
          <w:tab w:leader="none" w:pos="1160" w:val="left"/>
        </w:tabs>
        <w:numPr>
          <w:ilvl w:val="0"/>
          <w:numId w:val="13"/>
        </w:numPr>
        <w:rPr>
          <w:rFonts w:ascii="Arial" w:cs="Arial" w:eastAsia="Arial" w:hAnsi="Arial"/>
          <w:sz w:val="18"/>
          <w:szCs w:val="18"/>
          <w:color w:val="0000EE"/>
        </w:rPr>
      </w:pPr>
      <w:hyperlink w:anchor="page11">
        <w:r>
          <w:rPr>
            <w:rFonts w:ascii="Arial" w:cs="Arial" w:eastAsia="Arial" w:hAnsi="Arial"/>
            <w:sz w:val="18"/>
            <w:szCs w:val="18"/>
            <w:u w:val="single" w:color="auto"/>
            <w:color w:val="0000EE"/>
          </w:rPr>
          <w:t>Computation of Per Share Earnings</w:t>
        </w:r>
      </w:hyperlink>
      <w:r>
        <w:rPr>
          <w:rFonts w:ascii="Arial" w:cs="Arial" w:eastAsia="Arial" w:hAnsi="Arial"/>
          <w:sz w:val="30"/>
          <w:szCs w:val="30"/>
          <w:color w:val="000000"/>
          <w:vertAlign w:val="superscript"/>
        </w:rPr>
        <w:t>(1)</w:t>
      </w:r>
    </w:p>
    <w:p>
      <w:pPr>
        <w:spacing w:after="0" w:line="62" w:lineRule="exact"/>
        <w:rPr>
          <w:rFonts w:ascii="Arial" w:cs="Arial" w:eastAsia="Arial" w:hAnsi="Arial"/>
          <w:sz w:val="18"/>
          <w:szCs w:val="18"/>
          <w:color w:val="0000EE"/>
        </w:rPr>
      </w:pPr>
    </w:p>
    <w:p>
      <w:pPr>
        <w:ind w:left="1160" w:hanging="1152"/>
        <w:spacing w:after="0"/>
        <w:tabs>
          <w:tab w:leader="none" w:pos="1160" w:val="left"/>
        </w:tabs>
        <w:numPr>
          <w:ilvl w:val="0"/>
          <w:numId w:val="13"/>
        </w:numPr>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Computation of Ratio of Earnings to Fixed Charges (filed herewith)</w:t>
        </w:r>
      </w:hyperlink>
    </w:p>
    <w:p>
      <w:pPr>
        <w:spacing w:after="0" w:line="168" w:lineRule="exact"/>
        <w:rPr>
          <w:rFonts w:ascii="Arial" w:cs="Arial" w:eastAsia="Arial" w:hAnsi="Arial"/>
          <w:sz w:val="36"/>
          <w:szCs w:val="36"/>
          <w:color w:val="auto"/>
          <w:vertAlign w:val="superscript"/>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3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Certification of Principal Executive Officer Pursuant to Section 302 of the Sarbanes-Oxley Act of 2002 (filed herewith)</w:t>
              </w:r>
            </w:hyperlink>
          </w:p>
        </w:tc>
        <w:tc>
          <w:tcPr>
            <w:tcW w:w="380" w:type="dxa"/>
            <w:vAlign w:val="bottom"/>
            <w:gridSpan w:val="2"/>
          </w:tcPr>
          <w:p>
            <w:pPr>
              <w:spacing w:after="0"/>
              <w:rPr>
                <w:sz w:val="17"/>
                <w:szCs w:val="17"/>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924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Certification of Principal Financial Officer Pursuant to Section 302 of the Sarbanes-Oxley Act of 2002 (filed herewith)</w:t>
              </w:r>
            </w:hyperlink>
          </w:p>
        </w:tc>
        <w:tc>
          <w:tcPr>
            <w:tcW w:w="440" w:type="dxa"/>
            <w:vAlign w:val="bottom"/>
            <w:gridSpan w:val="3"/>
          </w:tcPr>
          <w:p>
            <w:pPr>
              <w:spacing w:after="0"/>
              <w:rPr>
                <w:sz w:val="24"/>
                <w:szCs w:val="24"/>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96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Certification of Principal Executive Officer Pursuant to 18 U.S.C. Section 1350, as Adopted Pursuant to Section 906 of the</w:t>
              </w:r>
            </w:hyperlink>
          </w:p>
        </w:tc>
      </w:tr>
      <w:tr>
        <w:trPr>
          <w:trHeight w:val="183"/>
        </w:trPr>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Sarbanes-Oxley Act of 2002 (filed herewith)</w:t>
              </w:r>
            </w:hyperlink>
          </w:p>
        </w:tc>
        <w:tc>
          <w:tcPr>
            <w:tcW w:w="6000" w:type="dxa"/>
            <w:vAlign w:val="bottom"/>
            <w:gridSpan w:val="4"/>
          </w:tcPr>
          <w:p>
            <w:pPr>
              <w:spacing w:after="0"/>
              <w:rPr>
                <w:sz w:val="15"/>
                <w:szCs w:val="15"/>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962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Certification of Principal Financial Officer Pursuant to 18 U.S.C. Section 1350, as Adopted Pursuant to Section 906 of the</w:t>
              </w:r>
            </w:hyperlink>
          </w:p>
        </w:tc>
        <w:tc>
          <w:tcPr>
            <w:tcW w:w="6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8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Sarbanes-Oxley Act of 2002 (filed herewith)</w:t>
              </w:r>
            </w:hyperlink>
          </w:p>
        </w:tc>
        <w:tc>
          <w:tcPr>
            <w:tcW w:w="6020" w:type="dxa"/>
            <w:vAlign w:val="bottom"/>
            <w:gridSpan w:val="5"/>
          </w:tcPr>
          <w:p>
            <w:pPr>
              <w:spacing w:after="0"/>
              <w:rPr>
                <w:sz w:val="15"/>
                <w:szCs w:val="15"/>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Instance Document (filed herewith)</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ind w:left="5620" w:right="2380" w:hanging="5612"/>
        <w:spacing w:after="0" w:line="465" w:lineRule="auto"/>
        <w:tabs>
          <w:tab w:leader="none" w:pos="8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Data required is provided in Note 4 Earnings Per Share of Notes to Consolidated Financial Statements.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jc w:val="center"/>
        <w:spacing w:after="0" w:line="234" w:lineRule="auto"/>
        <w:rPr>
          <w:sz w:val="20"/>
          <w:szCs w:val="20"/>
          <w:color w:val="auto"/>
        </w:rPr>
      </w:pPr>
      <w:r>
        <w:rPr>
          <w:rFonts w:ascii="Arial" w:cs="Arial" w:eastAsia="Arial" w:hAnsi="Arial"/>
          <w:sz w:val="18"/>
          <w:szCs w:val="18"/>
          <w:b w:val="1"/>
          <w:bCs w:val="1"/>
          <w:color w:val="auto"/>
        </w:rPr>
        <w:t>Nine Months Ended</w:t>
      </w:r>
    </w:p>
    <w:p>
      <w:pPr>
        <w:ind w:left="4880"/>
        <w:spacing w:after="0" w:line="235" w:lineRule="auto"/>
        <w:rPr>
          <w:sz w:val="20"/>
          <w:szCs w:val="20"/>
          <w:color w:val="auto"/>
        </w:rPr>
      </w:pPr>
      <w:r>
        <w:rPr>
          <w:rFonts w:ascii="Arial" w:cs="Arial" w:eastAsia="Arial" w:hAnsi="Arial"/>
          <w:sz w:val="18"/>
          <w:szCs w:val="18"/>
          <w:b w:val="1"/>
          <w:bCs w:val="1"/>
          <w:color w:val="auto"/>
        </w:rPr>
        <w:t>September 30, 2017</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shd w:val="clear" w:color="auto" w:fill="E5FFFF"/>
          </w:tcPr>
          <w:p>
            <w:pPr>
              <w:ind w:left="1040"/>
              <w:spacing w:after="0"/>
              <w:rPr>
                <w:sz w:val="20"/>
                <w:szCs w:val="20"/>
                <w:color w:val="auto"/>
              </w:rPr>
            </w:pPr>
            <w:r>
              <w:rPr>
                <w:rFonts w:ascii="Arial" w:cs="Arial" w:eastAsia="Arial" w:hAnsi="Arial"/>
                <w:sz w:val="18"/>
                <w:szCs w:val="18"/>
                <w:b w:val="1"/>
                <w:bCs w:val="1"/>
                <w:color w:val="auto"/>
              </w:rPr>
              <w:t>Determination of Earnings:</w:t>
            </w:r>
          </w:p>
        </w:tc>
        <w:tc>
          <w:tcPr>
            <w:tcW w:w="24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220"/>
              <w:spacing w:after="0" w:line="202" w:lineRule="exact"/>
              <w:rPr>
                <w:sz w:val="20"/>
                <w:szCs w:val="20"/>
                <w:color w:val="auto"/>
              </w:rPr>
            </w:pPr>
            <w:r>
              <w:rPr>
                <w:rFonts w:ascii="Arial" w:cs="Arial" w:eastAsia="Arial" w:hAnsi="Arial"/>
                <w:sz w:val="18"/>
                <w:szCs w:val="18"/>
                <w:color w:val="auto"/>
              </w:rPr>
              <w:t>Income before taxes</w:t>
            </w:r>
          </w:p>
        </w:tc>
        <w:tc>
          <w:tcPr>
            <w:tcW w:w="28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5,285</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E5FFFF"/>
          </w:tcPr>
          <w:p>
            <w:pPr>
              <w:ind w:left="1220"/>
              <w:spacing w:after="0" w:line="202" w:lineRule="exact"/>
              <w:rPr>
                <w:sz w:val="20"/>
                <w:szCs w:val="20"/>
                <w:color w:val="auto"/>
              </w:rPr>
            </w:pPr>
            <w:r>
              <w:rPr>
                <w:rFonts w:ascii="Arial" w:cs="Arial" w:eastAsia="Arial" w:hAnsi="Arial"/>
                <w:sz w:val="18"/>
                <w:szCs w:val="18"/>
                <w:color w:val="auto"/>
              </w:rPr>
              <w:t>Add (Deduct):</w:t>
            </w:r>
          </w:p>
        </w:tc>
        <w:tc>
          <w:tcPr>
            <w:tcW w:w="24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400"/>
              <w:spacing w:after="0" w:line="202" w:lineRule="exact"/>
              <w:rPr>
                <w:sz w:val="20"/>
                <w:szCs w:val="20"/>
                <w:color w:val="auto"/>
              </w:rPr>
            </w:pPr>
            <w:r>
              <w:rPr>
                <w:rFonts w:ascii="Arial" w:cs="Arial" w:eastAsia="Arial" w:hAnsi="Arial"/>
                <w:sz w:val="18"/>
                <w:szCs w:val="18"/>
                <w:color w:val="auto"/>
              </w:rPr>
              <w:t>Amortization of capitalized interest</w:t>
            </w:r>
          </w:p>
        </w:tc>
        <w:tc>
          <w:tcPr>
            <w:tcW w:w="2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E5FFFF"/>
          </w:tcPr>
          <w:p>
            <w:pPr>
              <w:ind w:left="1400"/>
              <w:spacing w:after="0" w:line="202" w:lineRule="exact"/>
              <w:rPr>
                <w:sz w:val="20"/>
                <w:szCs w:val="20"/>
                <w:color w:val="auto"/>
              </w:rPr>
            </w:pPr>
            <w:r>
              <w:rPr>
                <w:rFonts w:ascii="Arial" w:cs="Arial" w:eastAsia="Arial" w:hAnsi="Arial"/>
                <w:sz w:val="18"/>
                <w:szCs w:val="18"/>
                <w:color w:val="auto"/>
              </w:rPr>
              <w:t>Fixed charges</w:t>
            </w:r>
          </w:p>
        </w:tc>
        <w:tc>
          <w:tcPr>
            <w:tcW w:w="24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266</w:t>
            </w:r>
          </w:p>
        </w:tc>
        <w:tc>
          <w:tcPr>
            <w:tcW w:w="10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E5FFFF"/>
            </w:tcBorders>
          </w:tcPr>
          <w:p>
            <w:pPr>
              <w:ind w:left="1400"/>
              <w:spacing w:after="0"/>
              <w:rPr>
                <w:sz w:val="20"/>
                <w:szCs w:val="20"/>
                <w:color w:val="auto"/>
              </w:rPr>
            </w:pPr>
            <w:r>
              <w:rPr>
                <w:rFonts w:ascii="Arial" w:cs="Arial" w:eastAsia="Arial" w:hAnsi="Arial"/>
                <w:sz w:val="18"/>
                <w:szCs w:val="18"/>
                <w:color w:val="auto"/>
              </w:rPr>
              <w:t>Equity income, net of distributions</w:t>
            </w:r>
          </w:p>
        </w:tc>
        <w:tc>
          <w:tcPr>
            <w:tcW w:w="2440" w:type="dxa"/>
            <w:vAlign w:val="bottom"/>
            <w:tcBorders>
              <w:bottom w:val="single" w:sz="8" w:color="E5FF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E5FFFF"/>
            </w:tcBorders>
            <w:shd w:val="clear" w:color="auto" w:fill="E5FFFF"/>
          </w:tcPr>
          <w:p>
            <w:pPr>
              <w:ind w:left="1580"/>
              <w:spacing w:after="0" w:line="196" w:lineRule="exact"/>
              <w:rPr>
                <w:sz w:val="20"/>
                <w:szCs w:val="20"/>
                <w:color w:val="auto"/>
              </w:rPr>
            </w:pPr>
            <w:r>
              <w:rPr>
                <w:rFonts w:ascii="Arial" w:cs="Arial" w:eastAsia="Arial" w:hAnsi="Arial"/>
                <w:sz w:val="18"/>
                <w:szCs w:val="18"/>
                <w:b w:val="1"/>
                <w:bCs w:val="1"/>
                <w:color w:val="auto"/>
              </w:rPr>
              <w:t>Total earnings, as defined</w:t>
            </w:r>
          </w:p>
        </w:tc>
        <w:tc>
          <w:tcPr>
            <w:tcW w:w="2440" w:type="dxa"/>
            <w:vAlign w:val="bottom"/>
            <w:tcBorders>
              <w:bottom w:val="single" w:sz="8" w:color="E5FFFF"/>
            </w:tcBorders>
            <w:shd w:val="clear" w:color="auto" w:fill="E5FFFF"/>
          </w:tcPr>
          <w:p>
            <w:pPr>
              <w:spacing w:after="0"/>
              <w:rPr>
                <w:sz w:val="17"/>
                <w:szCs w:val="17"/>
                <w:color w:val="auto"/>
              </w:rPr>
            </w:pPr>
          </w:p>
        </w:tc>
        <w:tc>
          <w:tcPr>
            <w:tcW w:w="440" w:type="dxa"/>
            <w:vAlign w:val="bottom"/>
            <w:tcBorders>
              <w:bottom w:val="single" w:sz="8" w:color="auto"/>
            </w:tcBorders>
            <w:shd w:val="clear" w:color="auto" w:fill="E5FF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5,534</w:t>
            </w:r>
          </w:p>
        </w:tc>
        <w:tc>
          <w:tcPr>
            <w:tcW w:w="102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1040"/>
              <w:spacing w:after="0"/>
              <w:rPr>
                <w:sz w:val="20"/>
                <w:szCs w:val="20"/>
                <w:color w:val="auto"/>
              </w:rPr>
            </w:pPr>
            <w:r>
              <w:rPr>
                <w:rFonts w:ascii="Arial" w:cs="Arial" w:eastAsia="Arial" w:hAnsi="Arial"/>
                <w:sz w:val="18"/>
                <w:szCs w:val="18"/>
                <w:b w:val="1"/>
                <w:bCs w:val="1"/>
                <w:color w:val="auto"/>
              </w:rPr>
              <w:t>Fixed Charges:</w:t>
            </w:r>
          </w:p>
        </w:tc>
        <w:tc>
          <w:tcPr>
            <w:tcW w:w="2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E5FFFF"/>
          </w:tcPr>
          <w:p>
            <w:pPr>
              <w:ind w:left="122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(a)</w:t>
            </w:r>
          </w:p>
        </w:tc>
        <w:tc>
          <w:tcPr>
            <w:tcW w:w="2880" w:type="dxa"/>
            <w:vAlign w:val="bottom"/>
            <w:gridSpan w:val="2"/>
            <w:shd w:val="clear" w:color="auto" w:fill="E5FF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31</w:t>
            </w:r>
          </w:p>
        </w:tc>
        <w:tc>
          <w:tcPr>
            <w:tcW w:w="10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E5FFFF"/>
            </w:tcBorders>
          </w:tcPr>
          <w:p>
            <w:pPr>
              <w:ind w:left="1220"/>
              <w:spacing w:after="0"/>
              <w:rPr>
                <w:sz w:val="20"/>
                <w:szCs w:val="20"/>
                <w:color w:val="auto"/>
              </w:rPr>
            </w:pPr>
            <w:r>
              <w:rPr>
                <w:rFonts w:ascii="Arial" w:cs="Arial" w:eastAsia="Arial" w:hAnsi="Arial"/>
                <w:sz w:val="18"/>
                <w:szCs w:val="18"/>
                <w:color w:val="auto"/>
              </w:rPr>
              <w:t>Interest and other financial charges</w:t>
            </w:r>
          </w:p>
        </w:tc>
        <w:tc>
          <w:tcPr>
            <w:tcW w:w="2440" w:type="dxa"/>
            <w:vAlign w:val="bottom"/>
            <w:tcBorders>
              <w:bottom w:val="single" w:sz="8" w:color="E5FF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10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E5FFFF"/>
          </w:tcPr>
          <w:p>
            <w:pPr>
              <w:spacing w:after="0"/>
              <w:rPr>
                <w:sz w:val="17"/>
                <w:szCs w:val="17"/>
                <w:color w:val="auto"/>
              </w:rPr>
            </w:pPr>
          </w:p>
        </w:tc>
        <w:tc>
          <w:tcPr>
            <w:tcW w:w="24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266</w:t>
            </w:r>
          </w:p>
        </w:tc>
        <w:tc>
          <w:tcPr>
            <w:tcW w:w="10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E5FFFF"/>
            </w:tcBorders>
          </w:tcPr>
          <w:p>
            <w:pPr>
              <w:ind w:left="1220"/>
              <w:spacing w:after="0"/>
              <w:rPr>
                <w:sz w:val="20"/>
                <w:szCs w:val="20"/>
                <w:color w:val="auto"/>
              </w:rPr>
            </w:pPr>
            <w:r>
              <w:rPr>
                <w:rFonts w:ascii="Arial" w:cs="Arial" w:eastAsia="Arial" w:hAnsi="Arial"/>
                <w:sz w:val="18"/>
                <w:szCs w:val="18"/>
                <w:color w:val="auto"/>
              </w:rPr>
              <w:t>Capitalized interest</w:t>
            </w:r>
          </w:p>
        </w:tc>
        <w:tc>
          <w:tcPr>
            <w:tcW w:w="2440" w:type="dxa"/>
            <w:vAlign w:val="bottom"/>
            <w:tcBorders>
              <w:bottom w:val="single" w:sz="8" w:color="E5FF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E5FFFF"/>
            </w:tcBorders>
            <w:shd w:val="clear" w:color="auto" w:fill="E5FFFF"/>
          </w:tcPr>
          <w:p>
            <w:pPr>
              <w:ind w:left="1580"/>
              <w:spacing w:after="0" w:line="196" w:lineRule="exact"/>
              <w:rPr>
                <w:sz w:val="20"/>
                <w:szCs w:val="20"/>
                <w:color w:val="auto"/>
              </w:rPr>
            </w:pPr>
            <w:r>
              <w:rPr>
                <w:rFonts w:ascii="Arial" w:cs="Arial" w:eastAsia="Arial" w:hAnsi="Arial"/>
                <w:sz w:val="18"/>
                <w:szCs w:val="18"/>
                <w:b w:val="1"/>
                <w:bCs w:val="1"/>
                <w:color w:val="auto"/>
              </w:rPr>
              <w:t>Total fixed charges</w:t>
            </w:r>
          </w:p>
        </w:tc>
        <w:tc>
          <w:tcPr>
            <w:tcW w:w="2440" w:type="dxa"/>
            <w:vAlign w:val="bottom"/>
            <w:tcBorders>
              <w:bottom w:val="single" w:sz="8" w:color="E5FFFF"/>
            </w:tcBorders>
            <w:shd w:val="clear" w:color="auto" w:fill="E5FFFF"/>
          </w:tcPr>
          <w:p>
            <w:pPr>
              <w:spacing w:after="0"/>
              <w:rPr>
                <w:sz w:val="17"/>
                <w:szCs w:val="17"/>
                <w:color w:val="auto"/>
              </w:rPr>
            </w:pPr>
          </w:p>
        </w:tc>
        <w:tc>
          <w:tcPr>
            <w:tcW w:w="440" w:type="dxa"/>
            <w:vAlign w:val="bottom"/>
            <w:tcBorders>
              <w:bottom w:val="single" w:sz="8" w:color="auto"/>
            </w:tcBorders>
            <w:shd w:val="clear" w:color="auto" w:fill="E5FF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276</w:t>
            </w:r>
          </w:p>
        </w:tc>
        <w:tc>
          <w:tcPr>
            <w:tcW w:w="102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00" w:type="dxa"/>
            <w:vAlign w:val="bottom"/>
          </w:tcPr>
          <w:p>
            <w:pPr>
              <w:ind w:left="1040"/>
              <w:spacing w:after="0"/>
              <w:rPr>
                <w:sz w:val="20"/>
                <w:szCs w:val="20"/>
                <w:color w:val="auto"/>
              </w:rPr>
            </w:pPr>
            <w:r>
              <w:rPr>
                <w:rFonts w:ascii="Arial" w:cs="Arial" w:eastAsia="Arial" w:hAnsi="Arial"/>
                <w:sz w:val="18"/>
                <w:szCs w:val="18"/>
                <w:b w:val="1"/>
                <w:bCs w:val="1"/>
                <w:color w:val="auto"/>
              </w:rPr>
              <w:t>Ratio of Earnings to Fixed Charges</w:t>
            </w:r>
          </w:p>
        </w:tc>
        <w:tc>
          <w:tcPr>
            <w:tcW w:w="2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-2194560</wp:posOffset>
            </wp:positionV>
            <wp:extent cx="65151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51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-2194560</wp:posOffset>
            </wp:positionV>
            <wp:extent cx="7246620" cy="1912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912620"/>
                    </a:xfrm>
                    <a:prstGeom prst="rect">
                      <a:avLst/>
                    </a:prstGeom>
                    <a:noFill/>
                  </pic:spPr>
                </pic:pic>
              </a:graphicData>
            </a:graphic>
          </wp:anchor>
        </w:drawing>
      </w:r>
    </w:p>
    <w:p>
      <w:pPr>
        <w:spacing w:after="0" w:line="168" w:lineRule="exact"/>
        <w:rPr>
          <w:sz w:val="20"/>
          <w:szCs w:val="20"/>
          <w:color w:val="auto"/>
        </w:rPr>
      </w:pPr>
    </w:p>
    <w:p>
      <w:pPr>
        <w:ind w:left="1400" w:right="440" w:hanging="352"/>
        <w:spacing w:after="0" w:line="246" w:lineRule="auto"/>
        <w:tabs>
          <w:tab w:leader="none" w:pos="13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President and Chief Executive Officer, certify that:</w:t>
      </w:r>
    </w:p>
    <w:p>
      <w:pPr>
        <w:spacing w:after="0" w:line="19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October 20, 2017</w:t>
      </w:r>
      <w:r>
        <w:rPr>
          <w:sz w:val="20"/>
          <w:szCs w:val="20"/>
          <w:color w:val="auto"/>
        </w:rPr>
        <w:tab/>
      </w:r>
      <w:r>
        <w:rPr>
          <w:rFonts w:ascii="Arial" w:cs="Arial" w:eastAsia="Arial" w:hAnsi="Arial"/>
          <w:sz w:val="18"/>
          <w:szCs w:val="18"/>
          <w:color w:val="auto"/>
        </w:rPr>
        <w:t>By:  /s/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-19050</wp:posOffset>
            </wp:positionV>
            <wp:extent cx="10731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73150" cy="8890"/>
                    </a:xfrm>
                    <a:prstGeom prst="rect">
                      <a:avLst/>
                    </a:prstGeom>
                    <a:noFill/>
                  </pic:spPr>
                </pic:pic>
              </a:graphicData>
            </a:graphic>
          </wp:anchor>
        </w:drawing>
      </w:r>
    </w:p>
    <w:p>
      <w:pPr>
        <w:ind w:left="7260"/>
        <w:spacing w:after="0"/>
        <w:rPr>
          <w:sz w:val="20"/>
          <w:szCs w:val="20"/>
          <w:color w:val="auto"/>
        </w:rPr>
      </w:pPr>
      <w:r>
        <w:rPr>
          <w:rFonts w:ascii="Arial" w:cs="Arial" w:eastAsia="Arial" w:hAnsi="Arial"/>
          <w:sz w:val="18"/>
          <w:szCs w:val="18"/>
          <w:color w:val="auto"/>
        </w:rPr>
        <w:t>Darius Adamczyk</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Thomas A. Szlosek, Senior Vice President and Chief Financial Officer, certify that:</w:t>
      </w:r>
    </w:p>
    <w:p>
      <w:pPr>
        <w:spacing w:after="0" w:line="19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328"/>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320"/>
        <w:spacing w:after="0"/>
        <w:tabs>
          <w:tab w:leader="none" w:pos="13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sz w:val="20"/>
          <w:szCs w:val="20"/>
          <w:color w:val="auto"/>
        </w:rPr>
      </w:pPr>
    </w:p>
    <w:p>
      <w:pPr>
        <w:ind w:left="1300" w:hanging="320"/>
        <w:spacing w:after="0" w:line="246"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October 20, 2017</w:t>
      </w:r>
      <w:r>
        <w:rPr>
          <w:sz w:val="20"/>
          <w:szCs w:val="20"/>
          <w:color w:val="auto"/>
        </w:rPr>
        <w:tab/>
      </w:r>
      <w:r>
        <w:rPr>
          <w:rFonts w:ascii="Arial" w:cs="Arial" w:eastAsia="Arial" w:hAnsi="Arial"/>
          <w:sz w:val="18"/>
          <w:szCs w:val="18"/>
          <w:color w:val="auto"/>
        </w:rPr>
        <w:t>By:  /s/ Thomas A. Szlosek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-19050</wp:posOffset>
            </wp:positionV>
            <wp:extent cx="1169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69035" cy="8890"/>
                    </a:xfrm>
                    <a:prstGeom prst="rect">
                      <a:avLst/>
                    </a:prstGeom>
                    <a:noFill/>
                  </pic:spPr>
                </pic:pic>
              </a:graphicData>
            </a:graphic>
          </wp:anchor>
        </w:drawing>
      </w:r>
    </w:p>
    <w:p>
      <w:pPr>
        <w:ind w:left="7260"/>
        <w:spacing w:after="0"/>
        <w:rPr>
          <w:sz w:val="20"/>
          <w:szCs w:val="20"/>
          <w:color w:val="auto"/>
        </w:rPr>
      </w:pPr>
      <w:r>
        <w:rPr>
          <w:rFonts w:ascii="Arial" w:cs="Arial" w:eastAsia="Arial" w:hAnsi="Arial"/>
          <w:sz w:val="18"/>
          <w:szCs w:val="18"/>
          <w:color w:val="auto"/>
        </w:rPr>
        <w:t>Thomas A. Szlosek</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2017 as filed with the Securities and Exchange Commission on the date hereof (the Report), I, Darius Adamczyk, President and Chief Executive Officer of the Company, certify, pursuant to 18 U.S.C. Section 1350, as adopted pursuant to Section 906 of the Sarbanes-Oxley Act of 2002, that:</w:t>
      </w:r>
    </w:p>
    <w:p>
      <w:pPr>
        <w:spacing w:after="0" w:line="188"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October 20, 2017</w:t>
      </w:r>
      <w:r>
        <w:rPr>
          <w:sz w:val="20"/>
          <w:szCs w:val="20"/>
          <w:color w:val="auto"/>
        </w:rPr>
        <w:tab/>
      </w:r>
      <w:r>
        <w:rPr>
          <w:rFonts w:ascii="Arial" w:cs="Arial" w:eastAsia="Arial" w:hAnsi="Arial"/>
          <w:sz w:val="18"/>
          <w:szCs w:val="18"/>
          <w:color w:val="auto"/>
        </w:rPr>
        <w:t>By:  /s/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-19050</wp:posOffset>
            </wp:positionV>
            <wp:extent cx="10731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73150" cy="8890"/>
                    </a:xfrm>
                    <a:prstGeom prst="rect">
                      <a:avLst/>
                    </a:prstGeom>
                    <a:noFill/>
                  </pic:spPr>
                </pic:pic>
              </a:graphicData>
            </a:graphic>
          </wp:anchor>
        </w:drawing>
      </w:r>
    </w:p>
    <w:p>
      <w:pPr>
        <w:ind w:left="7260"/>
        <w:spacing w:after="0"/>
        <w:rPr>
          <w:sz w:val="20"/>
          <w:szCs w:val="20"/>
          <w:color w:val="auto"/>
        </w:rPr>
      </w:pPr>
      <w:r>
        <w:rPr>
          <w:rFonts w:ascii="Arial" w:cs="Arial" w:eastAsia="Arial" w:hAnsi="Arial"/>
          <w:sz w:val="18"/>
          <w:szCs w:val="18"/>
          <w:color w:val="auto"/>
        </w:rPr>
        <w:t>Darius Adamczyk</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2017 as filed with the Securities and Exchange Commission on the date hereof (the Report), I, Thomas A. Szlosek, Senior Vice President and Chief Financial Officer of the Company, certify, pursuant to 18 U.S.C. Section 1350, as adopted pursuant to Section 906 of the Sarbanes-Oxley Act of 2002, that:</w:t>
      </w:r>
    </w:p>
    <w:p>
      <w:pPr>
        <w:spacing w:after="0" w:line="188"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October 20, 2017</w:t>
      </w:r>
      <w:r>
        <w:rPr>
          <w:sz w:val="20"/>
          <w:szCs w:val="20"/>
          <w:color w:val="auto"/>
        </w:rPr>
        <w:tab/>
      </w:r>
      <w:r>
        <w:rPr>
          <w:rFonts w:ascii="Arial" w:cs="Arial" w:eastAsia="Arial" w:hAnsi="Arial"/>
          <w:sz w:val="18"/>
          <w:szCs w:val="18"/>
          <w:color w:val="auto"/>
        </w:rPr>
        <w:t>By:  /s/ Thomas A. Szlosek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-19050</wp:posOffset>
            </wp:positionV>
            <wp:extent cx="1169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69035" cy="8890"/>
                    </a:xfrm>
                    <a:prstGeom prst="rect">
                      <a:avLst/>
                    </a:prstGeom>
                    <a:noFill/>
                  </pic:spPr>
                </pic:pic>
              </a:graphicData>
            </a:graphic>
          </wp:anchor>
        </w:drawing>
      </w:r>
    </w:p>
    <w:p>
      <w:pPr>
        <w:ind w:left="7260"/>
        <w:spacing w:after="0"/>
        <w:rPr>
          <w:sz w:val="20"/>
          <w:szCs w:val="20"/>
          <w:color w:val="auto"/>
        </w:rPr>
      </w:pPr>
      <w:r>
        <w:rPr>
          <w:rFonts w:ascii="Arial" w:cs="Arial" w:eastAsia="Arial" w:hAnsi="Arial"/>
          <w:sz w:val="18"/>
          <w:szCs w:val="18"/>
          <w:color w:val="auto"/>
        </w:rPr>
        <w:t>Thomas A. Szlosek</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upperLetter"/>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decimal"/>
      <w:start w:val="1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7">
    <w:nsid w:val="257130A3"/>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2020-01-18T14:34:10Z</dcterms:created>
  <dcterms:modified xsi:type="dcterms:W3CDTF">2020-01-18T14:34:10Z</dcterms:modified>
</cp:coreProperties>
</file>