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__________________</w:t>
      </w:r>
    </w:p>
    <w:p>
      <w:pPr>
        <w:spacing w:after="0" w:line="117"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117"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3260" w:hanging="209"/>
        <w:spacing w:after="0"/>
        <w:tabs>
          <w:tab w:leader="none" w:pos="3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17" w:lineRule="exact"/>
        <w:rPr>
          <w:rFonts w:ascii="MS PGothic" w:cs="MS PGothic" w:eastAsia="MS PGothic" w:hAnsi="MS PGothic"/>
          <w:sz w:val="18"/>
          <w:szCs w:val="18"/>
          <w:color w:val="auto"/>
        </w:rPr>
      </w:pPr>
    </w:p>
    <w:p>
      <w:pPr>
        <w:jc w:val="center"/>
        <w:ind w:left="3860" w:right="3700" w:hanging="149"/>
        <w:spacing w:after="0" w:line="397" w:lineRule="auto"/>
        <w:rPr>
          <w:rFonts w:ascii="MS PGothic" w:cs="MS PGothic" w:eastAsia="MS PGothic" w:hAnsi="MS PGothic"/>
          <w:sz w:val="18"/>
          <w:szCs w:val="18"/>
          <w:color w:val="auto"/>
        </w:rPr>
      </w:pPr>
      <w:r>
        <w:rPr>
          <w:rFonts w:ascii="Arial" w:cs="Arial" w:eastAsia="Arial" w:hAnsi="Arial"/>
          <w:sz w:val="17"/>
          <w:szCs w:val="17"/>
          <w:color w:val="auto"/>
        </w:rPr>
        <w:t>OF THE SECURITIES EXCHANGE ACT OF 1934 For the transition period from ______ to _____</w:t>
      </w:r>
    </w:p>
    <w:p>
      <w:pPr>
        <w:spacing w:after="0" w:line="1" w:lineRule="exact"/>
        <w:rPr>
          <w:rFonts w:ascii="MS PGothic" w:cs="MS PGothic" w:eastAsia="MS PGothic" w:hAnsi="MS PGothic"/>
          <w:sz w:val="18"/>
          <w:szCs w:val="18"/>
          <w:color w:val="auto"/>
        </w:rPr>
      </w:pPr>
    </w:p>
    <w:p>
      <w:pPr>
        <w:ind w:left="444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1" w:lineRule="exact"/>
        <w:rPr>
          <w:sz w:val="24"/>
          <w:szCs w:val="24"/>
          <w:color w:val="auto"/>
        </w:rPr>
      </w:pPr>
    </w:p>
    <w:tbl>
      <w:tblPr>
        <w:tblLayout w:type="fixed"/>
        <w:tblInd w:w="1220" w:type="dxa"/>
        <w:tblCellMar>
          <w:top w:w="0" w:type="dxa"/>
          <w:left w:w="0" w:type="dxa"/>
          <w:bottom w:w="0" w:type="dxa"/>
          <w:right w:w="0" w:type="dxa"/>
        </w:tblCellMar>
      </w:tblPr>
      <w:tr>
        <w:trPr>
          <w:trHeight w:val="224"/>
        </w:trPr>
        <w:tc>
          <w:tcPr>
            <w:tcW w:w="440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4600" w:type="dxa"/>
            <w:vAlign w:val="bottom"/>
            <w:gridSpan w:val="2"/>
          </w:tcPr>
          <w:p>
            <w:pPr>
              <w:jc w:val="right"/>
              <w:ind w:right="1690"/>
              <w:spacing w:after="0"/>
              <w:rPr>
                <w:sz w:val="20"/>
                <w:szCs w:val="20"/>
                <w:color w:val="auto"/>
              </w:rPr>
            </w:pPr>
            <w:r>
              <w:rPr>
                <w:rFonts w:ascii="Arial" w:cs="Arial" w:eastAsia="Arial" w:hAnsi="Arial"/>
                <w:sz w:val="18"/>
                <w:szCs w:val="18"/>
                <w:color w:val="auto"/>
              </w:rPr>
              <w:t>22-2640650</w:t>
            </w:r>
          </w:p>
        </w:tc>
      </w:tr>
      <w:tr>
        <w:trPr>
          <w:trHeight w:val="229"/>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(State or other jurisdiction of</w:t>
            </w:r>
          </w:p>
        </w:tc>
        <w:tc>
          <w:tcPr>
            <w:tcW w:w="10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4400" w:type="dxa"/>
            <w:vAlign w:val="bottom"/>
          </w:tcPr>
          <w:p>
            <w:pPr>
              <w:jc w:val="center"/>
              <w:spacing w:after="0"/>
              <w:rPr>
                <w:sz w:val="20"/>
                <w:szCs w:val="20"/>
                <w:color w:val="auto"/>
              </w:rPr>
            </w:pPr>
            <w:r>
              <w:rPr>
                <w:rFonts w:ascii="Arial" w:cs="Arial" w:eastAsia="Arial" w:hAnsi="Arial"/>
                <w:sz w:val="18"/>
                <w:szCs w:val="18"/>
                <w:color w:val="auto"/>
                <w:w w:val="99"/>
              </w:rPr>
              <w:t>incorporation or organization)</w:t>
            </w:r>
          </w:p>
        </w:tc>
        <w:tc>
          <w:tcPr>
            <w:tcW w:w="10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392"/>
        </w:trPr>
        <w:tc>
          <w:tcPr>
            <w:tcW w:w="4400" w:type="dxa"/>
            <w:vAlign w:val="bottom"/>
          </w:tcPr>
          <w:p>
            <w:pPr>
              <w:jc w:val="center"/>
              <w:spacing w:after="0"/>
              <w:rPr>
                <w:sz w:val="20"/>
                <w:szCs w:val="20"/>
                <w:color w:val="auto"/>
              </w:rPr>
            </w:pPr>
            <w:r>
              <w:rPr>
                <w:rFonts w:ascii="Arial" w:cs="Arial" w:eastAsia="Arial" w:hAnsi="Arial"/>
                <w:sz w:val="18"/>
                <w:szCs w:val="18"/>
                <w:color w:val="auto"/>
                <w:w w:val="98"/>
              </w:rPr>
              <w:t>115 Tabor Road</w:t>
            </w: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77"/>
        </w:trPr>
        <w:tc>
          <w:tcPr>
            <w:tcW w:w="4400" w:type="dxa"/>
            <w:vAlign w:val="bottom"/>
          </w:tcPr>
          <w:p>
            <w:pPr>
              <w:ind w:left="1300"/>
              <w:spacing w:after="0"/>
              <w:rPr>
                <w:sz w:val="20"/>
                <w:szCs w:val="20"/>
                <w:color w:val="auto"/>
              </w:rPr>
            </w:pPr>
            <w:r>
              <w:rPr>
                <w:rFonts w:ascii="Arial" w:cs="Arial" w:eastAsia="Arial" w:hAnsi="Arial"/>
                <w:sz w:val="18"/>
                <w:szCs w:val="18"/>
                <w:color w:val="auto"/>
              </w:rPr>
              <w:t>Morris Plains, NJ</w:t>
            </w:r>
          </w:p>
        </w:tc>
        <w:tc>
          <w:tcPr>
            <w:tcW w:w="4600" w:type="dxa"/>
            <w:vAlign w:val="bottom"/>
            <w:gridSpan w:val="2"/>
          </w:tcPr>
          <w:p>
            <w:pPr>
              <w:jc w:val="right"/>
              <w:ind w:right="1910"/>
              <w:spacing w:after="0"/>
              <w:rPr>
                <w:sz w:val="20"/>
                <w:szCs w:val="20"/>
                <w:color w:val="auto"/>
              </w:rPr>
            </w:pPr>
            <w:r>
              <w:rPr>
                <w:rFonts w:ascii="Arial" w:cs="Arial" w:eastAsia="Arial" w:hAnsi="Arial"/>
                <w:sz w:val="18"/>
                <w:szCs w:val="18"/>
                <w:color w:val="auto"/>
              </w:rPr>
              <w:t>07950</w:t>
            </w:r>
          </w:p>
        </w:tc>
      </w:tr>
      <w:tr>
        <w:trPr>
          <w:trHeight w:val="243"/>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00" w:type="dxa"/>
            <w:vAlign w:val="bottom"/>
          </w:tcPr>
          <w:p>
            <w:pPr>
              <w:spacing w:after="0"/>
              <w:rPr>
                <w:sz w:val="21"/>
                <w:szCs w:val="21"/>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(Zip Code)</w:t>
            </w:r>
          </w:p>
        </w:tc>
      </w:tr>
    </w:tbl>
    <w:p>
      <w:pPr>
        <w:spacing w:after="0" w:line="188"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973 455-2000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225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3"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4922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(Former name, former address and former fiscal year,</w:t>
      </w:r>
    </w:p>
    <w:p>
      <w:pPr>
        <w:jc w:val="center"/>
        <w:ind w:right="-19"/>
        <w:spacing w:after="0"/>
        <w:rPr>
          <w:sz w:val="20"/>
          <w:szCs w:val="20"/>
          <w:color w:val="auto"/>
        </w:rPr>
      </w:pPr>
      <w:r>
        <w:rPr>
          <w:rFonts w:ascii="Arial" w:cs="Arial" w:eastAsia="Arial" w:hAnsi="Arial"/>
          <w:sz w:val="18"/>
          <w:szCs w:val="18"/>
          <w:color w:val="auto"/>
        </w:rPr>
        <w:t>if changed since last report)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Trading</w:t>
            </w:r>
          </w:p>
        </w:tc>
        <w:tc>
          <w:tcPr>
            <w:tcW w:w="5360" w:type="dxa"/>
            <w:vAlign w:val="bottom"/>
          </w:tcPr>
          <w:p>
            <w:pPr>
              <w:spacing w:after="0"/>
              <w:rPr>
                <w:sz w:val="18"/>
                <w:szCs w:val="18"/>
                <w:color w:val="auto"/>
              </w:rPr>
            </w:pPr>
          </w:p>
        </w:tc>
      </w:tr>
      <w:tr>
        <w:trPr>
          <w:trHeight w:val="224"/>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Symbol(s)</w:t>
            </w:r>
          </w:p>
        </w:tc>
        <w:tc>
          <w:tcPr>
            <w:tcW w:w="100" w:type="dxa"/>
            <w:vAlign w:val="bottom"/>
          </w:tcPr>
          <w:p>
            <w:pPr>
              <w:spacing w:after="0"/>
              <w:rPr>
                <w:sz w:val="19"/>
                <w:szCs w:val="19"/>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Common Stock, par value $1 per share*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HON</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0.650% Senior Notes due 2020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20</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1.300% Senior Notes due 2023</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23A</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r>
        <w:trPr>
          <w:trHeight w:val="270"/>
        </w:trPr>
        <w:tc>
          <w:tcPr>
            <w:tcW w:w="4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2.250% Senior Notes due 2028</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rPr>
              <w:t>HON 28A</w:t>
            </w:r>
          </w:p>
        </w:tc>
        <w:tc>
          <w:tcPr>
            <w:tcW w:w="5360" w:type="dxa"/>
            <w:vAlign w:val="bottom"/>
          </w:tcPr>
          <w:p>
            <w:pPr>
              <w:jc w:val="center"/>
              <w:spacing w:after="0"/>
              <w:rPr>
                <w:sz w:val="20"/>
                <w:szCs w:val="20"/>
                <w:color w:val="auto"/>
              </w:rPr>
            </w:pPr>
            <w:r>
              <w:rPr>
                <w:rFonts w:ascii="Arial" w:cs="Arial" w:eastAsia="Arial" w:hAnsi="Arial"/>
                <w:sz w:val="18"/>
                <w:szCs w:val="18"/>
                <w:color w:val="auto"/>
                <w:w w:val="99"/>
              </w:rPr>
              <w:t>The New York Stock Exchange</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 The common stock is also listed on the London Stock Exchange</w:t>
      </w:r>
    </w:p>
    <w:p>
      <w:pPr>
        <w:spacing w:after="0" w:line="117"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pacing w:after="0" w:line="102"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280"/>
              <w:spacing w:after="0"/>
              <w:rPr>
                <w:sz w:val="20"/>
                <w:szCs w:val="20"/>
                <w:color w:val="auto"/>
              </w:rPr>
            </w:pPr>
            <w:r>
              <w:rPr>
                <w:rFonts w:ascii="Arial" w:cs="Arial" w:eastAsia="Arial" w:hAnsi="Arial"/>
                <w:sz w:val="18"/>
                <w:szCs w:val="18"/>
                <w:color w:val="auto"/>
              </w:rPr>
              <w:t>x</w:t>
            </w:r>
          </w:p>
        </w:tc>
        <w:tc>
          <w:tcPr>
            <w:tcW w:w="396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6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0"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There were 719,508,043 shares of Common Stock outstanding at June 30, 2019.</w:t>
      </w:r>
    </w:p>
    <w:p>
      <w:pPr>
        <w:sectPr>
          <w:pgSz w:w="11900" w:h="16838" w:orient="portrait"/>
          <w:cols w:equalWidth="0" w:num="1">
            <w:col w:w="11420"/>
          </w:cols>
          <w:pgMar w:left="240" w:top="247" w:right="239" w:bottom="874"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0" w:type="dxa"/>
            <w:vAlign w:val="bottom"/>
          </w:tcPr>
          <w:p>
            <w:pPr>
              <w:spacing w:after="0"/>
              <w:rPr>
                <w:rFonts w:ascii="Arial" w:cs="Arial" w:eastAsia="Arial" w:hAnsi="Arial"/>
                <w:sz w:val="18"/>
                <w:szCs w:val="18"/>
                <w:b w:val="1"/>
                <w:bCs w:val="1"/>
                <w:color w:val="0000EE"/>
                <w:w w:val="95"/>
              </w:rPr>
            </w:pPr>
            <w:hyperlink w:anchor="page3">
              <w:r>
                <w:rPr>
                  <w:rFonts w:ascii="Arial" w:cs="Arial" w:eastAsia="Arial" w:hAnsi="Arial"/>
                  <w:sz w:val="18"/>
                  <w:szCs w:val="18"/>
                  <w:b w:val="1"/>
                  <w:bCs w:val="1"/>
                  <w:color w:val="0000EE"/>
                  <w:w w:val="95"/>
                </w:rPr>
                <w:t>Part I.</w:t>
              </w:r>
            </w:hyperlink>
          </w:p>
        </w:tc>
        <w:tc>
          <w:tcPr>
            <w:tcW w:w="2000" w:type="dxa"/>
            <w:vAlign w:val="bottom"/>
            <w:gridSpan w:val="8"/>
          </w:tcPr>
          <w:p>
            <w:pPr>
              <w:spacing w:after="0"/>
              <w:rPr>
                <w:sz w:val="17"/>
                <w:szCs w:val="17"/>
                <w:color w:val="auto"/>
              </w:rPr>
            </w:pPr>
          </w:p>
        </w:tc>
        <w:tc>
          <w:tcPr>
            <w:tcW w:w="772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20" w:type="dxa"/>
            <w:vAlign w:val="bottom"/>
            <w:gridSpan w:val="2"/>
          </w:tcPr>
          <w:p>
            <w:pPr>
              <w:ind w:left="160"/>
              <w:spacing w:after="0"/>
              <w:rPr>
                <w:sz w:val="20"/>
                <w:szCs w:val="20"/>
                <w:color w:val="auto"/>
              </w:rPr>
            </w:pPr>
            <w:r>
              <w:rPr>
                <w:rFonts w:ascii="Arial" w:cs="Arial" w:eastAsia="Arial" w:hAnsi="Arial"/>
                <w:sz w:val="18"/>
                <w:szCs w:val="18"/>
                <w:b w:val="1"/>
                <w:bCs w:val="1"/>
                <w:color w:val="auto"/>
                <w:w w:val="96"/>
              </w:rPr>
              <w:t>Page No.</w:t>
            </w:r>
          </w:p>
        </w:tc>
      </w:tr>
      <w:tr>
        <w:trPr>
          <w:trHeight w:val="250"/>
        </w:trPr>
        <w:tc>
          <w:tcPr>
            <w:tcW w:w="5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2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900" w:type="dxa"/>
            <w:vAlign w:val="bottom"/>
            <w:gridSpan w:val="12"/>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0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and Six Months Ended June 30,</w:t>
              </w:r>
            </w:hyperlink>
          </w:p>
        </w:tc>
        <w:tc>
          <w:tcPr>
            <w:tcW w:w="4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2019 and 2018</w:t>
              </w:r>
            </w:hyperlink>
          </w:p>
        </w:tc>
        <w:tc>
          <w:tcPr>
            <w:tcW w:w="920" w:type="dxa"/>
            <w:vAlign w:val="bottom"/>
            <w:gridSpan w:val="2"/>
          </w:tcPr>
          <w:p>
            <w:pPr>
              <w:jc w:val="center"/>
              <w:ind w:left="50"/>
              <w:spacing w:after="0" w:line="182" w:lineRule="exact"/>
              <w:rPr>
                <w:rFonts w:ascii="Arial" w:cs="Arial" w:eastAsia="Arial" w:hAnsi="Arial"/>
                <w:sz w:val="18"/>
                <w:szCs w:val="18"/>
                <w:color w:val="auto"/>
                <w:w w:val="99"/>
              </w:rPr>
            </w:pPr>
            <w:hyperlink w:anchor="page3">
              <w:r>
                <w:rPr>
                  <w:rFonts w:ascii="Arial" w:cs="Arial" w:eastAsia="Arial" w:hAnsi="Arial"/>
                  <w:sz w:val="18"/>
                  <w:szCs w:val="18"/>
                  <w:color w:val="auto"/>
                  <w:w w:val="99"/>
                </w:rPr>
                <w:t>3</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58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 of Comprehensive Income (unaudited) – Three and Six Months Ended</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June 30, 2019 and 2018</w:t>
              </w:r>
            </w:hyperlink>
          </w:p>
        </w:tc>
        <w:tc>
          <w:tcPr>
            <w:tcW w:w="920" w:type="dxa"/>
            <w:vAlign w:val="bottom"/>
            <w:gridSpan w:val="2"/>
          </w:tcPr>
          <w:p>
            <w:pPr>
              <w:jc w:val="center"/>
              <w:ind w:left="50"/>
              <w:spacing w:after="0" w:line="182"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4</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 June 30, 2019 and December 31, 2018</w:t>
              </w:r>
            </w:hyperlink>
          </w:p>
        </w:tc>
        <w:tc>
          <w:tcPr>
            <w:tcW w:w="920" w:type="dxa"/>
            <w:vAlign w:val="bottom"/>
            <w:gridSpan w:val="2"/>
          </w:tcPr>
          <w:p>
            <w:pPr>
              <w:jc w:val="center"/>
              <w:ind w:left="50"/>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Six Months Ended June 30, 2019 and</w:t>
              </w:r>
            </w:hyperlink>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2018</w:t>
              </w:r>
            </w:hyperlink>
          </w:p>
        </w:tc>
        <w:tc>
          <w:tcPr>
            <w:tcW w:w="2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4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left="50"/>
              <w:spacing w:after="0" w:line="18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6</w:t>
              </w:r>
            </w:hyperlink>
          </w:p>
        </w:tc>
      </w:tr>
      <w:tr>
        <w:trPr>
          <w:trHeight w:val="358"/>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3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 of Shareowners' Equity (unaudited) – Three and Six Months Ended</w:t>
              </w:r>
            </w:hyperlink>
          </w:p>
        </w:tc>
        <w:tc>
          <w:tcPr>
            <w:tcW w:w="4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720" w:type="dxa"/>
            <w:vAlign w:val="bottom"/>
            <w:gridSpan w:val="20"/>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June 30, 2019 and 2018</w:t>
              </w:r>
            </w:hyperlink>
          </w:p>
        </w:tc>
        <w:tc>
          <w:tcPr>
            <w:tcW w:w="920" w:type="dxa"/>
            <w:vAlign w:val="bottom"/>
            <w:gridSpan w:val="2"/>
          </w:tcPr>
          <w:p>
            <w:pPr>
              <w:jc w:val="center"/>
              <w:ind w:left="50"/>
              <w:spacing w:after="0" w:line="182"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7</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2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920" w:type="dxa"/>
            <w:vAlign w:val="bottom"/>
            <w:gridSpan w:val="2"/>
          </w:tcPr>
          <w:p>
            <w:pPr>
              <w:jc w:val="center"/>
              <w:ind w:left="50"/>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8</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3"/>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2.</w:t>
              </w:r>
            </w:hyperlink>
          </w:p>
        </w:tc>
        <w:tc>
          <w:tcPr>
            <w:tcW w:w="680" w:type="dxa"/>
            <w:vAlign w:val="bottom"/>
            <w:gridSpan w:val="2"/>
          </w:tcPr>
          <w:p>
            <w:pPr>
              <w:spacing w:after="0"/>
              <w:rPr>
                <w:sz w:val="24"/>
                <w:szCs w:val="24"/>
                <w:color w:val="auto"/>
              </w:rPr>
            </w:pPr>
          </w:p>
        </w:tc>
        <w:tc>
          <w:tcPr>
            <w:tcW w:w="7720" w:type="dxa"/>
            <w:vAlign w:val="bottom"/>
            <w:gridSpan w:val="2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920" w:type="dxa"/>
            <w:vAlign w:val="bottom"/>
            <w:gridSpan w:val="2"/>
          </w:tcPr>
          <w:p>
            <w:pPr>
              <w:jc w:val="center"/>
              <w:ind w:left="7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31</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3.</w:t>
              </w:r>
            </w:hyperlink>
          </w:p>
        </w:tc>
        <w:tc>
          <w:tcPr>
            <w:tcW w:w="680" w:type="dxa"/>
            <w:vAlign w:val="bottom"/>
            <w:gridSpan w:val="2"/>
          </w:tcPr>
          <w:p>
            <w:pPr>
              <w:spacing w:after="0"/>
              <w:rPr>
                <w:sz w:val="24"/>
                <w:szCs w:val="24"/>
                <w:color w:val="auto"/>
              </w:rPr>
            </w:pPr>
          </w:p>
        </w:tc>
        <w:tc>
          <w:tcPr>
            <w:tcW w:w="7080" w:type="dxa"/>
            <w:vAlign w:val="bottom"/>
            <w:tcBorders>
              <w:top w:val="single" w:sz="8" w:color="0000EE"/>
            </w:tcBorders>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Risks</w:t>
              </w:r>
            </w:hyperlink>
          </w:p>
        </w:tc>
        <w:tc>
          <w:tcPr>
            <w:tcW w:w="640" w:type="dxa"/>
            <w:vAlign w:val="bottom"/>
            <w:gridSpan w:val="5"/>
          </w:tcPr>
          <w:p>
            <w:pPr>
              <w:spacing w:after="0"/>
              <w:rPr>
                <w:sz w:val="24"/>
                <w:szCs w:val="24"/>
                <w:color w:val="auto"/>
              </w:rPr>
            </w:pPr>
          </w:p>
        </w:tc>
        <w:tc>
          <w:tcPr>
            <w:tcW w:w="920" w:type="dxa"/>
            <w:vAlign w:val="bottom"/>
            <w:gridSpan w:val="2"/>
          </w:tcPr>
          <w:p>
            <w:pPr>
              <w:jc w:val="center"/>
              <w:ind w:left="70"/>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40</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Item 4.</w:t>
              </w:r>
            </w:hyperlink>
          </w:p>
        </w:tc>
        <w:tc>
          <w:tcPr>
            <w:tcW w:w="680" w:type="dxa"/>
            <w:vAlign w:val="bottom"/>
            <w:gridSpan w:val="2"/>
          </w:tcPr>
          <w:p>
            <w:pPr>
              <w:spacing w:after="0"/>
              <w:rPr>
                <w:sz w:val="24"/>
                <w:szCs w:val="24"/>
                <w:color w:val="auto"/>
              </w:rPr>
            </w:pPr>
          </w:p>
        </w:tc>
        <w:tc>
          <w:tcPr>
            <w:tcW w:w="4800" w:type="dxa"/>
            <w:vAlign w:val="bottom"/>
            <w:tcBorders>
              <w:top w:val="single" w:sz="8" w:color="0000EE"/>
            </w:tcBorders>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2920" w:type="dxa"/>
            <w:vAlign w:val="bottom"/>
            <w:gridSpan w:val="8"/>
          </w:tcPr>
          <w:p>
            <w:pPr>
              <w:spacing w:after="0"/>
              <w:rPr>
                <w:sz w:val="24"/>
                <w:szCs w:val="24"/>
                <w:color w:val="auto"/>
              </w:rPr>
            </w:pPr>
          </w:p>
        </w:tc>
        <w:tc>
          <w:tcPr>
            <w:tcW w:w="920" w:type="dxa"/>
            <w:vAlign w:val="bottom"/>
            <w:gridSpan w:val="2"/>
          </w:tcPr>
          <w:p>
            <w:pPr>
              <w:jc w:val="center"/>
              <w:ind w:left="70"/>
              <w:spacing w:after="0"/>
              <w:rPr>
                <w:rFonts w:ascii="Arial" w:cs="Arial" w:eastAsia="Arial" w:hAnsi="Arial"/>
                <w:sz w:val="18"/>
                <w:szCs w:val="18"/>
                <w:color w:val="auto"/>
                <w:w w:val="99"/>
              </w:rPr>
            </w:pPr>
            <w:hyperlink w:anchor="page40">
              <w:r>
                <w:rPr>
                  <w:rFonts w:ascii="Arial" w:cs="Arial" w:eastAsia="Arial" w:hAnsi="Arial"/>
                  <w:sz w:val="18"/>
                  <w:szCs w:val="18"/>
                  <w:color w:val="auto"/>
                  <w:w w:val="99"/>
                </w:rPr>
                <w:t>40</w:t>
              </w:r>
            </w:hyperlink>
          </w:p>
        </w:tc>
      </w:tr>
      <w:tr>
        <w:trPr>
          <w:trHeight w:val="372"/>
        </w:trPr>
        <w:tc>
          <w:tcPr>
            <w:tcW w:w="1280" w:type="dxa"/>
            <w:vAlign w:val="bottom"/>
            <w:gridSpan w:val="5"/>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520" w:type="dxa"/>
            <w:vAlign w:val="bottom"/>
            <w:tcBorders>
              <w:top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200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57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2"/>
        </w:trPr>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Item 1.</w:t>
              </w:r>
            </w:hyperlink>
          </w:p>
        </w:tc>
        <w:tc>
          <w:tcPr>
            <w:tcW w:w="680" w:type="dxa"/>
            <w:vAlign w:val="bottom"/>
            <w:gridSpan w:val="2"/>
          </w:tcPr>
          <w:p>
            <w:pPr>
              <w:spacing w:after="0"/>
              <w:rPr>
                <w:sz w:val="24"/>
                <w:szCs w:val="24"/>
                <w:color w:val="auto"/>
              </w:rPr>
            </w:pPr>
          </w:p>
        </w:tc>
        <w:tc>
          <w:tcPr>
            <w:tcW w:w="15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Legal Proceedings</w:t>
              </w:r>
            </w:hyperlink>
          </w:p>
        </w:tc>
        <w:tc>
          <w:tcPr>
            <w:tcW w:w="20" w:type="dxa"/>
            <w:vAlign w:val="bottom"/>
            <w:tcBorders>
              <w:top w:val="single" w:sz="8" w:color="0000EE"/>
            </w:tcBorders>
          </w:tcPr>
          <w:p>
            <w:pPr>
              <w:spacing w:after="0"/>
              <w:rPr>
                <w:sz w:val="24"/>
                <w:szCs w:val="24"/>
                <w:color w:val="auto"/>
              </w:rPr>
            </w:pPr>
          </w:p>
        </w:tc>
        <w:tc>
          <w:tcPr>
            <w:tcW w:w="6200" w:type="dxa"/>
            <w:vAlign w:val="bottom"/>
            <w:gridSpan w:val="14"/>
          </w:tcPr>
          <w:p>
            <w:pPr>
              <w:spacing w:after="0"/>
              <w:rPr>
                <w:sz w:val="24"/>
                <w:szCs w:val="24"/>
                <w:color w:val="auto"/>
              </w:rPr>
            </w:pPr>
          </w:p>
        </w:tc>
        <w:tc>
          <w:tcPr>
            <w:tcW w:w="920" w:type="dxa"/>
            <w:vAlign w:val="bottom"/>
            <w:gridSpan w:val="2"/>
          </w:tcPr>
          <w:p>
            <w:pPr>
              <w:jc w:val="center"/>
              <w:ind w:left="70"/>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41</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772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920" w:type="dxa"/>
            <w:vAlign w:val="bottom"/>
            <w:gridSpan w:val="2"/>
          </w:tcPr>
          <w:p>
            <w:pPr>
              <w:jc w:val="center"/>
              <w:ind w:left="70"/>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41</w:t>
              </w:r>
            </w:hyperlink>
          </w:p>
        </w:tc>
      </w:tr>
      <w:tr>
        <w:trPr>
          <w:trHeight w:val="20"/>
        </w:trPr>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Unregistered Sales of Equity Securities and Use of Proceeds</w:t>
              </w:r>
            </w:hyperlink>
          </w:p>
        </w:tc>
        <w:tc>
          <w:tcPr>
            <w:tcW w:w="2860" w:type="dxa"/>
            <w:vAlign w:val="bottom"/>
            <w:gridSpan w:val="7"/>
          </w:tcPr>
          <w:p>
            <w:pPr>
              <w:spacing w:after="0"/>
              <w:rPr>
                <w:sz w:val="24"/>
                <w:szCs w:val="24"/>
                <w:color w:val="auto"/>
              </w:rPr>
            </w:pPr>
          </w:p>
        </w:tc>
        <w:tc>
          <w:tcPr>
            <w:tcW w:w="920" w:type="dxa"/>
            <w:vAlign w:val="bottom"/>
            <w:gridSpan w:val="2"/>
          </w:tcPr>
          <w:p>
            <w:pPr>
              <w:jc w:val="center"/>
              <w:ind w:left="70"/>
              <w:spacing w:after="0"/>
              <w:rPr>
                <w:rFonts w:ascii="Arial" w:cs="Arial" w:eastAsia="Arial" w:hAnsi="Arial"/>
                <w:sz w:val="18"/>
                <w:szCs w:val="18"/>
                <w:color w:val="auto"/>
                <w:w w:val="99"/>
              </w:rPr>
            </w:pPr>
            <w:hyperlink w:anchor="page41">
              <w:r>
                <w:rPr>
                  <w:rFonts w:ascii="Arial" w:cs="Arial" w:eastAsia="Arial" w:hAnsi="Arial"/>
                  <w:sz w:val="18"/>
                  <w:szCs w:val="18"/>
                  <w:color w:val="auto"/>
                  <w:w w:val="99"/>
                </w:rPr>
                <w:t>41</w:t>
              </w:r>
            </w:hyperlink>
          </w:p>
        </w:tc>
      </w:tr>
      <w:tr>
        <w:trPr>
          <w:trHeight w:val="372"/>
        </w:trPr>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77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920" w:type="dxa"/>
            <w:vAlign w:val="bottom"/>
            <w:gridSpan w:val="2"/>
          </w:tcPr>
          <w:p>
            <w:pPr>
              <w:jc w:val="center"/>
              <w:ind w:left="70"/>
              <w:spacing w:after="0"/>
              <w:rPr>
                <w:rFonts w:ascii="Arial" w:cs="Arial" w:eastAsia="Arial" w:hAnsi="Arial"/>
                <w:sz w:val="18"/>
                <w:szCs w:val="18"/>
                <w:color w:val="auto"/>
                <w:w w:val="99"/>
              </w:rPr>
            </w:pPr>
            <w:hyperlink w:anchor="page42">
              <w:r>
                <w:rPr>
                  <w:rFonts w:ascii="Arial" w:cs="Arial" w:eastAsia="Arial" w:hAnsi="Arial"/>
                  <w:sz w:val="18"/>
                  <w:szCs w:val="18"/>
                  <w:color w:val="auto"/>
                  <w:w w:val="99"/>
                </w:rPr>
                <w:t>42</w:t>
              </w:r>
            </w:hyperlink>
          </w:p>
        </w:tc>
      </w:tr>
      <w:tr>
        <w:trPr>
          <w:trHeight w:val="372"/>
        </w:trPr>
        <w:tc>
          <w:tcPr>
            <w:tcW w:w="86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Signatures</w:t>
              </w:r>
            </w:hyperlink>
          </w:p>
        </w:tc>
        <w:tc>
          <w:tcPr>
            <w:tcW w:w="420" w:type="dxa"/>
            <w:vAlign w:val="bottom"/>
            <w:gridSpan w:val="2"/>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00" w:type="dxa"/>
            <w:vAlign w:val="bottom"/>
            <w:gridSpan w:val="3"/>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center"/>
              <w:ind w:left="70"/>
              <w:spacing w:after="0"/>
              <w:rPr>
                <w:rFonts w:ascii="Arial" w:cs="Arial" w:eastAsia="Arial" w:hAnsi="Arial"/>
                <w:sz w:val="18"/>
                <w:szCs w:val="18"/>
                <w:color w:val="auto"/>
                <w:w w:val="99"/>
              </w:rPr>
            </w:pPr>
            <w:hyperlink w:anchor="page43">
              <w:r>
                <w:rPr>
                  <w:rFonts w:ascii="Arial" w:cs="Arial" w:eastAsia="Arial" w:hAnsi="Arial"/>
                  <w:sz w:val="18"/>
                  <w:szCs w:val="18"/>
                  <w:color w:val="auto"/>
                  <w:w w:val="99"/>
                </w:rPr>
                <w:t>43</w:t>
              </w:r>
            </w:hyperlink>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22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2018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The financial statements and related footnotes as of June 30, 2019 should be read in conjunction with the financial statements for the year ended December 31, 2018 contained in our 2018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0"/>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40" w:type="dxa"/>
            <w:vAlign w:val="bottom"/>
            <w:gridSpan w:val="9"/>
          </w:tcPr>
          <w:p>
            <w:pPr>
              <w:jc w:val="right"/>
              <w:ind w:right="50"/>
              <w:spacing w:after="0"/>
              <w:rPr>
                <w:sz w:val="20"/>
                <w:szCs w:val="20"/>
                <w:color w:val="auto"/>
              </w:rPr>
            </w:pPr>
            <w:r>
              <w:rPr>
                <w:rFonts w:ascii="Arial" w:cs="Arial" w:eastAsia="Arial" w:hAnsi="Arial"/>
                <w:sz w:val="14"/>
                <w:szCs w:val="14"/>
                <w:b w:val="1"/>
                <w:bCs w:val="1"/>
                <w:color w:val="auto"/>
              </w:rPr>
              <w:t>(Dollars in millions, except per share amounts)</w:t>
            </w:r>
          </w:p>
        </w:tc>
        <w:tc>
          <w:tcPr>
            <w:tcW w:w="940" w:type="dxa"/>
            <w:vAlign w:val="bottom"/>
          </w:tcPr>
          <w:p>
            <w:pPr>
              <w:spacing w:after="0"/>
              <w:rPr>
                <w:sz w:val="18"/>
                <w:szCs w:val="18"/>
                <w:color w:val="auto"/>
              </w:rPr>
            </w:pPr>
          </w:p>
        </w:tc>
      </w:tr>
      <w:tr>
        <w:trPr>
          <w:trHeight w:val="27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16,937</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Service sales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2,253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4,374</w:t>
            </w:r>
          </w:p>
        </w:tc>
      </w:tr>
      <w:tr>
        <w:trPr>
          <w:trHeight w:val="25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9,243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21,311</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12,107</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Cost of services sold</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2,698</w:t>
            </w:r>
          </w:p>
        </w:tc>
      </w:tr>
      <w:tr>
        <w:trPr>
          <w:trHeight w:val="257"/>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6,094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11,973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14,805</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3,003</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r>
      <w:tr>
        <w:trPr>
          <w:trHeight w:val="250"/>
        </w:trPr>
        <w:tc>
          <w:tcPr>
            <w:tcW w:w="60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7,261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8,921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17,402</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3,909</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2,732</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the noncontrolling interest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9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Honeywell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1,541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2,957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2,706</w:t>
            </w:r>
          </w:p>
        </w:tc>
      </w:tr>
      <w:tr>
        <w:trPr>
          <w:trHeight w:val="23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 - 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3.57</w:t>
            </w: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1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w:t>
            </w:r>
          </w:p>
        </w:tc>
      </w:tr>
      <w:tr>
        <w:trPr>
          <w:trHeight w:val="196"/>
        </w:trPr>
        <w:tc>
          <w:tcPr>
            <w:tcW w:w="7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Pr>
          <w:p>
            <w:pPr>
              <w:spacing w:after="0"/>
              <w:rPr>
                <w:sz w:val="17"/>
                <w:szCs w:val="17"/>
                <w:color w:val="auto"/>
              </w:rPr>
            </w:pPr>
          </w:p>
        </w:tc>
      </w:tr>
      <w:tr>
        <w:trPr>
          <w:trHeight w:val="264"/>
        </w:trPr>
        <w:tc>
          <w:tcPr>
            <w:tcW w:w="78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r>
      <w:tr>
        <w:trPr>
          <w:trHeight w:val="210"/>
        </w:trPr>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6"/>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Foreign exchange translation adjustment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63"/>
        </w:trPr>
        <w:tc>
          <w:tcPr>
            <w:tcW w:w="7860" w:type="dxa"/>
            <w:vAlign w:val="bottom"/>
          </w:tcPr>
          <w:p>
            <w:pPr>
              <w:ind w:left="720"/>
              <w:spacing w:after="0"/>
              <w:rPr>
                <w:sz w:val="20"/>
                <w:szCs w:val="20"/>
                <w:color w:val="auto"/>
              </w:rPr>
            </w:pPr>
            <w:r>
              <w:rPr>
                <w:rFonts w:ascii="Arial" w:cs="Arial" w:eastAsia="Arial" w:hAnsi="Arial"/>
                <w:sz w:val="18"/>
                <w:szCs w:val="18"/>
                <w:color w:val="auto"/>
              </w:rPr>
              <w:t>Actuarial (gains) losses recognized</w:t>
            </w:r>
          </w:p>
        </w:tc>
        <w:tc>
          <w:tcPr>
            <w:tcW w:w="14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Prior service (credit) cost recognized</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7860" w:type="dxa"/>
            <w:vAlign w:val="bottom"/>
          </w:tcPr>
          <w:p>
            <w:pPr>
              <w:ind w:left="500"/>
              <w:spacing w:after="0"/>
              <w:rPr>
                <w:sz w:val="20"/>
                <w:szCs w:val="20"/>
                <w:color w:val="auto"/>
              </w:rPr>
            </w:pPr>
            <w:r>
              <w:rPr>
                <w:rFonts w:ascii="Arial" w:cs="Arial" w:eastAsia="Arial" w:hAnsi="Arial"/>
                <w:sz w:val="18"/>
                <w:szCs w:val="18"/>
                <w:color w:val="auto"/>
              </w:rPr>
              <w:t>Pension and other postretirement benefits adjustments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7"/>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flow hedges recognized in other comprehensive income (loss)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64"/>
        </w:trPr>
        <w:tc>
          <w:tcPr>
            <w:tcW w:w="78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Less: Reclassification adjustment for gains (losses) included in net income</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fair value of cash flow hedges</w:t>
            </w: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50"/>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2,745</w:t>
            </w:r>
          </w:p>
        </w:tc>
      </w:tr>
      <w:tr>
        <w:trPr>
          <w:trHeight w:val="264"/>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Less: Comprehensive income attributable to the noncontrolling interest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Honeywell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8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Pr>
          <w:p>
            <w:pPr>
              <w:spacing w:after="0"/>
              <w:rPr>
                <w:sz w:val="18"/>
                <w:szCs w:val="18"/>
                <w:color w:val="auto"/>
              </w:rPr>
            </w:pP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9,287</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 - net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7,407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4,326</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50"/>
        </w:trPr>
        <w:tc>
          <w:tcPr>
            <w:tcW w:w="85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24,362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Investments and long-term receivables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5,260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5,296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15,573</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15,546</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Other intangible assets - net</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4,139</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 related liabilities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7,788</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6,869</w:t>
            </w:r>
          </w:p>
        </w:tc>
      </w:tr>
      <w:tr>
        <w:trPr>
          <w:trHeight w:val="297"/>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57,750</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57,773</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5,607</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Commercial paper and other short-term borrowings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3,558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3,586</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r>
      <w:tr>
        <w:trPr>
          <w:trHeight w:val="264"/>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6,859</w:t>
            </w:r>
          </w:p>
        </w:tc>
      </w:tr>
      <w:tr>
        <w:trPr>
          <w:trHeight w:val="25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19,894</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18,924</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9,756</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Postretirement benefit obligations other than pensions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Asbestos related liabilities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6,907</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6,402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SHAREOWNERS’ EQUITY</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 common stock issued</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w:t>
            </w:r>
          </w:p>
        </w:tc>
      </w:tr>
      <w:tr>
        <w:trPr>
          <w:trHeight w:val="263"/>
        </w:trPr>
        <w:tc>
          <w:tcPr>
            <w:tcW w:w="8560" w:type="dxa"/>
            <w:vAlign w:val="bottom"/>
          </w:tcPr>
          <w:p>
            <w:pPr>
              <w:ind w:left="720"/>
              <w:spacing w:after="0"/>
              <w:rPr>
                <w:sz w:val="20"/>
                <w:szCs w:val="20"/>
                <w:color w:val="auto"/>
              </w:rPr>
            </w:pPr>
            <w:r>
              <w:rPr>
                <w:rFonts w:ascii="Arial" w:cs="Arial" w:eastAsia="Arial" w:hAnsi="Arial"/>
                <w:sz w:val="18"/>
                <w:szCs w:val="18"/>
                <w:color w:val="auto"/>
              </w:rPr>
              <w:t>- additional paid-in capital</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6,452</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held in treasury, at cost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(19,771)</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(3,437)</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35,741</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33,978</w:t>
            </w: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Total Honeywell shareowners’ equity</w:t>
            </w: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17,870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18,180</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5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shareowners’ equity</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18,060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18,358</w:t>
            </w: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redeemable noncontrolling interest and shareowners’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57,750</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57,773</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4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(Dollars in millions)</w:t>
            </w: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2,992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2,732</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the noncontrolling interest</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Net income attributable to Honeywell</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2,706</w:t>
            </w:r>
          </w:p>
        </w:tc>
      </w:tr>
      <w:tr>
        <w:trPr>
          <w:trHeight w:val="235"/>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8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63"/>
        </w:trPr>
        <w:tc>
          <w:tcPr>
            <w:tcW w:w="856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63"/>
        </w:trPr>
        <w:tc>
          <w:tcPr>
            <w:tcW w:w="8560" w:type="dxa"/>
            <w:vAlign w:val="bottom"/>
          </w:tcPr>
          <w:p>
            <w:pPr>
              <w:ind w:left="500"/>
              <w:spacing w:after="0"/>
              <w:rPr>
                <w:sz w:val="20"/>
                <w:szCs w:val="20"/>
                <w:color w:val="auto"/>
              </w:rPr>
            </w:pPr>
            <w:r>
              <w:rPr>
                <w:rFonts w:ascii="Arial" w:cs="Arial" w:eastAsia="Arial" w:hAnsi="Arial"/>
                <w:sz w:val="18"/>
                <w:szCs w:val="18"/>
                <w:color w:val="auto"/>
              </w:rPr>
              <w:t>Repositioning and other charges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payments for repositioning and other charges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63"/>
        </w:trPr>
        <w:tc>
          <w:tcPr>
            <w:tcW w:w="8560" w:type="dxa"/>
            <w:vAlign w:val="bottom"/>
          </w:tcPr>
          <w:p>
            <w:pPr>
              <w:ind w:left="500"/>
              <w:spacing w:after="0"/>
              <w:rPr>
                <w:sz w:val="20"/>
                <w:szCs w:val="20"/>
                <w:color w:val="auto"/>
              </w:rPr>
            </w:pPr>
            <w:r>
              <w:rPr>
                <w:rFonts w:ascii="Arial" w:cs="Arial" w:eastAsia="Arial" w:hAnsi="Arial"/>
                <w:sz w:val="18"/>
                <w:szCs w:val="18"/>
                <w:color w:val="auto"/>
              </w:rPr>
              <w:t>Pension and other postretirement income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Pension and other postretirement benefit payments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3"/>
        </w:trPr>
        <w:tc>
          <w:tcPr>
            <w:tcW w:w="8560" w:type="dxa"/>
            <w:vAlign w:val="bottom"/>
          </w:tcPr>
          <w:p>
            <w:pPr>
              <w:ind w:left="50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63"/>
        </w:trPr>
        <w:tc>
          <w:tcPr>
            <w:tcW w:w="8560" w:type="dxa"/>
            <w:vAlign w:val="bottom"/>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7"/>
        </w:trPr>
        <w:tc>
          <w:tcPr>
            <w:tcW w:w="85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85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7"/>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63"/>
        </w:trPr>
        <w:tc>
          <w:tcPr>
            <w:tcW w:w="856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7"/>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64"/>
        </w:trPr>
        <w:tc>
          <w:tcPr>
            <w:tcW w:w="85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57"/>
        </w:trPr>
        <w:tc>
          <w:tcPr>
            <w:tcW w:w="85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cash provided by (used for) operating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2,997</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Expenditures for property, plant and equipment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disposals of property, plant and equipment</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investments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Decrease in investments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3,508</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r>
      <w:tr>
        <w:trPr>
          <w:trHeight w:val="250"/>
        </w:trPr>
        <w:tc>
          <w:tcPr>
            <w:tcW w:w="856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1,605</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issuance of commercial paper and other short-term borrowings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7,114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12,749</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commercial paper and other short-term borrowings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(12,152)</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w:t>
            </w:r>
          </w:p>
        </w:tc>
      </w:tr>
      <w:tr>
        <w:trPr>
          <w:trHeight w:val="277"/>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63"/>
        </w:trPr>
        <w:tc>
          <w:tcPr>
            <w:tcW w:w="856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w:t>
            </w:r>
          </w:p>
        </w:tc>
      </w:tr>
      <w:tr>
        <w:trPr>
          <w:trHeight w:val="270"/>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50"/>
        </w:trPr>
        <w:tc>
          <w:tcPr>
            <w:tcW w:w="856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w:t>
            </w:r>
          </w:p>
        </w:tc>
      </w:tr>
      <w:tr>
        <w:trPr>
          <w:trHeight w:val="25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0"/>
        </w:trPr>
        <w:tc>
          <w:tcPr>
            <w:tcW w:w="85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1,023</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9,287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7,059</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8,225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8,082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Shareowners'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796" w:right="239" w:bottom="1440" w:gutter="0" w:footer="0" w:header="0"/>
        </w:sectPr>
      </w:pPr>
    </w:p>
    <w:p>
      <w:pPr>
        <w:spacing w:after="0" w:line="213"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2109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5360"/>
        <w:spacing w:after="0"/>
        <w:tabs>
          <w:tab w:leader="none" w:pos="70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26035</wp:posOffset>
            </wp:positionV>
            <wp:extent cx="2109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26035</wp:posOffset>
            </wp:positionV>
            <wp:extent cx="2092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26035</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8060" w:space="720"/>
            <w:col w:w="2640"/>
          </w:cols>
          <w:pgMar w:left="240" w:top="796"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r>
      <w:tr>
        <w:trPr>
          <w:trHeight w:val="237"/>
        </w:trPr>
        <w:tc>
          <w:tcPr>
            <w:tcW w:w="4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7"/>
          </w:tcPr>
          <w:p>
            <w:pPr>
              <w:jc w:val="right"/>
              <w:spacing w:after="0"/>
              <w:rPr>
                <w:sz w:val="20"/>
                <w:szCs w:val="20"/>
                <w:color w:val="auto"/>
              </w:rPr>
            </w:pPr>
            <w:r>
              <w:rPr>
                <w:rFonts w:ascii="Arial" w:cs="Arial" w:eastAsia="Arial" w:hAnsi="Arial"/>
                <w:sz w:val="14"/>
                <w:szCs w:val="14"/>
                <w:b w:val="1"/>
                <w:bCs w:val="1"/>
                <w:color w:val="auto"/>
              </w:rPr>
              <w:t>(Dollars in millions, except per share amounts)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 par value</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957.6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Additional paid-in capital</w:t>
            </w: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6,212</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0"/>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6,317</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6,780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6,317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Treasury stock</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(20,392)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(19,771)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(15,914)</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Reacquired stock or repurchases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64"/>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Issued for employee savings and option plans</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Retained earnings</w:t>
            </w: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34,794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28,623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33,978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27,481</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Adoption of new accounting standards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attributable to Honeywell</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r>
      <w:tr>
        <w:trPr>
          <w:trHeight w:val="264"/>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Dividends on common stock</w:t>
            </w: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35,741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29,331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35,741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29,331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35"/>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Pensions and other postretirement benefit</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4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Changes in fair value of cash flow hedges</w:t>
            </w: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Noncontrolling interest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Acquisitions, divestitures, and other</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7"/>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attributable to noncontrolling interest</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63"/>
        </w:trPr>
        <w:tc>
          <w:tcPr>
            <w:tcW w:w="4700" w:type="dxa"/>
            <w:vAlign w:val="bottom"/>
          </w:tcPr>
          <w:p>
            <w:pPr>
              <w:ind w:left="320"/>
              <w:spacing w:after="0"/>
              <w:rPr>
                <w:sz w:val="20"/>
                <w:szCs w:val="20"/>
                <w:color w:val="auto"/>
              </w:rPr>
            </w:pPr>
            <w:r>
              <w:rPr>
                <w:rFonts w:ascii="Arial" w:cs="Arial" w:eastAsia="Arial" w:hAnsi="Arial"/>
                <w:sz w:val="18"/>
                <w:szCs w:val="18"/>
                <w:color w:val="auto"/>
              </w:rPr>
              <w:t>Foreign exchange translation adjustment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w:t>
            </w: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shareowners' equity</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719.5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18,060</w:t>
            </w:r>
          </w:p>
        </w:tc>
        <w:tc>
          <w:tcPr>
            <w:tcW w:w="7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17,000</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719.5</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18,060</w:t>
            </w:r>
          </w:p>
        </w:tc>
        <w:tc>
          <w:tcPr>
            <w:tcW w:w="7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dividends per share of common stock</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  0.820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  0.745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  1.640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  1.490</w:t>
            </w:r>
          </w:p>
        </w:tc>
      </w:tr>
      <w:tr>
        <w:trPr>
          <w:trHeight w:val="20"/>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are an integral part of this statement.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2019 and December 31, 2018, the cash flows for the six months ended June 30, 2019 and 2018 and the results of operations for the three and six months ended June 30, 2019 and 2018. The results of operations for the three and six months ended June 30, 2019 and cash flows for the six months ended June 30, 2019 should not necessarily be taken as indicative of the entire year.</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six months ended June 30, 2019 and 2018 were June 29, 2019 and June 30, 2018.</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previously part of Aerospace, into a standalone publicly-traded company, Garrett Motion Inc. (“Garrett”). 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 The assets and liabilities associated with Garrett and Resideo have been removed from the Company’s Consolidated Balance Sheet as of the effective dates of the respective spin-offs. The results of operations for Garrett and Resideo are included in the Consolidated Statement of Operations through the effective dates of the respective spin-offs.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2018 Annual Report on Form 10-K. We include herein certain updates to those policies.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year amounts have been reclassified to conform to the current year presentation.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—At the inception of a contract, we assess whether the contract is, or contains, a lease. The assessment is based on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whether the contract involves the use of a distinct identified asset, (2) whether the Company obtains the right to substantially all the economic benefit from the use of the asset throughout the period, and (3) whether the Company has the right to direct the use of the asset.</w:t>
      </w:r>
    </w:p>
    <w:p>
      <w:pPr>
        <w:spacing w:after="0" w:line="1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 term leases) and we recognize lease expense for these leases as incurred over the lease term.</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asset also includes any lease payments related to initial direct cost and prepayments and excludes lease incentives. Lease expense is recognized on a straight-line basis over the lease term. We have lease agreements with lease and non-lease components, which are generally accounted for separately.</w:t>
      </w:r>
    </w:p>
    <w:p>
      <w:pPr>
        <w:spacing w:after="0" w:line="21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We primarily use our incremental borrowing rate, which is based on the information available at the lease commencement date, in determining the present value of the lease payments. In determining the borrowing rate, we consider the lease term, secured incremental borrowing rate, and for leases denominated in a currency different than U.S. dollar, the collateralized borrowing rate in the foreign currency using the U.S. dollar and foreign currency swap spread, when availab</w:t>
      </w:r>
      <w:r>
        <w:rPr>
          <w:rFonts w:ascii="Arial" w:cs="Arial" w:eastAsia="Arial" w:hAnsi="Arial"/>
          <w:sz w:val="19"/>
          <w:szCs w:val="19"/>
          <w:color w:val="auto"/>
        </w:rPr>
        <w:t>le.</w:t>
      </w:r>
    </w:p>
    <w:p>
      <w:pPr>
        <w:spacing w:after="0" w:line="16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—We consider the applicability and impact of all Accounting Standards Updates (ASUs)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Financial Accounting Standards Board (FASB). ASUs not yet adopted that are not listed below were assessed and determined to be either not applicable or are expected to have minimal impact on our consolidated result of operations, financial position and cash flows.</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February 2018, the FASB issued guidance that allows for an entity to elect to reclassify from accumulated other comprehensive income to retained earnings the income tax effects on items resulting from what is commonly referred to as the U.S. Tax Cuts and Jobs Act (“U.S. Tax Reform”). The guidance is effective for fiscal years beginning after December 15, 2018 with early adoption permitted, including interim periods within those years. The Company has elected to not reclassify the stranded income tax effects of U.S. Tax Reform from accumulated other comprehensive income to retained earnings.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8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Exit costs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Reserve adjustments</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repositioning charge</w:t>
            </w:r>
          </w:p>
        </w:tc>
        <w:tc>
          <w:tcPr>
            <w:tcW w:w="8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50"/>
        </w:trPr>
        <w:tc>
          <w:tcPr>
            <w:tcW w:w="6020" w:type="dxa"/>
            <w:vAlign w:val="bottom"/>
          </w:tcPr>
          <w:p>
            <w:pPr>
              <w:ind w:left="40"/>
              <w:spacing w:after="0"/>
              <w:rPr>
                <w:sz w:val="20"/>
                <w:szCs w:val="20"/>
                <w:color w:val="auto"/>
              </w:rPr>
            </w:pPr>
            <w:r>
              <w:rPr>
                <w:rFonts w:ascii="Arial" w:cs="Arial" w:eastAsia="Arial" w:hAnsi="Arial"/>
                <w:sz w:val="18"/>
                <w:szCs w:val="18"/>
                <w:color w:val="auto"/>
              </w:rPr>
              <w:t>Asbestos related litigation charges, net of insurance and indemnities</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3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Probable and reasonably estimable environmental liabilities, net of</w:t>
            </w: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indemnities</w:t>
            </w: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r>
      <w:tr>
        <w:trPr>
          <w:trHeight w:val="257"/>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classification: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220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20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380" w:type="dxa"/>
            <w:vAlign w:val="bottom"/>
            <w:vMerge w:val="restart"/>
          </w:tcPr>
          <w:p>
            <w:pPr>
              <w:jc w:val="right"/>
              <w:ind w:right="170"/>
              <w:spacing w:after="0"/>
              <w:rPr>
                <w:sz w:val="20"/>
                <w:szCs w:val="20"/>
                <w:color w:val="auto"/>
              </w:rPr>
            </w:pPr>
            <w:r>
              <w:rPr>
                <w:rFonts w:ascii="Arial" w:cs="Arial" w:eastAsia="Arial" w:hAnsi="Arial"/>
                <w:sz w:val="18"/>
                <w:szCs w:val="18"/>
                <w:color w:val="auto"/>
              </w:rPr>
              <w:t>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8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Safety and Productivity Solutions</w:t>
            </w:r>
          </w:p>
        </w:tc>
        <w:tc>
          <w:tcPr>
            <w:tcW w:w="82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8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r>
      <w:tr>
        <w:trPr>
          <w:trHeight w:val="250"/>
        </w:trPr>
        <w:tc>
          <w:tcPr>
            <w:tcW w:w="6020" w:type="dxa"/>
            <w:vAlign w:val="bottom"/>
          </w:tcPr>
          <w:p>
            <w:pPr>
              <w:spacing w:after="0"/>
              <w:rPr>
                <w:sz w:val="21"/>
                <w:szCs w:val="21"/>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457</w:t>
            </w: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quarter ended June 30, 2019, we recognized gross repositioning charges totaling $ 86 million including severance costs of $75 million related to workforce reductions of 1,266 manufacturing and administrative positions mainly in Performance Materials and Technologies and Safety and Productivity Solutions. The workforce reductions were primarily related to cost savings actions taken in connection with our productivity and ongoing functional transformation initiatives.</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quarter ended June 30, 2018, we recognized gross repositioning charges totaling $63 million including severance costs of $30 million related to workforce reductions of 731 manufacturing and administrative positions across our segments, except Aerospace. The workforce reductions were primarily related to cost savings actions taken in connection with our productivity and ongoing functional transformation initiatives. The repositioning charges included exit costs of $32 million primarily related to a termination fee associated with the early cancellation of a supply agreement for certain raw materials in Performance Materials and Technologies.</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six months ended June 30, 2019, we recognized gross repositioning charges totaling $146 million including severance costs of $106 million related to workforce reductions of 2,313 manufacturing and administrative positions across all segments. The workforce reductions were primarily related to cost savings actions taken in connection with our productivity and ongoing functional transformation initiatives and to site transitions in Aerospace to more cost-effective locations.</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2018, we recognized gross repositioning charges totaling $ 149 million including severance costs of $61 million related to workforce reductions of 1,884 manufacturing and administrative positions across our segments. The workforce reductions were primarily related to site transitions, mainly in Aerospace and Safety and Productivity Solutions, to more cost-effective locations and to cost savings actions taken in connection with our productivity and ongoing functional transformation initiatives. The repositioning charges included asset impairments of $48 million primarily related to the write-down of a legacy property in our Corporate segment in connection with its planned disposition. The repositioning charges included exit costs of $40 million primarily related to a termination fee associated with the early cancellation of a supply agreement for certain raw materials in Performance Materials and Technologies.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4"/>
                <w:szCs w:val="14"/>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Charges</w:t>
            </w:r>
          </w:p>
        </w:tc>
        <w:tc>
          <w:tcPr>
            <w:tcW w:w="24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 - cash</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Usage - noncash</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704"/>
        <w:spacing w:after="0" w:line="262" w:lineRule="auto"/>
        <w:rPr>
          <w:sz w:val="20"/>
          <w:szCs w:val="20"/>
          <w:color w:val="auto"/>
        </w:rPr>
      </w:pPr>
      <w:r>
        <w:rPr>
          <w:rFonts w:ascii="Arial" w:cs="Arial" w:eastAsia="Arial" w:hAnsi="Arial"/>
          <w:sz w:val="18"/>
          <w:szCs w:val="18"/>
          <w:color w:val="auto"/>
        </w:rPr>
        <w:t>Certain repositioning projects will recognize exit costs in future periods when the actual liability is incurred. Such exit costs incurred in the quarters and six months ended June 30, 2019 and 2018 were not significant.</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Pension ongoing income – non-service</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postretirement income – non-service</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Equity income of affiliated companies</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(gain) on sale of non-strategic business and assets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Separation costs</w:t>
            </w:r>
          </w:p>
        </w:tc>
        <w:tc>
          <w:tcPr>
            <w:tcW w:w="8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r>
      <w:tr>
        <w:trPr>
          <w:trHeight w:val="250"/>
        </w:trPr>
        <w:tc>
          <w:tcPr>
            <w:tcW w:w="6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Separation costs are associated with the spin-offs of our Homes and Global Distribution business and Transportation Systems business, and are primarily associated with third party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decreased for the quarter and six months ended June 30, 2019 compared to the quarter and six months ended June 30, 2018 primarily from tax costs incurred in the prior year related to the 2018 spin-offs and increased tax benefits for employee share-based compensation.</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for the quarter and six months ended June 30, 2019 was higher than the U.S. federal statutory rate of 21% primarily from incremental tax reserves and state taxes, partially offset by foreign earnings taxed at lower foreign tax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7"/>
                <w:szCs w:val="17"/>
                <w:color w:val="auto"/>
              </w:rPr>
            </w:pPr>
          </w:p>
        </w:tc>
        <w:tc>
          <w:tcPr>
            <w:tcW w:w="29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120" w:type="dxa"/>
            <w:vAlign w:val="bottom"/>
            <w:gridSpan w:val="5"/>
          </w:tcPr>
          <w:p>
            <w:pPr>
              <w:ind w:left="40"/>
              <w:spacing w:after="0"/>
              <w:rPr>
                <w:sz w:val="20"/>
                <w:szCs w:val="20"/>
                <w:color w:val="auto"/>
              </w:rPr>
            </w:pPr>
            <w:r>
              <w:rPr>
                <w:rFonts w:ascii="Arial" w:cs="Arial" w:eastAsia="Arial" w:hAnsi="Arial"/>
                <w:sz w:val="14"/>
                <w:szCs w:val="14"/>
                <w:b w:val="1"/>
                <w:bCs w:val="1"/>
                <w:color w:val="auto"/>
              </w:rPr>
              <w:t>Basic</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5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2,706</w:t>
            </w:r>
          </w:p>
        </w:tc>
      </w:tr>
      <w:tr>
        <w:trPr>
          <w:trHeight w:val="263"/>
        </w:trPr>
        <w:tc>
          <w:tcPr>
            <w:tcW w:w="5120" w:type="dxa"/>
            <w:vAlign w:val="bottom"/>
            <w:gridSpan w:val="5"/>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726.4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748.0</w:t>
            </w:r>
          </w:p>
        </w:tc>
      </w:tr>
      <w:tr>
        <w:trPr>
          <w:trHeight w:val="277"/>
        </w:trPr>
        <w:tc>
          <w:tcPr>
            <w:tcW w:w="5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Earnings per share of common stock</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3.62</w:t>
            </w:r>
          </w:p>
        </w:tc>
      </w:tr>
      <w:tr>
        <w:trPr>
          <w:trHeight w:val="83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9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29"/>
        </w:trPr>
        <w:tc>
          <w:tcPr>
            <w:tcW w:w="5120" w:type="dxa"/>
            <w:vAlign w:val="bottom"/>
            <w:gridSpan w:val="5"/>
          </w:tcPr>
          <w:p>
            <w:pPr>
              <w:ind w:left="40"/>
              <w:spacing w:after="0"/>
              <w:rPr>
                <w:sz w:val="20"/>
                <w:szCs w:val="20"/>
                <w:color w:val="auto"/>
              </w:rPr>
            </w:pPr>
            <w:r>
              <w:rPr>
                <w:rFonts w:ascii="Arial" w:cs="Arial" w:eastAsia="Arial" w:hAnsi="Arial"/>
                <w:sz w:val="14"/>
                <w:szCs w:val="14"/>
                <w:b w:val="1"/>
                <w:bCs w:val="1"/>
                <w:color w:val="auto"/>
              </w:rPr>
              <w:t>Assuming Dilution</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0"/>
        </w:trPr>
        <w:tc>
          <w:tcPr>
            <w:tcW w:w="5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2,706</w:t>
            </w:r>
          </w:p>
        </w:tc>
      </w:tr>
      <w:tr>
        <w:trPr>
          <w:trHeight w:val="230"/>
        </w:trPr>
        <w:tc>
          <w:tcPr>
            <w:tcW w:w="512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Shares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0"/>
        </w:trPr>
        <w:tc>
          <w:tcPr>
            <w:tcW w:w="51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723.2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726.4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748.0</w:t>
            </w:r>
          </w:p>
        </w:tc>
      </w:tr>
      <w:tr>
        <w:trPr>
          <w:trHeight w:val="264"/>
        </w:trPr>
        <w:tc>
          <w:tcPr>
            <w:tcW w:w="51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Dilutive securities issuable - stock plans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r>
      <w:tr>
        <w:trPr>
          <w:trHeight w:val="257"/>
        </w:trPr>
        <w:tc>
          <w:tcPr>
            <w:tcW w:w="5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weighted average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758.0</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5120" w:type="dxa"/>
            <w:vAlign w:val="bottom"/>
            <w:gridSpan w:val="5"/>
          </w:tcPr>
          <w:p>
            <w:pPr>
              <w:ind w:left="40"/>
              <w:spacing w:after="0"/>
              <w:rPr>
                <w:sz w:val="20"/>
                <w:szCs w:val="20"/>
                <w:color w:val="auto"/>
              </w:rPr>
            </w:pPr>
            <w:r>
              <w:rPr>
                <w:rFonts w:ascii="Arial" w:cs="Arial" w:eastAsia="Arial" w:hAnsi="Arial"/>
                <w:sz w:val="18"/>
                <w:szCs w:val="18"/>
                <w:color w:val="auto"/>
              </w:rPr>
              <w:t>Earnings per share of common stock</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3.57</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2019, the weighted average number of stock options excluded from the computations were 3.0 million and 3.0 million. For the three and six months ended June 30, 2018, the weighted average number of stock options</w:t>
      </w:r>
    </w:p>
    <w:p>
      <w:pPr>
        <w:sectPr>
          <w:pgSz w:w="11900" w:h="16838" w:orient="portrait"/>
          <w:cols w:equalWidth="0" w:num="1">
            <w:col w:w="11420"/>
          </w:cols>
          <w:pgMar w:left="240" w:top="118"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18"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excluded from the computations were 3.1 million and 2.1 million. These stock options were outstanding at the end of each of the respective periods.</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June 30, 2019 and 2018, total shares outstanding were 719.5 million and 742.6 million and as of June 30, 2019 and 2018, total shares issued were 957.6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7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Commercial Aviation Original Equipment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1,407</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Commercial Aviation Aftermarket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2,594</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Defense and Space</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2,214</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Transportation Systems</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1,820</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3,508</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4,058</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8,035</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Homes Products and Software</w:t>
            </w:r>
          </w:p>
        </w:tc>
        <w:tc>
          <w:tcPr>
            <w:tcW w:w="2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1,033</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Distribution (ADI)</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1,468</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Building Solutions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4,979</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UOP</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1,290</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Process Solutions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2,487</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Specialty Products</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568</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Fluorine Products</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5,307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5,232</w:t>
            </w:r>
          </w:p>
        </w:tc>
      </w:tr>
      <w:tr>
        <w:trPr>
          <w:trHeight w:val="216"/>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Safety and Productivity Solutions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Safety and Retail</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77"/>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Productivity Products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688</w:t>
            </w:r>
          </w:p>
        </w:tc>
      </w:tr>
      <w:tr>
        <w:trPr>
          <w:trHeight w:val="263"/>
        </w:trPr>
        <w:tc>
          <w:tcPr>
            <w:tcW w:w="6020" w:type="dxa"/>
            <w:vAlign w:val="bottom"/>
            <w:gridSpan w:val="5"/>
          </w:tcPr>
          <w:p>
            <w:pPr>
              <w:ind w:left="40"/>
              <w:spacing w:after="0"/>
              <w:rPr>
                <w:sz w:val="20"/>
                <w:szCs w:val="20"/>
                <w:color w:val="auto"/>
              </w:rPr>
            </w:pPr>
            <w:r>
              <w:rPr>
                <w:rFonts w:ascii="Arial" w:cs="Arial" w:eastAsia="Arial" w:hAnsi="Arial"/>
                <w:sz w:val="18"/>
                <w:szCs w:val="18"/>
                <w:color w:val="auto"/>
              </w:rPr>
              <w:t>Warehouse and Workflow Solutions</w:t>
            </w:r>
          </w:p>
        </w:tc>
        <w:tc>
          <w:tcPr>
            <w:tcW w:w="2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836</w:t>
            </w:r>
          </w:p>
        </w:tc>
      </w:tr>
      <w:tr>
        <w:trPr>
          <w:trHeight w:val="270"/>
        </w:trPr>
        <w:tc>
          <w:tcPr>
            <w:tcW w:w="6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Sensing &amp; Internet-of-Things (IoT)</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r>
      <w:tr>
        <w:trPr>
          <w:trHeight w:val="250"/>
        </w:trPr>
        <w:tc>
          <w:tcPr>
            <w:tcW w:w="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27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3,065</w:t>
            </w:r>
          </w:p>
        </w:tc>
      </w:tr>
      <w:tr>
        <w:trPr>
          <w:trHeight w:val="257"/>
        </w:trPr>
        <w:tc>
          <w:tcPr>
            <w:tcW w:w="6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21,311</w:t>
            </w: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color w:val="auto"/>
        </w:rPr>
        <w:t xml:space="preserve">Aerospace </w:t>
      </w:r>
      <w:r>
        <w:rPr>
          <w:rFonts w:ascii="Arial" w:cs="Arial" w:eastAsia="Arial" w:hAnsi="Arial"/>
          <w:sz w:val="18"/>
          <w:szCs w:val="18"/>
          <w:color w:val="auto"/>
        </w:rPr>
        <w:t>– A global supplier of products, software and services for aircraft. Products include aircraft propulsion engines, auxiliary</w:t>
      </w:r>
      <w:r>
        <w:rPr>
          <w:rFonts w:ascii="Arial" w:cs="Arial" w:eastAsia="Arial" w:hAnsi="Arial"/>
          <w:sz w:val="18"/>
          <w:szCs w:val="18"/>
          <w:b w:val="1"/>
          <w:bCs w:val="1"/>
          <w:color w:val="auto"/>
        </w:rPr>
        <w:t xml:space="preserve"> </w:t>
      </w:r>
      <w:r>
        <w:rPr>
          <w:rFonts w:ascii="Arial" w:cs="Arial" w:eastAsia="Arial" w:hAnsi="Arial"/>
          <w:sz w:val="18"/>
          <w:szCs w:val="18"/>
          <w:color w:val="auto"/>
        </w:rPr>
        <w:t>power units, environmental control systems, integrated avionics, electric power systems, hardware for engine controls, flight safety, communications and navigation, satellite and space components, aircraft wheels and brakes,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8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 xml:space="preserve">Honeywell Building Technologies </w:t>
      </w:r>
      <w:r>
        <w:rPr>
          <w:rFonts w:ascii="Arial" w:cs="Arial" w:eastAsia="Arial" w:hAnsi="Arial"/>
          <w:sz w:val="18"/>
          <w:szCs w:val="18"/>
          <w:color w:val="auto"/>
        </w:rPr>
        <w:t>– A global provider of products, software, solutions and technologies for buildings.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controls and displays for heating, cooling, indoor air quality, ventilation, humidification, combustion, and lighting; sensors, switches, control systems and instruments for measuring pressure, air flow, temperature and electrical current; access control; video surveillance; fire detection; and installation, maintenance and</w:t>
      </w:r>
    </w:p>
    <w:p>
      <w:pPr>
        <w:sectPr>
          <w:pgSz w:w="11900" w:h="16838" w:orient="portrait"/>
          <w:cols w:equalWidth="0" w:num="1">
            <w:col w:w="11420"/>
          </w:cols>
          <w:pgMar w:left="240" w:top="118" w:right="239" w:bottom="144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upgrades of systems that keep buildings safe, comfortable and productive. Software includes monitoring and managing heating, cooling, indoor air quality, ventilation, humidification, combustion, and lighting; advanced applications for building control and optimization; video surveillance; and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Performance Materials and Technologies </w:t>
      </w:r>
      <w:r>
        <w:rPr>
          <w:rFonts w:ascii="Arial" w:cs="Arial" w:eastAsia="Arial" w:hAnsi="Arial"/>
          <w:sz w:val="18"/>
          <w:szCs w:val="18"/>
          <w:color w:val="auto"/>
        </w:rPr>
        <w:t>– A global provider of products, software, solutions and technologies. Products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catalysts, absorbents, equipment and high-performance materials, devices 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Safety and Productivity Solutions </w:t>
      </w:r>
      <w:r>
        <w:rPr>
          <w:rFonts w:ascii="Arial" w:cs="Arial" w:eastAsia="Arial" w:hAnsi="Arial"/>
          <w:sz w:val="18"/>
          <w:szCs w:val="18"/>
          <w:color w:val="auto"/>
        </w:rPr>
        <w:t>– A global provider of products, software and solutions. Products include personal protection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For a summary by disaggregated product and services sales for each segment, refer to Note 14 </w:t>
      </w:r>
      <w:r>
        <w:rPr>
          <w:rFonts w:ascii="Arial" w:cs="Arial" w:eastAsia="Arial" w:hAnsi="Arial"/>
          <w:sz w:val="18"/>
          <w:szCs w:val="18"/>
          <w:i w:val="1"/>
          <w:iCs w:val="1"/>
          <w:color w:val="auto"/>
        </w:rPr>
        <w:t>Segment Financial Data</w:t>
      </w:r>
      <w:r>
        <w:rPr>
          <w:rFonts w:ascii="Arial" w:cs="Arial" w:eastAsia="Arial" w:hAnsi="Arial"/>
          <w:sz w:val="18"/>
          <w:szCs w:val="18"/>
          <w:color w:val="auto"/>
        </w:rPr>
        <w:t xml:space="preserve"> of Notes to Consolidated Financial Statements.</w:t>
      </w:r>
    </w:p>
    <w:p>
      <w:pPr>
        <w:spacing w:after="0" w:line="180"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60" w:type="dxa"/>
            <w:vAlign w:val="bottom"/>
          </w:tcPr>
          <w:p>
            <w:pPr>
              <w:spacing w:after="0"/>
              <w:rPr>
                <w:sz w:val="17"/>
                <w:szCs w:val="17"/>
                <w:color w:val="auto"/>
              </w:rPr>
            </w:pPr>
          </w:p>
        </w:tc>
        <w:tc>
          <w:tcPr>
            <w:tcW w:w="272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8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5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Products, transferred point in time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64"/>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Products, transferred over time</w:t>
            </w:r>
          </w:p>
        </w:tc>
        <w:tc>
          <w:tcPr>
            <w:tcW w:w="8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w:t>
            </w:r>
          </w:p>
        </w:tc>
      </w:tr>
      <w:tr>
        <w:trPr>
          <w:trHeight w:val="257"/>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w:t>
            </w:r>
          </w:p>
        </w:tc>
      </w:tr>
      <w:tr>
        <w:trPr>
          <w:trHeight w:val="26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Services, transferred point in time</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w:t>
            </w: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transferred over time</w:t>
            </w:r>
          </w:p>
        </w:tc>
        <w:tc>
          <w:tcPr>
            <w:tcW w:w="8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50"/>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service sales</w:t>
            </w:r>
          </w:p>
        </w:tc>
        <w:tc>
          <w:tcPr>
            <w:tcW w:w="8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w:t>
            </w:r>
          </w:p>
        </w:tc>
      </w:tr>
      <w:tr>
        <w:trPr>
          <w:trHeight w:val="257"/>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assets - Beginning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1,548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1,721</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assets - June 30,</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1,777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1,650</w:t>
            </w: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assets - increase (decrease)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 - Beginning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Contract liabilities - June 30,</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contract liabilities - (increase) decrease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141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net change for the six months ended June 30, 2019 was primarily driven by the recognition of revenue as performance obligations were satisfied prior to billing and exceeded receipt of advance payments from customers. The net change for the six months ended June 30, 2018 was primarily driven by the receipt of advance payments from customers exceeding reductions from recognition of revenue as performance obligations were satisfied and related billings.</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For the three and six months ended June 30, 2019, we recognized revenue of $260 million and $980 million that was previously included in the beginning balance of contract liabilities. For the three and six months ended June 30, 2018, we recognized revenue of $320 million and $901 million that was previously included in the beginning balance of contract liabilities.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2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6780" w:type="dxa"/>
            <w:vAlign w:val="bottom"/>
            <w:gridSpan w:val="2"/>
          </w:tcPr>
          <w:p>
            <w:pPr>
              <w:jc w:val="center"/>
              <w:ind w:right="2360"/>
              <w:spacing w:after="0"/>
              <w:rPr>
                <w:sz w:val="20"/>
                <w:szCs w:val="20"/>
                <w:color w:val="auto"/>
              </w:rPr>
            </w:pPr>
            <w:r>
              <w:rPr>
                <w:rFonts w:ascii="Arial" w:cs="Arial" w:eastAsia="Arial" w:hAnsi="Arial"/>
                <w:sz w:val="18"/>
                <w:szCs w:val="18"/>
                <w:b w:val="1"/>
                <w:bCs w:val="1"/>
                <w:color w:val="auto"/>
                <w:w w:val="99"/>
              </w:rPr>
              <w:t>Honeywell International Inc.</w:t>
            </w:r>
          </w:p>
        </w:tc>
        <w:tc>
          <w:tcPr>
            <w:tcW w:w="11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78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112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78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(Unaudited)</w:t>
            </w:r>
          </w:p>
        </w:tc>
        <w:tc>
          <w:tcPr>
            <w:tcW w:w="1120" w:type="dxa"/>
            <w:vAlign w:val="bottom"/>
          </w:tcPr>
          <w:p>
            <w:pPr>
              <w:spacing w:after="0"/>
              <w:rPr>
                <w:sz w:val="18"/>
                <w:szCs w:val="18"/>
                <w:color w:val="auto"/>
              </w:rPr>
            </w:pPr>
          </w:p>
        </w:tc>
      </w:tr>
      <w:tr>
        <w:trPr>
          <w:trHeight w:val="239"/>
        </w:trPr>
        <w:tc>
          <w:tcPr>
            <w:tcW w:w="3500" w:type="dxa"/>
            <w:vAlign w:val="bottom"/>
          </w:tcPr>
          <w:p>
            <w:pPr>
              <w:spacing w:after="0"/>
              <w:rPr>
                <w:sz w:val="20"/>
                <w:szCs w:val="20"/>
                <w:color w:val="auto"/>
              </w:rPr>
            </w:pPr>
          </w:p>
        </w:tc>
        <w:tc>
          <w:tcPr>
            <w:tcW w:w="678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120" w:type="dxa"/>
            <w:vAlign w:val="bottom"/>
          </w:tcPr>
          <w:p>
            <w:pPr>
              <w:spacing w:after="0"/>
              <w:rPr>
                <w:sz w:val="20"/>
                <w:szCs w:val="20"/>
                <w:color w:val="auto"/>
              </w:rPr>
            </w:pPr>
          </w:p>
        </w:tc>
      </w:tr>
      <w:tr>
        <w:trPr>
          <w:trHeight w:val="845"/>
        </w:trPr>
        <w:tc>
          <w:tcPr>
            <w:tcW w:w="3500" w:type="dxa"/>
            <w:vAlign w:val="bottom"/>
            <w:tcBorders>
              <w:bottom w:val="single" w:sz="8" w:color="CCEEFF"/>
            </w:tcBorders>
          </w:tcPr>
          <w:p>
            <w:pPr>
              <w:spacing w:after="0"/>
              <w:rPr>
                <w:sz w:val="24"/>
                <w:szCs w:val="24"/>
                <w:color w:val="auto"/>
              </w:rPr>
            </w:pPr>
          </w:p>
        </w:tc>
        <w:tc>
          <w:tcPr>
            <w:tcW w:w="66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6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10,869</w:t>
            </w:r>
          </w:p>
        </w:tc>
      </w:tr>
      <w:tr>
        <w:trPr>
          <w:trHeight w:val="250"/>
        </w:trPr>
        <w:tc>
          <w:tcPr>
            <w:tcW w:w="3500" w:type="dxa"/>
            <w:vAlign w:val="bottom"/>
          </w:tcPr>
          <w:p>
            <w:pPr>
              <w:ind w:left="40"/>
              <w:spacing w:after="0"/>
              <w:rPr>
                <w:sz w:val="20"/>
                <w:szCs w:val="20"/>
                <w:color w:val="auto"/>
              </w:rPr>
            </w:pPr>
            <w:r>
              <w:rPr>
                <w:rFonts w:ascii="Arial" w:cs="Arial" w:eastAsia="Arial" w:hAnsi="Arial"/>
                <w:sz w:val="18"/>
                <w:szCs w:val="18"/>
                <w:color w:val="auto"/>
              </w:rPr>
              <w:t>Honeywell Building Technologies</w:t>
            </w:r>
          </w:p>
        </w:tc>
        <w:tc>
          <w:tcPr>
            <w:tcW w:w="6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5,682</w:t>
            </w:r>
          </w:p>
        </w:tc>
      </w:tr>
      <w:tr>
        <w:trPr>
          <w:trHeight w:val="263"/>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w:t>
            </w:r>
          </w:p>
        </w:tc>
        <w:tc>
          <w:tcPr>
            <w:tcW w:w="66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6,295</w:t>
            </w:r>
          </w:p>
        </w:tc>
      </w:tr>
      <w:tr>
        <w:trPr>
          <w:trHeight w:val="25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6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1,615</w:t>
            </w:r>
          </w:p>
        </w:tc>
      </w:tr>
      <w:tr>
        <w:trPr>
          <w:trHeight w:val="250"/>
        </w:trPr>
        <w:tc>
          <w:tcPr>
            <w:tcW w:w="3500" w:type="dxa"/>
            <w:vAlign w:val="bottom"/>
            <w:shd w:val="clear" w:color="auto" w:fill="CCEEFF"/>
          </w:tcPr>
          <w:p>
            <w:pPr>
              <w:spacing w:after="0"/>
              <w:rPr>
                <w:sz w:val="21"/>
                <w:szCs w:val="21"/>
                <w:color w:val="auto"/>
              </w:rPr>
            </w:pPr>
          </w:p>
        </w:tc>
        <w:tc>
          <w:tcPr>
            <w:tcW w:w="6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24,461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Performance obligations recognized as of June 30, 2019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 respectively.</w:t>
      </w:r>
    </w:p>
    <w:p>
      <w:pPr>
        <w:spacing w:after="0" w:line="204"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7,584</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7,705</w:t>
            </w:r>
          </w:p>
        </w:tc>
      </w:tr>
      <w:tr>
        <w:trPr>
          <w:trHeight w:val="250"/>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 Allowance for doubtful accounts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7,508</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Trade receivables include $1,773 million and $1,543 million of unbilled balances under long-term contracts as of June 30, 2019 and December 31, 2018. These amounts are billed in accordance with the terms of the customer contracts to which they relate.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80" w:type="dxa"/>
            <w:vAlign w:val="bottom"/>
            <w:tcBorders>
              <w:bottom w:val="single" w:sz="8" w:color="CCEEFF"/>
            </w:tcBorders>
          </w:tcPr>
          <w:p>
            <w:pPr>
              <w:spacing w:after="0"/>
              <w:rPr>
                <w:sz w:val="17"/>
                <w:szCs w:val="17"/>
                <w:color w:val="auto"/>
              </w:rPr>
            </w:pPr>
          </w:p>
        </w:tc>
        <w:tc>
          <w:tcPr>
            <w:tcW w:w="45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50"/>
        </w:trPr>
        <w:tc>
          <w:tcPr>
            <w:tcW w:w="39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5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Reduction to LIFO cost basis</w:t>
            </w:r>
          </w:p>
        </w:tc>
        <w:tc>
          <w:tcPr>
            <w:tcW w:w="45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4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580" w:type="dxa"/>
            <w:vAlign w:val="bottom"/>
            <w:vMerge w:val="restart"/>
          </w:tcPr>
          <w:p>
            <w:pPr>
              <w:jc w:val="right"/>
              <w:ind w:right="265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9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January 1, 2019, the Company adopted the new lease accounting standard using the modified retrospective method of applying the new standard at the adoption date. In addition, we elected the package of practical expedients permitted under the transition guidance within the new standard. This allowed us to carry forward the historical lease classification. Adoption of this standard resulted in the recording of net operating lease right-of-use (ROU) assets and corresponding operating lease liabilities of $0.7 billion. Financial position for reporting periods beginning on or after January 1, 2019 are presented under the new guidance, while prior periods amounts are not adjusted and continue to be reported in accordance with previous guidance.</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significant portion of our operating and finance lease portfolio includes corporate offices, research and development facilities, manufacturing sites, information technology (IT) equipment, and automobiles. The majority of our leases have remaining lease terms of 1 year to 20 years, some of which include options to extend the leases for 5 years or more. Operating lease ROU assets are presented within Other assets. The current portion of operating lease liabilities are presented within Accrued liabilities, and the non-current portion of operating lease liabilities are presented within Other liabilities on the Consolidated Balance Sheet. Finance lease assets are included in Property, plant and equipment - net, and the finance lease obligations are included in Current maturities of long-term debt, and in Long-term debt on the Consolidated Balance Sheet.</w:t>
      </w:r>
    </w:p>
    <w:p>
      <w:pPr>
        <w:spacing w:after="0" w:line="2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 portion of our real estate leases is generally subject to annual changes in the Consumer Price Index (CPI). The changes to the CPI are treated as variable lease payments and recognized in the period in which the obligation for those payments was incurred. In addition, a subset of our automobile leases is considered variable. The variable lease payments for such automobiles leases are based on actual mileage incurred at the stated contractual rate and recognized in the period in which the obligation for those payments was incurred.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3"/>
        </w:trPr>
        <w:tc>
          <w:tcPr>
            <w:tcW w:w="442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4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4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4420" w:type="dxa"/>
            <w:vAlign w:val="bottom"/>
          </w:tcPr>
          <w:p>
            <w:pPr>
              <w:ind w:left="280"/>
              <w:spacing w:after="0"/>
              <w:rPr>
                <w:sz w:val="20"/>
                <w:szCs w:val="20"/>
                <w:color w:val="auto"/>
              </w:rPr>
            </w:pPr>
            <w:r>
              <w:rPr>
                <w:rFonts w:ascii="Arial" w:cs="Arial" w:eastAsia="Arial" w:hAnsi="Arial"/>
                <w:sz w:val="18"/>
                <w:szCs w:val="18"/>
                <w:color w:val="auto"/>
              </w:rPr>
              <w:t>Financing lease cost:</w:t>
            </w:r>
          </w:p>
        </w:tc>
        <w:tc>
          <w:tcPr>
            <w:tcW w:w="4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right-of-use assets</w:t>
            </w:r>
          </w:p>
        </w:tc>
        <w:tc>
          <w:tcPr>
            <w:tcW w:w="4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Interest on lease liability</w:t>
            </w:r>
          </w:p>
        </w:tc>
        <w:tc>
          <w:tcPr>
            <w:tcW w:w="4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financing lease cost</w:t>
            </w:r>
          </w:p>
        </w:tc>
        <w:tc>
          <w:tcPr>
            <w:tcW w:w="4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4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140" w:type="dxa"/>
            <w:vAlign w:val="bottom"/>
            <w:vMerge w:val="restart"/>
          </w:tcPr>
          <w:p>
            <w:pPr>
              <w:jc w:val="right"/>
              <w:ind w:right="265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2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2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spacing w:after="0"/>
              <w:rPr>
                <w:sz w:val="22"/>
                <w:szCs w:val="22"/>
                <w:color w:val="auto"/>
              </w:rPr>
            </w:pPr>
          </w:p>
        </w:tc>
        <w:tc>
          <w:tcPr>
            <w:tcW w:w="182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3"/>
        </w:trPr>
        <w:tc>
          <w:tcPr>
            <w:tcW w:w="72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2"/>
                <w:szCs w:val="22"/>
                <w:color w:val="auto"/>
              </w:rPr>
            </w:pPr>
          </w:p>
        </w:tc>
        <w:tc>
          <w:tcPr>
            <w:tcW w:w="1820" w:type="dxa"/>
            <w:vAlign w:val="bottom"/>
            <w:gridSpan w:val="2"/>
          </w:tcPr>
          <w:p>
            <w:pPr>
              <w:jc w:val="right"/>
              <w:ind w:right="1088"/>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16</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594"/>
        </w:trPr>
        <w:tc>
          <w:tcPr>
            <w:tcW w:w="7280" w:type="dxa"/>
            <w:vAlign w:val="bottom"/>
          </w:tcPr>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15"/>
        </w:trPr>
        <w:tc>
          <w:tcPr>
            <w:tcW w:w="72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June 30, 2019</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646</w:t>
            </w:r>
          </w:p>
        </w:tc>
      </w:tr>
      <w:tr>
        <w:trPr>
          <w:trHeight w:val="257"/>
        </w:trPr>
        <w:tc>
          <w:tcPr>
            <w:tcW w:w="72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8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spacing w:after="0"/>
              <w:rPr>
                <w:sz w:val="22"/>
                <w:szCs w:val="22"/>
                <w:color w:val="auto"/>
              </w:rPr>
            </w:pPr>
          </w:p>
        </w:tc>
        <w:tc>
          <w:tcPr>
            <w:tcW w:w="12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178</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503</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681</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Financing leases</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312</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Accumulated depreciation</w:t>
            </w:r>
          </w:p>
        </w:tc>
        <w:tc>
          <w:tcPr>
            <w:tcW w:w="28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r>
      <w:tr>
        <w:trPr>
          <w:trHeight w:val="250"/>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202</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49</w:t>
            </w:r>
          </w:p>
        </w:tc>
      </w:tr>
      <w:tr>
        <w:trPr>
          <w:trHeight w:val="257"/>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153</w:t>
            </w:r>
          </w:p>
        </w:tc>
      </w:tr>
      <w:tr>
        <w:trPr>
          <w:trHeight w:val="250"/>
        </w:trPr>
        <w:tc>
          <w:tcPr>
            <w:tcW w:w="7280" w:type="dxa"/>
            <w:vAlign w:val="bottom"/>
          </w:tcPr>
          <w:p>
            <w:pPr>
              <w:ind w:left="40"/>
              <w:spacing w:after="0"/>
              <w:rPr>
                <w:sz w:val="20"/>
                <w:szCs w:val="20"/>
                <w:color w:val="auto"/>
              </w:rPr>
            </w:pPr>
            <w:r>
              <w:rPr>
                <w:rFonts w:ascii="Arial" w:cs="Arial" w:eastAsia="Arial" w:hAnsi="Arial"/>
                <w:sz w:val="18"/>
                <w:szCs w:val="18"/>
                <w:color w:val="auto"/>
              </w:rPr>
              <w:t>Total financing lease liabilities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202</w:t>
            </w:r>
          </w:p>
        </w:tc>
      </w:tr>
      <w:tr>
        <w:trPr>
          <w:trHeight w:val="270"/>
        </w:trPr>
        <w:tc>
          <w:tcPr>
            <w:tcW w:w="7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w:t>
            </w:r>
          </w:p>
        </w:tc>
        <w:tc>
          <w:tcPr>
            <w:tcW w:w="28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6 years</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leases</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 years</w:t>
            </w:r>
          </w:p>
        </w:tc>
      </w:tr>
      <w:tr>
        <w:trPr>
          <w:trHeight w:val="263"/>
        </w:trPr>
        <w:tc>
          <w:tcPr>
            <w:tcW w:w="72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Financing leases</w:t>
            </w: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608"/>
        </w:trPr>
        <w:tc>
          <w:tcPr>
            <w:tcW w:w="7280" w:type="dxa"/>
            <w:vAlign w:val="bottom"/>
          </w:tcPr>
          <w:p>
            <w:pPr>
              <w:ind w:left="660"/>
              <w:spacing w:after="0"/>
              <w:rPr>
                <w:sz w:val="20"/>
                <w:szCs w:val="20"/>
                <w:color w:val="auto"/>
              </w:rPr>
            </w:pPr>
            <w:r>
              <w:rPr>
                <w:rFonts w:ascii="Arial" w:cs="Arial" w:eastAsia="Arial" w:hAnsi="Arial"/>
                <w:sz w:val="18"/>
                <w:szCs w:val="18"/>
                <w:color w:val="auto"/>
              </w:rPr>
              <w:t>As of June 30, 2019, maturities of lease liabilities were as follows:</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61"/>
        </w:trPr>
        <w:tc>
          <w:tcPr>
            <w:tcW w:w="7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Financing Leases</w:t>
            </w:r>
          </w:p>
        </w:tc>
      </w:tr>
      <w:tr>
        <w:trPr>
          <w:trHeight w:val="256"/>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820" w:type="dxa"/>
            <w:vAlign w:val="bottom"/>
            <w:gridSpan w:val="2"/>
          </w:tcPr>
          <w:p>
            <w:pPr>
              <w:jc w:val="right"/>
              <w:ind w:right="68"/>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50"/>
        </w:trPr>
        <w:tc>
          <w:tcPr>
            <w:tcW w:w="7280" w:type="dxa"/>
            <w:vAlign w:val="bottom"/>
          </w:tcPr>
          <w:p>
            <w:pPr>
              <w:ind w:left="28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820" w:type="dxa"/>
            <w:vAlign w:val="bottom"/>
            <w:gridSpan w:val="2"/>
          </w:tcPr>
          <w:p>
            <w:pPr>
              <w:jc w:val="right"/>
              <w:ind w:right="68"/>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63"/>
        </w:trPr>
        <w:tc>
          <w:tcPr>
            <w:tcW w:w="7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147</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8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r>
      <w:tr>
        <w:trPr>
          <w:trHeight w:val="250"/>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Less: interest</w:t>
            </w:r>
          </w:p>
        </w:tc>
        <w:tc>
          <w:tcPr>
            <w:tcW w:w="2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(85)</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57"/>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681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18"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previously disclosed in our 2018 Annual Report on Form 10-K and under the previous lease accounting standard, future minimum lease payments for operating leases having initial or remaining noncancellable lease terms in excess of one year would have been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63"/>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0"/>
        </w:trPr>
        <w:tc>
          <w:tcPr>
            <w:tcW w:w="8560" w:type="dxa"/>
            <w:vAlign w:val="bottom"/>
          </w:tcPr>
          <w:p>
            <w:pPr>
              <w:ind w:left="28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3"/>
        </w:trPr>
        <w:tc>
          <w:tcPr>
            <w:tcW w:w="8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Note 11. Long-term Debt and Credit Agreements</w:t>
            </w: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1.40% notes due 2019</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Three year floating rate notes due 2019</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Two year floating rate notes due 2019</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1.80% notes due 2019</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0.65% Euro notes due 2020</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4.25% notes due 2021</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1.85% notes due 2021</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1.30% Euro notes due 2023</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3.35% notes due 2023</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2.50% notes due 2026</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2.25% Euro notes due 2028</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5.70% notes due 2036</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5.70% notes due 2037</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5.375% notes due 2041</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3.812% notes due 2047</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6.625% debentures due 2028</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9.065% debentures due 2033</w:t>
            </w:r>
          </w:p>
        </w:tc>
        <w:tc>
          <w:tcPr>
            <w:tcW w:w="180" w:type="dxa"/>
            <w:vAlign w:val="bottom"/>
          </w:tcPr>
          <w:p>
            <w:pPr>
              <w:spacing w:after="0"/>
              <w:rPr>
                <w:sz w:val="22"/>
                <w:szCs w:val="22"/>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5"/>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(including capitalized leases and debt issuance costs), 5.7% weighted average maturing at various</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dates through 2025</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50"/>
        </w:trPr>
        <w:tc>
          <w:tcPr>
            <w:tcW w:w="85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April 26, 2019, the Company entered into a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$4.0 billion amended and restated five year credit agreement dated as of April 27, 2018 (the "Prior Agreement"). The 5-Year Credit Agreement has substantially the same material terms and conditions of the Prior Agreement.</w:t>
      </w:r>
    </w:p>
    <w:p>
      <w:pPr>
        <w:sectPr>
          <w:pgSz w:w="11900" w:h="16838" w:orient="portrait"/>
          <w:cols w:equalWidth="0" w:num="1">
            <w:col w:w="11420"/>
          </w:cols>
          <w:pgMar w:left="240" w:top="118"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18"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April 26, 2019, the Company entered into a $1.5 billion 364-Day Credit Agreement with a syndicate of banks. This 364-Day Credit Agreement is maintained for general corporate purposes.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there are no outstanding borrowings under any of our credit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15,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2018 Annual Report on Form 10-K.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Available for sale investments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1,784</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Cross currency swap agreements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1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460" w:type="dxa"/>
            <w:vAlign w:val="bottom"/>
          </w:tcPr>
          <w:p>
            <w:pPr>
              <w:spacing w:after="0"/>
              <w:rPr>
                <w:sz w:val="15"/>
                <w:szCs w:val="15"/>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5"/>
                <w:szCs w:val="15"/>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Fair</w:t>
            </w:r>
          </w:p>
        </w:tc>
      </w:tr>
      <w:tr>
        <w:trPr>
          <w:trHeight w:val="196"/>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7"/>
                <w:szCs w:val="17"/>
                <w:color w:val="auto"/>
              </w:rPr>
            </w:pPr>
          </w:p>
        </w:tc>
        <w:tc>
          <w:tcPr>
            <w:tcW w:w="10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7"/>
                <w:szCs w:val="17"/>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Value</w:t>
            </w:r>
          </w:p>
        </w:tc>
      </w:tr>
      <w:tr>
        <w:trPr>
          <w:trHeight w:val="256"/>
        </w:trPr>
        <w:tc>
          <w:tcPr>
            <w:tcW w:w="5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Long-term receivables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329</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Long-term debt and related current maturities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12,625</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13,286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13,133</w:t>
            </w:r>
          </w:p>
        </w:tc>
      </w:tr>
      <w:tr>
        <w:trPr>
          <w:trHeight w:val="945"/>
        </w:trPr>
        <w:tc>
          <w:tcPr>
            <w:tcW w:w="558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amounts on the Consolidated Balance Sheet related to cumulative basis adjustments for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hedges: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rPr>
              <w:t>Cumulative Amount of Fair Value</w:t>
            </w:r>
          </w:p>
        </w:tc>
      </w:tr>
      <w:tr>
        <w:trPr>
          <w:trHeight w:val="162"/>
        </w:trPr>
        <w:tc>
          <w:tcPr>
            <w:tcW w:w="5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rPr>
              <w:t>Hedging Adjustment Included in the</w:t>
            </w:r>
          </w:p>
        </w:tc>
      </w:tr>
      <w:tr>
        <w:trPr>
          <w:trHeight w:val="196"/>
        </w:trPr>
        <w:tc>
          <w:tcPr>
            <w:tcW w:w="5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Carrying Amount of the Hedged Item</w:t>
            </w:r>
          </w:p>
        </w:tc>
        <w:tc>
          <w:tcPr>
            <w:tcW w:w="2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4"/>
                <w:szCs w:val="14"/>
                <w:b w:val="1"/>
                <w:bCs w:val="1"/>
                <w:color w:val="auto"/>
              </w:rPr>
              <w:t>Carrying Amount of the Hedged Item</w:t>
            </w:r>
          </w:p>
        </w:tc>
      </w:tr>
      <w:tr>
        <w:trPr>
          <w:trHeight w:val="264"/>
        </w:trPr>
        <w:tc>
          <w:tcPr>
            <w:tcW w:w="548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Line in the Consolidated Balance Sheet of Hedged Item</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June 30, 2019</w:t>
            </w:r>
          </w:p>
        </w:tc>
        <w:tc>
          <w:tcPr>
            <w:tcW w:w="1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June 30, 2019</w:t>
            </w: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2,618</w:t>
            </w:r>
          </w:p>
        </w:tc>
        <w:tc>
          <w:tcPr>
            <w:tcW w:w="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18</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2019, we recognized $37 million and $63 million of gains in earnings on interest rate swap agreements. For the three and six months ended June 30, 2018, we recognized $17 million and $63 million of losses in earnings on interest rate swap agreements. Gains and losses are fully offset by losses and gains on the underlying debt being hedged.</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For the three and six months ended June 30, 2019, we recognized $96 million and $49 million of income in Other (income) expense. For the three and six months ended June 30, 2018, we recognized $344 million and $215 million of income in Other (income) expense.</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following tables summarize the location and impact to the Consolidated Statement of Operations related to fair value and cash flow hedging relationships: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26035</wp:posOffset>
            </wp:positionV>
            <wp:extent cx="3576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60" w:type="dxa"/>
            <w:vAlign w:val="bottom"/>
            <w:gridSpan w:val="2"/>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r>
      <w:tr>
        <w:trPr>
          <w:trHeight w:val="263"/>
        </w:trPr>
        <w:tc>
          <w:tcPr>
            <w:tcW w:w="596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9"/>
              </w:rPr>
              <w:t>Gain or (loss) on cash flow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income into income</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35"/>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96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9"/>
              </w:rPr>
              <w:t>Gain or (loss) on fair value hedges: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60" w:type="dxa"/>
            <w:vAlign w:val="bottom"/>
            <w:gridSpan w:val="2"/>
            <w:shd w:val="clear" w:color="auto" w:fill="CCEEFF"/>
          </w:tcPr>
          <w:p>
            <w:pPr>
              <w:jc w:val="center"/>
              <w:ind w:right="2800"/>
              <w:spacing w:after="0"/>
              <w:rPr>
                <w:sz w:val="20"/>
                <w:szCs w:val="20"/>
                <w:color w:val="auto"/>
              </w:rPr>
            </w:pPr>
            <w:r>
              <w:rPr>
                <w:rFonts w:ascii="Arial" w:cs="Arial" w:eastAsia="Arial" w:hAnsi="Arial"/>
                <w:sz w:val="18"/>
                <w:szCs w:val="18"/>
                <w:color w:val="auto"/>
                <w:w w:val="99"/>
              </w:rPr>
              <w:t>Interest Rate Swap Agreements:</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60" w:type="dxa"/>
            <w:vAlign w:val="bottom"/>
            <w:gridSpan w:val="2"/>
          </w:tcPr>
          <w:p>
            <w:pPr>
              <w:ind w:left="500"/>
              <w:spacing w:after="0"/>
              <w:rPr>
                <w:sz w:val="20"/>
                <w:szCs w:val="20"/>
                <w:color w:val="auto"/>
              </w:rPr>
            </w:pPr>
            <w:r>
              <w:rPr>
                <w:rFonts w:ascii="Arial" w:cs="Arial" w:eastAsia="Arial" w:hAnsi="Arial"/>
                <w:sz w:val="18"/>
                <w:szCs w:val="18"/>
                <w:color w:val="auto"/>
              </w:rPr>
              <w:t>Hedged Items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7"/>
        </w:trPr>
        <w:tc>
          <w:tcPr>
            <w:tcW w:w="5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r>
      <w:tr>
        <w:trPr>
          <w:trHeight w:val="675"/>
        </w:trPr>
        <w:tc>
          <w:tcPr>
            <w:tcW w:w="5960" w:type="dxa"/>
            <w:vAlign w:val="bottom"/>
            <w:gridSpan w:val="2"/>
          </w:tcPr>
          <w:p>
            <w:pPr>
              <w:ind w:left="5620"/>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26035</wp:posOffset>
            </wp:positionV>
            <wp:extent cx="3576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80" w:type="dxa"/>
            <w:vAlign w:val="bottom"/>
            <w:gridSpan w:val="3"/>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10,919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6,202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95</w:t>
            </w:r>
          </w:p>
        </w:tc>
      </w:tr>
      <w:tr>
        <w:trPr>
          <w:trHeight w:val="263"/>
        </w:trPr>
        <w:tc>
          <w:tcPr>
            <w:tcW w:w="598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income into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7"/>
        </w:trPr>
        <w:tc>
          <w:tcPr>
            <w:tcW w:w="59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80" w:type="dxa"/>
            <w:vAlign w:val="bottom"/>
            <w:gridSpan w:val="3"/>
          </w:tcPr>
          <w:p>
            <w:pPr>
              <w:ind w:left="280"/>
              <w:spacing w:after="0"/>
              <w:rPr>
                <w:sz w:val="20"/>
                <w:szCs w:val="20"/>
                <w:color w:val="auto"/>
              </w:rPr>
            </w:pPr>
            <w:r>
              <w:rPr>
                <w:rFonts w:ascii="Arial" w:cs="Arial" w:eastAsia="Arial" w:hAnsi="Arial"/>
                <w:sz w:val="18"/>
                <w:szCs w:val="18"/>
                <w:color w:val="auto"/>
              </w:rPr>
              <w:t>Interest Rate Swap Agreements: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Hedged Items</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r>
      <w:tr>
        <w:trPr>
          <w:trHeight w:val="257"/>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Derivatives designated as hedges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629"/>
        </w:trPr>
        <w:tc>
          <w:tcPr>
            <w:tcW w:w="5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ind w:left="380"/>
              <w:spacing w:after="0"/>
              <w:rPr>
                <w:sz w:val="20"/>
                <w:szCs w:val="20"/>
                <w:color w:val="auto"/>
              </w:rPr>
            </w:pPr>
            <w:r>
              <w:rPr>
                <w:rFonts w:ascii="Arial" w:cs="Arial" w:eastAsia="Arial" w:hAnsi="Arial"/>
                <w:sz w:val="14"/>
                <w:szCs w:val="14"/>
                <w:b w:val="1"/>
                <w:bCs w:val="1"/>
                <w:color w:val="auto"/>
              </w:rPr>
              <w:t>Six Months Ended June 30,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Products Sold</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SG&amp;A</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80" w:type="dxa"/>
            <w:vAlign w:val="bottom"/>
            <w:gridSpan w:val="3"/>
            <w:shd w:val="clear" w:color="auto" w:fill="CCEEFF"/>
          </w:tcPr>
          <w:p>
            <w:pPr>
              <w:ind w:left="58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170</w:t>
            </w:r>
          </w:p>
        </w:tc>
      </w:tr>
      <w:tr>
        <w:trPr>
          <w:trHeight w:val="263"/>
        </w:trPr>
        <w:tc>
          <w:tcPr>
            <w:tcW w:w="598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income into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35"/>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Hedged Items</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7"/>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r>
      <w:tr>
        <w:trPr>
          <w:trHeight w:val="831"/>
        </w:trPr>
        <w:tc>
          <w:tcPr>
            <w:tcW w:w="57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jc w:val="center"/>
              <w:ind w:right="30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5"/>
        </w:trPr>
        <w:tc>
          <w:tcPr>
            <w:tcW w:w="5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 and</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Other</w:t>
            </w:r>
          </w:p>
        </w:tc>
      </w:tr>
      <w:tr>
        <w:trPr>
          <w:trHeight w:val="162"/>
        </w:trPr>
        <w:tc>
          <w:tcPr>
            <w:tcW w:w="5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rPr>
              <w:t>Financial</w:t>
            </w:r>
          </w:p>
        </w:tc>
      </w:tr>
      <w:tr>
        <w:trPr>
          <w:trHeight w:val="196"/>
        </w:trPr>
        <w:tc>
          <w:tcPr>
            <w:tcW w:w="57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Products Sold</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SG&amp;A</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Charges</w:t>
            </w:r>
          </w:p>
        </w:tc>
      </w:tr>
      <w:tr>
        <w:trPr>
          <w:trHeight w:val="256"/>
        </w:trPr>
        <w:tc>
          <w:tcPr>
            <w:tcW w:w="5980" w:type="dxa"/>
            <w:vAlign w:val="bottom"/>
            <w:gridSpan w:val="3"/>
            <w:shd w:val="clear" w:color="auto" w:fill="CCEEFF"/>
          </w:tcPr>
          <w:p>
            <w:pPr>
              <w:ind w:left="58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21,311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12,107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178</w:t>
            </w:r>
          </w:p>
        </w:tc>
      </w:tr>
      <w:tr>
        <w:trPr>
          <w:trHeight w:val="263"/>
        </w:trPr>
        <w:tc>
          <w:tcPr>
            <w:tcW w:w="598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or (loss) on cash flow hedges: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Foreign Currency Exchange Contracts: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29"/>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Amount reclassified from accumulated other comprehensive</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4"/>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income into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35"/>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Amount excluded from effectiveness testing recognized in</w:t>
            </w: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earnings using an amortization approach</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63"/>
        </w:trPr>
        <w:tc>
          <w:tcPr>
            <w:tcW w:w="5980" w:type="dxa"/>
            <w:vAlign w:val="bottom"/>
            <w:gridSpan w:val="3"/>
          </w:tcPr>
          <w:p>
            <w:pPr>
              <w:ind w:left="40"/>
              <w:spacing w:after="0"/>
              <w:rPr>
                <w:sz w:val="20"/>
                <w:szCs w:val="20"/>
                <w:color w:val="auto"/>
              </w:rPr>
            </w:pPr>
            <w:r>
              <w:rPr>
                <w:rFonts w:ascii="Arial" w:cs="Arial" w:eastAsia="Arial" w:hAnsi="Arial"/>
                <w:sz w:val="18"/>
                <w:szCs w:val="18"/>
                <w:b w:val="1"/>
                <w:bCs w:val="1"/>
                <w:color w:val="auto"/>
              </w:rPr>
              <w:t>Gain or (loss) on fair value hedges: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Interest Rate Swap Agreements:</w:t>
            </w: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980" w:type="dxa"/>
            <w:vAlign w:val="bottom"/>
            <w:gridSpan w:val="3"/>
          </w:tcPr>
          <w:p>
            <w:pPr>
              <w:ind w:left="500"/>
              <w:spacing w:after="0"/>
              <w:rPr>
                <w:sz w:val="20"/>
                <w:szCs w:val="20"/>
                <w:color w:val="auto"/>
              </w:rPr>
            </w:pPr>
            <w:r>
              <w:rPr>
                <w:rFonts w:ascii="Arial" w:cs="Arial" w:eastAsia="Arial" w:hAnsi="Arial"/>
                <w:sz w:val="18"/>
                <w:szCs w:val="18"/>
                <w:color w:val="auto"/>
              </w:rPr>
              <w:t>Hedged Items</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63</w:t>
            </w:r>
          </w:p>
        </w:tc>
      </w:tr>
      <w:tr>
        <w:trPr>
          <w:trHeight w:val="277"/>
        </w:trPr>
        <w:tc>
          <w:tcPr>
            <w:tcW w:w="59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Derivatives designated as hedges</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18"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the amounts of gain or (loss) on net investment hedges recognized in Accumulated other comprehensive income (loss):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8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rPr>
              <w:t>Three Months Ended June 30,</w:t>
            </w:r>
          </w:p>
        </w:tc>
        <w:tc>
          <w:tcPr>
            <w:tcW w:w="2820" w:type="dxa"/>
            <w:vAlign w:val="bottom"/>
            <w:tcBorders>
              <w:bottom w:val="single" w:sz="8" w:color="auto"/>
            </w:tcBorders>
            <w:gridSpan w:val="5"/>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Net Investment Hedging Relationships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Euro-denominated long-term debt</w:t>
            </w:r>
          </w:p>
        </w:tc>
        <w:tc>
          <w:tcPr>
            <w:tcW w:w="240" w:type="dxa"/>
            <w:vAlign w:val="bottom"/>
          </w:tcPr>
          <w:p>
            <w:pPr>
              <w:spacing w:after="0"/>
              <w:rPr>
                <w:sz w:val="22"/>
                <w:szCs w:val="22"/>
                <w:color w:val="auto"/>
              </w:rPr>
            </w:pPr>
          </w:p>
        </w:tc>
        <w:tc>
          <w:tcPr>
            <w:tcW w:w="124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jc w:val="right"/>
              <w:ind w:right="23"/>
              <w:spacing w:after="0"/>
              <w:rPr>
                <w:sz w:val="20"/>
                <w:szCs w:val="20"/>
                <w:color w:val="auto"/>
              </w:rPr>
            </w:pPr>
            <w:r>
              <w:rPr>
                <w:rFonts w:ascii="Arial" w:cs="Arial" w:eastAsia="Arial" w:hAnsi="Arial"/>
                <w:sz w:val="18"/>
                <w:szCs w:val="18"/>
                <w:color w:val="auto"/>
                <w:w w:val="99"/>
              </w:rPr>
              <w:t>(43)</w:t>
            </w:r>
          </w:p>
        </w:tc>
        <w:tc>
          <w:tcPr>
            <w:tcW w:w="900" w:type="dxa"/>
            <w:vAlign w:val="bottom"/>
          </w:tcPr>
          <w:p>
            <w:pPr>
              <w:jc w:val="center"/>
              <w:ind w:right="551"/>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9"/>
              </w:rPr>
              <w:t>201</w:t>
            </w:r>
          </w:p>
        </w:tc>
        <w:tc>
          <w:tcPr>
            <w:tcW w:w="112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26</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119</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Euro-denominated commercial paper</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w w:val="99"/>
              </w:rPr>
              <w:t>(44)</w:t>
            </w:r>
          </w:p>
        </w:tc>
        <w:tc>
          <w:tcPr>
            <w:tcW w:w="9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209</w:t>
            </w:r>
          </w:p>
        </w:tc>
        <w:tc>
          <w:tcPr>
            <w:tcW w:w="1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Cross currency swap</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jc w:val="right"/>
              <w:ind w:right="23"/>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w:t>
            </w: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648"/>
        </w:trPr>
        <w:tc>
          <w:tcPr>
            <w:tcW w:w="5160" w:type="dxa"/>
            <w:vAlign w:val="bottom"/>
          </w:tcPr>
          <w:p>
            <w:pPr>
              <w:spacing w:after="0"/>
              <w:rPr>
                <w:sz w:val="20"/>
                <w:szCs w:val="20"/>
                <w:color w:val="auto"/>
              </w:rPr>
            </w:pPr>
            <w:r>
              <w:rPr>
                <w:rFonts w:ascii="Arial" w:cs="Arial" w:eastAsia="Arial" w:hAnsi="Arial"/>
                <w:sz w:val="18"/>
                <w:szCs w:val="18"/>
                <w:b w:val="1"/>
                <w:bCs w:val="1"/>
                <w:color w:val="auto"/>
              </w:rPr>
              <w:t>Note 13. Accumulated Other Comprehensive Income (Loss)</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6740" w:type="dxa"/>
            <w:vAlign w:val="bottom"/>
            <w:gridSpan w:val="5"/>
          </w:tcPr>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1"/>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rPr>
              <w:t>of Cash Flow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71"/>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2"/>
                <w:szCs w:val="22"/>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69</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91"/>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rPr>
              <w:t>Changes in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Exchange</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59"/>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4"/>
                <w:szCs w:val="14"/>
                <w:color w:val="auto"/>
              </w:rPr>
            </w:pPr>
          </w:p>
        </w:tc>
        <w:tc>
          <w:tcPr>
            <w:tcW w:w="1340" w:type="dxa"/>
            <w:vAlign w:val="bottom"/>
            <w:gridSpan w:val="2"/>
          </w:tcPr>
          <w:p>
            <w:pPr>
              <w:jc w:val="center"/>
              <w:ind w:right="71"/>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rPr>
              <w:t>Cash Flow</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59"/>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2"/>
                <w:szCs w:val="22"/>
                <w:color w:val="auto"/>
              </w:rPr>
            </w:pPr>
          </w:p>
        </w:tc>
        <w:tc>
          <w:tcPr>
            <w:tcW w:w="1240" w:type="dxa"/>
            <w:vAlign w:val="bottom"/>
            <w:gridSpan w:val="2"/>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4"/>
        </w:trPr>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June 30, 2018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91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118"/>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Financial Data</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8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02"/>
        </w:trPr>
        <w:tc>
          <w:tcPr>
            <w:tcW w:w="60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90"/>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Aerospace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5,528</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2,507</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8,035</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Honeywell Building Technologies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4,266</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4,979</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Performance Materials and Technologies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4,257</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975</w:t>
            </w:r>
          </w:p>
        </w:tc>
      </w:tr>
      <w:tr>
        <w:trPr>
          <w:trHeight w:val="257"/>
        </w:trPr>
        <w:tc>
          <w:tcPr>
            <w:tcW w:w="40" w:type="dxa"/>
            <w:vAlign w:val="bottom"/>
            <w:shd w:val="clear" w:color="auto" w:fill="CCEEFF"/>
          </w:tcPr>
          <w:p>
            <w:pPr>
              <w:spacing w:after="0"/>
              <w:rPr>
                <w:sz w:val="22"/>
                <w:szCs w:val="22"/>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5,232</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Safety and Productivity Solutions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2,886</w:t>
            </w:r>
          </w:p>
        </w:tc>
      </w:tr>
      <w:tr>
        <w:trPr>
          <w:trHeight w:val="264"/>
        </w:trPr>
        <w:tc>
          <w:tcPr>
            <w:tcW w:w="40" w:type="dxa"/>
            <w:vAlign w:val="bottom"/>
            <w:tcBorders>
              <w:bottom w:val="single" w:sz="8" w:color="CCEEFF"/>
            </w:tcBorders>
          </w:tcPr>
          <w:p>
            <w:pPr>
              <w:spacing w:after="0"/>
              <w:rPr>
                <w:sz w:val="22"/>
                <w:szCs w:val="22"/>
                <w:color w:val="auto"/>
              </w:rPr>
            </w:pPr>
          </w:p>
        </w:tc>
        <w:tc>
          <w:tcPr>
            <w:tcW w:w="598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Services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r>
      <w:tr>
        <w:trPr>
          <w:trHeight w:val="250"/>
        </w:trPr>
        <w:tc>
          <w:tcPr>
            <w:tcW w:w="40" w:type="dxa"/>
            <w:vAlign w:val="bottom"/>
            <w:shd w:val="clear" w:color="auto" w:fill="CCEEFF"/>
          </w:tcPr>
          <w:p>
            <w:pPr>
              <w:spacing w:after="0"/>
              <w:rPr>
                <w:sz w:val="21"/>
                <w:szCs w:val="21"/>
                <w:color w:val="auto"/>
              </w:rPr>
            </w:pPr>
          </w:p>
        </w:tc>
        <w:tc>
          <w:tcPr>
            <w:tcW w:w="59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3,065</w:t>
            </w:r>
          </w:p>
        </w:tc>
      </w:tr>
      <w:tr>
        <w:trPr>
          <w:trHeight w:val="304"/>
        </w:trPr>
        <w:tc>
          <w:tcPr>
            <w:tcW w:w="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9,243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10,919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21,311</w:t>
            </w:r>
          </w:p>
        </w:tc>
      </w:tr>
      <w:tr>
        <w:trPr>
          <w:trHeight w:val="203"/>
        </w:trPr>
        <w:tc>
          <w:tcPr>
            <w:tcW w:w="6020" w:type="dxa"/>
            <w:vAlign w:val="bottom"/>
            <w:gridSpan w:val="4"/>
            <w:shd w:val="clear" w:color="auto" w:fill="CCEEFF"/>
          </w:tcPr>
          <w:p>
            <w:pPr>
              <w:ind w:left="40"/>
              <w:spacing w:after="0" w:line="203" w:lineRule="exact"/>
              <w:rPr>
                <w:sz w:val="20"/>
                <w:szCs w:val="20"/>
                <w:color w:val="auto"/>
              </w:rPr>
            </w:pPr>
            <w:r>
              <w:rPr>
                <w:rFonts w:ascii="Arial" w:cs="Arial" w:eastAsia="Arial" w:hAnsi="Arial"/>
                <w:sz w:val="18"/>
                <w:szCs w:val="18"/>
                <w:color w:val="auto"/>
              </w:rPr>
              <w:t>Segment profit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Aerospace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1,811</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Performance Materials and Technologies</w:t>
            </w:r>
          </w:p>
        </w:tc>
        <w:tc>
          <w:tcPr>
            <w:tcW w:w="2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1,116</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Safety and Productivity Solutions</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64"/>
        </w:trPr>
        <w:tc>
          <w:tcPr>
            <w:tcW w:w="602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50"/>
        </w:trPr>
        <w:tc>
          <w:tcPr>
            <w:tcW w:w="40" w:type="dxa"/>
            <w:vAlign w:val="bottom"/>
            <w:shd w:val="clear" w:color="auto" w:fill="CCEEFF"/>
          </w:tcPr>
          <w:p>
            <w:pPr>
              <w:spacing w:after="0"/>
              <w:rPr>
                <w:sz w:val="21"/>
                <w:szCs w:val="21"/>
                <w:color w:val="auto"/>
              </w:rPr>
            </w:pPr>
          </w:p>
        </w:tc>
        <w:tc>
          <w:tcPr>
            <w:tcW w:w="59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 segment profit</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4,140</w:t>
            </w:r>
          </w:p>
        </w:tc>
      </w:tr>
      <w:tr>
        <w:trPr>
          <w:trHeight w:val="250"/>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r>
              <w:rPr>
                <w:rFonts w:ascii="Arial" w:cs="Arial" w:eastAsia="Arial" w:hAnsi="Arial"/>
                <w:sz w:val="14"/>
                <w:szCs w:val="14"/>
                <w:color w:val="auto"/>
              </w:rPr>
              <w:t>(a)</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Pension ongoing income</w:t>
            </w:r>
            <w:r>
              <w:rPr>
                <w:rFonts w:ascii="Arial" w:cs="Arial" w:eastAsia="Arial" w:hAnsi="Arial"/>
                <w:sz w:val="14"/>
                <w:szCs w:val="14"/>
                <w:color w:val="auto"/>
              </w:rPr>
              <w:t>(b)</w:t>
            </w:r>
          </w:p>
        </w:tc>
        <w:tc>
          <w:tcPr>
            <w:tcW w:w="2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498</w:t>
            </w:r>
          </w:p>
        </w:tc>
      </w:tr>
      <w:tr>
        <w:trPr>
          <w:trHeight w:val="277"/>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 postretirement income</w:t>
            </w:r>
            <w:r>
              <w:rPr>
                <w:rFonts w:ascii="Arial" w:cs="Arial" w:eastAsia="Arial" w:hAnsi="Arial"/>
                <w:sz w:val="14"/>
                <w:szCs w:val="14"/>
                <w:color w:val="auto"/>
              </w:rPr>
              <w:t>(b)</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63"/>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Repositioning and other charges</w:t>
            </w:r>
            <w:r>
              <w:rPr>
                <w:rFonts w:ascii="Arial" w:cs="Arial" w:eastAsia="Arial" w:hAnsi="Arial"/>
                <w:sz w:val="14"/>
                <w:szCs w:val="14"/>
                <w:color w:val="auto"/>
              </w:rPr>
              <w:t>(c)</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0"/>
        </w:trPr>
        <w:tc>
          <w:tcPr>
            <w:tcW w:w="6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4"/>
                <w:szCs w:val="14"/>
                <w:color w:val="auto"/>
              </w:rPr>
              <w:t>(d)</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7"/>
        </w:trPr>
        <w:tc>
          <w:tcPr>
            <w:tcW w:w="6020" w:type="dxa"/>
            <w:vAlign w:val="bottom"/>
            <w:gridSpan w:val="4"/>
          </w:tcPr>
          <w:p>
            <w:pPr>
              <w:ind w:left="40"/>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3,909</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Selling, general and administrative expenses.</w:t>
      </w:r>
    </w:p>
    <w:p>
      <w:pPr>
        <w:spacing w:after="0" w:line="9" w:lineRule="exact"/>
        <w:rPr>
          <w:rFonts w:ascii="Arial" w:cs="Arial" w:eastAsia="Arial" w:hAnsi="Arial"/>
          <w:sz w:val="18"/>
          <w:szCs w:val="18"/>
          <w:color w:val="auto"/>
        </w:rPr>
      </w:pPr>
    </w:p>
    <w:p>
      <w:pPr>
        <w:ind w:right="680" w:firstLine="8"/>
        <w:spacing w:after="0" w:line="262"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 (service costs) and Other income/expense (non-service cost components).</w:t>
      </w:r>
    </w:p>
    <w:p>
      <w:pPr>
        <w:sectPr>
          <w:pgSz w:w="11900" w:h="16838" w:orient="portrait"/>
          <w:cols w:equalWidth="0" w:num="1">
            <w:col w:w="11420"/>
          </w:cols>
          <w:pgMar w:left="240" w:top="118"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18"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Selling, general and administrative expenses, and Other income/expense.</w:t>
      </w:r>
    </w:p>
    <w:p>
      <w:pPr>
        <w:spacing w:after="0" w:line="9" w:lineRule="exact"/>
        <w:rPr>
          <w:rFonts w:ascii="Arial" w:cs="Arial" w:eastAsia="Arial" w:hAnsi="Arial"/>
          <w:sz w:val="18"/>
          <w:szCs w:val="18"/>
          <w:color w:val="auto"/>
        </w:rPr>
      </w:pPr>
    </w:p>
    <w:p>
      <w:pPr>
        <w:ind w:right="860" w:firstLine="8"/>
        <w:spacing w:after="0" w:line="262"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include the other components of Other income/expense not included within other categories in this reconciliation. Equity income/loss of affiliated companies is included in segment profit.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Pension Benefits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rPr>
              <w:t>U.S. Plans</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6020" w:type="dxa"/>
            <w:vAlign w:val="bottom"/>
          </w:tcPr>
          <w:p>
            <w:pPr>
              <w:spacing w:after="0"/>
              <w:rPr>
                <w:sz w:val="22"/>
                <w:szCs w:val="22"/>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2"/>
                <w:szCs w:val="22"/>
                <w:color w:val="auto"/>
              </w:rPr>
            </w:pPr>
          </w:p>
        </w:tc>
        <w:tc>
          <w:tcPr>
            <w:tcW w:w="22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287</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60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32"/>
        </w:trPr>
        <w:tc>
          <w:tcPr>
            <w:tcW w:w="60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20" w:type="dxa"/>
            <w:vAlign w:val="bottom"/>
          </w:tcPr>
          <w:p>
            <w:pPr>
              <w:spacing w:after="0"/>
              <w:rPr>
                <w:sz w:val="22"/>
                <w:szCs w:val="22"/>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2"/>
                <w:szCs w:val="22"/>
                <w:color w:val="auto"/>
              </w:rPr>
            </w:pPr>
          </w:p>
        </w:tc>
        <w:tc>
          <w:tcPr>
            <w:tcW w:w="228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64"/>
        </w:trPr>
        <w:tc>
          <w:tcPr>
            <w:tcW w:w="60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80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0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For the three and six months ended June 30, 2019, the Company repurchased $100 million and $200 million of outstanding Honeywell shares from the Honeywell U.S. Pension Plan Master Trust.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Our environmental matters are described in Note 20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2018 Annual Report on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0020" w:type="dxa"/>
            <w:vAlign w:val="bottom"/>
          </w:tcPr>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85"/>
        </w:trPr>
        <w:tc>
          <w:tcPr>
            <w:tcW w:w="1002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755</w:t>
            </w:r>
          </w:p>
        </w:tc>
      </w:tr>
      <w:tr>
        <w:trPr>
          <w:trHeight w:val="263"/>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environmental matters deemed probable and reasonably estimable</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r>
      <w:tr>
        <w:trPr>
          <w:trHeight w:val="250"/>
        </w:trPr>
        <w:tc>
          <w:tcPr>
            <w:tcW w:w="10020" w:type="dxa"/>
            <w:vAlign w:val="bottom"/>
          </w:tcPr>
          <w:p>
            <w:pPr>
              <w:ind w:left="180"/>
              <w:spacing w:after="0"/>
              <w:rPr>
                <w:sz w:val="20"/>
                <w:szCs w:val="20"/>
                <w:color w:val="auto"/>
              </w:rPr>
            </w:pPr>
            <w:r>
              <w:rPr>
                <w:rFonts w:ascii="Arial" w:cs="Arial" w:eastAsia="Arial" w:hAnsi="Arial"/>
                <w:sz w:val="18"/>
                <w:szCs w:val="18"/>
                <w:color w:val="auto"/>
              </w:rPr>
              <w:t>Environmental liability payments</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57"/>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10020" w:type="dxa"/>
            <w:vAlign w:val="bottom"/>
          </w:tcPr>
          <w:p>
            <w:pPr>
              <w:ind w:left="40"/>
              <w:spacing w:after="0"/>
              <w:rPr>
                <w:sz w:val="20"/>
                <w:szCs w:val="20"/>
                <w:color w:val="auto"/>
              </w:rPr>
            </w:pPr>
            <w:r>
              <w:rPr>
                <w:rFonts w:ascii="Arial" w:cs="Arial" w:eastAsia="Arial" w:hAnsi="Arial"/>
                <w:sz w:val="18"/>
                <w:szCs w:val="18"/>
                <w:color w:val="auto"/>
              </w:rPr>
              <w:t>June 30, 2019</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794</w:t>
            </w:r>
          </w:p>
        </w:tc>
      </w:tr>
      <w:tr>
        <w:trPr>
          <w:trHeight w:val="20"/>
        </w:trPr>
        <w:tc>
          <w:tcPr>
            <w:tcW w:w="10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six months ended June 30, 2019 we recorded a gain of $43 million related to the sale of a legacy remediated property.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r>
      <w:tr>
        <w:trPr>
          <w:trHeight w:val="264"/>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r>
      <w:tr>
        <w:trPr>
          <w:trHeight w:val="250"/>
        </w:trPr>
        <w:tc>
          <w:tcPr>
            <w:tcW w:w="8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existing reserves, and the indemnification and reimbursement agreement with a Resideo subsidiary (as explained below), we do not expect that environmental matters will have a material adverse effect on our consolidated financial position.</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Reimbursements associated with the indemnification and reimbursement agreement with a Resideo subsidiary were $69 million in the six months ended June 30, 2019 and offset operating cash outflows incurred by the Company. As the Company records the accruals for environmental matters deemed probable and reasonably estimable related to the sites covered by the indemnification and reimbursement agreement, a corresponding receivable from Resideo for 90 percent of such accrual is also recorded. This receivable amount recorded in the six months ended June 30, 2019 was $32 million. As of June 30, 2019, Other Current Assets and Other Assets includes $ 140 million and $438 million representing the short-term and long-term portion of the receivable amount due from Resideo under the indemnification and reimbursement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is a defendant in asbestos related personal injury actions related to North American Refractories Company (“NARCO”), which was sold in 1986, and Bendix Friction Materials (“Bendix”) business, which was sold in 2014.</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concerning NARCO and Bendix asbestos-related balances: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Asbestos-Related Liabilities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Borders>
              <w:bottom w:val="single" w:sz="8" w:color="CCEEFF"/>
            </w:tcBorders>
          </w:tcPr>
          <w:p>
            <w:pPr>
              <w:spacing w:after="0"/>
              <w:rPr>
                <w:sz w:val="17"/>
                <w:szCs w:val="17"/>
                <w:color w:val="auto"/>
              </w:rPr>
            </w:pPr>
          </w:p>
        </w:tc>
        <w:tc>
          <w:tcPr>
            <w:tcW w:w="46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NARCO</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Accrual for update to estimated liability</w:t>
            </w: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Asbestos related liability payments</w:t>
            </w:r>
          </w:p>
        </w:tc>
        <w:tc>
          <w:tcPr>
            <w:tcW w:w="19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57"/>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June 30, 2019</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Insurance Recoveries for Asbestos-Related Liabilities</w:t>
            </w:r>
          </w:p>
        </w:tc>
        <w:tc>
          <w:tcPr>
            <w:tcW w:w="1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510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Borders>
              <w:bottom w:val="single" w:sz="8" w:color="CCEEFF"/>
            </w:tcBorders>
          </w:tcPr>
          <w:p>
            <w:pPr>
              <w:spacing w:after="0"/>
              <w:rPr>
                <w:sz w:val="24"/>
                <w:szCs w:val="24"/>
                <w:color w:val="auto"/>
              </w:rPr>
            </w:pPr>
          </w:p>
        </w:tc>
        <w:tc>
          <w:tcPr>
            <w:tcW w:w="4620" w:type="dxa"/>
            <w:vAlign w:val="bottom"/>
            <w:tcBorders>
              <w:top w:val="single" w:sz="8" w:color="auto"/>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Bendix</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NARCO</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80" w:type="dxa"/>
            <w:vAlign w:val="bottom"/>
            <w:gridSpan w:val="2"/>
          </w:tcPr>
          <w:p>
            <w:pPr>
              <w:ind w:left="140"/>
              <w:spacing w:after="0"/>
              <w:rPr>
                <w:sz w:val="20"/>
                <w:szCs w:val="20"/>
                <w:color w:val="auto"/>
              </w:rPr>
            </w:pPr>
            <w:r>
              <w:rPr>
                <w:rFonts w:ascii="Arial" w:cs="Arial" w:eastAsia="Arial" w:hAnsi="Arial"/>
                <w:sz w:val="18"/>
                <w:szCs w:val="18"/>
                <w:color w:val="auto"/>
              </w:rPr>
              <w:t>Insurance receipts for asbestos related liabilities</w:t>
            </w: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Insurance receivables settlements</w:t>
            </w:r>
          </w:p>
        </w:tc>
        <w:tc>
          <w:tcPr>
            <w:tcW w:w="19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June 30, 2019</w:t>
            </w:r>
          </w:p>
        </w:tc>
        <w:tc>
          <w:tcPr>
            <w:tcW w:w="2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vMerge w:val="restart"/>
          </w:tcPr>
          <w:p>
            <w:pPr>
              <w:jc w:val="right"/>
              <w:ind w:right="1130"/>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49"/>
        </w:trPr>
        <w:tc>
          <w:tcPr>
            <w:tcW w:w="85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recoveries for asbestos-related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90"/>
        </w:trPr>
        <w:tc>
          <w:tcPr>
            <w:tcW w:w="85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w:t>
            </w:r>
          </w:p>
        </w:tc>
      </w:tr>
      <w:tr>
        <w:trPr>
          <w:trHeight w:val="244"/>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Asbestos-related liabilities</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2,269</w:t>
            </w: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2,514</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 Honeywell’s predecessor, Allied Corporation owned NARCO from 1979 to 1986. When the NARCO business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Honeywell’s predecessor entered into a cross-indemnity agreement with NARCO which included an obligation to indemnify the purchaser for asbestos claims. Such claims arise primarily from alleged occupational exposure to asbestos-containing refractory brick and mortar for high-temperature applications. NARCO ceased manufacturing these products in 1980, and the first asbestos claims were filed in the tort system against NARCO in 1983. Claims filings and related costs increased dramatically in the late 1990s through 2001, which led to NARCO filing for bankruptcy in January 2002. Once NARCO filed for bankruptcy, all then current and future NARCO asbestos claims were stayed against both NARCO and Honeywell pending the reorganization of NARCO.</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the bankruptcy filing, in December 2002 Honeywell recorded a total NARCO asbestos liability of $3.2 billion, which was comprised of three components: (i) the estimated liability to settle pre-bankruptcy petition NARCO claims and certain post-petition settlements ($2.2 billion, referred to as “Pre-bankruptcy NARCO Liability”), (ii) the estimated liability related to then unasserted NARCO claims for the period 2004 through 2018 ($950 million, referred to as “NARCO Trust Liability”), and (iii) other NARCO bankruptcy-related obligations totaling $73 million.</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When the NARCO Trust Liability of $950 million was established in 2002, the methodology for estimating the potential liability was based primarily on: (a) epidemiological projections of the future incidence of disease for the period 2004 through 2018, a fifteen-year period; (b) historical claims rates in the tort system for the five-year period prior to the bankruptcy filing date; and (c) anticipated NARCO Trust payment values set forth in the then current draft of the NARCO Trust Distribution Procedures. The methodology required estimating, by disease, three critical inputs: (i) likely number of claims to be asserted against the NARCO Trust in the future, (ii) percentage of those claims likely to receive payment, and (iii) payment values. The Company utilized outside asbestos liability valuation specialists to support its preparation of the NARCO Trust Liability estimate, which was based on a commonly accepted methodology used by numerous bankruptcy courts addressing 524(g) trusts.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2002, when we first established our initial liability, NARCO asbestos claims resolution shifted from the tort system to an anticipated NARCO Trust framework, where claims would be processed in accordance with established NARCO Trust Distribution Procedures, including strict medical and exposure criteria for a plaintiff to receive compensation. We believed at the time that the NARCO Trust’s claims filing and resolution experience after the NARCO Trust became operational would be significantly different from pre-bankruptcy tort system experience in light of these more rigorous claims processing requirements in the NARCO Trust Distribution Procedures and Honeywell’s active oversight of claims processing and approval. Given these anticipated differences, we believed that a 15-year time period was the appropriate horizon for establishing a probable and reasonably estimable liability for then unasserted NARCO claims as it represented our best estimate of the time period it would take for the NARCO Trust to be approved by the Bankruptcy Court, become fully operational and generate sufficiently reliable claims data (i.e., a data set which is statistically representative) to enable us to update our NARCO Trust Liability.</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NARCO Trust Distribution Procedures were finalized in 2006, and the Company updated its NARCO Trust Liability to reflect the final terms and payment values. The original 15-year period (from 2004 through 2018) for unasserted claims did not change as asbestos claims filings continued to be stayed against both Honeywell and NARCO. The 2006 update resulted in a range of the estimated liability for unasserted claims of $743 million to $961 million, and we believed that no amount within this range was a better estimate than any other amount. In accordance with ASC 450 – Contingencies (“ASC 450”), we recorded the low end of the range of $743 million which resulted in a reduction of $207 million in our NARCO Trust Liability.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NARCO emerged from bankruptcy on April 30, 2013, at which time a federally authorized 524(g)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w:t>
      </w:r>
    </w:p>
    <w:p>
      <w:pPr>
        <w:spacing w:after="0" w:line="2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NARCO Trust Agreement and the NARCO Trust Distribution Procedures are the principal documents setting forth the structure of the NARCO Trust. These documents establish Honeywell’s evergreen funding obligations. Honeywell is obligated to fund NARCO asbestos claims submitted to the NARCO Trust which qualify for payment under the Trust Distribution Procedures (Annual Contribution Claims), subject to an annual cap of $ 145 million. However, the initial $100 million of claims processed through the NARCO Trust (the Initial Claims Amount) will not count against the annual cap and any unused portion of the Initial Claims Amount will roll over to subsequent years until fully utilized. These documents also establish the material operating rules for the NARCO Trust, including Honeywell audit rights and the criteria claimants must meet to have a valid claim paid. These claims payment criteria include providing the NARCO Trust with adequate medical evidence of the claimant’s asbestos-related condition and credible evidence of exposure to a specific NARCO asbestos-containing product. Further, the NARCO Trust is eligible to receive cash dividends from Harbison-Walker International Inc (“HWI”), the reorganized and renamed entity that emerged, fully operational, from the NARCO bankruptcy. The NARCO Trust is required to use any funding received from HWI to pay Annual Contribution Claims until those funds are exhausted. It is only at this point that Honeywell’s funding obligation to the Trust is triggered. Thus, there is an unrelated primary source for funding that affects Honeywell’s funding of the NARCO Trust Liability.</w:t>
      </w:r>
    </w:p>
    <w:p>
      <w:pPr>
        <w:spacing w:after="0" w:line="2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Once operational, the NARCO Trust began to receive, process and pay claims that had been previously stayed pending the Trust becoming operational. As the NARCO Trust began to pay claims in 2014, we began to assert our on-going audit rights to review and monitor the claims processor’s adherence to the established requirements of the NARCO Trust Distribution Procedures. While doing so, we identified several issues with the way the Trust was implementing the NARCO Trust Distribution Procedures. In 2015, Honeywell filed suit against the NARCO Trust in Bankruptcy Court alleging breach of certain provisions of the NARCO Trust Agreement and NARCO Trust Distribution Procedures. The parties agreed to dismiss the proceeding without prejudice pursuant to an 18-month Standstill Agreement, which expired in October 2017. Notwithstanding its expiration, claims processing continues, and Honeywell continues to negotiate and attempt to resolve remaining disputed issues (that is, instances where Honeywell believes the NARCO Trust is not processing claims in accordance with established NARCO Trust Distribution Procedures). Honeywell reserves its right to seek judicial intervention should negotiations fail.</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NARCO Trust became effective in 2013, the $743 million NARCO Trust Liability was then comprised of:</w:t>
      </w:r>
    </w:p>
    <w:p>
      <w:pPr>
        <w:spacing w:after="0" w:line="225" w:lineRule="exact"/>
        <w:rPr>
          <w:sz w:val="20"/>
          <w:szCs w:val="20"/>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unasserted claims; and</w:t>
      </w:r>
    </w:p>
    <w:p>
      <w:pPr>
        <w:spacing w:after="0" w:line="9"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liability for claims asserted after the NARCO Trust became operational but not yet paid.</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know the number of claims filed with the NARCO Trust each year, we are not able to determine at this time the portion of the NARCO Trust Liability which represents asserted versus unasserted claims due to the lack of sufficiently reliable claims data because of the claims processing issues described previously.</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maintained the $743 million accrual for NARCO Trust Liability, as there has not been sufficiently reliable claims data history to enable us to update that liability.</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June 30, 2019, our total NARCO asbestos liability of $902 million reflects Pre-bankruptcy NARCO liability of $159 million and NARCO Trust Liability of $743 million. Through June 30, 2019, Pre-bankruptcy NARCO Liability has been reduced by approximately $2 billion since first established in 2002, largely related to settlement payments. The remaining Pre-bankruptcy NARCO Liability principally represents estimated amounts owed pursuant to settlement agreements reached during the pendency of the NARCO bankruptcy proceedings that provide for the right to submit claims to the NARCO Trust subject to qualification under the terms of the settlement agreements and Trust Distribution Procedures. The other NARCO bankruptcy-related obligations were paid in 2013 and no further liability is recorded.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As of June 30, 2019, Honeywell has not made any payments to the NARCO Trust for Annual Contribution Claims as any Annual Contribution Claims which have been paid since the Trust became operational have been funded by cash dividends from HWI.</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Honeywell continues to evaluate the appropriateness of the $743 million NARCO Trust Liability. Despite becoming effective in 2013, the NARCO Trust has experienced delays in becoming fully operational. Violations of the Trust Distribution Procedures and the resulting disputes and challenges, a standstill pending dispute resolution, and limited claims payments, have all contributed to the lack of sufficient normalized data based on actual claims processing experience in the Trust since it became operational. As a result, we have not been able to further update the NARCO Trust Liability. The $743 million NARCO Trust Liability continues to be appropriate because of the unresolved pending claims in the Trust, some portion of which will result in payouts in the future, and because new claims continue to be filed with the NARCO Trust. When sufficiently reliable claims data exists, we will update our estimate of the NARCO Trust Liability and it is possible that a material change may need to be recognized.</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of $299 million as of June 30, 2019, corresponding to the estimated liability for asserted and unasserted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—Bendix manufactured automotive brake linings that contained chrysotile asbestos in an encapsulated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Claimants consist largely of 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Years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4"/>
          </w:tcPr>
          <w:p>
            <w:pPr>
              <w:ind w:left="40"/>
              <w:spacing w:after="0" w:line="196" w:lineRule="exact"/>
              <w:rPr>
                <w:sz w:val="20"/>
                <w:szCs w:val="20"/>
                <w:color w:val="auto"/>
              </w:rPr>
            </w:pPr>
            <w:r>
              <w:rPr>
                <w:rFonts w:ascii="Arial" w:cs="Arial" w:eastAsia="Arial" w:hAnsi="Arial"/>
                <w:sz w:val="18"/>
                <w:szCs w:val="18"/>
                <w:b w:val="1"/>
                <w:bCs w:val="1"/>
                <w:color w:val="auto"/>
              </w:rPr>
              <w:t>Claims Activity</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480" w:type="dxa"/>
            <w:vAlign w:val="bottom"/>
            <w:tcBorders>
              <w:top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Claims unresolved at the beginning of period</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6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Claims filed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2"/>
                <w:szCs w:val="22"/>
                <w:color w:val="auto"/>
              </w:rPr>
            </w:pPr>
          </w:p>
        </w:tc>
        <w:tc>
          <w:tcPr>
            <w:tcW w:w="1480" w:type="dxa"/>
            <w:vAlign w:val="bottom"/>
          </w:tcPr>
          <w:p>
            <w:pPr>
              <w:jc w:val="right"/>
              <w:ind w:right="37"/>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0"/>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Claims resolved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57"/>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Claims unresolved at the end of period</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Disease Distribution of Unresolved Claims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6740" w:type="dxa"/>
            <w:vAlign w:val="bottom"/>
            <w:gridSpan w:val="4"/>
            <w:vMerge w:val="continue"/>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June 30,</w:t>
            </w:r>
          </w:p>
        </w:tc>
        <w:tc>
          <w:tcPr>
            <w:tcW w:w="2080" w:type="dxa"/>
            <w:vAlign w:val="bottom"/>
            <w:gridSpan w:val="3"/>
          </w:tcPr>
          <w:p>
            <w:pPr>
              <w:jc w:val="center"/>
              <w:ind w:left="91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34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34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Mesothelioma and other cancer claims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Nonmalignant claims</w:t>
            </w: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claims</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6,335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6,209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r>
      <w:tr>
        <w:trPr>
          <w:trHeight w:val="210"/>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Malignant claims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55,300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56,000</w:t>
            </w:r>
          </w:p>
        </w:tc>
        <w:tc>
          <w:tcPr>
            <w:tcW w:w="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44,000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44,000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53,500</w:t>
            </w: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4,700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2,800</w:t>
            </w:r>
          </w:p>
        </w:tc>
        <w:tc>
          <w:tcPr>
            <w:tcW w:w="3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4,485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18"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consolidated financial statements reflect an estimated liability for resolution of asserted (claims filed as of the financial statement date) and unasserted Bendix-related asbestos claims and excludes the Company’s legal fees to defend such asbestos claims which will continue to be expensed by the Company as they are incurred. We have valued Bendix asserted and unasserted claims using average resolution values for the previous five years. We update the resolution values used to estimate the cost of Bendix asserted and unasserted claims during the fourth quarter each year.</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Honeywell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Reimbursements associated with the indemnification and reimbursement agreement with a Garrett subsidiary (the "Agreement") were $77 million for the six months ended June 30, 2019 and offset operating cash outflows incurred by the Company. As the Company records the accruals for matters covered by the indemnification and reimbursement agreement, a corresponding receivable from Garrett for 90 percent of such accrual is also recorded. This receivable amount was $12 million in the six months ended June 30, 2019. As of June 30, 2019, Other Current Assets and Other Assets includes $170 million and $989 million representing the short-term and long-term portion of the receivable amount due from Garrett under the indemnification and reimbursement agreement.</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our ongoing communications with Garrett with respect to the Agreement and Garrett’s associated material weakness disclosure in its Form 10-K for the year ended December 31, 2018, Garrett has taken the position that (i) Honeywell has not satisfied all of its obligations under the Agreement, and (ii) the Agreement is unenforceable either in whole or in part. We strongly believe that Garrett’s allegations have no merit, nor are they material to Honeywell. We believe we have fully complied with our obligations under the Agreement and that the Agreement is enforceable in its entirety. We intend to continue to have ongoing discussions with Garrett to try to resolve this matter.</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13, 2018, following completion of the Securities and Exchange Commission (SEC) Division of Corporation Finance’s review of our prior accounting for liabilities for unasserted Bendix-related asbestos claims, the SEC Division of Enforcement advised that it has opened an investigation related to this matter. Honeywell intends to provide requested information and otherwise fully cooperate with the SEC staff. On October 31, 2018, David Kanefsky, a Honeywell shareholder, filed a putative class action complaint alleging violations of the Securities Exchange Act of 1934 and Rule 10b-5 related to the prior accounting for Bendix asbestos claims. On May 15, 2019, Wayne County Employees’ Retirement System, another Honeywell shareholder, filed a putative class action asserting the same claims relating to substantially the same alleged conduct in the same jurisdiction. We believe neither complaint has any merit.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analysis of each matter with the assistance of outside legal counsel and, if applicable, other experts. Included in these other matters are the following:</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2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20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has since been dismissed without prejudice.</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terminated the retirees healthcare coverage benefits altogether as of July 31, 2018. In response, the UAW filed a motion to enjoin Honeywell from completely terminating coverage as of July 31, 2018, arguing that the CAPS themselves are vested and that Honeywell must continue to provide retiree medical benefits at the capped level. On July 28, 2018, the District Court denied the UAW’s motion and entered a final judgment consistent with its March 2018 ruling. The UAW has appealed this decision to the Sixth Circuit Court of Appeals. Honeywell believes the District Court’s ruling will be upheld.</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believes that the Sixth Circuit Court of Appeals will reverse the District Court on that issue. In the event the Sixth Circuit were to sustain the District Court’s ruling on this issue, Honeywell would be liable for damages of at least $12 million.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Petrobras and Unaoil</w:t>
      </w:r>
      <w:r>
        <w:rPr>
          <w:rFonts w:ascii="Arial" w:cs="Arial" w:eastAsia="Arial" w:hAnsi="Arial"/>
          <w:sz w:val="18"/>
          <w:szCs w:val="18"/>
          <w:color w:val="auto"/>
        </w:rPr>
        <w:t>—We are cooperating with certain investigations by the U.S. Department of Justice (the “DOJ”),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Exchange Commission (the “SEC”) and Brazilian authorities relating to our use of 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39"/>
        </w:trPr>
        <w:tc>
          <w:tcPr>
            <w:tcW w:w="3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216"/>
        </w:trPr>
        <w:tc>
          <w:tcPr>
            <w:tcW w:w="386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FINANCIAL CONDITION AND RESULTS OF OPERATIONS</w:t>
            </w:r>
          </w:p>
        </w:tc>
      </w:tr>
      <w:tr>
        <w:trPr>
          <w:trHeight w:val="277"/>
        </w:trPr>
        <w:tc>
          <w:tcPr>
            <w:tcW w:w="386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is intended to help the reader understand the results of operations and financial condition of Honeywell International Inc. and its consolidated subsidiaries (“Honeywell” or “the Company”) for the three months (quarter) and six months ended June 30, 2019 . The financial information as of June 30, 2019 should be read in conjunction with the consolidated financial statements for the year ended December 31, 2018 contained in our 2018 Annual Report on Form 10-K.</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On October 1, 2018, the Company completed the tax-free spin-off to Honeywell shareowners of its Transportation Systems business, previously part of Aerospace, into a standalone publicly-traded company, Garrett Motion Inc. (“Garrett”).</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October 29, 2018, the Company completed the tax-free spin-off to Honeywell shareowners of its Homes and Global Distribution business, previously part of Home and Building Technologies (renamed Honeywell Building Technologies following the spin-off), into a standalone publicly-traded company, Resideo Technologies, Inc. (“Resideo”).</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assets and liabilities associated with Garrett and Resideo have been removed from the Company’s Consolidated Balance Sheet as of the effective dates of the respective spin-offs. The results of operations for Resideo are included in the Consolidated Statement of Operations through the effective dates of the respective spin-offs.</w:t>
      </w:r>
    </w:p>
    <w:p>
      <w:pPr>
        <w:spacing w:after="0" w:line="342" w:lineRule="exact"/>
        <w:rPr>
          <w:sz w:val="20"/>
          <w:szCs w:val="20"/>
          <w:color w:val="auto"/>
        </w:rPr>
      </w:pPr>
    </w:p>
    <w:p>
      <w:pPr>
        <w:ind w:left="380" w:hanging="345"/>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three and six months ended June 30, 2019 compared with the three and six months ended June 30, 2018</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480" w:type="dxa"/>
            <w:vAlign w:val="bottom"/>
            <w:gridSpan w:val="6"/>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56"/>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10,919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18,127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21,311</w:t>
            </w: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46"/>
        </w:trPr>
        <w:tc>
          <w:tcPr>
            <w:tcW w:w="7280" w:type="dxa"/>
            <w:vAlign w:val="bottom"/>
            <w:gridSpan w:val="4"/>
          </w:tcPr>
          <w:p>
            <w:pPr>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5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Year to Date</w:t>
            </w:r>
          </w:p>
        </w:tc>
      </w:tr>
      <w:tr>
        <w:trPr>
          <w:trHeight w:val="270"/>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5780" w:type="dxa"/>
            <w:vAlign w:val="bottom"/>
          </w:tcPr>
          <w:p>
            <w:pPr>
              <w:ind w:left="40"/>
              <w:spacing w:after="0"/>
              <w:rPr>
                <w:sz w:val="20"/>
                <w:szCs w:val="20"/>
                <w:color w:val="auto"/>
              </w:rPr>
            </w:pPr>
            <w:r>
              <w:rPr>
                <w:rFonts w:ascii="Arial" w:cs="Arial" w:eastAsia="Arial" w:hAnsi="Arial"/>
                <w:sz w:val="18"/>
                <w:szCs w:val="18"/>
                <w:color w:val="auto"/>
              </w:rPr>
              <w:t>Price</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7"/>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Acquisitions/Divestitures</w:t>
            </w:r>
          </w:p>
        </w:tc>
        <w:tc>
          <w:tcPr>
            <w:tcW w:w="2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5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5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Management Discussion and Analysis.</w:t>
      </w:r>
    </w:p>
    <w:p>
      <w:pPr>
        <w:spacing w:after="0" w:line="196"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unfavorable impact of foreign currency translation in the quarter and six months is driven by the strengthening of the U.S. Dollar in the majority of our international markets, primarily the Euro, Chinese Renminbi and British Pound.</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acquisitions/divestitures impact is primarily driven by the spin-off of the Transportation Systems and Homes and Global Distribution businesses.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54"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Cost of Products and Services Sold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2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6"/>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products and services sold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6,094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7,614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11,973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14,805</w:t>
            </w:r>
          </w:p>
        </w:tc>
      </w:tr>
      <w:tr>
        <w:trPr>
          <w:trHeight w:val="263"/>
        </w:trPr>
        <w:tc>
          <w:tcPr>
            <w:tcW w:w="568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5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percentage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bl>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products and services sold decreased in the quarter primarily due to lower direct material costs of approximately $1,120 million and lower labor costs of approximately $130 million (both driven by the spin-off of the Transportation Systems and Homes and Global Distribution businesses and productivity, partially offset by higher organic sales and inflation), and lower repositioning and other charges of approximately $140 million.</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products and services sold decreased in the six months primarily due to lower direct material costs of approximately $2,130 million and lower labor costs of approximately $280 million (both driven by the spin-off of the Transportation Systems and Homes and Global Distribution businesses and productivity, partially offset by higher organic sales and inflation), and lower repositioning and other charges of approximately $220 million.</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Gross margin percentage increased in the quarter primarily due to higher gross margin in the segments (approximately 2.0 percentage points), with higher Aerospace, Honeywell Building Technologies and Performance Materials and Technologies gross margins partially offset by lower Safety and Productivity Solutions segment gross margin, and due to the lower costs within cost of products and services sold for repositioning and other charges (approximately 1.6 percentage point impact) and pension service costs (approximately 0.2 percentage point impact).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Gross margin percentage increased in the six months primarily due to higher gross margin in the segments (approximately 2.0 percentage points), with higher Aerospace, Honeywell Building Technologies and Performance Materials and Technologies gross margins partially offset by lower Safety and Productivity Solutions segment gross margin, and due to the lower costs within cost of products and services sold for repositioning and other charges (approximately 1.2 percentage point impact) and pension service costs (approximately 0.2 percentage point impact).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4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8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6"/>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2,750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3,003</w:t>
            </w:r>
          </w:p>
        </w:tc>
      </w:tr>
      <w:tr>
        <w:trPr>
          <w:trHeight w:val="257"/>
        </w:trPr>
        <w:tc>
          <w:tcPr>
            <w:tcW w:w="5800" w:type="dxa"/>
            <w:vAlign w:val="bottom"/>
          </w:tcPr>
          <w:p>
            <w:pPr>
              <w:ind w:left="4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22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Selling, general and administrative expenses decreased $141 million and $253 million in the quarter and six months primarily due to the absence of costs of the Transportation Systems and Homes and Global Distribution businesses following their spin-offs, and the favorable impact of foreign currency translation, partially offset by inflation.</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(Income) Expense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76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02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bl>
    <w:p>
      <w:pPr>
        <w:spacing w:after="0" w:line="215" w:lineRule="exact"/>
        <w:rPr>
          <w:sz w:val="20"/>
          <w:szCs w:val="20"/>
          <w:color w:val="auto"/>
        </w:rPr>
      </w:pPr>
    </w:p>
    <w:p>
      <w:pPr>
        <w:jc w:val="both"/>
        <w:ind w:firstLine="742"/>
        <w:spacing w:after="0" w:line="262" w:lineRule="auto"/>
        <w:rPr>
          <w:sz w:val="20"/>
          <w:szCs w:val="20"/>
          <w:color w:val="auto"/>
        </w:rPr>
      </w:pPr>
      <w:r>
        <w:rPr>
          <w:rFonts w:ascii="Arial" w:cs="Arial" w:eastAsia="Arial" w:hAnsi="Arial"/>
          <w:sz w:val="18"/>
          <w:szCs w:val="18"/>
          <w:color w:val="auto"/>
        </w:rPr>
        <w:t>Other income decreased for the quarter primarily due to lower pension non-service income, partially offset by the absence of separation costs, higher interest income, and higher foreign exchange income.</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Other income increased for the six months primarily due to the absence of separation costs, higher interest income, and higher foreign exchange income, partially offset by lower pension non-service income.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6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Tax Expense (Benefit)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48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vMerge w:val="restart"/>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0"/>
        </w:trPr>
        <w:tc>
          <w:tcPr>
            <w:tcW w:w="57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expense (benefit)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57"/>
        </w:trPr>
        <w:tc>
          <w:tcPr>
            <w:tcW w:w="57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decreased for the quarter and six months primarily from tax costs incurred in the prior year related to the 2018 spin-offs and increased tax benefits for employee share-based compensation.</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effective tax rate for the quarter and six months ended June 30, 2019 was higher than the U.S. federal statutory rate of 21% primarily from incremental tax reserves and state taxes, partially offset by foreign earnings taxed at lower foreign tax rates.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effective tax rate for the quarter and six months ended June 30, 2018 was higher than the U.S. federal statutory rate of 21% primarily from tax costs associated with the internal restructuring of the Transportation Systems business in advance of its anticipated spin-off, state income taxes and U.S. tax reform’s expansion of the anti-deferral rules that impose U.S. taxes on foreign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4"/>
        </w:trPr>
        <w:tc>
          <w:tcPr>
            <w:tcW w:w="6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0"/>
        </w:trPr>
        <w:tc>
          <w:tcPr>
            <w:tcW w:w="60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Honeywell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2,957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Earnings per share of common stock – assuming dilution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Earnings per share of common stock – assuming dilution increased in the quarter and six months primarily driven by lower tax costs, increased operational segment profit, lower repositioning and other charges and the favorable impact of lower share count, partially offset by lower segment profit associated with the spin-offs and lower pension ongoing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8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7"/>
                <w:szCs w:val="17"/>
                <w:color w:val="auto"/>
              </w:rPr>
            </w:pPr>
          </w:p>
        </w:tc>
        <w:tc>
          <w:tcPr>
            <w:tcW w:w="2900" w:type="dxa"/>
            <w:vAlign w:val="bottom"/>
            <w:gridSpan w:val="6"/>
          </w:tcPr>
          <w:p>
            <w:pPr>
              <w:jc w:val="right"/>
              <w:ind w:right="519"/>
              <w:spacing w:after="0"/>
              <w:rPr>
                <w:sz w:val="20"/>
                <w:szCs w:val="20"/>
                <w:color w:val="auto"/>
              </w:rPr>
            </w:pPr>
            <w:r>
              <w:rPr>
                <w:rFonts w:ascii="Arial" w:cs="Arial" w:eastAsia="Arial" w:hAnsi="Arial"/>
                <w:sz w:val="14"/>
                <w:szCs w:val="14"/>
                <w:b w:val="1"/>
                <w:bCs w:val="1"/>
                <w:color w:val="auto"/>
              </w:rPr>
              <w:t>Six Months Ended June 30,</w:t>
            </w:r>
          </w:p>
        </w:tc>
      </w:tr>
      <w:tr>
        <w:trPr>
          <w:trHeight w:val="175"/>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7"/>
                <w:szCs w:val="17"/>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040" w:type="dxa"/>
            <w:vAlign w:val="bottom"/>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16"/>
        </w:trPr>
        <w:tc>
          <w:tcPr>
            <w:tcW w:w="5120" w:type="dxa"/>
            <w:vAlign w:val="bottom"/>
            <w:tcBorders>
              <w:top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Aerospace sales</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auto"/>
            </w:tcBorders>
            <w:shd w:val="clear" w:color="auto" w:fill="CCEEFF"/>
          </w:tcPr>
          <w:p>
            <w:pPr>
              <w:spacing w:after="0"/>
              <w:rPr>
                <w:sz w:val="2"/>
                <w:szCs w:val="2"/>
                <w:color w:val="auto"/>
              </w:rPr>
            </w:pPr>
          </w:p>
        </w:tc>
        <w:tc>
          <w:tcPr>
            <w:tcW w:w="17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63"/>
        </w:trPr>
        <w:tc>
          <w:tcPr>
            <w:tcW w:w="40" w:type="dxa"/>
            <w:vAlign w:val="bottom"/>
          </w:tcPr>
          <w:p>
            <w:pPr>
              <w:spacing w:after="0"/>
              <w:rPr>
                <w:sz w:val="22"/>
                <w:szCs w:val="22"/>
                <w:color w:val="auto"/>
              </w:rPr>
            </w:pPr>
          </w:p>
        </w:tc>
        <w:tc>
          <w:tcPr>
            <w:tcW w:w="5080" w:type="dxa"/>
            <w:vAlign w:val="bottom"/>
            <w:gridSpan w:val="5"/>
          </w:tcPr>
          <w:p>
            <w:pPr>
              <w:ind w:left="140"/>
              <w:spacing w:after="0"/>
              <w:rPr>
                <w:sz w:val="20"/>
                <w:szCs w:val="20"/>
                <w:color w:val="auto"/>
              </w:rPr>
            </w:pPr>
            <w:r>
              <w:rPr>
                <w:rFonts w:ascii="Arial" w:cs="Arial" w:eastAsia="Arial" w:hAnsi="Arial"/>
                <w:sz w:val="18"/>
                <w:szCs w:val="18"/>
                <w:color w:val="auto"/>
              </w:rPr>
              <w:t>Commercial Aviation Original Equipment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1,407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7"/>
        </w:trPr>
        <w:tc>
          <w:tcPr>
            <w:tcW w:w="40" w:type="dxa"/>
            <w:vAlign w:val="bottom"/>
            <w:shd w:val="clear" w:color="auto" w:fill="CCEEFF"/>
          </w:tcPr>
          <w:p>
            <w:pPr>
              <w:spacing w:after="0"/>
              <w:rPr>
                <w:sz w:val="24"/>
                <w:szCs w:val="24"/>
                <w:color w:val="auto"/>
              </w:rPr>
            </w:pPr>
          </w:p>
        </w:tc>
        <w:tc>
          <w:tcPr>
            <w:tcW w:w="50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Commercial Aviation Aftermarket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2,594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40" w:type="dxa"/>
            <w:vAlign w:val="bottom"/>
          </w:tcPr>
          <w:p>
            <w:pPr>
              <w:spacing w:after="0"/>
              <w:rPr>
                <w:sz w:val="22"/>
                <w:szCs w:val="22"/>
                <w:color w:val="auto"/>
              </w:rPr>
            </w:pPr>
          </w:p>
        </w:tc>
        <w:tc>
          <w:tcPr>
            <w:tcW w:w="5080" w:type="dxa"/>
            <w:vAlign w:val="bottom"/>
            <w:gridSpan w:val="5"/>
          </w:tcPr>
          <w:p>
            <w:pPr>
              <w:ind w:left="140"/>
              <w:spacing w:after="0"/>
              <w:rPr>
                <w:sz w:val="20"/>
                <w:szCs w:val="20"/>
                <w:color w:val="auto"/>
              </w:rPr>
            </w:pPr>
            <w:r>
              <w:rPr>
                <w:rFonts w:ascii="Arial" w:cs="Arial" w:eastAsia="Arial" w:hAnsi="Arial"/>
                <w:sz w:val="18"/>
                <w:szCs w:val="18"/>
                <w:color w:val="auto"/>
              </w:rPr>
              <w:t>Defense and Space</w:t>
            </w:r>
          </w:p>
        </w:tc>
        <w:tc>
          <w:tcPr>
            <w:tcW w:w="2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70"/>
        </w:trPr>
        <w:tc>
          <w:tcPr>
            <w:tcW w:w="40" w:type="dxa"/>
            <w:vAlign w:val="bottom"/>
            <w:shd w:val="clear" w:color="auto" w:fill="CCEEFF"/>
          </w:tcPr>
          <w:p>
            <w:pPr>
              <w:spacing w:after="0"/>
              <w:rPr>
                <w:sz w:val="23"/>
                <w:szCs w:val="23"/>
                <w:color w:val="auto"/>
              </w:rPr>
            </w:pPr>
          </w:p>
        </w:tc>
        <w:tc>
          <w:tcPr>
            <w:tcW w:w="50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Transportation Systems</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1,820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0"/>
        </w:trPr>
        <w:tc>
          <w:tcPr>
            <w:tcW w:w="40" w:type="dxa"/>
            <w:vAlign w:val="bottom"/>
          </w:tcPr>
          <w:p>
            <w:pPr>
              <w:spacing w:after="0"/>
              <w:rPr>
                <w:sz w:val="21"/>
                <w:szCs w:val="21"/>
                <w:color w:val="auto"/>
              </w:rPr>
            </w:pPr>
          </w:p>
        </w:tc>
        <w:tc>
          <w:tcPr>
            <w:tcW w:w="5080" w:type="dxa"/>
            <w:vAlign w:val="bottom"/>
            <w:gridSpan w:val="5"/>
          </w:tcPr>
          <w:p>
            <w:pPr>
              <w:ind w:left="240"/>
              <w:spacing w:after="0"/>
              <w:rPr>
                <w:sz w:val="20"/>
                <w:szCs w:val="20"/>
                <w:color w:val="auto"/>
              </w:rPr>
            </w:pPr>
            <w:r>
              <w:rPr>
                <w:rFonts w:ascii="Arial" w:cs="Arial" w:eastAsia="Arial" w:hAnsi="Arial"/>
                <w:sz w:val="18"/>
                <w:szCs w:val="18"/>
                <w:color w:val="auto"/>
              </w:rPr>
              <w:t>Total Aerospace sales</w:t>
            </w: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6,849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8,035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512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Honeywell Building Technologies sales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30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Homes</w:t>
            </w:r>
          </w:p>
        </w:tc>
        <w:tc>
          <w:tcPr>
            <w:tcW w:w="2000" w:type="dxa"/>
            <w:vAlign w:val="bottom"/>
            <w:tcBorders>
              <w:top w:val="single" w:sz="8" w:color="CCEEFF"/>
            </w:tcBorders>
            <w:gridSpan w:val="3"/>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1,190</w:t>
            </w:r>
          </w:p>
        </w:tc>
        <w:tc>
          <w:tcPr>
            <w:tcW w:w="1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2,347</w:t>
            </w:r>
          </w:p>
        </w:tc>
        <w:tc>
          <w:tcPr>
            <w:tcW w:w="1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40" w:type="dxa"/>
            <w:vAlign w:val="bottom"/>
            <w:shd w:val="clear" w:color="auto" w:fill="CCEEFF"/>
          </w:tcPr>
          <w:p>
            <w:pPr>
              <w:spacing w:after="0"/>
              <w:rPr>
                <w:sz w:val="23"/>
                <w:szCs w:val="23"/>
                <w:color w:val="auto"/>
              </w:rPr>
            </w:pPr>
          </w:p>
        </w:tc>
        <w:tc>
          <w:tcPr>
            <w:tcW w:w="50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Buildings</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2,632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50"/>
        </w:trPr>
        <w:tc>
          <w:tcPr>
            <w:tcW w:w="40" w:type="dxa"/>
            <w:vAlign w:val="bottom"/>
          </w:tcPr>
          <w:p>
            <w:pPr>
              <w:spacing w:after="0"/>
              <w:rPr>
                <w:sz w:val="21"/>
                <w:szCs w:val="21"/>
                <w:color w:val="auto"/>
              </w:rPr>
            </w:pPr>
          </w:p>
        </w:tc>
        <w:tc>
          <w:tcPr>
            <w:tcW w:w="5080" w:type="dxa"/>
            <w:vAlign w:val="bottom"/>
            <w:gridSpan w:val="5"/>
          </w:tcPr>
          <w:p>
            <w:pPr>
              <w:ind w:left="240"/>
              <w:spacing w:after="0"/>
              <w:rPr>
                <w:sz w:val="20"/>
                <w:szCs w:val="20"/>
                <w:color w:val="auto"/>
              </w:rPr>
            </w:pPr>
            <w:r>
              <w:rPr>
                <w:rFonts w:ascii="Arial" w:cs="Arial" w:eastAsia="Arial" w:hAnsi="Arial"/>
                <w:sz w:val="18"/>
                <w:szCs w:val="18"/>
                <w:color w:val="auto"/>
              </w:rPr>
              <w:t>Total Honeywell Building Technologies sales</w:t>
            </w:r>
          </w:p>
        </w:tc>
        <w:tc>
          <w:tcPr>
            <w:tcW w:w="2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512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Performance Materials and Technologies sales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40" w:type="dxa"/>
            <w:vAlign w:val="bottom"/>
            <w:tcBorders>
              <w:top w:val="single" w:sz="8" w:color="CCEEFF"/>
            </w:tcBorders>
          </w:tcPr>
          <w:p>
            <w:pPr>
              <w:spacing w:after="0"/>
              <w:rPr>
                <w:sz w:val="22"/>
                <w:szCs w:val="22"/>
                <w:color w:val="auto"/>
              </w:rPr>
            </w:pPr>
          </w:p>
        </w:tc>
        <w:tc>
          <w:tcPr>
            <w:tcW w:w="3720" w:type="dxa"/>
            <w:vAlign w:val="bottom"/>
            <w:tcBorders>
              <w:top w:val="single" w:sz="8" w:color="auto"/>
            </w:tcBorders>
            <w:gridSpan w:val="4"/>
          </w:tcPr>
          <w:p>
            <w:pPr>
              <w:ind w:left="140"/>
              <w:spacing w:after="0"/>
              <w:rPr>
                <w:sz w:val="20"/>
                <w:szCs w:val="20"/>
                <w:color w:val="auto"/>
              </w:rPr>
            </w:pPr>
            <w:r>
              <w:rPr>
                <w:rFonts w:ascii="Arial" w:cs="Arial" w:eastAsia="Arial" w:hAnsi="Arial"/>
                <w:sz w:val="18"/>
                <w:szCs w:val="18"/>
                <w:color w:val="auto"/>
              </w:rPr>
              <w:t>UOP</w:t>
            </w:r>
          </w:p>
        </w:tc>
        <w:tc>
          <w:tcPr>
            <w:tcW w:w="13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678</w:t>
            </w:r>
          </w:p>
        </w:tc>
        <w:tc>
          <w:tcPr>
            <w:tcW w:w="1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jc w:val="right"/>
              <w:ind w:right="31"/>
              <w:spacing w:after="0"/>
              <w:rPr>
                <w:sz w:val="20"/>
                <w:szCs w:val="20"/>
                <w:color w:val="auto"/>
              </w:rPr>
            </w:pPr>
            <w:r>
              <w:rPr>
                <w:rFonts w:ascii="Arial" w:cs="Arial" w:eastAsia="Arial" w:hAnsi="Arial"/>
                <w:sz w:val="18"/>
                <w:szCs w:val="18"/>
                <w:color w:val="auto"/>
              </w:rPr>
              <w:t>1,290</w:t>
            </w:r>
          </w:p>
        </w:tc>
        <w:tc>
          <w:tcPr>
            <w:tcW w:w="11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r>
      <w:tr>
        <w:trPr>
          <w:trHeight w:val="277"/>
        </w:trPr>
        <w:tc>
          <w:tcPr>
            <w:tcW w:w="40" w:type="dxa"/>
            <w:vAlign w:val="bottom"/>
            <w:shd w:val="clear" w:color="auto" w:fill="CCEEFF"/>
          </w:tcPr>
          <w:p>
            <w:pPr>
              <w:spacing w:after="0"/>
              <w:rPr>
                <w:sz w:val="24"/>
                <w:szCs w:val="24"/>
                <w:color w:val="auto"/>
              </w:rPr>
            </w:pPr>
          </w:p>
        </w:tc>
        <w:tc>
          <w:tcPr>
            <w:tcW w:w="50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Process Solutions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64"/>
        </w:trPr>
        <w:tc>
          <w:tcPr>
            <w:tcW w:w="40" w:type="dxa"/>
            <w:vAlign w:val="bottom"/>
            <w:tcBorders>
              <w:bottom w:val="single" w:sz="8" w:color="CCEEFF"/>
            </w:tcBorders>
          </w:tcPr>
          <w:p>
            <w:pPr>
              <w:spacing w:after="0"/>
              <w:rPr>
                <w:sz w:val="22"/>
                <w:szCs w:val="22"/>
                <w:color w:val="auto"/>
              </w:rPr>
            </w:pPr>
          </w:p>
        </w:tc>
        <w:tc>
          <w:tcPr>
            <w:tcW w:w="508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Advanced Materials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40" w:type="dxa"/>
            <w:vAlign w:val="bottom"/>
            <w:shd w:val="clear" w:color="auto" w:fill="CCEEFF"/>
          </w:tcPr>
          <w:p>
            <w:pPr>
              <w:spacing w:after="0"/>
              <w:rPr>
                <w:sz w:val="22"/>
                <w:szCs w:val="22"/>
                <w:color w:val="auto"/>
              </w:rPr>
            </w:pPr>
          </w:p>
        </w:tc>
        <w:tc>
          <w:tcPr>
            <w:tcW w:w="50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Performance Materials and Technologies sales</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5120" w:type="dxa"/>
            <w:vAlign w:val="bottom"/>
            <w:gridSpan w:val="6"/>
          </w:tcPr>
          <w:p>
            <w:pPr>
              <w:ind w:left="40"/>
              <w:spacing w:after="0"/>
              <w:rPr>
                <w:sz w:val="20"/>
                <w:szCs w:val="20"/>
                <w:color w:val="auto"/>
              </w:rPr>
            </w:pPr>
            <w:r>
              <w:rPr>
                <w:rFonts w:ascii="Arial" w:cs="Arial" w:eastAsia="Arial" w:hAnsi="Arial"/>
                <w:sz w:val="18"/>
                <w:szCs w:val="18"/>
                <w:color w:val="auto"/>
              </w:rPr>
              <w:t>Safety and Productivity Solutions sales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08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Safety</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40" w:type="dxa"/>
            <w:vAlign w:val="bottom"/>
            <w:tcBorders>
              <w:bottom w:val="single" w:sz="8" w:color="CCEEFF"/>
            </w:tcBorders>
          </w:tcPr>
          <w:p>
            <w:pPr>
              <w:spacing w:after="0"/>
              <w:rPr>
                <w:sz w:val="22"/>
                <w:szCs w:val="22"/>
                <w:color w:val="auto"/>
              </w:rPr>
            </w:pPr>
          </w:p>
        </w:tc>
        <w:tc>
          <w:tcPr>
            <w:tcW w:w="5080" w:type="dxa"/>
            <w:vAlign w:val="bottom"/>
            <w:tcBorders>
              <w:bottom w:val="single" w:sz="8" w:color="CCEEFF"/>
            </w:tcBorders>
            <w:gridSpan w:val="5"/>
          </w:tcPr>
          <w:p>
            <w:pPr>
              <w:ind w:left="140"/>
              <w:spacing w:after="0"/>
              <w:rPr>
                <w:sz w:val="20"/>
                <w:szCs w:val="20"/>
                <w:color w:val="auto"/>
              </w:rPr>
            </w:pPr>
            <w:r>
              <w:rPr>
                <w:rFonts w:ascii="Arial" w:cs="Arial" w:eastAsia="Arial" w:hAnsi="Arial"/>
                <w:sz w:val="18"/>
                <w:szCs w:val="18"/>
                <w:color w:val="auto"/>
              </w:rPr>
              <w:t>Productivity Solutions</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1,052</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1,949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40" w:type="dxa"/>
            <w:vAlign w:val="bottom"/>
            <w:shd w:val="clear" w:color="auto" w:fill="CCEEFF"/>
          </w:tcPr>
          <w:p>
            <w:pPr>
              <w:spacing w:after="0"/>
              <w:rPr>
                <w:sz w:val="21"/>
                <w:szCs w:val="21"/>
                <w:color w:val="auto"/>
              </w:rPr>
            </w:pPr>
          </w:p>
        </w:tc>
        <w:tc>
          <w:tcPr>
            <w:tcW w:w="50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Total Safety and Productivity Solutions sales</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3,132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7"/>
        </w:trPr>
        <w:tc>
          <w:tcPr>
            <w:tcW w:w="5120" w:type="dxa"/>
            <w:vAlign w:val="bottom"/>
            <w:gridSpan w:val="6"/>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9,243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21,311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Aerospace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6,849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8,035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907</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1,745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696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6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6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60" w:type="dxa"/>
            <w:vAlign w:val="bottom"/>
          </w:tcPr>
          <w:p>
            <w:pPr>
              <w:ind w:left="18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6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69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696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Aerospace sales decreased in the quarter and six months ended June 30, 2019 due to the divestiture impacts following the spin-off of the Transportation Systems business, partially offset by an increase in organic sales growth.</w:t>
      </w:r>
    </w:p>
    <w:p>
      <w:pPr>
        <w:spacing w:after="0" w:line="196" w:lineRule="exact"/>
        <w:rPr>
          <w:sz w:val="20"/>
          <w:szCs w:val="20"/>
          <w:color w:val="auto"/>
        </w:rPr>
      </w:pPr>
    </w:p>
    <w:p>
      <w:pPr>
        <w:ind w:left="840" w:hanging="332"/>
        <w:spacing w:after="0" w:line="262"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3% (increased 4% organic) in the quarter and 6% (increased 7% organic) in the six months primarily due to increased demand from business aviation customers.</w:t>
      </w:r>
    </w:p>
    <w:p>
      <w:pPr>
        <w:spacing w:after="0" w:line="196" w:lineRule="exact"/>
        <w:rPr>
          <w:rFonts w:ascii="Arial" w:cs="Arial" w:eastAsia="Arial" w:hAnsi="Arial"/>
          <w:sz w:val="18"/>
          <w:szCs w:val="18"/>
          <w:color w:val="auto"/>
        </w:rPr>
      </w:pPr>
    </w:p>
    <w:p>
      <w:pPr>
        <w:ind w:left="840" w:hanging="332"/>
        <w:spacing w:after="0" w:line="262"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Commercial Aviation Aftermarket sales increased 7% (increased 8% organic) in the quarter and six months with growth in both air transport and regional, and business aviation.</w:t>
      </w:r>
    </w:p>
    <w:p>
      <w:pPr>
        <w:spacing w:after="0" w:line="196" w:lineRule="exact"/>
        <w:rPr>
          <w:rFonts w:ascii="Arial" w:cs="Arial" w:eastAsia="Arial" w:hAnsi="Arial"/>
          <w:sz w:val="18"/>
          <w:szCs w:val="18"/>
          <w:color w:val="auto"/>
        </w:rPr>
      </w:pPr>
    </w:p>
    <w:p>
      <w:pPr>
        <w:ind w:left="840" w:hanging="332"/>
        <w:spacing w:after="0" w:line="262"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Defense and Space sales increased 20% (increased 20% organic) in the quarter and 16% (increased 17% organic) in the six months primarily driven by growth in U.S. and international defense.</w:t>
      </w:r>
    </w:p>
    <w:p>
      <w:pPr>
        <w:spacing w:after="0" w:line="196"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Aerospace segment profit decreased in the quarter and six months due to the divestiture impacts following the spin-off of the Transportation Systems business, partially offset by an increase in operational segment profit, driven by volume and price. Cost of products and services sold decreased in the quarter and six month due to the spin-off of the Transportation Systems business, partially offset by higher organic sales volumes.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Honeywell Building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5"/>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2,839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3,274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427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696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6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6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60" w:type="dxa"/>
            <w:vAlign w:val="bottom"/>
          </w:tcPr>
          <w:p>
            <w:pPr>
              <w:ind w:left="18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49"/>
        </w:trPr>
        <w:tc>
          <w:tcPr>
            <w:tcW w:w="6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77"/>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57"/>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 change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Honeywell Building Technologies sales decreased in the quarter and six months ended June 30, 2019 due to the divestiture impacts following the spin-off of the Homes business and the unfavorable impact of foreign currency, partially offset by an increase in organic growth.</w:t>
      </w:r>
    </w:p>
    <w:p>
      <w:pPr>
        <w:spacing w:after="0" w:line="196" w:lineRule="exact"/>
        <w:rPr>
          <w:sz w:val="20"/>
          <w:szCs w:val="20"/>
          <w:color w:val="auto"/>
        </w:rPr>
      </w:pPr>
    </w:p>
    <w:p>
      <w:pPr>
        <w:jc w:val="both"/>
        <w:ind w:left="840" w:hanging="332"/>
        <w:spacing w:after="0" w:line="256"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Building Technologies, excluding the Homes divestiture and related impacts, increased 7% (increased 5% organic) in the quarter and increased 8% (increased 7% organic) in the six months primarily due to higher organic sales growth in both Building Products and Solutions.</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Honeywell Building Technologies segment profit decreased in the quarter and six months due to the divestiture impacts following the spin-off of the Homes business and the unfavorable impact of foreign currency translation, partially offset by an increase in operational segment profit. The increase in operational segment profit in the quarter was primarily driven by price, organic sales volume, and productivity, partially offset by inflation. The increase in operational segment profit for the six months was primarily due to higher organic sales volume and price, partially offset by inflation. Cost of products and services sold decreased in the quarter and six months due to the Homes divestiture and the favorable impact of foreign currency translation, partially offset by higher organic sales volumes.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6"/>
        </w:trPr>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75"/>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r>
      <w:tr>
        <w:trPr>
          <w:trHeight w:val="196"/>
        </w:trPr>
        <w:tc>
          <w:tcPr>
            <w:tcW w:w="5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r>
      <w:tr>
        <w:trPr>
          <w:trHeight w:val="256"/>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524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644</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1,208</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6980" w:type="dxa"/>
            <w:vAlign w:val="bottom"/>
          </w:tcPr>
          <w:p>
            <w:pPr>
              <w:spacing w:after="0"/>
              <w:rPr>
                <w:sz w:val="15"/>
                <w:szCs w:val="15"/>
                <w:color w:val="auto"/>
              </w:rPr>
            </w:pPr>
          </w:p>
        </w:tc>
        <w:tc>
          <w:tcPr>
            <w:tcW w:w="22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8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21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6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Segment</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698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6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63"/>
        </w:trPr>
        <w:tc>
          <w:tcPr>
            <w:tcW w:w="69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6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Performance Materials and Technologies sales increased in the quarter and six months ended June 30, 2019 primarily due to organic growth, partially offset by the unfavorable impact of foreign currency translation.</w:t>
      </w:r>
    </w:p>
    <w:p>
      <w:pPr>
        <w:spacing w:after="0" w:line="196" w:lineRule="exact"/>
        <w:rPr>
          <w:sz w:val="20"/>
          <w:szCs w:val="20"/>
          <w:color w:val="auto"/>
        </w:rPr>
      </w:pPr>
    </w:p>
    <w:p>
      <w:pPr>
        <w:jc w:val="both"/>
        <w:ind w:left="500" w:hanging="316"/>
        <w:spacing w:after="0" w:line="25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UOP sales increased 4% (increased 5% organic) in the quarter driven primarily by growth in licensing revenues and increased catalyst sales volumes, partially offset by lower gas processing equipment volumes. UOP sales increased 2% (increased 3% organic) in the six months driven primarily by growth in licensing revenues, partially offset by lower gas processing equipment volumes.</w:t>
      </w:r>
    </w:p>
    <w:p>
      <w:pPr>
        <w:spacing w:after="0" w:line="201" w:lineRule="exact"/>
        <w:rPr>
          <w:rFonts w:ascii="Arial" w:cs="Arial" w:eastAsia="Arial" w:hAnsi="Arial"/>
          <w:sz w:val="18"/>
          <w:szCs w:val="18"/>
          <w:color w:val="auto"/>
        </w:rPr>
      </w:pPr>
    </w:p>
    <w:p>
      <w:pPr>
        <w:jc w:val="both"/>
        <w:ind w:left="500" w:hanging="316"/>
        <w:spacing w:after="0" w:line="256"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Process Solutions sales increased 1% (increased 5% organic) in the quarter primarily driven by increases in maintenance and migration services, partially offset by a decline in projects. Process Solutions sales increased 2% (increased 6% organic) in the six months driven primarily by increases in maintenance and migration services and field products, partially offset by decreased smart energy volumes.</w:t>
      </w:r>
    </w:p>
    <w:p>
      <w:pPr>
        <w:spacing w:after="0" w:line="201" w:lineRule="exact"/>
        <w:rPr>
          <w:rFonts w:ascii="Arial" w:cs="Arial" w:eastAsia="Arial" w:hAnsi="Arial"/>
          <w:sz w:val="18"/>
          <w:szCs w:val="18"/>
          <w:color w:val="auto"/>
        </w:rPr>
      </w:pPr>
    </w:p>
    <w:p>
      <w:pPr>
        <w:ind w:left="500" w:right="20" w:hanging="316"/>
        <w:spacing w:after="0" w:line="262"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Materials sales were flat in the quarter and in the six months (increased 2% and 3% organic, respectively) driven primarily by increases in fluorine products, offset by decreases in specialty products.</w:t>
      </w:r>
    </w:p>
    <w:p>
      <w:pPr>
        <w:spacing w:after="0" w:line="1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Performance Materials and Technologies segment profit increased in the quarter and six months due to an increase in operational segment profit, partially offset by the unfavorable impact of foreign currency translation. The increase in operational segment profit in the quarter is primarily due to productivity, net of inflation, price, and higher sales volumes. The increase in operational segment profit in the six months is primarily due to price, higher sales volumes, and productivity, net of inflation. Cost of products and services sold decreased in the quarter and six months primarily due to the favorable impact of foreign currency translation and productivity, net of inflation, partially offset by higher sales volumes.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gridSpan w:val="6"/>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7"/>
                <w:szCs w:val="17"/>
                <w:color w:val="auto"/>
              </w:rPr>
            </w:pPr>
          </w:p>
        </w:tc>
      </w:tr>
      <w:tr>
        <w:trPr>
          <w:trHeight w:val="175"/>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r>
      <w:tr>
        <w:trPr>
          <w:trHeight w:val="196"/>
        </w:trPr>
        <w:tc>
          <w:tcPr>
            <w:tcW w:w="5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r>
      <w:tr>
        <w:trPr>
          <w:trHeight w:val="25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3,132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5120" w:type="dxa"/>
            <w:vAlign w:val="bottom"/>
          </w:tcPr>
          <w:p>
            <w:pPr>
              <w:ind w:left="2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Segment profit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2019 vs. 2018</w:t>
            </w:r>
          </w:p>
        </w:tc>
        <w:tc>
          <w:tcPr>
            <w:tcW w:w="1040" w:type="dxa"/>
            <w:vAlign w:val="bottom"/>
            <w:tcBorders>
              <w:bottom w:val="single" w:sz="8" w:color="auto"/>
            </w:tcBorders>
          </w:tcPr>
          <w:p>
            <w:pPr>
              <w:spacing w:after="0"/>
              <w:rPr>
                <w:sz w:val="17"/>
                <w:szCs w:val="17"/>
                <w:color w:val="auto"/>
              </w:rPr>
            </w:pPr>
          </w:p>
        </w:tc>
      </w:tr>
      <w:tr>
        <w:trPr>
          <w:trHeight w:val="175"/>
        </w:trPr>
        <w:tc>
          <w:tcPr>
            <w:tcW w:w="7000" w:type="dxa"/>
            <w:vAlign w:val="bottom"/>
          </w:tcPr>
          <w:p>
            <w:pPr>
              <w:spacing w:after="0"/>
              <w:rPr>
                <w:sz w:val="15"/>
                <w:szCs w:val="15"/>
                <w:color w:val="auto"/>
              </w:rPr>
            </w:pPr>
          </w:p>
        </w:tc>
        <w:tc>
          <w:tcPr>
            <w:tcW w:w="226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00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Segment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rPr>
              <w:t>Segment</w:t>
            </w:r>
          </w:p>
        </w:tc>
      </w:tr>
      <w:tr>
        <w:trPr>
          <w:trHeight w:val="196"/>
        </w:trPr>
        <w:tc>
          <w:tcPr>
            <w:tcW w:w="7000" w:type="dxa"/>
            <w:vAlign w:val="bottom"/>
          </w:tcPr>
          <w:p>
            <w:pPr>
              <w:ind w:left="18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Sales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Profit</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Sales</w:t>
            </w: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Profit</w:t>
            </w:r>
          </w:p>
        </w:tc>
      </w:tr>
      <w:tr>
        <w:trPr>
          <w:trHeight w:val="256"/>
        </w:trPr>
        <w:tc>
          <w:tcPr>
            <w:tcW w:w="7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Organic growth/ Operational segment profit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700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Acquisitions, divestitures, and other,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7000" w:type="dxa"/>
            <w:vAlign w:val="bottom"/>
          </w:tcPr>
          <w:p>
            <w:pPr>
              <w:ind w:left="40"/>
              <w:spacing w:after="0"/>
              <w:rPr>
                <w:sz w:val="20"/>
                <w:szCs w:val="20"/>
                <w:color w:val="auto"/>
              </w:rPr>
            </w:pPr>
            <w:r>
              <w:rPr>
                <w:rFonts w:ascii="Arial" w:cs="Arial" w:eastAsia="Arial" w:hAnsi="Arial"/>
                <w:sz w:val="18"/>
                <w:szCs w:val="18"/>
                <w:color w:val="auto"/>
              </w:rPr>
              <w:t>Total % change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Safety and Productivity Solutions sales decreased for the quarter ended June 30, 2019 primarily due to lower organic sales and the unfavorable impact of foreign currency translation, partially offset by acquisitions. Sales increased for the six months ended June 30, 2019 primarily due to organic sales growth and acquisitions, partially offset by the unfavorable impact of foreign currency translation.</w:t>
      </w:r>
    </w:p>
    <w:p>
      <w:pPr>
        <w:spacing w:after="0" w:line="121" w:lineRule="exact"/>
        <w:rPr>
          <w:sz w:val="20"/>
          <w:szCs w:val="20"/>
          <w:color w:val="auto"/>
        </w:rPr>
      </w:pP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in Safety decreased 1% (increased 1% organic) for the quarter and decreased 2% (increased 1% organic) for the six months. The decreases in sales were driven by the unfavorable impact of foreign currency translation partially offset by favorable pricing.</w:t>
      </w:r>
    </w:p>
    <w:p>
      <w:pPr>
        <w:spacing w:after="0" w:line="196"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in Productivity Solutions decreased 6% (decreased 7% organic) for the quarter and increased 5% (increased 3% organic) for the six months. The decrease in sales for the quarter is primarily attributable to lower sales volumes in Productivity Products and the unfavorable impact of foreign currency translation, partially offset by acquisitions. The increase in sales for the six months is primarily attributable to higher sales volumes, favorable pricing and the impact of acquisitions in Warehouse and Workflow Solutions, partially offset by lower sales volumes in Productivity Products and the unfavorable impact of foreign currency translation.</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Safety and Productivity Solutions segment profit decreased 28% (decreased 28% organic) for the quarter and decreased 19% (decreased 18% organic) for the six months as a result of lower operational segment profit and the unfavorable impact of foreign currency translation, partially offset by acquisitions. The decreases in operational segment profit were primarily due to lower sales volumes in Productivity Products and higher sales of lower margin products, partially offset by favorable pricing. Cost of products and services sold was roughly flat for the quarter. For the six months, cost of products and services sold increased primarily due to higher organic sales, acquisitions, and inflation partially offset by higher productivity.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spending related to our repositioning actions was $92 million in the six months ended June 30, 2019 and was funded through operating cash flows. We expect cash spending for repositioning actions to be approximately $300 million in 2019 and to be funded through operating cash flows.</w:t>
      </w:r>
    </w:p>
    <w:p>
      <w:pPr>
        <w:spacing w:after="0" w:line="342" w:lineRule="exact"/>
        <w:rPr>
          <w:sz w:val="20"/>
          <w:szCs w:val="20"/>
          <w:color w:val="auto"/>
        </w:rPr>
      </w:pPr>
    </w:p>
    <w:p>
      <w:pPr>
        <w:ind w:right="8140" w:firstLine="35"/>
        <w:spacing w:after="0" w:line="553" w:lineRule="auto"/>
        <w:tabs>
          <w:tab w:leader="none" w:pos="52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Liquidity and Capital Resources </w:t>
      </w:r>
      <w:r>
        <w:rPr>
          <w:rFonts w:ascii="Arial" w:cs="Arial" w:eastAsia="Arial" w:hAnsi="Arial"/>
          <w:sz w:val="18"/>
          <w:szCs w:val="18"/>
          <w:b w:val="1"/>
          <w:bCs w:val="1"/>
          <w:color w:val="auto"/>
        </w:rPr>
        <w:t>Cash Flow Summary</w:t>
      </w:r>
    </w:p>
    <w:p>
      <w:pPr>
        <w:spacing w:after="0" w:line="96"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for):</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2,997</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1,605</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1,023</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provided by operating activities decreased by $185 million primarily due to a $315 million unfavorable impact from working capital (primarily accounts payable and inventory) and increased cash tax payments of $167 million, partially offset by lower net payments for repositioning and other charges of $243 million.</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investing activities increased by $1,948 million primarily due to a net $ 1,832 million increase in investments, primarily short term marketable securities, and a decrease of $150 million in settlement receipts of foreign currency exchange contracts used as economic hedges on certain non-functional currency denominated monetary assets and liabilities.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used for financing activities increased by $ 77 million primarily due to an increase in repurchases of common stock of $946 million, partially offset by a decrease in net debt payments of $619 million and an increase in proceeds from the issuance of common stock of $251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4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the six months ended June 30, 2019, the Company repurchased $2,650 million of outstanding shares. In April 2019, the Board of Directors authorized the repurchase of up to a total of $10 billion of Honeywell common stock, which included amounts remaining under, and replaced, the previously approved share repurchase program. $8.7 billion remained available as of June 30, 2019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92" w:right="2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color w:val="auto"/>
        </w:rPr>
        <w:t>opportunities arise. The amount and timing of future repurchases may vary depending on market conditions and the level of operating, financing and other investing activities.</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financial information as of June 30, 2019 should be read in conjunction with the consolidated financial statements for the year ended December 31, 2018 contained in our 2018 Annual Report on Form 10-K.</w:t>
      </w:r>
    </w:p>
    <w:p>
      <w:pPr>
        <w:spacing w:after="0" w:line="19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2018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Quantitative and Qualitative Disclosures About Market Risks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2018 Annual Report on Form 10-K. As of June 30, 2019, there has been no material change in this information</w:t>
      </w:r>
      <w:r>
        <w:rPr>
          <w:rFonts w:ascii="Arial" w:cs="Arial" w:eastAsia="Arial" w:hAnsi="Arial"/>
          <w:sz w:val="18"/>
          <w:szCs w:val="18"/>
          <w:b w:val="1"/>
          <w:bCs w:val="1"/>
          <w:color w:val="auto"/>
        </w:rPr>
        <w:t>.</w:t>
      </w:r>
    </w:p>
    <w:p>
      <w:pPr>
        <w:spacing w:after="0" w:line="364"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26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1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u w:val="single" w:color="auto"/>
          <w:color w:val="auto"/>
        </w:rPr>
        <w:t>Legal Proceedings</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General Legal Matters</w:t>
      </w:r>
    </w:p>
    <w:p>
      <w:pPr>
        <w:spacing w:after="0" w:line="2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364"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u w:val="single" w:color="auto"/>
          <w:color w:val="auto"/>
        </w:rPr>
        <w:t>Risk Factors</w:t>
      </w:r>
    </w:p>
    <w:p>
      <w:pPr>
        <w:spacing w:after="0" w:line="23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There have been no material changes to the disclosure presented in our 2018 Annual Report on Form 10-K under Item 1A. Risk Factors.</w:t>
      </w:r>
    </w:p>
    <w:p>
      <w:pPr>
        <w:spacing w:after="0" w:line="358"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u w:val="single" w:color="auto"/>
          <w:color w:val="auto"/>
        </w:rPr>
        <w:t>Unregistered Sales of Equity Securities and Use of Proceeds</w:t>
      </w:r>
    </w:p>
    <w:p>
      <w:pPr>
        <w:spacing w:after="0" w:line="2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Honeywell purchased 11,134,477 shares of its common stock, par value $1 per share, in the quarter ended June 30, 2019. On April 29, 2019, the Board of Directors authorized the repurchase of up to a total of $10 billion of Honeywell common stock, which included amounts remaining under, and replaced, the previously approved share repurchase program. $8.7 billion remained available as of June 30, 2019 for additional share repurchases. The following table summarizes Honeywell’s purchase of its common stock for the quarter ended June 30, 2019:</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360" w:type="dxa"/>
            <w:vAlign w:val="bottom"/>
            <w:gridSpan w:val="2"/>
          </w:tcPr>
          <w:p>
            <w:pPr>
              <w:ind w:left="680"/>
              <w:spacing w:after="0"/>
              <w:rPr>
                <w:sz w:val="20"/>
                <w:szCs w:val="20"/>
                <w:color w:val="auto"/>
              </w:rPr>
            </w:pPr>
            <w:r>
              <w:rPr>
                <w:rFonts w:ascii="Arial" w:cs="Arial" w:eastAsia="Arial" w:hAnsi="Arial"/>
                <w:sz w:val="14"/>
                <w:szCs w:val="14"/>
                <w:b w:val="1"/>
                <w:bCs w:val="1"/>
                <w:color w:val="auto"/>
              </w:rPr>
              <w:t>Issuer Purchases of Equity Securities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70"/>
        </w:trPr>
        <w:tc>
          <w:tcPr>
            <w:tcW w:w="3740" w:type="dxa"/>
            <w:vAlign w:val="bottom"/>
          </w:tcPr>
          <w:p>
            <w:pPr>
              <w:spacing w:after="0"/>
              <w:rPr>
                <w:sz w:val="23"/>
                <w:szCs w:val="23"/>
                <w:color w:val="auto"/>
              </w:rPr>
            </w:pP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Pr>
          <w:p>
            <w:pPr>
              <w:spacing w:after="0"/>
              <w:rPr>
                <w:sz w:val="23"/>
                <w:szCs w:val="23"/>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(d)</w:t>
            </w:r>
          </w:p>
        </w:tc>
      </w:tr>
      <w:tr>
        <w:trPr>
          <w:trHeight w:val="188"/>
        </w:trPr>
        <w:tc>
          <w:tcPr>
            <w:tcW w:w="3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Yet be Purchased</w:t>
            </w:r>
          </w:p>
        </w:tc>
      </w:tr>
      <w:tr>
        <w:trPr>
          <w:trHeight w:val="162"/>
        </w:trPr>
        <w:tc>
          <w:tcPr>
            <w:tcW w:w="3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Part of Publicly</w:t>
            </w:r>
          </w:p>
        </w:tc>
        <w:tc>
          <w:tcPr>
            <w:tcW w:w="14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3740" w:type="dxa"/>
            <w:vAlign w:val="bottom"/>
          </w:tcPr>
          <w:p>
            <w:pPr>
              <w:spacing w:after="0"/>
              <w:rPr>
                <w:sz w:val="14"/>
                <w:szCs w:val="14"/>
                <w:color w:val="auto"/>
              </w:rPr>
            </w:pP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Announced Plans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Programs (Dollars</w:t>
            </w:r>
          </w:p>
        </w:tc>
      </w:tr>
      <w:tr>
        <w:trPr>
          <w:trHeight w:val="196"/>
        </w:trPr>
        <w:tc>
          <w:tcPr>
            <w:tcW w:w="3740" w:type="dxa"/>
            <w:vAlign w:val="bottom"/>
          </w:tcPr>
          <w:p>
            <w:pPr>
              <w:ind w:left="2580"/>
              <w:spacing w:after="0"/>
              <w:rPr>
                <w:sz w:val="20"/>
                <w:szCs w:val="20"/>
                <w:color w:val="auto"/>
              </w:rPr>
            </w:pPr>
            <w:r>
              <w:rPr>
                <w:rFonts w:ascii="Arial" w:cs="Arial" w:eastAsia="Arial" w:hAnsi="Arial"/>
                <w:sz w:val="14"/>
                <w:szCs w:val="14"/>
                <w:b w:val="1"/>
                <w:bCs w:val="1"/>
                <w:color w:val="auto"/>
              </w:rPr>
              <w:t>Period</w:t>
            </w:r>
          </w:p>
        </w:tc>
        <w:tc>
          <w:tcPr>
            <w:tcW w:w="3360" w:type="dxa"/>
            <w:vAlign w:val="bottom"/>
            <w:gridSpan w:val="2"/>
          </w:tcPr>
          <w:p>
            <w:pPr>
              <w:jc w:val="center"/>
              <w:ind w:left="1679"/>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or Programs</w:t>
            </w:r>
          </w:p>
        </w:tc>
        <w:tc>
          <w:tcPr>
            <w:tcW w:w="140" w:type="dxa"/>
            <w:vAlign w:val="bottom"/>
          </w:tcPr>
          <w:p>
            <w:pPr>
              <w:spacing w:after="0"/>
              <w:rPr>
                <w:sz w:val="17"/>
                <w:szCs w:val="17"/>
                <w:color w:val="auto"/>
              </w:rPr>
            </w:pPr>
          </w:p>
        </w:tc>
        <w:tc>
          <w:tcPr>
            <w:tcW w:w="1240" w:type="dxa"/>
            <w:vAlign w:val="bottom"/>
          </w:tcPr>
          <w:p>
            <w:pPr>
              <w:jc w:val="center"/>
              <w:ind w:right="4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3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April 2019</w:t>
            </w:r>
          </w:p>
        </w:tc>
        <w:tc>
          <w:tcPr>
            <w:tcW w:w="3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2,475,703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166.96</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2,475,703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2,574</w:t>
            </w:r>
          </w:p>
        </w:tc>
      </w:tr>
      <w:tr>
        <w:trPr>
          <w:trHeight w:val="263"/>
        </w:trPr>
        <w:tc>
          <w:tcPr>
            <w:tcW w:w="3740" w:type="dxa"/>
            <w:vAlign w:val="bottom"/>
          </w:tcPr>
          <w:p>
            <w:pPr>
              <w:ind w:left="40"/>
              <w:spacing w:after="0"/>
              <w:rPr>
                <w:sz w:val="20"/>
                <w:szCs w:val="20"/>
                <w:color w:val="auto"/>
              </w:rPr>
            </w:pPr>
            <w:r>
              <w:rPr>
                <w:rFonts w:ascii="Arial" w:cs="Arial" w:eastAsia="Arial" w:hAnsi="Arial"/>
                <w:sz w:val="18"/>
                <w:szCs w:val="18"/>
                <w:color w:val="auto"/>
              </w:rPr>
              <w:t>May 2019</w:t>
            </w:r>
          </w:p>
        </w:tc>
        <w:tc>
          <w:tcPr>
            <w:tcW w:w="3260" w:type="dxa"/>
            <w:vAlign w:val="bottom"/>
          </w:tcPr>
          <w:p>
            <w:pPr>
              <w:jc w:val="right"/>
              <w:ind w:right="59"/>
              <w:spacing w:after="0"/>
              <w:rPr>
                <w:sz w:val="20"/>
                <w:szCs w:val="20"/>
                <w:color w:val="auto"/>
              </w:rPr>
            </w:pPr>
            <w:r>
              <w:rPr>
                <w:rFonts w:ascii="Arial" w:cs="Arial" w:eastAsia="Arial" w:hAnsi="Arial"/>
                <w:sz w:val="18"/>
                <w:szCs w:val="18"/>
                <w:color w:val="auto"/>
              </w:rPr>
              <w:t>7,681,463</w:t>
            </w:r>
          </w:p>
        </w:tc>
        <w:tc>
          <w:tcPr>
            <w:tcW w:w="10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171.57</w:t>
            </w:r>
          </w:p>
        </w:tc>
        <w:tc>
          <w:tcPr>
            <w:tcW w:w="100" w:type="dxa"/>
            <w:vAlign w:val="bottom"/>
          </w:tcPr>
          <w:p>
            <w:pPr>
              <w:spacing w:after="0"/>
              <w:rPr>
                <w:sz w:val="22"/>
                <w:szCs w:val="22"/>
                <w:color w:val="auto"/>
              </w:rPr>
            </w:pPr>
          </w:p>
        </w:tc>
        <w:tc>
          <w:tcPr>
            <w:tcW w:w="1360" w:type="dxa"/>
            <w:vAlign w:val="bottom"/>
          </w:tcPr>
          <w:p>
            <w:pPr>
              <w:jc w:val="right"/>
              <w:ind w:right="42"/>
              <w:spacing w:after="0"/>
              <w:rPr>
                <w:sz w:val="20"/>
                <w:szCs w:val="20"/>
                <w:color w:val="auto"/>
              </w:rPr>
            </w:pPr>
            <w:r>
              <w:rPr>
                <w:rFonts w:ascii="Arial" w:cs="Arial" w:eastAsia="Arial" w:hAnsi="Arial"/>
                <w:sz w:val="18"/>
                <w:szCs w:val="18"/>
                <w:color w:val="auto"/>
              </w:rPr>
              <w:t>7,681,463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8,908</w:t>
            </w:r>
          </w:p>
        </w:tc>
      </w:tr>
      <w:tr>
        <w:trPr>
          <w:trHeight w:val="277"/>
        </w:trPr>
        <w:tc>
          <w:tcPr>
            <w:tcW w:w="3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2019</w:t>
            </w:r>
          </w:p>
        </w:tc>
        <w:tc>
          <w:tcPr>
            <w:tcW w:w="3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977,311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172.45</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977,311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8,739</w:t>
            </w:r>
          </w:p>
        </w:tc>
      </w:tr>
      <w:tr>
        <w:trPr>
          <w:trHeight w:val="891"/>
        </w:trPr>
        <w:tc>
          <w:tcPr>
            <w:tcW w:w="3740" w:type="dxa"/>
            <w:vAlign w:val="bottom"/>
          </w:tcPr>
          <w:p>
            <w:pPr>
              <w:spacing w:after="0"/>
              <w:rPr>
                <w:sz w:val="24"/>
                <w:szCs w:val="24"/>
                <w:color w:val="auto"/>
              </w:rPr>
            </w:pPr>
          </w:p>
        </w:tc>
        <w:tc>
          <w:tcPr>
            <w:tcW w:w="3260" w:type="dxa"/>
            <w:vAlign w:val="bottom"/>
          </w:tcPr>
          <w:p>
            <w:pPr>
              <w:jc w:val="right"/>
              <w:ind w:right="109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160" w:type="dxa"/>
            <w:vAlign w:val="bottom"/>
            <w:gridSpan w:val="5"/>
          </w:tcPr>
          <w:p>
            <w:pPr>
              <w:ind w:left="60"/>
              <w:spacing w:after="0"/>
              <w:rPr>
                <w:sz w:val="20"/>
                <w:szCs w:val="20"/>
                <w:color w:val="auto"/>
              </w:rPr>
            </w:pPr>
            <w:r>
              <w:rPr>
                <w:rFonts w:ascii="Arial" w:cs="Arial" w:eastAsia="Arial" w:hAnsi="Arial"/>
                <w:sz w:val="18"/>
                <w:szCs w:val="18"/>
                <w:color w:val="auto"/>
              </w:rPr>
              <w:t>Exhibits</w:t>
            </w:r>
          </w:p>
        </w:tc>
      </w:tr>
      <w:tr>
        <w:trPr>
          <w:trHeight w:val="426"/>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480" w:type="dxa"/>
            <w:vAlign w:val="bottom"/>
            <w:gridSpan w:val="3"/>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2"/>
        </w:trPr>
        <w:tc>
          <w:tcPr>
            <w:tcW w:w="5000" w:type="dxa"/>
            <w:vAlign w:val="bottom"/>
            <w:gridSpan w:val="4"/>
          </w:tcPr>
          <w:p>
            <w:pPr>
              <w:jc w:val="center"/>
              <w:ind w:right="3830"/>
              <w:spacing w:after="0"/>
              <w:rPr>
                <w:sz w:val="20"/>
                <w:szCs w:val="20"/>
                <w:color w:val="auto"/>
              </w:rPr>
            </w:pPr>
            <w:r>
              <w:rPr>
                <w:rFonts w:ascii="Arial" w:cs="Arial" w:eastAsia="Arial" w:hAnsi="Arial"/>
                <w:sz w:val="18"/>
                <w:szCs w:val="18"/>
                <w:b w:val="1"/>
                <w:bCs w:val="1"/>
                <w:color w:val="auto"/>
                <w:w w:val="99"/>
              </w:rPr>
              <w:t>Exhibit</w:t>
            </w:r>
          </w:p>
        </w:tc>
        <w:tc>
          <w:tcPr>
            <w:tcW w:w="13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39"/>
        </w:trPr>
        <w:tc>
          <w:tcPr>
            <w:tcW w:w="760" w:type="dxa"/>
            <w:vAlign w:val="bottom"/>
          </w:tcPr>
          <w:p>
            <w:pPr>
              <w:jc w:val="center"/>
              <w:ind w:left="230"/>
              <w:spacing w:after="0"/>
              <w:rPr>
                <w:sz w:val="20"/>
                <w:szCs w:val="20"/>
                <w:color w:val="auto"/>
              </w:rPr>
            </w:pPr>
            <w:r>
              <w:rPr>
                <w:rFonts w:ascii="Arial" w:cs="Arial" w:eastAsia="Arial" w:hAnsi="Arial"/>
                <w:sz w:val="18"/>
                <w:szCs w:val="18"/>
                <w:b w:val="1"/>
                <w:bCs w:val="1"/>
                <w:color w:val="auto"/>
                <w:w w:val="96"/>
              </w:rPr>
              <w:t>No.</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92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ind w:left="1480" w:hanging="822"/>
        <w:spacing w:after="0" w:line="237"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8">
        <w:r>
          <w:rPr>
            <w:rFonts w:ascii="Arial" w:cs="Arial" w:eastAsia="Arial" w:hAnsi="Arial"/>
            <w:sz w:val="18"/>
            <w:szCs w:val="18"/>
            <w:u w:val="single" w:color="auto"/>
            <w:color w:val="0000FF"/>
          </w:rPr>
          <w:t>364-Day Credit Agreement, dated as of April 26, 2019, among Honeywell International Inc., the banks, financial institutions,</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and other institutional lenders parties thereto, Citibank, N.A., as administrative agent, JPMorgan Chase Bank, N.A., as</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syndication agent, Bank of America, N.A., Barclays Bank PLC, Deutsche Bank Securities Inc., Goldman Sachs Bank USA,</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Morgan Stanley MUFG Loan Partners, LLC, and Wells Fargo Bank, National Association, as documentation agents, and</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Citibank, N.A. and JPMorgan Chase Bank, N.A., as joint lead arrangers and co-book managers (incorporated by reference</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to Exhibit 10.1 to Honeywell’s Form 8-K filed April 29, 2019).</w:t>
        </w:r>
      </w:hyperlink>
    </w:p>
    <w:p>
      <w:pPr>
        <w:spacing w:after="0" w:line="337" w:lineRule="exact"/>
        <w:rPr>
          <w:rFonts w:ascii="Arial" w:cs="Arial" w:eastAsia="Arial" w:hAnsi="Arial"/>
          <w:sz w:val="18"/>
          <w:szCs w:val="18"/>
          <w:u w:val="single" w:color="auto"/>
          <w:color w:val="0000FF"/>
        </w:rPr>
      </w:pPr>
    </w:p>
    <w:tbl>
      <w:tblPr>
        <w:tblLayout w:type="fixed"/>
        <w:tblInd w:w="280" w:type="dxa"/>
        <w:tblCellMar>
          <w:top w:w="0" w:type="dxa"/>
          <w:left w:w="0" w:type="dxa"/>
          <w:bottom w:w="0" w:type="dxa"/>
          <w:right w:w="0" w:type="dxa"/>
        </w:tblCellMar>
      </w:tblPr>
      <w:tr>
        <w:trPr>
          <w:trHeight w:val="207"/>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9640" w:type="dxa"/>
            <w:vAlign w:val="bottom"/>
            <w:tcBorders>
              <w:bottom w:val="single" w:sz="8" w:color="0000FF"/>
            </w:tcBorders>
            <w:gridSpan w:val="8"/>
          </w:tcPr>
          <w:p>
            <w:pPr>
              <w:spacing w:after="0"/>
              <w:rPr>
                <w:rFonts w:ascii="Arial" w:cs="Arial" w:eastAsia="Arial" w:hAnsi="Arial"/>
                <w:sz w:val="18"/>
                <w:szCs w:val="18"/>
                <w:color w:val="0000FF"/>
              </w:rPr>
            </w:pPr>
            <w:hyperlink r:id="rId19">
              <w:r>
                <w:rPr>
                  <w:rFonts w:ascii="Arial" w:cs="Arial" w:eastAsia="Arial" w:hAnsi="Arial"/>
                  <w:sz w:val="18"/>
                  <w:szCs w:val="18"/>
                  <w:color w:val="0000FF"/>
                </w:rPr>
                <w:t>Amended and Restated Five-Year Credit Agreement, dated as of April 26, 2019, among Honeywell International Inc., the</w:t>
              </w:r>
            </w:hyperlink>
          </w:p>
        </w:tc>
        <w:tc>
          <w:tcPr>
            <w:tcW w:w="60" w:type="dxa"/>
            <w:vAlign w:val="bottom"/>
            <w:gridSpan w:val="2"/>
          </w:tcPr>
          <w:p>
            <w:pPr>
              <w:spacing w:after="0"/>
              <w:rPr>
                <w:sz w:val="17"/>
                <w:szCs w:val="17"/>
                <w:color w:val="auto"/>
              </w:rPr>
            </w:pPr>
          </w:p>
        </w:tc>
      </w:tr>
      <w:tr>
        <w:trPr>
          <w:trHeight w:val="183"/>
        </w:trPr>
        <w:tc>
          <w:tcPr>
            <w:tcW w:w="1200" w:type="dxa"/>
            <w:vAlign w:val="bottom"/>
          </w:tcPr>
          <w:p>
            <w:pPr>
              <w:spacing w:after="0"/>
              <w:rPr>
                <w:sz w:val="15"/>
                <w:szCs w:val="15"/>
                <w:color w:val="auto"/>
              </w:rPr>
            </w:pPr>
          </w:p>
        </w:tc>
        <w:tc>
          <w:tcPr>
            <w:tcW w:w="9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banks, financial institutions, and other institutional lenders parties thereto, Citibank, N.A., as administrative agent, Citibank</w:t>
              </w:r>
            </w:hyperlink>
          </w:p>
        </w:tc>
      </w:tr>
      <w:tr>
        <w:trPr>
          <w:trHeight w:val="183"/>
        </w:trPr>
        <w:tc>
          <w:tcPr>
            <w:tcW w:w="1200" w:type="dxa"/>
            <w:vAlign w:val="bottom"/>
          </w:tcPr>
          <w:p>
            <w:pPr>
              <w:spacing w:after="0"/>
              <w:rPr>
                <w:sz w:val="15"/>
                <w:szCs w:val="15"/>
                <w:color w:val="auto"/>
              </w:rPr>
            </w:pPr>
          </w:p>
        </w:tc>
        <w:tc>
          <w:tcPr>
            <w:tcW w:w="9700" w:type="dxa"/>
            <w:vAlign w:val="bottom"/>
            <w:gridSpan w:val="10"/>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Europe PLC, UK Branch, as swing line agent, JPMorgan Chase Bank, N.A., as syndication agent, Bank of America, N.A.,</w:t>
              </w:r>
            </w:hyperlink>
          </w:p>
        </w:tc>
      </w:tr>
      <w:tr>
        <w:trPr>
          <w:trHeight w:val="183"/>
        </w:trPr>
        <w:tc>
          <w:tcPr>
            <w:tcW w:w="1200" w:type="dxa"/>
            <w:vAlign w:val="bottom"/>
          </w:tcPr>
          <w:p>
            <w:pPr>
              <w:spacing w:after="0"/>
              <w:rPr>
                <w:sz w:val="15"/>
                <w:szCs w:val="15"/>
                <w:color w:val="auto"/>
              </w:rPr>
            </w:pPr>
          </w:p>
        </w:tc>
        <w:tc>
          <w:tcPr>
            <w:tcW w:w="96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Barclays Bank PLC, Deutsche Bank Securities Inc., Goldman Sachs Bank USA, Morgan Stanley MUFG Loan Partners,</w:t>
              </w:r>
            </w:hyperlink>
          </w:p>
        </w:tc>
        <w:tc>
          <w:tcPr>
            <w:tcW w:w="60" w:type="dxa"/>
            <w:vAlign w:val="bottom"/>
            <w:gridSpan w:val="2"/>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9700" w:type="dxa"/>
            <w:vAlign w:val="bottom"/>
            <w:gridSpan w:val="10"/>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LLC, and Wells Fargo Bank, National Association, as documentation agents, and Citibank, N.A. and J.P. Morgan Chase</w:t>
              </w:r>
            </w:hyperlink>
          </w:p>
        </w:tc>
      </w:tr>
      <w:tr>
        <w:trPr>
          <w:trHeight w:val="20"/>
        </w:trPr>
        <w:tc>
          <w:tcPr>
            <w:tcW w:w="1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970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Bank N.A., as joint lead arrangers and co-bookrunners (incorporated by reference to Exhibit 10.2 to Honeywell’s Form 8-K</w:t>
              </w:r>
            </w:hyperlink>
          </w:p>
        </w:tc>
      </w:tr>
      <w:tr>
        <w:trPr>
          <w:trHeight w:val="183"/>
        </w:trPr>
        <w:tc>
          <w:tcPr>
            <w:tcW w:w="1200" w:type="dxa"/>
            <w:vAlign w:val="bottom"/>
          </w:tcPr>
          <w:p>
            <w:pPr>
              <w:spacing w:after="0"/>
              <w:rPr>
                <w:sz w:val="15"/>
                <w:szCs w:val="15"/>
                <w:color w:val="auto"/>
              </w:rPr>
            </w:pPr>
          </w:p>
        </w:tc>
        <w:tc>
          <w:tcPr>
            <w:tcW w:w="9700" w:type="dxa"/>
            <w:vAlign w:val="bottom"/>
            <w:gridSpan w:val="10"/>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filed April 29, 2019).</w:t>
              </w:r>
            </w:hyperlink>
          </w:p>
        </w:tc>
      </w:tr>
      <w:tr>
        <w:trPr>
          <w:trHeight w:val="20"/>
        </w:trPr>
        <w:tc>
          <w:tcPr>
            <w:tcW w:w="120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970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 (filed herewith)</w:t>
            </w:r>
          </w:p>
        </w:tc>
      </w:tr>
      <w:tr>
        <w:trPr>
          <w:trHeight w:val="49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31.2</w:t>
            </w:r>
          </w:p>
        </w:tc>
        <w:tc>
          <w:tcPr>
            <w:tcW w:w="9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 (filed herewith)</w:t>
            </w:r>
          </w:p>
        </w:tc>
        <w:tc>
          <w:tcPr>
            <w:tcW w:w="400" w:type="dxa"/>
            <w:vAlign w:val="bottom"/>
            <w:gridSpan w:val="6"/>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576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9700" w:type="dxa"/>
            <w:vAlign w:val="bottom"/>
            <w:gridSpan w:val="10"/>
          </w:tcPr>
          <w:p>
            <w:pPr>
              <w:spacing w:after="0"/>
              <w:rPr>
                <w:sz w:val="20"/>
                <w:szCs w:val="20"/>
                <w:color w:val="auto"/>
              </w:rPr>
            </w:pPr>
            <w:r>
              <w:rPr>
                <w:rFonts w:ascii="Arial" w:cs="Arial" w:eastAsia="Arial" w:hAnsi="Arial"/>
                <w:sz w:val="18"/>
                <w:szCs w:val="18"/>
                <w:color w:val="0000FF"/>
                <w:w w:val="99"/>
              </w:rPr>
              <w:t>Certification of Principal Executive Officer Pursuant to 18 U.S.C. Section 1350, as Adopted Pursuant to Section 906 of the</w:t>
            </w:r>
          </w:p>
        </w:tc>
      </w:tr>
      <w:tr>
        <w:trPr>
          <w:trHeight w:val="183"/>
        </w:trPr>
        <w:tc>
          <w:tcPr>
            <w:tcW w:w="120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20" w:type="dxa"/>
            <w:vAlign w:val="bottom"/>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9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32.2</w:t>
            </w:r>
          </w:p>
        </w:tc>
        <w:tc>
          <w:tcPr>
            <w:tcW w:w="970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1200" w:type="dxa"/>
            <w:vAlign w:val="bottom"/>
          </w:tcPr>
          <w:p>
            <w:pPr>
              <w:spacing w:after="0"/>
              <w:rPr>
                <w:sz w:val="15"/>
                <w:szCs w:val="15"/>
                <w:color w:val="auto"/>
              </w:rPr>
            </w:pPr>
          </w:p>
        </w:tc>
        <w:tc>
          <w:tcPr>
            <w:tcW w:w="962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Sarbanes-Oxley Act of 2002 (filed herewith)</w:t>
            </w:r>
          </w:p>
        </w:tc>
        <w:tc>
          <w:tcPr>
            <w:tcW w:w="80" w:type="dxa"/>
            <w:vAlign w:val="bottom"/>
            <w:gridSpan w:val="3"/>
          </w:tcPr>
          <w:p>
            <w:pPr>
              <w:spacing w:after="0"/>
              <w:rPr>
                <w:sz w:val="15"/>
                <w:szCs w:val="15"/>
                <w:color w:val="auto"/>
              </w:rPr>
            </w:pPr>
          </w:p>
        </w:tc>
      </w:tr>
      <w:tr>
        <w:trPr>
          <w:trHeight w:val="20"/>
        </w:trPr>
        <w:tc>
          <w:tcPr>
            <w:tcW w:w="120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6220" w:type="dxa"/>
            <w:vAlign w:val="bottom"/>
            <w:gridSpan w:val="8"/>
          </w:tcPr>
          <w:p>
            <w:pPr>
              <w:spacing w:after="0" w:line="20" w:lineRule="exact"/>
              <w:rPr>
                <w:sz w:val="1"/>
                <w:szCs w:val="1"/>
                <w:color w:val="auto"/>
              </w:rPr>
            </w:pPr>
          </w:p>
        </w:tc>
      </w:tr>
      <w:tr>
        <w:trPr>
          <w:trHeight w:val="519"/>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101.INS</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17"/>
        </w:trPr>
        <w:tc>
          <w:tcPr>
            <w:tcW w:w="1200" w:type="dxa"/>
            <w:vAlign w:val="bottom"/>
          </w:tcPr>
          <w:p>
            <w:pPr>
              <w:spacing w:after="0"/>
              <w:rPr>
                <w:sz w:val="18"/>
                <w:szCs w:val="18"/>
                <w:color w:val="auto"/>
              </w:rPr>
            </w:pPr>
          </w:p>
        </w:tc>
        <w:tc>
          <w:tcPr>
            <w:tcW w:w="9700" w:type="dxa"/>
            <w:vAlign w:val="bottom"/>
            <w:gridSpan w:val="10"/>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5"/>
              </w:rPr>
              <w:t>101.SCH</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9"/>
              </w:rPr>
              <w:t>101.CAL</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8"/>
              </w:rPr>
              <w:t>101.DEF</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101.LAB</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51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97"/>
              </w:rPr>
              <w:t>101.PRE</w:t>
            </w:r>
          </w:p>
        </w:tc>
        <w:tc>
          <w:tcPr>
            <w:tcW w:w="97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905"/>
        </w:trPr>
        <w:tc>
          <w:tcPr>
            <w:tcW w:w="1200" w:type="dxa"/>
            <w:vAlign w:val="bottom"/>
          </w:tcPr>
          <w:p>
            <w:pPr>
              <w:spacing w:after="0"/>
              <w:rPr>
                <w:sz w:val="24"/>
                <w:szCs w:val="24"/>
                <w:color w:val="auto"/>
              </w:rPr>
            </w:pPr>
          </w:p>
        </w:tc>
        <w:tc>
          <w:tcPr>
            <w:tcW w:w="9240" w:type="dxa"/>
            <w:vAlign w:val="bottom"/>
            <w:gridSpan w:val="3"/>
          </w:tcPr>
          <w:p>
            <w:pPr>
              <w:ind w:left="41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20"/>
          </w:cols>
          <w:pgMar w:left="280" w:top="945" w:right="2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Honeywell International Inc.</w:t>
      </w:r>
    </w:p>
    <w:p>
      <w:pPr>
        <w:spacing w:after="0" w:line="306" w:lineRule="exact"/>
        <w:rPr>
          <w:sz w:val="20"/>
          <w:szCs w:val="20"/>
          <w:color w:val="auto"/>
        </w:rPr>
      </w:pPr>
    </w:p>
    <w:p>
      <w:pPr>
        <w:ind w:left="5300"/>
        <w:spacing w:after="0"/>
        <w:tabs>
          <w:tab w:leader="none" w:pos="7440" w:val="left"/>
        </w:tabs>
        <w:rPr>
          <w:sz w:val="20"/>
          <w:szCs w:val="20"/>
          <w:color w:val="auto"/>
        </w:rPr>
      </w:pPr>
      <w:r>
        <w:rPr>
          <w:rFonts w:ascii="Arial" w:cs="Arial" w:eastAsia="Arial" w:hAnsi="Arial"/>
          <w:sz w:val="18"/>
          <w:szCs w:val="18"/>
          <w:color w:val="auto"/>
        </w:rPr>
        <w:t>Date: July 18, 2019 By:</w:t>
      </w:r>
      <w:r>
        <w:rPr>
          <w:sz w:val="20"/>
          <w:szCs w:val="20"/>
          <w:color w:val="auto"/>
        </w:rPr>
        <w:tab/>
      </w:r>
      <w:r>
        <w:rPr>
          <w:rFonts w:ascii="Arial" w:cs="Arial" w:eastAsia="Arial" w:hAnsi="Arial"/>
          <w:sz w:val="17"/>
          <w:szCs w:val="17"/>
          <w:color w:val="auto"/>
        </w:rPr>
        <w:t>/s/ John J. 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John J. Tus</w:t>
      </w:r>
    </w:p>
    <w:p>
      <w:pPr>
        <w:ind w:left="7460"/>
        <w:spacing w:after="0" w:line="234" w:lineRule="auto"/>
        <w:rPr>
          <w:sz w:val="20"/>
          <w:szCs w:val="20"/>
          <w:color w:val="auto"/>
        </w:rPr>
      </w:pPr>
      <w:r>
        <w:rPr>
          <w:rFonts w:ascii="Arial" w:cs="Arial" w:eastAsia="Arial" w:hAnsi="Arial"/>
          <w:sz w:val="18"/>
          <w:szCs w:val="18"/>
          <w:color w:val="auto"/>
        </w:rPr>
        <w:t>Vice President and Controller</w:t>
      </w:r>
    </w:p>
    <w:p>
      <w:pPr>
        <w:ind w:left="7460"/>
        <w:spacing w:after="0" w:line="235" w:lineRule="auto"/>
        <w:rPr>
          <w:sz w:val="20"/>
          <w:szCs w:val="20"/>
          <w:color w:val="auto"/>
        </w:rPr>
      </w:pPr>
      <w:r>
        <w:rPr>
          <w:rFonts w:ascii="Arial" w:cs="Arial" w:eastAsia="Arial" w:hAnsi="Arial"/>
          <w:sz w:val="18"/>
          <w:szCs w:val="18"/>
          <w:color w:val="auto"/>
        </w:rPr>
        <w:t>(on behalf of the Registrant</w:t>
      </w:r>
    </w:p>
    <w:p>
      <w:pPr>
        <w:ind w:left="7460"/>
        <w:spacing w:after="0" w:line="235" w:lineRule="auto"/>
        <w:rPr>
          <w:sz w:val="20"/>
          <w:szCs w:val="20"/>
          <w:color w:val="auto"/>
        </w:rPr>
      </w:pPr>
      <w:r>
        <w:rPr>
          <w:rFonts w:ascii="Arial" w:cs="Arial" w:eastAsia="Arial" w:hAnsi="Arial"/>
          <w:sz w:val="18"/>
          <w:szCs w:val="18"/>
          <w:color w:val="auto"/>
        </w:rPr>
        <w:t>and as the Registrant’s</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387" w:lineRule="exact"/>
        <w:rPr>
          <w:sz w:val="20"/>
          <w:szCs w:val="20"/>
          <w:color w:val="auto"/>
        </w:rPr>
      </w:pPr>
    </w:p>
    <w:p>
      <w:pPr>
        <w:ind w:left="38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420" w:right="40" w:hanging="623"/>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420" w:right="40" w:hanging="628"/>
        <w:spacing w:after="0" w:line="246" w:lineRule="auto"/>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40"/>
        <w:spacing w:after="0"/>
        <w:tabs>
          <w:tab w:leader="none" w:pos="6300" w:val="left"/>
        </w:tabs>
        <w:rPr>
          <w:sz w:val="20"/>
          <w:szCs w:val="20"/>
          <w:color w:val="auto"/>
        </w:rPr>
      </w:pPr>
      <w:r>
        <w:rPr>
          <w:rFonts w:ascii="Arial" w:cs="Arial" w:eastAsia="Arial" w:hAnsi="Arial"/>
          <w:sz w:val="18"/>
          <w:szCs w:val="18"/>
          <w:color w:val="auto"/>
        </w:rPr>
        <w:t>Date: July 18, 2019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387" w:lineRule="exact"/>
        <w:rPr>
          <w:sz w:val="20"/>
          <w:szCs w:val="20"/>
          <w:color w:val="auto"/>
        </w:rPr>
      </w:pPr>
    </w:p>
    <w:p>
      <w:pPr>
        <w:ind w:left="38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306"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380" w:right="20" w:hanging="345"/>
        <w:spacing w:after="0" w:line="246"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1" w:lineRule="exact"/>
        <w:rPr>
          <w:rFonts w:ascii="Arial" w:cs="Arial" w:eastAsia="Arial" w:hAnsi="Arial"/>
          <w:sz w:val="18"/>
          <w:szCs w:val="18"/>
          <w:color w:val="auto"/>
        </w:rPr>
      </w:pPr>
    </w:p>
    <w:p>
      <w:pPr>
        <w:jc w:val="both"/>
        <w:ind w:left="380" w:right="20" w:hanging="345"/>
        <w:spacing w:after="0" w:line="23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306"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420" w:right="40" w:hanging="623"/>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97" w:lineRule="exact"/>
        <w:rPr>
          <w:rFonts w:ascii="Arial" w:cs="Arial" w:eastAsia="Arial" w:hAnsi="Arial"/>
          <w:sz w:val="18"/>
          <w:szCs w:val="18"/>
          <w:color w:val="auto"/>
        </w:rPr>
      </w:pPr>
    </w:p>
    <w:p>
      <w:pPr>
        <w:jc w:val="both"/>
        <w:ind w:left="380" w:right="20" w:hanging="345"/>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7" w:lineRule="exact"/>
        <w:rPr>
          <w:rFonts w:ascii="Arial" w:cs="Arial" w:eastAsia="Arial" w:hAnsi="Arial"/>
          <w:sz w:val="18"/>
          <w:szCs w:val="18"/>
          <w:color w:val="auto"/>
        </w:rPr>
      </w:pPr>
    </w:p>
    <w:p>
      <w:pPr>
        <w:jc w:val="both"/>
        <w:ind w:left="1420" w:right="40" w:hanging="628"/>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7" w:lineRule="exact"/>
        <w:rPr>
          <w:rFonts w:ascii="Arial" w:cs="Arial" w:eastAsia="Arial" w:hAnsi="Arial"/>
          <w:sz w:val="18"/>
          <w:szCs w:val="18"/>
          <w:color w:val="auto"/>
        </w:rPr>
      </w:pPr>
    </w:p>
    <w:p>
      <w:pPr>
        <w:ind w:left="1420" w:right="40" w:hanging="628"/>
        <w:spacing w:after="0" w:line="246"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40"/>
        <w:spacing w:after="0"/>
        <w:tabs>
          <w:tab w:leader="none" w:pos="6300" w:val="left"/>
        </w:tabs>
        <w:rPr>
          <w:sz w:val="20"/>
          <w:szCs w:val="20"/>
          <w:color w:val="auto"/>
        </w:rPr>
      </w:pPr>
      <w:r>
        <w:rPr>
          <w:rFonts w:ascii="Arial" w:cs="Arial" w:eastAsia="Arial" w:hAnsi="Arial"/>
          <w:sz w:val="18"/>
          <w:szCs w:val="18"/>
          <w:color w:val="auto"/>
        </w:rPr>
        <w:t>Date: July 18, 2019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2019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202"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right="20" w:hanging="332"/>
        <w:spacing w:after="0" w:line="262"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40"/>
        <w:spacing w:after="0"/>
        <w:tabs>
          <w:tab w:leader="none" w:pos="6300" w:val="left"/>
        </w:tabs>
        <w:rPr>
          <w:sz w:val="20"/>
          <w:szCs w:val="20"/>
          <w:color w:val="auto"/>
        </w:rPr>
      </w:pPr>
      <w:r>
        <w:rPr>
          <w:rFonts w:ascii="Arial" w:cs="Arial" w:eastAsia="Arial" w:hAnsi="Arial"/>
          <w:sz w:val="18"/>
          <w:szCs w:val="18"/>
          <w:color w:val="auto"/>
        </w:rPr>
        <w:t>Date: July 18, 2019 By:</w:t>
      </w:r>
      <w:r>
        <w:rPr>
          <w:sz w:val="20"/>
          <w:szCs w:val="20"/>
          <w:color w:val="auto"/>
        </w:rPr>
        <w:tab/>
      </w:r>
      <w:r>
        <w:rPr>
          <w:rFonts w:ascii="Arial" w:cs="Arial" w:eastAsia="Arial" w:hAnsi="Arial"/>
          <w:sz w:val="17"/>
          <w:szCs w:val="17"/>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Darius Adamczyk</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2019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204" w:lineRule="exact"/>
        <w:rPr>
          <w:sz w:val="20"/>
          <w:szCs w:val="20"/>
          <w:color w:val="auto"/>
        </w:rPr>
      </w:pPr>
    </w:p>
    <w:p>
      <w:pPr>
        <w:ind w:left="840" w:hanging="332"/>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840" w:right="20" w:hanging="332"/>
        <w:spacing w:after="0" w:line="262"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40"/>
        <w:spacing w:after="0"/>
        <w:tabs>
          <w:tab w:leader="none" w:pos="6300" w:val="left"/>
        </w:tabs>
        <w:rPr>
          <w:sz w:val="20"/>
          <w:szCs w:val="20"/>
          <w:color w:val="auto"/>
        </w:rPr>
      </w:pPr>
      <w:r>
        <w:rPr>
          <w:rFonts w:ascii="Arial" w:cs="Arial" w:eastAsia="Arial" w:hAnsi="Arial"/>
          <w:sz w:val="18"/>
          <w:szCs w:val="18"/>
          <w:color w:val="auto"/>
        </w:rPr>
        <w:t>Date: July 18, 2019 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Gregory P. Lewis</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upp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upperLetter"/>
      <w:start w:val="2"/>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8" Type="http://schemas.openxmlformats.org/officeDocument/2006/relationships/hyperlink" Target="http://www.sec.gov/Archives/edgar/data/773840/000119312519125772/d736548dex101.htm" TargetMode="External"/><Relationship Id="rId19" Type="http://schemas.openxmlformats.org/officeDocument/2006/relationships/hyperlink" Target="http://www.sec.gov/Archives/edgar/data/773840/000119312519125772/d73654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2019-11-30T23:16:44Z</dcterms:created>
  <dcterms:modified xsi:type="dcterms:W3CDTF">2019-11-30T23:16:44Z</dcterms:modified>
</cp:coreProperties>
</file>