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UNITED STATES</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SECURITIES AND EXCHANGE COMMISSION</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Form 8-K/A</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(Amendment No. 1)</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CURRENT REPORT</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PURSUANT TO SECTION 13 OR 15(D) OF THE SECURITIES EXCHANGE ACT OF 1934</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DATE OF REPORT – May 19, 2023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(Date of earliest event reported)</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HONEYWELL INTERNATIONAL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7769" w:type="dxa"/>
        <w:jc w:val="center"/>
        <w:tblInd w:w="0" w:type="dxa"/>
        <w:tblLayout w:type="fixed"/>
        <w:tblCellMar>
          <w:top w:w="28" w:type="dxa"/>
          <w:left w:w="28" w:type="dxa"/>
          <w:bottom w:w="28" w:type="dxa"/>
          <w:right w:w="28" w:type="dxa"/>
        </w:tblCellMar>
      </w:tblPr>
      <w:tblGrid>
        <w:gridCol w:w="935"/>
        <w:gridCol w:w="819"/>
        <w:gridCol w:w="826"/>
        <w:gridCol w:w="802"/>
        <w:gridCol w:w="802"/>
        <w:gridCol w:w="810"/>
        <w:gridCol w:w="810"/>
        <w:gridCol w:w="810"/>
        <w:gridCol w:w="1155"/>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1-8974</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22-2640650</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w:t>
              <w:br/>
              <w:t>incorporation)</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 Identification</w:t>
              <w:br/>
              <w:t>Number)</w:t>
            </w:r>
          </w:p>
        </w:tc>
      </w:tr>
    </w:tbl>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val="false"/>
          <w:color w:val="000000"/>
          <w:sz w:val="20"/>
        </w:rPr>
        <w:t>855 S. MINT STREET, CHARLOTTE, NC</w:t>
      </w:r>
      <w:r>
        <w:rPr>
          <w:rFonts w:ascii="Arial;sans-serif" w:hAnsi="Arial;sans-serif"/>
          <w:b w:val="false"/>
          <w:color w:val="FFFFFF"/>
          <w:sz w:val="20"/>
        </w:rPr>
        <w:t>..................................................</w:t>
      </w:r>
      <w:r>
        <w:rPr>
          <w:rFonts w:ascii="Arial;sans-serif" w:hAnsi="Arial;sans-serif"/>
          <w:b w:val="false"/>
          <w:color w:val="000000"/>
          <w:sz w:val="20"/>
        </w:rPr>
        <w:t>28202</w:t>
      </w:r>
    </w:p>
    <w:p>
      <w:pPr>
        <w:pStyle w:val="TextBody"/>
        <w:bidi w:val="0"/>
        <w:spacing w:lineRule="auto" w:line="288" w:before="0" w:after="0"/>
        <w:jc w:val="center"/>
        <w:rPr/>
      </w:pPr>
      <w:r>
        <w:rPr>
          <w:rFonts w:ascii="Arial;sans-serif" w:hAnsi="Arial;sans-serif"/>
          <w:b w:val="false"/>
          <w:color w:val="FFFFFF"/>
          <w:sz w:val="20"/>
        </w:rPr>
        <w:t>......</w:t>
      </w:r>
      <w:r>
        <w:rPr>
          <w:rFonts w:ascii="Arial;sans-serif" w:hAnsi="Arial;sans-serif"/>
          <w:b w:val="false"/>
          <w:color w:val="000000"/>
          <w:sz w:val="20"/>
        </w:rPr>
        <w:t>(Address of principal executive offices)</w:t>
      </w:r>
      <w:r>
        <w:rPr>
          <w:rFonts w:ascii="Arial;sans-serif" w:hAnsi="Arial;sans-serif"/>
          <w:b w:val="false"/>
          <w:color w:val="FFFFFF"/>
          <w:sz w:val="20"/>
        </w:rPr>
        <w:t>.................................................</w:t>
      </w:r>
      <w:r>
        <w:rPr>
          <w:rFonts w:ascii="Arial;sans-serif" w:hAnsi="Arial;sans-serif"/>
          <w:b w:val="false"/>
          <w:color w:val="000000"/>
          <w:sz w:val="20"/>
        </w:rPr>
        <w:t>(Zip Code)</w:t>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r>
        <w:rPr>
          <w:rFonts w:ascii="Arial;sans-serif" w:hAnsi="Arial;sans-serif"/>
          <w:b w:val="false"/>
          <w:color w:val="000000"/>
          <w:sz w:val="20"/>
        </w:rPr>
        <w:t xml:space="preserve">Registrant’s telephone number, including area code: (704) 627-6200 </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 </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877" w:type="dxa"/>
        <w:jc w:val="left"/>
        <w:tblInd w:w="0" w:type="dxa"/>
        <w:tblLayout w:type="fixed"/>
        <w:tblCellMar>
          <w:top w:w="28" w:type="dxa"/>
          <w:left w:w="28" w:type="dxa"/>
          <w:bottom w:w="28" w:type="dxa"/>
          <w:right w:w="28" w:type="dxa"/>
        </w:tblCellMar>
      </w:tblPr>
      <w:tblGrid>
        <w:gridCol w:w="1276"/>
        <w:gridCol w:w="1118"/>
        <w:gridCol w:w="1131"/>
        <w:gridCol w:w="109"/>
        <w:gridCol w:w="109"/>
        <w:gridCol w:w="109"/>
        <w:gridCol w:w="564"/>
        <w:gridCol w:w="564"/>
        <w:gridCol w:w="566"/>
        <w:gridCol w:w="109"/>
        <w:gridCol w:w="109"/>
        <w:gridCol w:w="109"/>
        <w:gridCol w:w="1170"/>
        <w:gridCol w:w="1170"/>
        <w:gridCol w:w="1664"/>
      </w:tblGrid>
      <w:tr>
        <w:trPr/>
        <w:tc>
          <w:tcPr>
            <w:tcW w:w="127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3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par value $1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0.000% Senior Notes due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 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2.250% Senior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 28A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0.750% Senior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 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4.125% Senior Notes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 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Arial;sans-serif" w:hAnsi="Arial;sans-serif"/>
          <w:b w:val="false"/>
          <w:color w:val="000000"/>
          <w:sz w:val="20"/>
        </w:rPr>
        <w:t>Emerging Growth Company</w:t>
      </w:r>
      <w:r>
        <w:rPr>
          <w:color w:val="000000"/>
        </w:rPr>
        <w:t xml:space="preserve">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Explanatory Note</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This Current Report on Form 8-K/A (the “Amendment”) is being filed as an amendment to the Current Report on Form 8-K filed by Honeywell International Inc. (the “Company”) on May 23, 2023 (the “Original Form 8-K”). The Original Form 8-K was filed with the Securities and Exchange Commission to report the results of the matters submitted to a vote by the Company’s shareowners at the Company’s 2023 Annual Meeting of Shareowners held on May 19, 2023 (the “2023 Annual Meeting”). The sole purpose of this Amendment is to disclose, in accordance with Item 5.07(d) of Form 8-K, the Company’s decision as to how frequently the Company will conduct future shareowner advisory votes regarding the compensation of the Company’s named executive officers. No other changes have been made to the Original Form 8-K. </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Item 5.07     Submission of Matters to a Vote of Security Holders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Consistent with the recommendation of the Board of Directors of the Company as set forth in the Company's proxy statement for its 2023 Annual Meeting and the vote of the Company's shareowners at the 2023 Annual Meeting, the Company is confirming that it will include an annual advisory vote on the compensation of its named executive officers in its proxy materials until the next required shareowner vote on the frequency of advisory votes on executive compensation, which vote is expected to be held at the Company's 2029 Annual Meeting of Shareowners.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tbl>
      <w:tblPr>
        <w:tblW w:w="6760" w:type="dxa"/>
        <w:jc w:val="left"/>
        <w:tblInd w:w="0" w:type="dxa"/>
        <w:tblLayout w:type="fixed"/>
        <w:tblCellMar>
          <w:top w:w="28" w:type="dxa"/>
          <w:left w:w="28" w:type="dxa"/>
          <w:bottom w:w="28" w:type="dxa"/>
          <w:right w:w="28" w:type="dxa"/>
        </w:tblCellMar>
      </w:tblPr>
      <w:tblGrid>
        <w:gridCol w:w="211"/>
        <w:gridCol w:w="186"/>
        <w:gridCol w:w="188"/>
        <w:gridCol w:w="409"/>
        <w:gridCol w:w="409"/>
        <w:gridCol w:w="411"/>
        <w:gridCol w:w="109"/>
        <w:gridCol w:w="109"/>
        <w:gridCol w:w="109"/>
        <w:gridCol w:w="692"/>
        <w:gridCol w:w="692"/>
        <w:gridCol w:w="692"/>
        <w:gridCol w:w="692"/>
        <w:gridCol w:w="692"/>
        <w:gridCol w:w="702"/>
        <w:gridCol w:w="134"/>
        <w:gridCol w:w="134"/>
        <w:gridCol w:w="189"/>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Date:</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6,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INTERNATIONAL INC.</w:t>
            </w:r>
          </w:p>
        </w:tc>
        <w:tc>
          <w:tcPr>
            <w:tcW w:w="4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By: </w:t>
            </w:r>
            <w:r>
              <w:rPr>
                <w:rFonts w:ascii="Arial;sans-serif" w:hAnsi="Arial;sans-serif"/>
                <w:b w:val="false"/>
                <w:color w:val="000000"/>
                <w:sz w:val="20"/>
                <w:u w:val="single"/>
              </w:rPr>
              <w:t>/s/ Victor J. Miller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Victor J. Miller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Deputy General Counsel, Corporate</w:t>
              <w:br/>
              <w:t>Secretary and Chief Compliance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3467</Characters>
  <CharactersWithSpaces>4071</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