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60"/>
        <w:spacing w:after="0"/>
        <w:rPr>
          <w:sz w:val="20"/>
          <w:szCs w:val="20"/>
          <w:color w:val="auto"/>
        </w:rPr>
      </w:pPr>
      <w:r>
        <w:rPr>
          <w:rFonts w:ascii="Arial" w:cs="Arial" w:eastAsia="Arial" w:hAnsi="Arial"/>
          <w:sz w:val="14"/>
          <w:szCs w:val="14"/>
          <w:color w:val="auto"/>
        </w:rPr>
        <w:t>UNITED STATES</w:t>
      </w:r>
    </w:p>
    <w:p>
      <w:pPr>
        <w:spacing w:after="0" w:line="29" w:lineRule="exact"/>
        <w:rPr>
          <w:sz w:val="24"/>
          <w:szCs w:val="24"/>
          <w:color w:val="auto"/>
        </w:rPr>
      </w:pPr>
    </w:p>
    <w:p>
      <w:pPr>
        <w:ind w:left="4100"/>
        <w:spacing w:after="0"/>
        <w:rPr>
          <w:sz w:val="20"/>
          <w:szCs w:val="20"/>
          <w:color w:val="auto"/>
        </w:rPr>
      </w:pPr>
      <w:r>
        <w:rPr>
          <w:rFonts w:ascii="Arial" w:cs="Arial" w:eastAsia="Arial" w:hAnsi="Arial"/>
          <w:sz w:val="14"/>
          <w:szCs w:val="14"/>
          <w:color w:val="auto"/>
        </w:rPr>
        <w:t>SECURITIES AND EXCHANGE COMMISSION</w:t>
      </w:r>
    </w:p>
    <w:p>
      <w:pPr>
        <w:spacing w:after="0" w:line="15" w:lineRule="exact"/>
        <w:rPr>
          <w:sz w:val="24"/>
          <w:szCs w:val="24"/>
          <w:color w:val="auto"/>
        </w:rPr>
      </w:pPr>
    </w:p>
    <w:p>
      <w:pPr>
        <w:ind w:left="4840"/>
        <w:spacing w:after="0"/>
        <w:rPr>
          <w:sz w:val="20"/>
          <w:szCs w:val="20"/>
          <w:color w:val="auto"/>
        </w:rPr>
      </w:pPr>
      <w:r>
        <w:rPr>
          <w:rFonts w:ascii="Arial" w:cs="Arial" w:eastAsia="Arial" w:hAnsi="Arial"/>
          <w:sz w:val="14"/>
          <w:szCs w:val="14"/>
          <w:color w:val="auto"/>
        </w:rPr>
        <w:t>Washington, D.C. 20549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10-Q</w:t>
      </w:r>
    </w:p>
    <w:p>
      <w:pPr>
        <w:spacing w:after="0" w:line="15" w:lineRule="exact"/>
        <w:rPr>
          <w:sz w:val="24"/>
          <w:szCs w:val="24"/>
          <w:color w:val="auto"/>
        </w:rPr>
      </w:pPr>
    </w:p>
    <w:p>
      <w:pPr>
        <w:ind w:left="4900"/>
        <w:spacing w:after="0"/>
        <w:rPr>
          <w:sz w:val="20"/>
          <w:szCs w:val="20"/>
          <w:color w:val="auto"/>
        </w:rPr>
      </w:pPr>
      <w:r>
        <w:rPr>
          <w:rFonts w:ascii="Arial" w:cs="Arial" w:eastAsia="Arial" w:hAnsi="Arial"/>
          <w:sz w:val="14"/>
          <w:szCs w:val="14"/>
          <w:color w:val="auto"/>
        </w:rPr>
        <w:t>__________________</w:t>
      </w:r>
    </w:p>
    <w:p>
      <w:pPr>
        <w:spacing w:after="0" w:line="11" w:lineRule="exact"/>
        <w:rPr>
          <w:sz w:val="24"/>
          <w:szCs w:val="24"/>
          <w:color w:val="auto"/>
        </w:rPr>
      </w:pPr>
    </w:p>
    <w:p>
      <w:pPr>
        <w:ind w:left="3680" w:hanging="185"/>
        <w:spacing w:after="0"/>
        <w:tabs>
          <w:tab w:leader="none" w:pos="36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QUARTERLY REPORT PURSUANT TO SECTION 13 OR 15(d)</w:t>
      </w:r>
    </w:p>
    <w:p>
      <w:pPr>
        <w:spacing w:after="0" w:line="17" w:lineRule="exact"/>
        <w:rPr>
          <w:rFonts w:ascii="MS PGothic" w:cs="MS PGothic" w:eastAsia="MS PGothic" w:hAnsi="MS PGothic"/>
          <w:sz w:val="14"/>
          <w:szCs w:val="14"/>
          <w:color w:val="auto"/>
        </w:rPr>
      </w:pPr>
    </w:p>
    <w:p>
      <w:pPr>
        <w:jc w:val="both"/>
        <w:ind w:left="3980" w:right="3980" w:firstLine="37"/>
        <w:spacing w:after="0" w:line="271" w:lineRule="auto"/>
        <w:rPr>
          <w:rFonts w:ascii="MS PGothic" w:cs="MS PGothic" w:eastAsia="MS PGothic" w:hAnsi="MS PGothic"/>
          <w:sz w:val="14"/>
          <w:szCs w:val="14"/>
          <w:color w:val="auto"/>
        </w:rPr>
      </w:pPr>
      <w:r>
        <w:rPr>
          <w:rFonts w:ascii="Arial" w:cs="Arial" w:eastAsia="Arial" w:hAnsi="Arial"/>
          <w:sz w:val="14"/>
          <w:szCs w:val="14"/>
          <w:color w:val="auto"/>
        </w:rPr>
        <w:t xml:space="preserve">OF THE SECURITIES EXCHANGE ACT OF 1934 For the quarterly period ended </w:t>
      </w:r>
      <w:r>
        <w:rPr>
          <w:rFonts w:ascii="Arial" w:cs="Arial" w:eastAsia="Arial" w:hAnsi="Arial"/>
          <w:sz w:val="14"/>
          <w:szCs w:val="14"/>
          <w:u w:val="single" w:color="auto"/>
          <w:color w:val="auto"/>
        </w:rPr>
        <w:t>September 30, 2025</w:t>
      </w:r>
    </w:p>
    <w:p>
      <w:pPr>
        <w:jc w:val="center"/>
        <w:ind w:right="-19"/>
        <w:spacing w:after="0"/>
        <w:rPr>
          <w:sz w:val="20"/>
          <w:szCs w:val="20"/>
          <w:color w:val="auto"/>
        </w:rPr>
      </w:pPr>
      <w:r>
        <w:rPr>
          <w:rFonts w:ascii="Arial" w:cs="Arial" w:eastAsia="Arial" w:hAnsi="Arial"/>
          <w:sz w:val="14"/>
          <w:szCs w:val="14"/>
          <w:color w:val="auto"/>
        </w:rPr>
        <w:t>OR</w:t>
      </w:r>
    </w:p>
    <w:p>
      <w:pPr>
        <w:spacing w:after="0" w:line="25" w:lineRule="exact"/>
        <w:rPr>
          <w:sz w:val="24"/>
          <w:szCs w:val="24"/>
          <w:color w:val="auto"/>
        </w:rPr>
      </w:pPr>
    </w:p>
    <w:p>
      <w:pPr>
        <w:ind w:left="3660" w:hanging="167"/>
        <w:spacing w:after="0"/>
        <w:tabs>
          <w:tab w:leader="none" w:pos="36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w:t>
      </w:r>
    </w:p>
    <w:p>
      <w:pPr>
        <w:spacing w:after="0" w:line="17" w:lineRule="exact"/>
        <w:rPr>
          <w:rFonts w:ascii="MS PGothic" w:cs="MS PGothic" w:eastAsia="MS PGothic" w:hAnsi="MS PGothic"/>
          <w:sz w:val="14"/>
          <w:szCs w:val="14"/>
          <w:color w:val="auto"/>
        </w:rPr>
      </w:pPr>
    </w:p>
    <w:p>
      <w:pPr>
        <w:jc w:val="center"/>
        <w:ind w:left="4140" w:right="4020" w:hanging="119"/>
        <w:spacing w:after="0" w:line="241" w:lineRule="auto"/>
        <w:rPr>
          <w:rFonts w:ascii="MS PGothic" w:cs="MS PGothic" w:eastAsia="MS PGothic" w:hAnsi="MS PGothic"/>
          <w:sz w:val="14"/>
          <w:szCs w:val="14"/>
          <w:color w:val="auto"/>
        </w:rPr>
      </w:pPr>
      <w:r>
        <w:rPr>
          <w:rFonts w:ascii="Arial" w:cs="Arial" w:eastAsia="Arial" w:hAnsi="Arial"/>
          <w:sz w:val="14"/>
          <w:szCs w:val="14"/>
          <w:color w:val="auto"/>
        </w:rPr>
        <w:t>OF THE SECURITIES EXCHANGE ACT OF 1934 For the transition period from ______ to _____</w:t>
      </w:r>
    </w:p>
    <w:p>
      <w:pPr>
        <w:ind w:left="4600"/>
        <w:spacing w:after="0"/>
        <w:rPr>
          <w:rFonts w:ascii="MS PGothic" w:cs="MS PGothic" w:eastAsia="MS PGothic" w:hAnsi="MS PGothic"/>
          <w:sz w:val="14"/>
          <w:szCs w:val="14"/>
          <w:color w:val="auto"/>
        </w:rPr>
      </w:pPr>
      <w:r>
        <w:rPr>
          <w:rFonts w:ascii="Arial" w:cs="Arial" w:eastAsia="Arial" w:hAnsi="Arial"/>
          <w:sz w:val="14"/>
          <w:szCs w:val="14"/>
          <w:color w:val="auto"/>
        </w:rPr>
        <w:t xml:space="preserve">Commission file number </w:t>
      </w:r>
      <w:r>
        <w:rPr>
          <w:rFonts w:ascii="Arial" w:cs="Arial" w:eastAsia="Arial" w:hAnsi="Arial"/>
          <w:sz w:val="14"/>
          <w:szCs w:val="14"/>
          <w:u w:val="single" w:color="auto"/>
          <w:color w:val="auto"/>
        </w:rPr>
        <w:t>1-8974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6350</wp:posOffset>
            </wp:positionV>
            <wp:extent cx="1757045" cy="351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704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Honeywell International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1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2"/>
          </w:tcPr>
          <w:p>
            <w:pPr>
              <w:jc w:val="center"/>
              <w:ind w:left="648"/>
              <w:spacing w:after="0"/>
              <w:rPr>
                <w:sz w:val="20"/>
                <w:szCs w:val="20"/>
                <w:color w:val="auto"/>
              </w:rPr>
            </w:pPr>
            <w:r>
              <w:rPr>
                <w:rFonts w:ascii="Arial" w:cs="Arial" w:eastAsia="Arial" w:hAnsi="Arial"/>
                <w:sz w:val="14"/>
                <w:szCs w:val="14"/>
                <w:color w:val="auto"/>
              </w:rPr>
              <w:t>Delaware</w:t>
            </w: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22-2640650</w:t>
            </w:r>
          </w:p>
        </w:tc>
        <w:tc>
          <w:tcPr>
            <w:tcW w:w="720" w:type="dxa"/>
            <w:vAlign w:val="bottom"/>
            <w:tcBorders>
              <w:bottom w:val="single" w:sz="8" w:color="auto"/>
            </w:tcBorders>
          </w:tcPr>
          <w:p>
            <w:pPr>
              <w:spacing w:after="0"/>
              <w:rPr>
                <w:sz w:val="16"/>
                <w:szCs w:val="16"/>
                <w:color w:val="auto"/>
              </w:rPr>
            </w:pPr>
          </w:p>
        </w:tc>
        <w:tc>
          <w:tcPr>
            <w:tcW w:w="1040" w:type="dxa"/>
            <w:vAlign w:val="bottom"/>
          </w:tcPr>
          <w:p>
            <w:pPr>
              <w:spacing w:after="0"/>
              <w:rPr>
                <w:sz w:val="16"/>
                <w:szCs w:val="16"/>
                <w:color w:val="auto"/>
              </w:rPr>
            </w:pPr>
          </w:p>
        </w:tc>
      </w:tr>
      <w:tr>
        <w:trPr>
          <w:trHeight w:val="150"/>
        </w:trPr>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40" w:type="dxa"/>
            <w:vAlign w:val="bottom"/>
            <w:gridSpan w:val="2"/>
          </w:tcPr>
          <w:p>
            <w:pPr>
              <w:jc w:val="center"/>
              <w:ind w:left="648"/>
              <w:spacing w:after="0" w:line="151" w:lineRule="exact"/>
              <w:rPr>
                <w:sz w:val="20"/>
                <w:szCs w:val="20"/>
                <w:color w:val="auto"/>
              </w:rPr>
            </w:pPr>
            <w:r>
              <w:rPr>
                <w:rFonts w:ascii="Arial" w:cs="Arial" w:eastAsia="Arial" w:hAnsi="Arial"/>
                <w:sz w:val="14"/>
                <w:szCs w:val="14"/>
                <w:color w:val="auto"/>
              </w:rPr>
              <w:t>(State or other jurisdiction of</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40" w:type="dxa"/>
            <w:vAlign w:val="bottom"/>
            <w:gridSpan w:val="2"/>
          </w:tcPr>
          <w:p>
            <w:pPr>
              <w:jc w:val="center"/>
              <w:ind w:right="160"/>
              <w:spacing w:after="0" w:line="151" w:lineRule="exact"/>
              <w:rPr>
                <w:sz w:val="20"/>
                <w:szCs w:val="20"/>
                <w:color w:val="auto"/>
              </w:rPr>
            </w:pPr>
            <w:r>
              <w:rPr>
                <w:rFonts w:ascii="Arial" w:cs="Arial" w:eastAsia="Arial" w:hAnsi="Arial"/>
                <w:sz w:val="14"/>
                <w:szCs w:val="14"/>
                <w:color w:val="auto"/>
              </w:rPr>
              <w:t>(I.R.S. Employer</w:t>
            </w:r>
          </w:p>
        </w:tc>
        <w:tc>
          <w:tcPr>
            <w:tcW w:w="1040" w:type="dxa"/>
            <w:vAlign w:val="bottom"/>
          </w:tcPr>
          <w:p>
            <w:pPr>
              <w:spacing w:after="0"/>
              <w:rPr>
                <w:sz w:val="13"/>
                <w:szCs w:val="13"/>
                <w:color w:val="auto"/>
              </w:rPr>
            </w:pPr>
          </w:p>
        </w:tc>
      </w:tr>
      <w:tr>
        <w:trPr>
          <w:trHeight w:val="190"/>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40" w:type="dxa"/>
            <w:vAlign w:val="bottom"/>
            <w:gridSpan w:val="2"/>
          </w:tcPr>
          <w:p>
            <w:pPr>
              <w:jc w:val="center"/>
              <w:ind w:left="648"/>
              <w:spacing w:after="0"/>
              <w:rPr>
                <w:sz w:val="20"/>
                <w:szCs w:val="20"/>
                <w:color w:val="auto"/>
              </w:rPr>
            </w:pPr>
            <w:r>
              <w:rPr>
                <w:rFonts w:ascii="Arial" w:cs="Arial" w:eastAsia="Arial" w:hAnsi="Arial"/>
                <w:sz w:val="14"/>
                <w:szCs w:val="14"/>
                <w:color w:val="auto"/>
              </w:rPr>
              <w:t>incorporation or organization)</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40" w:type="dxa"/>
            <w:vAlign w:val="bottom"/>
            <w:gridSpan w:val="2"/>
          </w:tcPr>
          <w:p>
            <w:pPr>
              <w:jc w:val="center"/>
              <w:ind w:right="180"/>
              <w:spacing w:after="0"/>
              <w:rPr>
                <w:sz w:val="20"/>
                <w:szCs w:val="20"/>
                <w:color w:val="auto"/>
              </w:rPr>
            </w:pPr>
            <w:r>
              <w:rPr>
                <w:rFonts w:ascii="Arial" w:cs="Arial" w:eastAsia="Arial" w:hAnsi="Arial"/>
                <w:sz w:val="14"/>
                <w:szCs w:val="14"/>
                <w:color w:val="auto"/>
              </w:rPr>
              <w:t>Identification No.)</w:t>
            </w:r>
          </w:p>
        </w:tc>
        <w:tc>
          <w:tcPr>
            <w:tcW w:w="1040" w:type="dxa"/>
            <w:vAlign w:val="bottom"/>
          </w:tcPr>
          <w:p>
            <w:pPr>
              <w:spacing w:after="0"/>
              <w:rPr>
                <w:sz w:val="16"/>
                <w:szCs w:val="16"/>
                <w:color w:val="auto"/>
              </w:rPr>
            </w:pPr>
          </w:p>
        </w:tc>
      </w:tr>
      <w:tr>
        <w:trPr>
          <w:trHeight w:val="297"/>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40" w:type="dxa"/>
            <w:vAlign w:val="bottom"/>
            <w:gridSpan w:val="2"/>
          </w:tcPr>
          <w:p>
            <w:pPr>
              <w:jc w:val="center"/>
              <w:ind w:left="648"/>
              <w:spacing w:after="0"/>
              <w:rPr>
                <w:sz w:val="20"/>
                <w:szCs w:val="20"/>
                <w:color w:val="auto"/>
              </w:rPr>
            </w:pPr>
            <w:r>
              <w:rPr>
                <w:rFonts w:ascii="Arial" w:cs="Arial" w:eastAsia="Arial" w:hAnsi="Arial"/>
                <w:sz w:val="14"/>
                <w:szCs w:val="14"/>
                <w:color w:val="auto"/>
              </w:rPr>
              <w:t>855 South Mint Street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1"/>
        </w:trPr>
        <w:tc>
          <w:tcPr>
            <w:tcW w:w="12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color w:val="auto"/>
              </w:rPr>
              <w:t>Charlotte, North Carolina</w:t>
            </w:r>
          </w:p>
        </w:tc>
        <w:tc>
          <w:tcPr>
            <w:tcW w:w="11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jc w:val="right"/>
              <w:ind w:right="1168"/>
              <w:spacing w:after="0"/>
              <w:rPr>
                <w:sz w:val="20"/>
                <w:szCs w:val="20"/>
                <w:color w:val="auto"/>
              </w:rPr>
            </w:pPr>
            <w:r>
              <w:rPr>
                <w:rFonts w:ascii="Arial" w:cs="Arial" w:eastAsia="Arial" w:hAnsi="Arial"/>
                <w:sz w:val="14"/>
                <w:szCs w:val="14"/>
                <w:color w:val="auto"/>
              </w:rPr>
              <w:t>28202</w:t>
            </w:r>
          </w:p>
        </w:tc>
        <w:tc>
          <w:tcPr>
            <w:tcW w:w="720" w:type="dxa"/>
            <w:vAlign w:val="bottom"/>
            <w:tcBorders>
              <w:bottom w:val="single" w:sz="8" w:color="auto"/>
            </w:tcBorders>
          </w:tcPr>
          <w:p>
            <w:pPr>
              <w:spacing w:after="0"/>
              <w:rPr>
                <w:sz w:val="22"/>
                <w:szCs w:val="22"/>
                <w:color w:val="auto"/>
              </w:rPr>
            </w:pPr>
          </w:p>
        </w:tc>
        <w:tc>
          <w:tcPr>
            <w:tcW w:w="1040" w:type="dxa"/>
            <w:vAlign w:val="bottom"/>
          </w:tcPr>
          <w:p>
            <w:pPr>
              <w:spacing w:after="0"/>
              <w:rPr>
                <w:sz w:val="22"/>
                <w:szCs w:val="22"/>
                <w:color w:val="auto"/>
              </w:rPr>
            </w:pPr>
          </w:p>
        </w:tc>
      </w:tr>
      <w:tr>
        <w:trPr>
          <w:trHeight w:val="192"/>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100" w:type="dxa"/>
            <w:vAlign w:val="bottom"/>
            <w:gridSpan w:val="6"/>
          </w:tcPr>
          <w:p>
            <w:pPr>
              <w:jc w:val="center"/>
              <w:ind w:right="720"/>
              <w:spacing w:after="0"/>
              <w:rPr>
                <w:sz w:val="20"/>
                <w:szCs w:val="20"/>
                <w:color w:val="auto"/>
              </w:rPr>
            </w:pPr>
            <w:r>
              <w:rPr>
                <w:rFonts w:ascii="Arial" w:cs="Arial" w:eastAsia="Arial" w:hAnsi="Arial"/>
                <w:sz w:val="14"/>
                <w:szCs w:val="14"/>
                <w:color w:val="auto"/>
              </w:rPr>
              <w:t>(Address of principal executive offices)</w:t>
            </w:r>
          </w:p>
        </w:tc>
        <w:tc>
          <w:tcPr>
            <w:tcW w:w="4140" w:type="dxa"/>
            <w:vAlign w:val="bottom"/>
            <w:gridSpan w:val="2"/>
          </w:tcPr>
          <w:p>
            <w:pPr>
              <w:jc w:val="center"/>
              <w:ind w:right="180"/>
              <w:spacing w:after="0"/>
              <w:rPr>
                <w:sz w:val="20"/>
                <w:szCs w:val="20"/>
                <w:color w:val="auto"/>
              </w:rPr>
            </w:pPr>
            <w:r>
              <w:rPr>
                <w:rFonts w:ascii="Arial" w:cs="Arial" w:eastAsia="Arial" w:hAnsi="Arial"/>
                <w:sz w:val="14"/>
                <w:szCs w:val="14"/>
                <w:color w:val="auto"/>
              </w:rPr>
              <w:t>(Zip Code)</w:t>
            </w:r>
          </w:p>
        </w:tc>
        <w:tc>
          <w:tcPr>
            <w:tcW w:w="1040" w:type="dxa"/>
            <w:vAlign w:val="bottom"/>
          </w:tcPr>
          <w:p>
            <w:pPr>
              <w:spacing w:after="0"/>
              <w:rPr>
                <w:sz w:val="16"/>
                <w:szCs w:val="16"/>
                <w:color w:val="auto"/>
              </w:rPr>
            </w:pPr>
          </w:p>
        </w:tc>
      </w:tr>
      <w:tr>
        <w:trPr>
          <w:trHeight w:val="328"/>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(704) 627-6200</w:t>
            </w:r>
          </w:p>
        </w:tc>
        <w:tc>
          <w:tcPr>
            <w:tcW w:w="34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2"/>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40" w:type="dxa"/>
            <w:vAlign w:val="bottom"/>
            <w:gridSpan w:val="8"/>
          </w:tcPr>
          <w:p>
            <w:pPr>
              <w:ind w:left="2080"/>
              <w:spacing w:after="0"/>
              <w:rPr>
                <w:sz w:val="20"/>
                <w:szCs w:val="20"/>
                <w:color w:val="auto"/>
              </w:rPr>
            </w:pPr>
            <w:r>
              <w:rPr>
                <w:rFonts w:ascii="Arial" w:cs="Arial" w:eastAsia="Arial" w:hAnsi="Arial"/>
                <w:sz w:val="14"/>
                <w:szCs w:val="14"/>
                <w:color w:val="auto"/>
              </w:rPr>
              <w:t>(Registrant’s telephone number, including area code)</w:t>
            </w:r>
          </w:p>
        </w:tc>
        <w:tc>
          <w:tcPr>
            <w:tcW w:w="1040" w:type="dxa"/>
            <w:vAlign w:val="bottom"/>
          </w:tcPr>
          <w:p>
            <w:pPr>
              <w:spacing w:after="0"/>
              <w:rPr>
                <w:sz w:val="16"/>
                <w:szCs w:val="16"/>
                <w:color w:val="auto"/>
              </w:rPr>
            </w:pPr>
          </w:p>
        </w:tc>
      </w:tr>
      <w:tr>
        <w:trPr>
          <w:trHeight w:val="283"/>
        </w:trPr>
        <w:tc>
          <w:tcPr>
            <w:tcW w:w="438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7"/>
        </w:trPr>
        <w:tc>
          <w:tcPr>
            <w:tcW w:w="12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2"/>
          </w:tcPr>
          <w:p>
            <w:pPr>
              <w:jc w:val="center"/>
              <w:ind w:right="1208"/>
              <w:spacing w:after="0"/>
              <w:rPr>
                <w:sz w:val="20"/>
                <w:szCs w:val="20"/>
                <w:color w:val="auto"/>
              </w:rPr>
            </w:pPr>
            <w:r>
              <w:rPr>
                <w:rFonts w:ascii="Arial" w:cs="Arial" w:eastAsia="Arial" w:hAnsi="Arial"/>
                <w:sz w:val="14"/>
                <w:szCs w:val="14"/>
                <w:color w:val="auto"/>
              </w:rPr>
              <w:t>Title of each class</w:t>
            </w:r>
          </w:p>
        </w:tc>
        <w:tc>
          <w:tcPr>
            <w:tcW w:w="100" w:type="dxa"/>
            <w:vAlign w:val="bottom"/>
          </w:tcPr>
          <w:p>
            <w:pPr>
              <w:spacing w:after="0"/>
              <w:rPr>
                <w:sz w:val="17"/>
                <w:szCs w:val="17"/>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Trading Symbol(s)</w:t>
            </w:r>
          </w:p>
        </w:tc>
        <w:tc>
          <w:tcPr>
            <w:tcW w:w="100" w:type="dxa"/>
            <w:vAlign w:val="bottom"/>
          </w:tcPr>
          <w:p>
            <w:pPr>
              <w:spacing w:after="0"/>
              <w:rPr>
                <w:sz w:val="17"/>
                <w:szCs w:val="17"/>
                <w:color w:val="auto"/>
              </w:rPr>
            </w:pPr>
          </w:p>
        </w:tc>
        <w:tc>
          <w:tcPr>
            <w:tcW w:w="4140" w:type="dxa"/>
            <w:vAlign w:val="bottom"/>
            <w:tcBorders>
              <w:bottom w:val="single" w:sz="8" w:color="auto"/>
            </w:tcBorders>
            <w:gridSpan w:val="2"/>
          </w:tcPr>
          <w:p>
            <w:pPr>
              <w:jc w:val="center"/>
              <w:ind w:left="968"/>
              <w:spacing w:after="0"/>
              <w:rPr>
                <w:sz w:val="20"/>
                <w:szCs w:val="20"/>
                <w:color w:val="auto"/>
              </w:rPr>
            </w:pPr>
            <w:r>
              <w:rPr>
                <w:rFonts w:ascii="Arial" w:cs="Arial" w:eastAsia="Arial" w:hAnsi="Arial"/>
                <w:sz w:val="14"/>
                <w:szCs w:val="14"/>
                <w:color w:val="auto"/>
              </w:rPr>
              <w:t>Name of each exchange on which registered</w:t>
            </w:r>
          </w:p>
        </w:tc>
        <w:tc>
          <w:tcPr>
            <w:tcW w:w="1040" w:type="dxa"/>
            <w:vAlign w:val="bottom"/>
            <w:tcBorders>
              <w:bottom w:val="single" w:sz="8" w:color="auto"/>
            </w:tcBorders>
          </w:tcPr>
          <w:p>
            <w:pPr>
              <w:spacing w:after="0"/>
              <w:rPr>
                <w:sz w:val="17"/>
                <w:szCs w:val="17"/>
                <w:color w:val="auto"/>
              </w:rPr>
            </w:pPr>
          </w:p>
        </w:tc>
      </w:tr>
      <w:tr>
        <w:trPr>
          <w:trHeight w:val="192"/>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Common Stock, par value $1 per share</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6"/>
                <w:szCs w:val="16"/>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3.500% Senior Notes due 2027</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27</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2.250% Senior Notes due 2028</w:t>
            </w: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color w:val="auto"/>
              </w:rPr>
              <w:t>HON 28A</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3.375% Senior Notes due 2030</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30</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0.750% Senior Notes due 2032</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32</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3.750% Senior Notes due 2032</w:t>
            </w: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color w:val="auto"/>
              </w:rPr>
              <w:t>HON 32A</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4.125% Senior Notes due 2034</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34</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3.750% Senior Notes due 2036</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36</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bl>
    <w:p>
      <w:pPr>
        <w:spacing w:after="0" w:line="147" w:lineRule="exact"/>
        <w:rPr>
          <w:sz w:val="24"/>
          <w:szCs w:val="24"/>
          <w:color w:val="auto"/>
        </w:rPr>
      </w:pPr>
    </w:p>
    <w:p>
      <w:pPr>
        <w:ind w:right="6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4" w:lineRule="exact"/>
        <w:rPr>
          <w:sz w:val="24"/>
          <w:szCs w:val="24"/>
          <w:color w:val="auto"/>
        </w:rPr>
      </w:pPr>
    </w:p>
    <w:p>
      <w:pPr>
        <w:ind w:right="2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20" w:type="dxa"/>
            <w:vAlign w:val="bottom"/>
          </w:tcPr>
          <w:p>
            <w:pPr>
              <w:ind w:left="460"/>
              <w:spacing w:after="0"/>
              <w:rPr>
                <w:sz w:val="20"/>
                <w:szCs w:val="20"/>
                <w:color w:val="auto"/>
              </w:rPr>
            </w:pPr>
            <w:r>
              <w:rPr>
                <w:rFonts w:ascii="Wingdings" w:cs="Wingdings" w:eastAsia="Wingdings" w:hAnsi="Wingdings"/>
                <w:sz w:val="14"/>
                <w:szCs w:val="14"/>
                <w:b w:val="1"/>
                <w:bCs w:val="1"/>
                <w:color w:val="auto"/>
              </w:rPr>
              <w:t>x</w:t>
            </w:r>
          </w:p>
        </w:tc>
        <w:tc>
          <w:tcPr>
            <w:tcW w:w="3640" w:type="dxa"/>
            <w:vAlign w:val="bottom"/>
          </w:tcPr>
          <w:p>
            <w:pPr>
              <w:ind w:left="142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880" w:type="dxa"/>
            <w:vAlign w:val="bottom"/>
          </w:tcPr>
          <w:p>
            <w:pPr>
              <w:spacing w:after="0"/>
              <w:rPr>
                <w:sz w:val="20"/>
                <w:szCs w:val="20"/>
                <w:color w:val="auto"/>
              </w:rPr>
            </w:pPr>
            <w:r>
              <w:rPr>
                <w:rFonts w:ascii="Arial" w:cs="Arial" w:eastAsia="Arial" w:hAnsi="Arial"/>
                <w:sz w:val="14"/>
                <w:szCs w:val="14"/>
                <w:color w:val="auto"/>
              </w:rPr>
              <w:t>Non-accelerated filer</w:t>
            </w:r>
          </w:p>
        </w:tc>
        <w:tc>
          <w:tcPr>
            <w:tcW w:w="20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3640" w:type="dxa"/>
            <w:vAlign w:val="bottom"/>
          </w:tcPr>
          <w:p>
            <w:pPr>
              <w:ind w:left="142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640" w:type="dxa"/>
            <w:vAlign w:val="bottom"/>
          </w:tcPr>
          <w:p>
            <w:pPr>
              <w:ind w:left="142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41"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2" w:lineRule="exact"/>
        <w:rPr>
          <w:sz w:val="24"/>
          <w:szCs w:val="24"/>
          <w:color w:val="auto"/>
        </w:rPr>
      </w:pPr>
    </w:p>
    <w:p>
      <w:pPr>
        <w:ind w:right="3100"/>
        <w:spacing w:after="0" w:line="25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Wingdings" w:cs="Wingdings" w:eastAsia="Wingdings" w:hAnsi="Wingdings"/>
          <w:sz w:val="16"/>
          <w:szCs w:val="16"/>
          <w:b w:val="1"/>
          <w:bCs w:val="1"/>
          <w:color w:val="auto"/>
        </w:rPr>
        <w:t>x</w:t>
      </w:r>
      <w:r>
        <w:rPr>
          <w:rFonts w:ascii="Arial" w:cs="Arial" w:eastAsia="Arial" w:hAnsi="Arial"/>
          <w:sz w:val="14"/>
          <w:szCs w:val="14"/>
          <w:color w:val="auto"/>
        </w:rPr>
        <w:t xml:space="preserve"> There were 634,887,208 shares of Common Stock outstanding at September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1" w:name="page2"/>
    <w:bookmarkEnd w:id="1"/>
    <w:p>
      <w:pPr>
        <w:spacing w:after="0"/>
        <w:rPr>
          <w:sz w:val="20"/>
          <w:szCs w:val="20"/>
          <w:color w:val="auto"/>
        </w:rPr>
      </w:pPr>
      <w:r>
        <w:rPr>
          <w:rFonts w:ascii="Arial" w:cs="Arial" w:eastAsia="Arial" w:hAnsi="Arial"/>
          <w:sz w:val="36"/>
          <w:szCs w:val="36"/>
          <w:b w:val="1"/>
          <w:bCs w:val="1"/>
          <w:color w:val="auto"/>
        </w:rPr>
        <w:t>TABLE OF CONTENTS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760" w:type="dxa"/>
            <w:vAlign w:val="bottom"/>
            <w:tcBorders>
              <w:top w:val="single" w:sz="8" w:color="61656A"/>
              <w:bottom w:val="single" w:sz="8" w:color="61656A"/>
            </w:tcBorders>
          </w:tcPr>
          <w:p>
            <w:pPr>
              <w:spacing w:after="0"/>
              <w:rPr>
                <w:sz w:val="19"/>
                <w:szCs w:val="19"/>
                <w:color w:val="auto"/>
              </w:rPr>
            </w:pPr>
          </w:p>
        </w:tc>
        <w:tc>
          <w:tcPr>
            <w:tcW w:w="9760" w:type="dxa"/>
            <w:vAlign w:val="bottom"/>
            <w:tcBorders>
              <w:top w:val="single" w:sz="8" w:color="61656A"/>
              <w:bottom w:val="single" w:sz="8" w:color="61656A"/>
            </w:tcBorders>
          </w:tcPr>
          <w:p>
            <w:pPr>
              <w:ind w:left="120"/>
              <w:spacing w:after="0"/>
              <w:rPr>
                <w:sz w:val="20"/>
                <w:szCs w:val="20"/>
                <w:color w:val="auto"/>
              </w:rPr>
            </w:pPr>
            <w:r>
              <w:rPr>
                <w:rFonts w:ascii="Arial" w:cs="Arial" w:eastAsia="Arial" w:hAnsi="Arial"/>
                <w:sz w:val="16"/>
                <w:szCs w:val="16"/>
                <w:color w:val="auto"/>
              </w:rPr>
              <w:t>Cautionary Statement about Forward-Looking Statements</w:t>
            </w:r>
          </w:p>
        </w:tc>
        <w:tc>
          <w:tcPr>
            <w:tcW w:w="660" w:type="dxa"/>
            <w:vAlign w:val="bottom"/>
            <w:tcBorders>
              <w:top w:val="single" w:sz="8" w:color="61656A"/>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w:t>
            </w:r>
          </w:p>
        </w:tc>
        <w:tc>
          <w:tcPr>
            <w:tcW w:w="2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D7282F"/>
            </w:tcBorders>
          </w:tcPr>
          <w:p>
            <w:pPr>
              <w:spacing w:after="0"/>
              <w:rPr>
                <w:sz w:val="18"/>
                <w:szCs w:val="18"/>
                <w:color w:val="auto"/>
              </w:rPr>
            </w:pPr>
          </w:p>
        </w:tc>
        <w:tc>
          <w:tcPr>
            <w:tcW w:w="9760" w:type="dxa"/>
            <w:vAlign w:val="bottom"/>
            <w:tcBorders>
              <w:bottom w:val="single" w:sz="8" w:color="D7282F"/>
            </w:tcBorders>
          </w:tcPr>
          <w:p>
            <w:pPr>
              <w:ind w:left="120"/>
              <w:spacing w:after="0"/>
              <w:rPr>
                <w:sz w:val="20"/>
                <w:szCs w:val="20"/>
                <w:color w:val="auto"/>
              </w:rPr>
            </w:pPr>
            <w:r>
              <w:rPr>
                <w:rFonts w:ascii="Arial" w:cs="Arial" w:eastAsia="Arial" w:hAnsi="Arial"/>
                <w:sz w:val="16"/>
                <w:szCs w:val="16"/>
                <w:color w:val="auto"/>
              </w:rPr>
              <w:t>About Honeywell</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6"/>
                <w:szCs w:val="16"/>
                <w:b w:val="1"/>
                <w:bCs w:val="1"/>
                <w:color w:val="D7282F"/>
              </w:rPr>
              <w:t>2</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D7282F"/>
            </w:tcBorders>
          </w:tcPr>
          <w:p>
            <w:pPr>
              <w:spacing w:after="0"/>
              <w:rPr>
                <w:sz w:val="20"/>
                <w:szCs w:val="20"/>
                <w:color w:val="auto"/>
              </w:rPr>
            </w:pPr>
            <w:r>
              <w:rPr>
                <w:rFonts w:ascii="Arial" w:cs="Arial" w:eastAsia="Arial" w:hAnsi="Arial"/>
                <w:sz w:val="16"/>
                <w:szCs w:val="16"/>
                <w:b w:val="1"/>
                <w:bCs w:val="1"/>
                <w:color w:val="D7282F"/>
              </w:rPr>
              <w:t>PART I</w:t>
            </w:r>
          </w:p>
        </w:tc>
        <w:tc>
          <w:tcPr>
            <w:tcW w:w="9760" w:type="dxa"/>
            <w:vAlign w:val="bottom"/>
            <w:tcBorders>
              <w:bottom w:val="single" w:sz="8" w:color="D7282F"/>
            </w:tcBorders>
          </w:tcPr>
          <w:p>
            <w:pPr>
              <w:ind w:left="120"/>
              <w:spacing w:after="0"/>
              <w:rPr>
                <w:sz w:val="20"/>
                <w:szCs w:val="20"/>
                <w:color w:val="auto"/>
              </w:rPr>
            </w:pPr>
            <w:r>
              <w:rPr>
                <w:rFonts w:ascii="Arial" w:cs="Arial" w:eastAsia="Arial" w:hAnsi="Arial"/>
                <w:sz w:val="16"/>
                <w:szCs w:val="16"/>
                <w:b w:val="1"/>
                <w:bCs w:val="1"/>
                <w:color w:val="D7282F"/>
              </w:rPr>
              <w:t>Financial Information</w:t>
            </w:r>
          </w:p>
        </w:tc>
        <w:tc>
          <w:tcPr>
            <w:tcW w:w="660" w:type="dxa"/>
            <w:vAlign w:val="bottom"/>
            <w:tcBorders>
              <w:bottom w:val="single" w:sz="8" w:color="D7282F"/>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1</w:t>
            </w: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Financial Statements and Supplementary Data (unaudited):</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Statement of Operations (unaudited) – Three and Nine Months Ended September 30, 2025, and 2024</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Statement of Comprehensive Income (unaudited) – Three and Nine Months Ended September 30, 2025, and 2024</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Balance Sheet (unaudited) – September 30, 2025, and December 31, 2024</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Statement of Cash Flows (unaudited) – Nine Months Ended September 30, 2025, and 2024</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6</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Statement of Shareowners' Equity (unaudited) – Three and Nine Months Ended September 30, 2025, and 2024</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7</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 – Basis of Presentation</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8</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2 – Summary of Significant Accounting Policies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8</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3 – Acquisitions and Divestitures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9</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4 – Revenue Recognition and Contracts with Customers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12</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5 – Repositioning and Other (Gains) Charges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15</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6 – Income Taxes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17</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7 – Inventories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17</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8 – Goodwill and Other Intangible Assets—Net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17</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9 – Debt and Credit Agreements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19</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10 – Leases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20</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11 – Derivative Instruments and Hedging Transactions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21</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12 – Fair Value Measurements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24</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13 – Earnings Per Share</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25</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14 – Accumulated Other Comprehensive Loss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26</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15 – Commitments and Contingencies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26</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16 – Pension Benefits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30</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17 – Other (Income) Expense</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31</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18 – Segment Financial Data</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31</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19 – Subsequent Events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34</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2</w:t>
            </w: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35</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3</w:t>
            </w: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Quantitative and Qualitative Disclosures about Market Risks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54</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D7282F"/>
            </w:tcBorders>
          </w:tcPr>
          <w:p>
            <w:pPr>
              <w:spacing w:after="0"/>
              <w:rPr>
                <w:sz w:val="20"/>
                <w:szCs w:val="20"/>
                <w:color w:val="auto"/>
              </w:rPr>
            </w:pPr>
            <w:r>
              <w:rPr>
                <w:rFonts w:ascii="Arial" w:cs="Arial" w:eastAsia="Arial" w:hAnsi="Arial"/>
                <w:sz w:val="16"/>
                <w:szCs w:val="16"/>
                <w:b w:val="1"/>
                <w:bCs w:val="1"/>
                <w:color w:val="auto"/>
              </w:rPr>
              <w:t>ITEM 4</w:t>
            </w:r>
          </w:p>
        </w:tc>
        <w:tc>
          <w:tcPr>
            <w:tcW w:w="9760" w:type="dxa"/>
            <w:vAlign w:val="bottom"/>
            <w:tcBorders>
              <w:bottom w:val="single" w:sz="8" w:color="D7282F"/>
            </w:tcBorders>
          </w:tcPr>
          <w:p>
            <w:pPr>
              <w:ind w:left="120"/>
              <w:spacing w:after="0"/>
              <w:rPr>
                <w:sz w:val="20"/>
                <w:szCs w:val="20"/>
                <w:color w:val="auto"/>
              </w:rPr>
            </w:pPr>
            <w:r>
              <w:rPr>
                <w:rFonts w:ascii="Arial" w:cs="Arial" w:eastAsia="Arial" w:hAnsi="Arial"/>
                <w:sz w:val="16"/>
                <w:szCs w:val="16"/>
                <w:color w:val="auto"/>
              </w:rPr>
              <w:t>Controls and Procedures</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6"/>
                <w:szCs w:val="16"/>
                <w:b w:val="1"/>
                <w:bCs w:val="1"/>
                <w:color w:val="D7282F"/>
              </w:rPr>
              <w:t>55</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D7282F"/>
            </w:tcBorders>
          </w:tcPr>
          <w:p>
            <w:pPr>
              <w:spacing w:after="0"/>
              <w:rPr>
                <w:sz w:val="20"/>
                <w:szCs w:val="20"/>
                <w:color w:val="auto"/>
              </w:rPr>
            </w:pPr>
            <w:r>
              <w:rPr>
                <w:rFonts w:ascii="Arial" w:cs="Arial" w:eastAsia="Arial" w:hAnsi="Arial"/>
                <w:sz w:val="16"/>
                <w:szCs w:val="16"/>
                <w:b w:val="1"/>
                <w:bCs w:val="1"/>
                <w:color w:val="D7282F"/>
              </w:rPr>
              <w:t>PART II</w:t>
            </w:r>
          </w:p>
        </w:tc>
        <w:tc>
          <w:tcPr>
            <w:tcW w:w="9760" w:type="dxa"/>
            <w:vAlign w:val="bottom"/>
            <w:tcBorders>
              <w:bottom w:val="single" w:sz="8" w:color="D7282F"/>
            </w:tcBorders>
          </w:tcPr>
          <w:p>
            <w:pPr>
              <w:ind w:left="120"/>
              <w:spacing w:after="0"/>
              <w:rPr>
                <w:sz w:val="20"/>
                <w:szCs w:val="20"/>
                <w:color w:val="auto"/>
              </w:rPr>
            </w:pPr>
            <w:r>
              <w:rPr>
                <w:rFonts w:ascii="Arial" w:cs="Arial" w:eastAsia="Arial" w:hAnsi="Arial"/>
                <w:sz w:val="16"/>
                <w:szCs w:val="16"/>
                <w:b w:val="1"/>
                <w:bCs w:val="1"/>
                <w:color w:val="D7282F"/>
              </w:rPr>
              <w:t>Other Information</w:t>
            </w:r>
          </w:p>
        </w:tc>
        <w:tc>
          <w:tcPr>
            <w:tcW w:w="660" w:type="dxa"/>
            <w:vAlign w:val="bottom"/>
            <w:tcBorders>
              <w:bottom w:val="single" w:sz="8" w:color="D7282F"/>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1</w:t>
            </w: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Legal Proceedings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56</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1A</w:t>
            </w: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Risk Factors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56</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2</w:t>
            </w: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Unregistered Sales of Equity Securities and Use of Proceeds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57</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4</w:t>
            </w: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Mine Safety Disclosures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57</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5</w:t>
            </w: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Other Information</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57</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20"/>
                <w:szCs w:val="20"/>
                <w:color w:val="auto"/>
              </w:rPr>
            </w:pPr>
            <w:r>
              <w:rPr>
                <w:rFonts w:ascii="Arial" w:cs="Arial" w:eastAsia="Arial" w:hAnsi="Arial"/>
                <w:sz w:val="16"/>
                <w:szCs w:val="16"/>
                <w:b w:val="1"/>
                <w:bCs w:val="1"/>
                <w:color w:val="auto"/>
              </w:rPr>
              <w:t>ITEM 6</w:t>
            </w: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Exhibits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59</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60" w:type="dxa"/>
            <w:vAlign w:val="bottom"/>
            <w:tcBorders>
              <w:bottom w:val="single" w:sz="8" w:color="61656A"/>
            </w:tcBorders>
          </w:tcPr>
          <w:p>
            <w:pPr>
              <w:spacing w:after="0"/>
              <w:rPr>
                <w:sz w:val="18"/>
                <w:szCs w:val="18"/>
                <w:color w:val="auto"/>
              </w:rPr>
            </w:pPr>
          </w:p>
        </w:tc>
        <w:tc>
          <w:tcPr>
            <w:tcW w:w="976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Signatures</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60</w:t>
            </w:r>
          </w:p>
        </w:tc>
        <w:tc>
          <w:tcPr>
            <w:tcW w:w="20" w:type="dxa"/>
            <w:vAlign w:val="bottom"/>
          </w:tcPr>
          <w:p>
            <w:pPr>
              <w:spacing w:after="0"/>
              <w:rPr>
                <w:sz w:val="18"/>
                <w:szCs w:val="18"/>
                <w:color w:val="auto"/>
              </w:rPr>
            </w:pPr>
          </w:p>
        </w:tc>
      </w:tr>
      <w:tr>
        <w:trPr>
          <w:trHeight w:val="1256"/>
        </w:trPr>
        <w:tc>
          <w:tcPr>
            <w:tcW w:w="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7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460"/>
        <w:spacing w:after="0" w:line="297" w:lineRule="auto"/>
        <w:rPr>
          <w:sz w:val="20"/>
          <w:szCs w:val="20"/>
          <w:color w:val="auto"/>
        </w:rPr>
      </w:pPr>
      <w:r>
        <w:rPr>
          <w:rFonts w:ascii="Arial" w:cs="Arial" w:eastAsia="Arial" w:hAnsi="Arial"/>
          <w:sz w:val="36"/>
          <w:szCs w:val="36"/>
          <w:b w:val="1"/>
          <w:bCs w:val="1"/>
          <w:color w:val="auto"/>
        </w:rPr>
        <w:t>CAUTIONARY STATEMENT ABOUT FORWARD-LOOKING STATEMENTS</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 xml:space="preserve">We describe many of the trends and other factors that drive our business and future results in the section titled </w:t>
      </w:r>
      <w:r>
        <w:rPr>
          <w:rFonts w:ascii="Arial" w:cs="Arial" w:eastAsia="Arial" w:hAnsi="Arial"/>
          <w:sz w:val="16"/>
          <w:szCs w:val="16"/>
          <w:u w:val="single" w:color="auto"/>
          <w:color w:val="0000FF"/>
        </w:rPr>
        <w:t>Management’s Discussion and Analysis of</w:t>
      </w:r>
      <w:r>
        <w:rPr>
          <w:rFonts w:ascii="Arial" w:cs="Arial" w:eastAsia="Arial" w:hAnsi="Arial"/>
          <w:sz w:val="16"/>
          <w:szCs w:val="16"/>
          <w:color w:val="auto"/>
        </w:rPr>
        <w:t xml:space="preserve"> </w:t>
      </w:r>
      <w:r>
        <w:rPr>
          <w:rFonts w:ascii="Arial" w:cs="Arial" w:eastAsia="Arial" w:hAnsi="Arial"/>
          <w:sz w:val="16"/>
          <w:szCs w:val="16"/>
          <w:u w:val="single" w:color="auto"/>
          <w:color w:val="0000FF"/>
        </w:rPr>
        <w:t>Financial Condition and Results of Operations</w:t>
      </w:r>
      <w:r>
        <w:rPr>
          <w:rFonts w:ascii="Arial" w:cs="Arial" w:eastAsia="Arial" w:hAnsi="Arial"/>
          <w:sz w:val="16"/>
          <w:szCs w:val="16"/>
          <w:color w:val="0000FF"/>
        </w:rPr>
        <w:t xml:space="preserve"> </w:t>
      </w:r>
      <w:r>
        <w:rPr>
          <w:rFonts w:ascii="Arial" w:cs="Arial" w:eastAsia="Arial" w:hAnsi="Arial"/>
          <w:sz w:val="16"/>
          <w:szCs w:val="16"/>
          <w:color w:val="000000"/>
        </w:rPr>
        <w:t>and in other parts of this report (including</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Part II, Item 1A Risk Factors</w:t>
      </w:r>
      <w:r>
        <w:rPr>
          <w:rFonts w:ascii="Arial" w:cs="Arial" w:eastAsia="Arial" w:hAnsi="Arial"/>
          <w:sz w:val="16"/>
          <w:szCs w:val="16"/>
          <w:color w:val="000000"/>
        </w:rPr>
        <w:t xml:space="preserve">). Such discussions contain forward-looking statements within the meaning of Section 21E of the Securities Exchange Act of 1934, as amended (the Exchange Act), including statements related to the planned spin-off of the Company's Advanced Materials business into Solstice Advanced Materials, a standalone, publicly traded company, the proposed separation of Automation and Aerospace Technologies, and the evaluation of strategic alternatives for the Productivity Solutions and Services and Warehouse and Workflow Solutions businesses. Forward-looking statements are those that address activities, events, or developments that we or our management intend, expect, project, believe, or anticipate will or may occur in the future. They are based on management’s assumptions and assessments in light of past experience and trends, current economic and industry conditions, expected future developments, and other relevant factors, many of which are difficult to predict and outside of our control, including Honeywell's current expectations, estimates, and projections regarding the planned spin-off of the Company's Advanced Materials business into Solstice Advanced Materials, a standalone, publicly traded company, the proposed separation of Automation and Aerospace Technologies, and the evaluation of strategic alternatives for the Productivity Solutions and Services and Warehouse and Workflow Solutions businesses. They are not guarantees of future performance, and actual results, developments, and business decisions may differ significantly from those envisaged by our forward-looking statements, including the consummation of the spin-off of the Advanced Materials business into Solstice Advanced Materials, the proposed separation of Automation and Aerospace Technologies, and the evaluation of strategic alternatives for the Productivity Solutions and Services and Warehouse and Workflow Solutions businesses, and the anticipated benefits of each. We do not undertake to update or revise any of our forward-looking statements, except as required by applicable securities law. Our forward-looking statements are also subject to material risks and uncertainties, including ongoing macroeconomic and geopolitical risks, such as changes in or application of trade and tax laws and policies, including the impacts of tariffs and other trade barriers and restrictions, lower GDP growth or recession in the U.S. or globally, supply chain disruptions, capital markets volatility, inflation, and certain regional conflicts, which can affect our performance in both the near- and long-term. In addition, no assurance can be given that any plan, initiative, projection, goal, commitment, expectation, or prospect set forth in this Form 10-Q can or will be achieved. These forward-looking statements should be considered in light of the information included in this report and our other filings with the Securities and Exchange Commission (SEC), including, without limitation, the </w:t>
      </w:r>
      <w:r>
        <w:rPr>
          <w:rFonts w:ascii="Arial" w:cs="Arial" w:eastAsia="Arial" w:hAnsi="Arial"/>
          <w:sz w:val="16"/>
          <w:szCs w:val="16"/>
          <w:u w:val="single" w:color="auto"/>
          <w:color w:val="0000FF"/>
        </w:rPr>
        <w:t>Risk Factors</w:t>
      </w:r>
      <w:r>
        <w:rPr>
          <w:rFonts w:ascii="Arial" w:cs="Arial" w:eastAsia="Arial" w:hAnsi="Arial"/>
          <w:sz w:val="16"/>
          <w:szCs w:val="16"/>
          <w:color w:val="000000"/>
        </w:rPr>
        <w:t xml:space="preserve">, as well as the description of trends and other factors in </w:t>
      </w:r>
      <w:r>
        <w:rPr>
          <w:rFonts w:ascii="Arial" w:cs="Arial" w:eastAsia="Arial" w:hAnsi="Arial"/>
          <w:sz w:val="16"/>
          <w:szCs w:val="16"/>
          <w:u w:val="single" w:color="auto"/>
          <w:color w:val="0000FF"/>
        </w:rPr>
        <w:t>Management’s Discussion and Analysis of Financial</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Condition and Results of Operations</w:t>
      </w:r>
      <w:r>
        <w:rPr>
          <w:rFonts w:ascii="Arial" w:cs="Arial" w:eastAsia="Arial" w:hAnsi="Arial"/>
          <w:sz w:val="16"/>
          <w:szCs w:val="16"/>
          <w:color w:val="000000"/>
        </w:rPr>
        <w:t>, set forth in this report and our 2024 Annual Report on Form 10-K. Any forward-looking plans described herein are not</w:t>
      </w:r>
      <w:r>
        <w:rPr>
          <w:rFonts w:ascii="Arial" w:cs="Arial" w:eastAsia="Arial" w:hAnsi="Arial"/>
          <w:sz w:val="16"/>
          <w:szCs w:val="16"/>
          <w:color w:val="0000FF"/>
        </w:rPr>
        <w:t xml:space="preserve"> </w:t>
      </w:r>
      <w:r>
        <w:rPr>
          <w:rFonts w:ascii="Arial" w:cs="Arial" w:eastAsia="Arial" w:hAnsi="Arial"/>
          <w:sz w:val="16"/>
          <w:szCs w:val="16"/>
          <w:color w:val="000000"/>
        </w:rPr>
        <w:t>final and may be modified or abandoned at any time.</w:t>
      </w:r>
    </w:p>
    <w:p>
      <w:pPr>
        <w:spacing w:after="0" w:line="321"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ABOUT HONEYWELL</w:t>
      </w:r>
    </w:p>
    <w:p>
      <w:pPr>
        <w:spacing w:after="0" w:line="39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Honeywell International Inc. (Honeywell, we, us, our, or the Company) is an integrated operating company serving a broad range of industries and geographies around the world. Our products and solutions enable a safer, more comfortable, and more productive world, enhancing the quality of life of people around the globe. Our business is aligned with three powerful megatrends – automation, the future of aviation, and energy transition – underpinned by our Honeywell Accelerator operating system and Honeywell Forge Internet of Things (IoT) platform. Our portfolio of solutions is uniquely positioned to blend physical products with software to serve customers worldwide. As a trusted partner, we help organizations solve the world's toughest, most complex challenges, providing actionable solutions and innovations through our Aerospace Technologies, Industrial Automation, Building Automation, and Energy and Sustainability Solutions business segments that help make the world smarter, safer, as well as more secure and sustainable. The Honeywell brand dates back to 1906, and the Company was incorporated in Delaware in 1985.</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Annual Report on Form 10-K, Quarterly Reports on Form 10-Q, Current Reports on Form 8-K, and any amendments to those reports, are available free of charge on our Investor Relations website (investor.honeywell.com) under the heading Financials (see SEC Filings) immediately after they are filed with, or furnished to, the SEC. Honeywell uses our Investor Relations website, along with press releases on our primary Honeywell website (honeywell.com) under the heading News &amp; Media, as a means of disclosing information which may be of interest or material to our investors and for complying with disclosure obligations under Regulation FD. Accordingly, investors should monitor our Investor Relations website and Honeywell News feed, in addition to following our press releases, SEC filings, public conference calls, webcasts, and social media. Information contained on or accessible through, including any reports available on, our website is not a part of, and is not incorporated by reference into, this Quarterly Report on Form 10-Q or any other report or document we file with the SEC. Any reference to our website in this Form 10-Q is intended to be an inactive textual reference only.</w:t>
      </w:r>
    </w:p>
    <w:p>
      <w:pPr>
        <w:spacing w:after="0" w:line="200" w:lineRule="exact"/>
        <w:rPr>
          <w:sz w:val="20"/>
          <w:szCs w:val="20"/>
          <w:color w:val="auto"/>
        </w:rPr>
      </w:pPr>
    </w:p>
    <w:p>
      <w:pPr>
        <w:spacing w:after="0" w:line="211"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PART I. FINANCIAL INFORMATION</w:t>
      </w:r>
    </w:p>
    <w:p>
      <w:pPr>
        <w:spacing w:after="0" w:line="39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financial statements and related notes as of September 30, 2025, should be read in conjunction with the financial statements for the year ended December 31, 2024, contained in the Company's 2024 Annual Report on Form 10-K.</w:t>
      </w:r>
    </w:p>
    <w:p>
      <w:pPr>
        <w:spacing w:after="0" w:line="29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FINANCIAL STATEMENTS AND SUPPLEMENTARY DATA</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235"/>
        </w:trPr>
        <w:tc>
          <w:tcPr>
            <w:tcW w:w="7100" w:type="dxa"/>
            <w:vAlign w:val="bottom"/>
          </w:tcPr>
          <w:p>
            <w:pPr>
              <w:spacing w:after="0"/>
              <w:rPr>
                <w:sz w:val="20"/>
                <w:szCs w:val="20"/>
                <w:color w:val="auto"/>
              </w:rPr>
            </w:pPr>
          </w:p>
        </w:tc>
        <w:tc>
          <w:tcPr>
            <w:tcW w:w="180" w:type="dxa"/>
            <w:vAlign w:val="bottom"/>
            <w:tcBorders>
              <w:top w:val="single" w:sz="8" w:color="D7282F"/>
              <w:bottom w:val="single" w:sz="8" w:color="D7282F"/>
            </w:tcBorders>
          </w:tcPr>
          <w:p>
            <w:pPr>
              <w:spacing w:after="0"/>
              <w:rPr>
                <w:sz w:val="20"/>
                <w:szCs w:val="20"/>
                <w:color w:val="auto"/>
              </w:rPr>
            </w:pPr>
          </w:p>
        </w:tc>
        <w:tc>
          <w:tcPr>
            <w:tcW w:w="780" w:type="dxa"/>
            <w:vAlign w:val="bottom"/>
            <w:tcBorders>
              <w:top w:val="single" w:sz="8" w:color="D7282F"/>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20"/>
                <w:szCs w:val="20"/>
                <w:color w:val="auto"/>
              </w:rPr>
            </w:pPr>
          </w:p>
        </w:tc>
        <w:tc>
          <w:tcPr>
            <w:tcW w:w="180" w:type="dxa"/>
            <w:vAlign w:val="bottom"/>
            <w:tcBorders>
              <w:top w:val="single" w:sz="8" w:color="D7282F"/>
              <w:bottom w:val="single" w:sz="8" w:color="D7282F"/>
            </w:tcBorders>
          </w:tcPr>
          <w:p>
            <w:pPr>
              <w:spacing w:after="0"/>
              <w:rPr>
                <w:sz w:val="20"/>
                <w:szCs w:val="20"/>
                <w:color w:val="auto"/>
              </w:rPr>
            </w:pPr>
          </w:p>
        </w:tc>
        <w:tc>
          <w:tcPr>
            <w:tcW w:w="80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6"/>
        </w:trPr>
        <w:tc>
          <w:tcPr>
            <w:tcW w:w="710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3960" w:type="dxa"/>
            <w:vAlign w:val="bottom"/>
            <w:tcBorders>
              <w:bottom w:val="single" w:sz="8" w:color="D7282F"/>
            </w:tcBorders>
            <w:gridSpan w:val="8"/>
          </w:tcPr>
          <w:p>
            <w:pPr>
              <w:ind w:left="280"/>
              <w:spacing w:after="0"/>
              <w:rPr>
                <w:sz w:val="20"/>
                <w:szCs w:val="20"/>
                <w:color w:val="auto"/>
              </w:rPr>
            </w:pPr>
            <w:r>
              <w:rPr>
                <w:rFonts w:ascii="Arial" w:cs="Arial" w:eastAsia="Arial" w:hAnsi="Arial"/>
                <w:sz w:val="14"/>
                <w:szCs w:val="14"/>
                <w:b w:val="1"/>
                <w:bCs w:val="1"/>
                <w:color w:val="auto"/>
              </w:rPr>
              <w:t>(Dollars in millions, except per share amounts)</w:t>
            </w: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Product sales</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7,086</w:t>
            </w:r>
          </w:p>
        </w:tc>
        <w:tc>
          <w:tcPr>
            <w:tcW w:w="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6,590</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20,850</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19,330</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 sales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3,322</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3,138</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9,732</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9,080</w:t>
            </w:r>
          </w:p>
        </w:tc>
      </w:tr>
      <w:tr>
        <w:trPr>
          <w:trHeight w:val="199"/>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10,408</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9,728</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30,582</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28,410</w:t>
            </w: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Costs, expenses and other</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Cost of products sold</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4,734</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4,166</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13,533</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12,448</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Cost of services sold</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2,127</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1,813</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5,694</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4,970</w:t>
            </w: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Cost of products and services sold</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6,861</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5,979</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19,227</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17,418</w:t>
            </w: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Research and development expenses</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497</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368</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1,417</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1,110</w:t>
            </w: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1,296</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1,398</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4,085</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4,061</w:t>
            </w: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Impairment of assets held for sale</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125</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125</w:t>
            </w: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(income) expense</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ind w:left="320"/>
              <w:spacing w:after="0"/>
              <w:rPr>
                <w:sz w:val="20"/>
                <w:szCs w:val="20"/>
                <w:color w:val="auto"/>
              </w:rPr>
            </w:pPr>
            <w:r>
              <w:rPr>
                <w:rFonts w:ascii="Arial" w:cs="Arial" w:eastAsia="Arial" w:hAnsi="Arial"/>
                <w:sz w:val="14"/>
                <w:szCs w:val="14"/>
                <w:color w:val="auto"/>
              </w:rPr>
              <w:t>(822)</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(263)</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(1,109)</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(740)</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Interest and other financial charges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354</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297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970</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767</w:t>
            </w:r>
          </w:p>
        </w:tc>
      </w:tr>
      <w:tr>
        <w:trPr>
          <w:trHeight w:val="199"/>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costs, expenses and other</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8,186</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7,904</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24,605</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22,741</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Income before taxes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2,222</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1,824</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5,977</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5,669</w:t>
            </w:r>
          </w:p>
        </w:tc>
      </w:tr>
      <w:tr>
        <w:trPr>
          <w:trHeight w:val="193"/>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Tax expense</w:t>
            </w:r>
          </w:p>
        </w:tc>
        <w:tc>
          <w:tcPr>
            <w:tcW w:w="1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363</w:t>
            </w:r>
          </w:p>
        </w:tc>
        <w:tc>
          <w:tcPr>
            <w:tcW w:w="3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409</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1,082</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1,219</w:t>
            </w:r>
          </w:p>
        </w:tc>
      </w:tr>
      <w:tr>
        <w:trPr>
          <w:trHeight w:val="199"/>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1,859</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1,415</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4,895</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4,450</w:t>
            </w:r>
          </w:p>
        </w:tc>
      </w:tr>
      <w:tr>
        <w:trPr>
          <w:trHeight w:val="193"/>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Net income attributable to noncontrolling interest</w:t>
            </w:r>
          </w:p>
        </w:tc>
        <w:tc>
          <w:tcPr>
            <w:tcW w:w="1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34</w:t>
            </w:r>
          </w:p>
        </w:tc>
        <w:tc>
          <w:tcPr>
            <w:tcW w:w="3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51</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30</w:t>
            </w:r>
          </w:p>
        </w:tc>
      </w:tr>
      <w:tr>
        <w:trPr>
          <w:trHeight w:val="199"/>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 attributable to Honeywell</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1,825</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1,413</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4,844</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4,420</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stock—basic</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2.87</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2.17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7.57</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6.79</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stock—assuming dilution</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2.86</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2.16</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7.52</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6.75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COMPREHENSIVE INCOME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235"/>
        </w:trPr>
        <w:tc>
          <w:tcPr>
            <w:tcW w:w="7100" w:type="dxa"/>
            <w:vAlign w:val="bottom"/>
          </w:tcPr>
          <w:p>
            <w:pPr>
              <w:spacing w:after="0"/>
              <w:rPr>
                <w:sz w:val="20"/>
                <w:szCs w:val="20"/>
                <w:color w:val="auto"/>
              </w:rPr>
            </w:pPr>
          </w:p>
        </w:tc>
        <w:tc>
          <w:tcPr>
            <w:tcW w:w="180" w:type="dxa"/>
            <w:vAlign w:val="bottom"/>
            <w:tcBorders>
              <w:top w:val="single" w:sz="8" w:color="D7282F"/>
              <w:bottom w:val="single" w:sz="8" w:color="D7282F"/>
            </w:tcBorders>
          </w:tcPr>
          <w:p>
            <w:pPr>
              <w:spacing w:after="0"/>
              <w:rPr>
                <w:sz w:val="20"/>
                <w:szCs w:val="20"/>
                <w:color w:val="auto"/>
              </w:rPr>
            </w:pPr>
          </w:p>
        </w:tc>
        <w:tc>
          <w:tcPr>
            <w:tcW w:w="780" w:type="dxa"/>
            <w:vAlign w:val="bottom"/>
            <w:tcBorders>
              <w:top w:val="single" w:sz="8" w:color="D7282F"/>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20"/>
                <w:szCs w:val="20"/>
                <w:color w:val="auto"/>
              </w:rPr>
            </w:pPr>
          </w:p>
        </w:tc>
        <w:tc>
          <w:tcPr>
            <w:tcW w:w="180" w:type="dxa"/>
            <w:vAlign w:val="bottom"/>
            <w:tcBorders>
              <w:top w:val="single" w:sz="8" w:color="D7282F"/>
              <w:bottom w:val="single" w:sz="8" w:color="D7282F"/>
            </w:tcBorders>
          </w:tcPr>
          <w:p>
            <w:pPr>
              <w:spacing w:after="0"/>
              <w:rPr>
                <w:sz w:val="20"/>
                <w:szCs w:val="20"/>
                <w:color w:val="auto"/>
              </w:rPr>
            </w:pPr>
          </w:p>
        </w:tc>
        <w:tc>
          <w:tcPr>
            <w:tcW w:w="80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6"/>
        </w:trPr>
        <w:tc>
          <w:tcPr>
            <w:tcW w:w="710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1880" w:type="dxa"/>
            <w:vAlign w:val="bottom"/>
            <w:tcBorders>
              <w:bottom w:val="single" w:sz="8" w:color="D7282F"/>
            </w:tcBorders>
            <w:gridSpan w:val="4"/>
          </w:tcPr>
          <w:p>
            <w:pPr>
              <w:jc w:val="right"/>
              <w:ind w:right="348"/>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1,859</w:t>
            </w:r>
          </w:p>
        </w:tc>
        <w:tc>
          <w:tcPr>
            <w:tcW w:w="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1,415</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4,895</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4,450</w:t>
            </w: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comprehensive loss, net of tax</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6"/>
        </w:trPr>
        <w:tc>
          <w:tcPr>
            <w:tcW w:w="71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Foreign exchange translation adjustment</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(229)</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(288)</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(1,010)</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(229)</w:t>
            </w:r>
          </w:p>
        </w:tc>
      </w:tr>
      <w:tr>
        <w:trPr>
          <w:trHeight w:val="196"/>
        </w:trPr>
        <w:tc>
          <w:tcPr>
            <w:tcW w:w="71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Pension and other postretirement benefit adjustments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(3)</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(87)</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w:t>
            </w:r>
          </w:p>
        </w:tc>
      </w:tr>
      <w:tr>
        <w:trPr>
          <w:trHeight w:val="196"/>
        </w:trPr>
        <w:tc>
          <w:tcPr>
            <w:tcW w:w="71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Changes in fair value of available for sale investments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color w:val="auto"/>
              </w:rPr>
              <w:t>Changes in fair value of cash flow hedges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(30)</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w:t>
            </w: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Other comprehensive loss, net of tax</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(230)</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(308)</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(1,122)</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(272)</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1,629</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1,107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3,773</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4,178</w:t>
            </w:r>
          </w:p>
        </w:tc>
      </w:tr>
      <w:tr>
        <w:trPr>
          <w:trHeight w:val="193"/>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Comprehensive income attributable to the noncontrolling interest</w:t>
            </w:r>
          </w:p>
        </w:tc>
        <w:tc>
          <w:tcPr>
            <w:tcW w:w="1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30</w:t>
            </w:r>
          </w:p>
        </w:tc>
        <w:tc>
          <w:tcPr>
            <w:tcW w:w="3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23</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77</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27</w:t>
            </w:r>
          </w:p>
        </w:tc>
      </w:tr>
      <w:tr>
        <w:trPr>
          <w:trHeight w:val="199"/>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Comprehensive income attributable to Honeywell</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1,599</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1,084</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3,696</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4,151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8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September 30, 2025</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748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3620" w:type="dxa"/>
            <w:vAlign w:val="bottom"/>
            <w:tcBorders>
              <w:bottom w:val="single" w:sz="8" w:color="D7282F"/>
            </w:tcBorders>
            <w:gridSpan w:val="3"/>
          </w:tcPr>
          <w:p>
            <w:pPr>
              <w:jc w:val="right"/>
              <w:ind w:right="1148"/>
              <w:spacing w:after="0"/>
              <w:rPr>
                <w:sz w:val="20"/>
                <w:szCs w:val="20"/>
                <w:color w:val="auto"/>
              </w:rPr>
            </w:pPr>
            <w:r>
              <w:rPr>
                <w:rFonts w:ascii="Arial" w:cs="Arial" w:eastAsia="Arial" w:hAnsi="Arial"/>
                <w:sz w:val="14"/>
                <w:szCs w:val="14"/>
                <w:b w:val="1"/>
                <w:bCs w:val="1"/>
                <w:color w:val="auto"/>
              </w:rPr>
              <w:t>(Dollars in millions)</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Current assets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3"/>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Cash and cash equivalents</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12,930</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10,567</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Short-term investments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429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386</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receivable, less allowances of $320 and $314, respectively</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8,923</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7,819</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Inventories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7,118</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6,442</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Assets held for sale</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1,365</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current assets</w:t>
            </w:r>
          </w:p>
        </w:tc>
        <w:tc>
          <w:tcPr>
            <w:tcW w:w="1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1,347</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1,329</w:t>
            </w:r>
          </w:p>
        </w:tc>
      </w:tr>
      <w:tr>
        <w:trPr>
          <w:trHeight w:val="199"/>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current assets</w:t>
            </w:r>
          </w:p>
        </w:tc>
        <w:tc>
          <w:tcPr>
            <w:tcW w:w="1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30,747</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27,908</w:t>
            </w: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Investments and long-term receivables</w:t>
            </w:r>
          </w:p>
        </w:tc>
        <w:tc>
          <w:tcPr>
            <w:tcW w:w="140" w:type="dxa"/>
            <w:vAlign w:val="bottom"/>
            <w:tcBorders>
              <w:bottom w:val="single" w:sz="8" w:color="61656A"/>
            </w:tcBorders>
          </w:tcPr>
          <w:p>
            <w:pPr>
              <w:spacing w:after="0"/>
              <w:rPr>
                <w:sz w:val="16"/>
                <w:szCs w:val="16"/>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1,568</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1,394</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Property, plant and equipment—net</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6,681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6,194</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Goodwill</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23,720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21,825</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intangible assets—net</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7,149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6,656</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Insurance recoveries for asbestos-related liabilities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171</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Deferred income taxes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239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238</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10,654</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10,810</w:t>
            </w:r>
          </w:p>
        </w:tc>
      </w:tr>
      <w:tr>
        <w:trPr>
          <w:trHeight w:val="199"/>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80,917</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75,196</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3"/>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payable</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7,314</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6,880</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paper and other short-term borrowings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6,873</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4,273</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Current maturities of long-term debt</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1,347</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Accrued liabilities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8,380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8,348</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Liabilities held for sale</w:t>
            </w:r>
          </w:p>
        </w:tc>
        <w:tc>
          <w:tcPr>
            <w:tcW w:w="1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408</w:t>
            </w:r>
          </w:p>
        </w:tc>
      </w:tr>
      <w:tr>
        <w:trPr>
          <w:trHeight w:val="199"/>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current liabilities</w:t>
            </w:r>
          </w:p>
        </w:tc>
        <w:tc>
          <w:tcPr>
            <w:tcW w:w="1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22,639</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21,256</w:t>
            </w: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Long-term debt</w:t>
            </w:r>
          </w:p>
        </w:tc>
        <w:tc>
          <w:tcPr>
            <w:tcW w:w="140" w:type="dxa"/>
            <w:vAlign w:val="bottom"/>
            <w:tcBorders>
              <w:bottom w:val="single" w:sz="8" w:color="61656A"/>
            </w:tcBorders>
          </w:tcPr>
          <w:p>
            <w:pPr>
              <w:spacing w:after="0"/>
              <w:rPr>
                <w:sz w:val="16"/>
                <w:szCs w:val="16"/>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30,092</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25,479</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Deferred income taxes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1,900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1,787</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Postretirement benefit obligations other than pensions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105</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112</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Asbestos-related liabilities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1,369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1,325</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liabilities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7,058</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6,076</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Redeemable noncontrolling interest</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r>
      <w:tr>
        <w:trPr>
          <w:trHeight w:val="199"/>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SHAREOWNERS’ EQUITY</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Capital—common stock issued</w:t>
            </w:r>
          </w:p>
        </w:tc>
        <w:tc>
          <w:tcPr>
            <w:tcW w:w="140" w:type="dxa"/>
            <w:vAlign w:val="bottom"/>
            <w:tcBorders>
              <w:bottom w:val="single" w:sz="8" w:color="61656A"/>
            </w:tcBorders>
          </w:tcPr>
          <w:p>
            <w:pPr>
              <w:spacing w:after="0"/>
              <w:rPr>
                <w:sz w:val="16"/>
                <w:szCs w:val="16"/>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958</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958</w:t>
            </w:r>
          </w:p>
        </w:tc>
      </w:tr>
      <w:tr>
        <w:trPr>
          <w:trHeight w:val="196"/>
        </w:trPr>
        <w:tc>
          <w:tcPr>
            <w:tcW w:w="7480" w:type="dxa"/>
            <w:vAlign w:val="bottom"/>
            <w:tcBorders>
              <w:bottom w:val="single" w:sz="8" w:color="61656A"/>
            </w:tcBorders>
          </w:tcPr>
          <w:p>
            <w:pPr>
              <w:ind w:left="460"/>
              <w:spacing w:after="0"/>
              <w:rPr>
                <w:sz w:val="20"/>
                <w:szCs w:val="20"/>
                <w:color w:val="auto"/>
              </w:rPr>
            </w:pPr>
            <w:r>
              <w:rPr>
                <w:rFonts w:ascii="Arial" w:cs="Arial" w:eastAsia="Arial" w:hAnsi="Arial"/>
                <w:sz w:val="14"/>
                <w:szCs w:val="14"/>
                <w:color w:val="auto"/>
              </w:rPr>
              <w:t>—additional paid-in capital</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9,941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9,695</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Common stock held in treasury, at cost</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(42,982)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(39,378)</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Accumulated other comprehensive loss</w:t>
            </w:r>
          </w:p>
        </w:tc>
        <w:tc>
          <w:tcPr>
            <w:tcW w:w="1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(4,639)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(3,491)</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Retained earnings</w:t>
            </w:r>
          </w:p>
        </w:tc>
        <w:tc>
          <w:tcPr>
            <w:tcW w:w="1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53,504</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50,835</w:t>
            </w:r>
          </w:p>
        </w:tc>
      </w:tr>
      <w:tr>
        <w:trPr>
          <w:trHeight w:val="199"/>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Honeywell shareowners’ equity</w:t>
            </w:r>
          </w:p>
        </w:tc>
        <w:tc>
          <w:tcPr>
            <w:tcW w:w="1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16,782</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18,619</w:t>
            </w:r>
          </w:p>
        </w:tc>
      </w:tr>
      <w:tr>
        <w:trPr>
          <w:trHeight w:val="193"/>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Noncontrolling interest</w:t>
            </w:r>
          </w:p>
        </w:tc>
        <w:tc>
          <w:tcPr>
            <w:tcW w:w="140" w:type="dxa"/>
            <w:vAlign w:val="bottom"/>
            <w:tcBorders>
              <w:bottom w:val="single" w:sz="8" w:color="D7282F"/>
            </w:tcBorders>
          </w:tcPr>
          <w:p>
            <w:pPr>
              <w:spacing w:after="0"/>
              <w:rPr>
                <w:sz w:val="16"/>
                <w:szCs w:val="16"/>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965</w:t>
            </w:r>
          </w:p>
        </w:tc>
        <w:tc>
          <w:tcPr>
            <w:tcW w:w="280" w:type="dxa"/>
            <w:vAlign w:val="bottom"/>
            <w:tcBorders>
              <w:bottom w:val="single" w:sz="8" w:color="D7282F"/>
            </w:tcBorders>
          </w:tcPr>
          <w:p>
            <w:pPr>
              <w:spacing w:after="0"/>
              <w:rPr>
                <w:sz w:val="16"/>
                <w:szCs w:val="16"/>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535</w:t>
            </w:r>
          </w:p>
        </w:tc>
      </w:tr>
      <w:tr>
        <w:trPr>
          <w:trHeight w:val="199"/>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shareowners’ equity</w:t>
            </w:r>
          </w:p>
        </w:tc>
        <w:tc>
          <w:tcPr>
            <w:tcW w:w="1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17,747</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19,154</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liabilities, redeemable noncontrolling interest and shareowners’ equity</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80,917</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75,196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8200" w:type="dxa"/>
            <w:vAlign w:val="bottom"/>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740" w:type="dxa"/>
            <w:vAlign w:val="bottom"/>
            <w:tcBorders>
              <w:bottom w:val="single" w:sz="8" w:color="D7282F"/>
            </w:tcBorders>
            <w:gridSpan w:val="3"/>
          </w:tcPr>
          <w:p>
            <w:pPr>
              <w:jc w:val="right"/>
              <w:ind w:right="24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8200" w:type="dxa"/>
            <w:vAlign w:val="bottom"/>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588"/>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w w:val="96"/>
              </w:rPr>
              <w:t>2024</w:t>
            </w:r>
          </w:p>
        </w:tc>
      </w:tr>
      <w:tr>
        <w:trPr>
          <w:trHeight w:val="196"/>
        </w:trPr>
        <w:tc>
          <w:tcPr>
            <w:tcW w:w="820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92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820" w:type="dxa"/>
            <w:vAlign w:val="bottom"/>
            <w:tcBorders>
              <w:bottom w:val="single" w:sz="8" w:color="D7282F"/>
            </w:tcBorders>
          </w:tcPr>
          <w:p>
            <w:pPr>
              <w:spacing w:after="0"/>
              <w:rPr>
                <w:sz w:val="17"/>
                <w:szCs w:val="17"/>
                <w:color w:val="auto"/>
              </w:rPr>
            </w:pPr>
          </w:p>
        </w:tc>
      </w:tr>
      <w:tr>
        <w:trPr>
          <w:trHeight w:val="196"/>
        </w:trPr>
        <w:tc>
          <w:tcPr>
            <w:tcW w:w="82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r>
      <w:tr>
        <w:trPr>
          <w:trHeight w:val="193"/>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Net income</w:t>
            </w:r>
          </w:p>
        </w:tc>
        <w:tc>
          <w:tcPr>
            <w:tcW w:w="2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4,895</w:t>
            </w:r>
          </w:p>
        </w:tc>
        <w:tc>
          <w:tcPr>
            <w:tcW w:w="640" w:type="dxa"/>
            <w:vAlign w:val="bottom"/>
            <w:tcBorders>
              <w:bottom w:val="single" w:sz="8" w:color="61656A"/>
            </w:tcBorders>
          </w:tcPr>
          <w:p>
            <w:pPr>
              <w:jc w:val="right"/>
              <w:ind w:right="3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4,450</w:t>
            </w:r>
          </w:p>
        </w:tc>
      </w:tr>
      <w:tr>
        <w:trPr>
          <w:trHeight w:val="196"/>
        </w:trPr>
        <w:tc>
          <w:tcPr>
            <w:tcW w:w="820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Less: Net income attributable to noncontrolling interest</w:t>
            </w: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51</w:t>
            </w:r>
          </w:p>
        </w:tc>
        <w:tc>
          <w:tcPr>
            <w:tcW w:w="6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30</w:t>
            </w:r>
          </w:p>
        </w:tc>
      </w:tr>
      <w:tr>
        <w:trPr>
          <w:trHeight w:val="199"/>
        </w:trPr>
        <w:tc>
          <w:tcPr>
            <w:tcW w:w="820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Net income attributable to Honeywell</w:t>
            </w: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4,844</w:t>
            </w:r>
          </w:p>
        </w:tc>
        <w:tc>
          <w:tcPr>
            <w:tcW w:w="6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4,420</w:t>
            </w:r>
          </w:p>
        </w:tc>
      </w:tr>
      <w:tr>
        <w:trPr>
          <w:trHeight w:val="193"/>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Adjustments to reconcile net income attributable to Honeywell to net cash provided by operating activities</w:t>
            </w: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64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Depreciation</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563</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500</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Amortization</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612</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457</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Loss on sale of non-strategic businesses and assets</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Impairment of assets held for sale</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125</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Repositioning and other (gains) charges</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(283)</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189</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Net payments for repositioning and other charges</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(279)</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(329)</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Resideo indemnification and reimbursement agreement termination payment</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1,590</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Pension and other postretirement income</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(387)</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(443)</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Pension and other postretirement benefit payments</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(16)</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Stock compensation expense</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154</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153</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Deferred income taxes</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54</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(46)</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(340)</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(221)</w:t>
            </w:r>
          </w:p>
        </w:tc>
      </w:tr>
      <w:tr>
        <w:trPr>
          <w:trHeight w:val="196"/>
        </w:trPr>
        <w:tc>
          <w:tcPr>
            <w:tcW w:w="82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Changes in assets and liabilities, net of the effects of acquisitions and divestitures</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r>
      <w:tr>
        <w:trPr>
          <w:trHeight w:val="196"/>
        </w:trPr>
        <w:tc>
          <w:tcPr>
            <w:tcW w:w="8200" w:type="dxa"/>
            <w:vAlign w:val="bottom"/>
            <w:tcBorders>
              <w:bottom w:val="single" w:sz="8" w:color="61656A"/>
            </w:tcBorders>
          </w:tcPr>
          <w:p>
            <w:pPr>
              <w:ind w:left="340"/>
              <w:spacing w:after="0"/>
              <w:rPr>
                <w:sz w:val="20"/>
                <w:szCs w:val="20"/>
                <w:color w:val="auto"/>
              </w:rPr>
            </w:pPr>
            <w:r>
              <w:rPr>
                <w:rFonts w:ascii="Arial" w:cs="Arial" w:eastAsia="Arial" w:hAnsi="Arial"/>
                <w:sz w:val="14"/>
                <w:szCs w:val="14"/>
                <w:color w:val="auto"/>
              </w:rPr>
              <w:t>Accounts receivable</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(1,035)</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(218)</w:t>
            </w:r>
          </w:p>
        </w:tc>
      </w:tr>
      <w:tr>
        <w:trPr>
          <w:trHeight w:val="196"/>
        </w:trPr>
        <w:tc>
          <w:tcPr>
            <w:tcW w:w="8200" w:type="dxa"/>
            <w:vAlign w:val="bottom"/>
            <w:tcBorders>
              <w:bottom w:val="single" w:sz="8" w:color="61656A"/>
            </w:tcBorders>
          </w:tcPr>
          <w:p>
            <w:pPr>
              <w:ind w:left="340"/>
              <w:spacing w:after="0"/>
              <w:rPr>
                <w:sz w:val="20"/>
                <w:szCs w:val="20"/>
                <w:color w:val="auto"/>
              </w:rPr>
            </w:pPr>
            <w:r>
              <w:rPr>
                <w:rFonts w:ascii="Arial" w:cs="Arial" w:eastAsia="Arial" w:hAnsi="Arial"/>
                <w:sz w:val="14"/>
                <w:szCs w:val="14"/>
                <w:color w:val="auto"/>
              </w:rPr>
              <w:t>Inventories</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(604)</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(233)</w:t>
            </w:r>
          </w:p>
        </w:tc>
      </w:tr>
      <w:tr>
        <w:trPr>
          <w:trHeight w:val="196"/>
        </w:trPr>
        <w:tc>
          <w:tcPr>
            <w:tcW w:w="8200" w:type="dxa"/>
            <w:vAlign w:val="bottom"/>
            <w:tcBorders>
              <w:bottom w:val="single" w:sz="8" w:color="61656A"/>
            </w:tcBorders>
          </w:tcPr>
          <w:p>
            <w:pPr>
              <w:ind w:left="34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(199)</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(128)</w:t>
            </w:r>
          </w:p>
        </w:tc>
      </w:tr>
      <w:tr>
        <w:trPr>
          <w:trHeight w:val="196"/>
        </w:trPr>
        <w:tc>
          <w:tcPr>
            <w:tcW w:w="8200" w:type="dxa"/>
            <w:vAlign w:val="bottom"/>
            <w:tcBorders>
              <w:bottom w:val="single" w:sz="8" w:color="61656A"/>
            </w:tcBorders>
          </w:tcPr>
          <w:p>
            <w:pPr>
              <w:ind w:left="340"/>
              <w:spacing w:after="0"/>
              <w:rPr>
                <w:sz w:val="20"/>
                <w:szCs w:val="20"/>
                <w:color w:val="auto"/>
              </w:rPr>
            </w:pPr>
            <w:r>
              <w:rPr>
                <w:rFonts w:ascii="Arial" w:cs="Arial" w:eastAsia="Arial" w:hAnsi="Arial"/>
                <w:sz w:val="14"/>
                <w:szCs w:val="14"/>
                <w:color w:val="auto"/>
              </w:rPr>
              <w:t>Accounts payable</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410</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(142)</w:t>
            </w:r>
          </w:p>
        </w:tc>
      </w:tr>
      <w:tr>
        <w:trPr>
          <w:trHeight w:val="196"/>
        </w:trPr>
        <w:tc>
          <w:tcPr>
            <w:tcW w:w="8200" w:type="dxa"/>
            <w:vAlign w:val="bottom"/>
            <w:tcBorders>
              <w:bottom w:val="single" w:sz="8" w:color="61656A"/>
            </w:tcBorders>
          </w:tcPr>
          <w:p>
            <w:pPr>
              <w:ind w:left="340"/>
              <w:spacing w:after="0"/>
              <w:rPr>
                <w:sz w:val="20"/>
                <w:szCs w:val="20"/>
                <w:color w:val="auto"/>
              </w:rPr>
            </w:pPr>
            <w:r>
              <w:rPr>
                <w:rFonts w:ascii="Arial" w:cs="Arial" w:eastAsia="Arial" w:hAnsi="Arial"/>
                <w:sz w:val="14"/>
                <w:szCs w:val="14"/>
                <w:color w:val="auto"/>
              </w:rPr>
              <w:t>Accrued liabilities</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594</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w:t>
            </w:r>
          </w:p>
        </w:tc>
      </w:tr>
      <w:tr>
        <w:trPr>
          <w:trHeight w:val="196"/>
        </w:trPr>
        <w:tc>
          <w:tcPr>
            <w:tcW w:w="8200" w:type="dxa"/>
            <w:vAlign w:val="bottom"/>
            <w:tcBorders>
              <w:bottom w:val="single" w:sz="8" w:color="D7282F"/>
            </w:tcBorders>
          </w:tcPr>
          <w:p>
            <w:pPr>
              <w:ind w:left="340"/>
              <w:spacing w:after="0"/>
              <w:rPr>
                <w:sz w:val="20"/>
                <w:szCs w:val="20"/>
                <w:color w:val="auto"/>
              </w:rPr>
            </w:pPr>
            <w:r>
              <w:rPr>
                <w:rFonts w:ascii="Arial" w:cs="Arial" w:eastAsia="Arial" w:hAnsi="Arial"/>
                <w:sz w:val="14"/>
                <w:szCs w:val="14"/>
                <w:color w:val="auto"/>
              </w:rPr>
              <w:t>Income taxes</w:t>
            </w: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(503)</w:t>
            </w:r>
          </w:p>
        </w:tc>
        <w:tc>
          <w:tcPr>
            <w:tcW w:w="6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(263)</w:t>
            </w:r>
          </w:p>
        </w:tc>
      </w:tr>
      <w:tr>
        <w:trPr>
          <w:trHeight w:val="199"/>
        </w:trPr>
        <w:tc>
          <w:tcPr>
            <w:tcW w:w="820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provided by operating activities</w:t>
            </w: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5,204</w:t>
            </w:r>
          </w:p>
        </w:tc>
        <w:tc>
          <w:tcPr>
            <w:tcW w:w="6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3,816</w:t>
            </w:r>
          </w:p>
        </w:tc>
      </w:tr>
      <w:tr>
        <w:trPr>
          <w:trHeight w:val="196"/>
        </w:trPr>
        <w:tc>
          <w:tcPr>
            <w:tcW w:w="82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r>
      <w:tr>
        <w:trPr>
          <w:trHeight w:val="193"/>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Capital expenditures</w:t>
            </w: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(928)</w:t>
            </w:r>
          </w:p>
        </w:tc>
        <w:tc>
          <w:tcPr>
            <w:tcW w:w="64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(771)</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Proceeds from disposals of property, plant and equipment</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23</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Increase in investments</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(1,065)</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(698)</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Decrease in investments</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1,048</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564</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(Payments) receipts from settlements of derivative contracts</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(403)</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(250)</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Cash paid for acquisitions, net of cash acquired</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(2,200)</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(7,047)</w:t>
            </w:r>
          </w:p>
        </w:tc>
      </w:tr>
      <w:tr>
        <w:trPr>
          <w:trHeight w:val="196"/>
        </w:trPr>
        <w:tc>
          <w:tcPr>
            <w:tcW w:w="820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Proceeds from sale of business, net of cash transferred</w:t>
            </w: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1,157</w:t>
            </w:r>
          </w:p>
        </w:tc>
        <w:tc>
          <w:tcPr>
            <w:tcW w:w="6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820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used for investing activities</w:t>
            </w: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(2,368)</w:t>
            </w:r>
          </w:p>
        </w:tc>
        <w:tc>
          <w:tcPr>
            <w:tcW w:w="6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(8,202)</w:t>
            </w:r>
          </w:p>
        </w:tc>
      </w:tr>
      <w:tr>
        <w:trPr>
          <w:trHeight w:val="196"/>
        </w:trPr>
        <w:tc>
          <w:tcPr>
            <w:tcW w:w="82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r>
      <w:tr>
        <w:trPr>
          <w:trHeight w:val="193"/>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Proceeds from issuance of commercial paper and other short-term borrowings</w:t>
            </w: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19,171</w:t>
            </w:r>
          </w:p>
        </w:tc>
        <w:tc>
          <w:tcPr>
            <w:tcW w:w="64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9,516</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Payments of commercial paper and other short-term borrowings</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(16,711)</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(8,477)</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Proceeds from issuance of common stock</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140</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349</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Proceeds from issuance of long-term debt</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4,035</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10,407</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Payments of long-term debt</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(1,555)</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(1,381)</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Repurchases of common stock</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(3,704)</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(1,200)</w:t>
            </w:r>
          </w:p>
        </w:tc>
      </w:tr>
      <w:tr>
        <w:trPr>
          <w:trHeight w:val="196"/>
        </w:trPr>
        <w:tc>
          <w:tcPr>
            <w:tcW w:w="820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Cash dividends paid</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(2,214)</w:t>
            </w:r>
          </w:p>
        </w:tc>
        <w:tc>
          <w:tcPr>
            <w:tcW w:w="6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(2,161)</w:t>
            </w:r>
          </w:p>
        </w:tc>
      </w:tr>
      <w:tr>
        <w:trPr>
          <w:trHeight w:val="196"/>
        </w:trPr>
        <w:tc>
          <w:tcPr>
            <w:tcW w:w="820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198</w:t>
            </w:r>
          </w:p>
        </w:tc>
        <w:tc>
          <w:tcPr>
            <w:tcW w:w="6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w:t>
            </w:r>
          </w:p>
        </w:tc>
      </w:tr>
      <w:tr>
        <w:trPr>
          <w:trHeight w:val="199"/>
        </w:trPr>
        <w:tc>
          <w:tcPr>
            <w:tcW w:w="820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(used for) provided by financing activities</w:t>
            </w: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(640)</w:t>
            </w:r>
          </w:p>
        </w:tc>
        <w:tc>
          <w:tcPr>
            <w:tcW w:w="6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7,058</w:t>
            </w:r>
          </w:p>
        </w:tc>
      </w:tr>
      <w:tr>
        <w:trPr>
          <w:trHeight w:val="193"/>
        </w:trPr>
        <w:tc>
          <w:tcPr>
            <w:tcW w:w="820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26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167</w:t>
            </w:r>
          </w:p>
        </w:tc>
        <w:tc>
          <w:tcPr>
            <w:tcW w:w="64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47</w:t>
            </w:r>
          </w:p>
        </w:tc>
      </w:tr>
      <w:tr>
        <w:trPr>
          <w:trHeight w:val="199"/>
        </w:trPr>
        <w:tc>
          <w:tcPr>
            <w:tcW w:w="8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increase in cash and cash equivalents</w:t>
            </w: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2,363</w:t>
            </w:r>
          </w:p>
        </w:tc>
        <w:tc>
          <w:tcPr>
            <w:tcW w:w="6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2,719</w:t>
            </w:r>
          </w:p>
        </w:tc>
      </w:tr>
      <w:tr>
        <w:trPr>
          <w:trHeight w:val="196"/>
        </w:trPr>
        <w:tc>
          <w:tcPr>
            <w:tcW w:w="8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10,567</w:t>
            </w:r>
          </w:p>
        </w:tc>
        <w:tc>
          <w:tcPr>
            <w:tcW w:w="6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7,925</w:t>
            </w:r>
          </w:p>
        </w:tc>
      </w:tr>
      <w:tr>
        <w:trPr>
          <w:trHeight w:val="196"/>
        </w:trPr>
        <w:tc>
          <w:tcPr>
            <w:tcW w:w="8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2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12,930</w:t>
            </w:r>
          </w:p>
        </w:tc>
        <w:tc>
          <w:tcPr>
            <w:tcW w:w="64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10,644</w:t>
            </w: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142"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SHAREOWNERS'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00" w:type="dxa"/>
            <w:vAlign w:val="bottom"/>
          </w:tcPr>
          <w:p>
            <w:pPr>
              <w:spacing w:after="0"/>
              <w:rPr>
                <w:sz w:val="17"/>
                <w:szCs w:val="17"/>
                <w:color w:val="auto"/>
              </w:rPr>
            </w:pPr>
          </w:p>
        </w:tc>
        <w:tc>
          <w:tcPr>
            <w:tcW w:w="314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00" w:type="dxa"/>
            <w:vAlign w:val="bottom"/>
            <w:tcBorders>
              <w:bottom w:val="single" w:sz="8" w:color="D7282F"/>
            </w:tcBorders>
          </w:tcPr>
          <w:p>
            <w:pPr>
              <w:spacing w:after="0"/>
              <w:rPr>
                <w:sz w:val="17"/>
                <w:szCs w:val="17"/>
                <w:color w:val="auto"/>
              </w:rPr>
            </w:pPr>
          </w:p>
        </w:tc>
        <w:tc>
          <w:tcPr>
            <w:tcW w:w="240" w:type="dxa"/>
            <w:vAlign w:val="bottom"/>
          </w:tcPr>
          <w:p>
            <w:pPr>
              <w:spacing w:after="0"/>
              <w:rPr>
                <w:sz w:val="17"/>
                <w:szCs w:val="17"/>
                <w:color w:val="auto"/>
              </w:rPr>
            </w:pPr>
          </w:p>
        </w:tc>
        <w:tc>
          <w:tcPr>
            <w:tcW w:w="3140" w:type="dxa"/>
            <w:vAlign w:val="bottom"/>
            <w:tcBorders>
              <w:bottom w:val="single" w:sz="8" w:color="D7282F"/>
            </w:tcBorders>
            <w:gridSpan w:val="3"/>
          </w:tcPr>
          <w:p>
            <w:pPr>
              <w:jc w:val="right"/>
              <w:ind w:right="8"/>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11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800" w:type="dxa"/>
            <w:vAlign w:val="bottom"/>
            <w:tcBorders>
              <w:bottom w:val="single" w:sz="8" w:color="D7282F"/>
            </w:tcBorders>
          </w:tcPr>
          <w:p>
            <w:pPr>
              <w:spacing w:after="0"/>
              <w:rPr>
                <w:sz w:val="20"/>
                <w:szCs w:val="20"/>
                <w:color w:val="auto"/>
              </w:rPr>
            </w:pPr>
          </w:p>
        </w:tc>
        <w:tc>
          <w:tcPr>
            <w:tcW w:w="12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D7282F"/>
            </w:tcBorders>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800" w:type="dxa"/>
            <w:vAlign w:val="bottom"/>
            <w:tcBorders>
              <w:bottom w:val="single" w:sz="8" w:color="D7282F"/>
            </w:tcBorders>
          </w:tcPr>
          <w:p>
            <w:pPr>
              <w:spacing w:after="0"/>
              <w:rPr>
                <w:sz w:val="20"/>
                <w:szCs w:val="20"/>
                <w:color w:val="auto"/>
              </w:rPr>
            </w:pPr>
          </w:p>
        </w:tc>
        <w:tc>
          <w:tcPr>
            <w:tcW w:w="1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D7282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00" w:type="dxa"/>
            <w:vAlign w:val="bottom"/>
          </w:tcPr>
          <w:p>
            <w:pPr>
              <w:spacing w:after="0"/>
              <w:rPr>
                <w:sz w:val="20"/>
                <w:szCs w:val="20"/>
                <w:color w:val="auto"/>
              </w:rPr>
            </w:pPr>
          </w:p>
        </w:tc>
        <w:tc>
          <w:tcPr>
            <w:tcW w:w="112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Shares</w:t>
            </w:r>
          </w:p>
        </w:tc>
        <w:tc>
          <w:tcPr>
            <w:tcW w:w="8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Shares</w:t>
            </w:r>
          </w:p>
        </w:tc>
        <w:tc>
          <w:tcPr>
            <w:tcW w:w="60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spacing w:after="0"/>
              <w:rPr>
                <w:sz w:val="20"/>
                <w:szCs w:val="20"/>
                <w:color w:val="auto"/>
              </w:rPr>
            </w:pPr>
          </w:p>
        </w:tc>
        <w:tc>
          <w:tcPr>
            <w:tcW w:w="11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8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6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c>
          <w:tcPr>
            <w:tcW w:w="4000" w:type="dxa"/>
            <w:vAlign w:val="bottom"/>
            <w:tcBorders>
              <w:bottom w:val="single" w:sz="8" w:color="D7282F"/>
            </w:tcBorders>
            <w:gridSpan w:val="5"/>
          </w:tcPr>
          <w:p>
            <w:pPr>
              <w:jc w:val="right"/>
              <w:ind w:right="648"/>
              <w:spacing w:after="0"/>
              <w:rPr>
                <w:sz w:val="20"/>
                <w:szCs w:val="20"/>
                <w:color w:val="auto"/>
              </w:rPr>
            </w:pPr>
            <w:r>
              <w:rPr>
                <w:rFonts w:ascii="Arial" w:cs="Arial" w:eastAsia="Arial" w:hAnsi="Arial"/>
                <w:sz w:val="14"/>
                <w:szCs w:val="14"/>
                <w:b w:val="1"/>
                <w:bCs w:val="1"/>
                <w:color w:val="auto"/>
              </w:rPr>
              <w:t>(In millions, except per share amounts)</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Common stock, par value</w:t>
            </w:r>
          </w:p>
        </w:tc>
        <w:tc>
          <w:tcPr>
            <w:tcW w:w="112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957.6</w:t>
            </w: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958</w:t>
            </w:r>
          </w:p>
        </w:tc>
        <w:tc>
          <w:tcPr>
            <w:tcW w:w="1220" w:type="dxa"/>
            <w:vAlign w:val="bottom"/>
            <w:tcBorders>
              <w:bottom w:val="single" w:sz="8" w:color="61656A"/>
            </w:tcBorders>
          </w:tcPr>
          <w:p>
            <w:pPr>
              <w:jc w:val="right"/>
              <w:ind w:right="388"/>
              <w:spacing w:after="0"/>
              <w:rPr>
                <w:sz w:val="20"/>
                <w:szCs w:val="20"/>
                <w:color w:val="auto"/>
              </w:rPr>
            </w:pPr>
            <w:r>
              <w:rPr>
                <w:rFonts w:ascii="Arial" w:cs="Arial" w:eastAsia="Arial" w:hAnsi="Arial"/>
                <w:sz w:val="14"/>
                <w:szCs w:val="14"/>
                <w:color w:val="auto"/>
              </w:rPr>
              <w:t>957.6</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958</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957.6</w:t>
            </w: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958</w:t>
            </w:r>
          </w:p>
        </w:tc>
        <w:tc>
          <w:tcPr>
            <w:tcW w:w="120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957.6</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Additional paid-in capital</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10,048</w:t>
            </w:r>
          </w:p>
        </w:tc>
        <w:tc>
          <w:tcPr>
            <w:tcW w:w="122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9,495</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9,695</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9,062</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Issued for employee savings and option plans</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17</w:t>
            </w: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252</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Stock compensation expense</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36</w:t>
            </w: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45</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154</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Impact of Quantinuum contribution</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(160)</w:t>
            </w:r>
          </w:p>
        </w:tc>
        <w:tc>
          <w:tcPr>
            <w:tcW w:w="12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(160)</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9,941</w:t>
            </w:r>
          </w:p>
        </w:tc>
        <w:tc>
          <w:tcPr>
            <w:tcW w:w="122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9,554</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9,941</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9,554</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Treasury stock</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(322.7)</w:t>
            </w: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(42,897)</w:t>
            </w:r>
          </w:p>
        </w:tc>
        <w:tc>
          <w:tcPr>
            <w:tcW w:w="1220" w:type="dxa"/>
            <w:vAlign w:val="bottom"/>
            <w:tcBorders>
              <w:bottom w:val="single" w:sz="8" w:color="61656A"/>
            </w:tcBorders>
          </w:tcPr>
          <w:p>
            <w:pPr>
              <w:jc w:val="right"/>
              <w:ind w:right="348"/>
              <w:spacing w:after="0"/>
              <w:rPr>
                <w:sz w:val="20"/>
                <w:szCs w:val="20"/>
                <w:color w:val="auto"/>
              </w:rPr>
            </w:pPr>
            <w:r>
              <w:rPr>
                <w:rFonts w:ascii="Arial" w:cs="Arial" w:eastAsia="Arial" w:hAnsi="Arial"/>
                <w:sz w:val="14"/>
                <w:szCs w:val="14"/>
                <w:color w:val="auto"/>
              </w:rPr>
              <w:t>(307.9)</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(39,007)</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(307.8)</w:t>
            </w: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(39,378)</w:t>
            </w:r>
          </w:p>
        </w:tc>
        <w:tc>
          <w:tcPr>
            <w:tcW w:w="120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(305.8)</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(38,008)</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Reacquired stock or repurchases of common stock</w:t>
            </w:r>
          </w:p>
        </w:tc>
        <w:tc>
          <w:tcPr>
            <w:tcW w:w="112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(0.5)</w:t>
            </w: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(98)</w:t>
            </w:r>
          </w:p>
        </w:tc>
        <w:tc>
          <w:tcPr>
            <w:tcW w:w="1220" w:type="dxa"/>
            <w:vAlign w:val="bottom"/>
            <w:tcBorders>
              <w:bottom w:val="single" w:sz="8" w:color="61656A"/>
            </w:tcBorders>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(17.6)</w:t>
            </w: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(3,719)</w:t>
            </w:r>
          </w:p>
        </w:tc>
        <w:tc>
          <w:tcPr>
            <w:tcW w:w="120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(6.1)</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Issued for employee savings and option plans</w:t>
            </w:r>
          </w:p>
        </w:tc>
        <w:tc>
          <w:tcPr>
            <w:tcW w:w="112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0.5</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13</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0.5</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2.7</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115</w:t>
            </w:r>
          </w:p>
        </w:tc>
        <w:tc>
          <w:tcPr>
            <w:tcW w:w="12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4.5</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2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(322.7)</w:t>
            </w: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(42,982)</w:t>
            </w:r>
          </w:p>
        </w:tc>
        <w:tc>
          <w:tcPr>
            <w:tcW w:w="122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(307.4)</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(38,989)</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(322.7)</w:t>
            </w: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(42,982)</w:t>
            </w:r>
          </w:p>
        </w:tc>
        <w:tc>
          <w:tcPr>
            <w:tcW w:w="120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(307.4)</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(38,989)</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Retained earnings</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52,399</w:t>
            </w:r>
          </w:p>
        </w:tc>
        <w:tc>
          <w:tcPr>
            <w:tcW w:w="122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49,576</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50,835</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47,979</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 attributable to Honeywell</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1,825</w:t>
            </w: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1,413</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4,844</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4,420</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Dividends on common stock</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(720)</w:t>
            </w:r>
          </w:p>
        </w:tc>
        <w:tc>
          <w:tcPr>
            <w:tcW w:w="122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(702)</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(2,175)</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(2,112)</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53,504</w:t>
            </w:r>
          </w:p>
        </w:tc>
        <w:tc>
          <w:tcPr>
            <w:tcW w:w="122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50,287</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53,504</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50,287</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Accumulated other comprehensive loss</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(4,413)</w:t>
            </w:r>
          </w:p>
        </w:tc>
        <w:tc>
          <w:tcPr>
            <w:tcW w:w="122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(4,075)</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(3,491)</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(4,135)</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exchange translation adjustment</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(225)</w:t>
            </w: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(309)</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(1,036)</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50"/>
        </w:trPr>
        <w:tc>
          <w:tcPr>
            <w:tcW w:w="3500" w:type="dxa"/>
            <w:vAlign w:val="bottom"/>
          </w:tcPr>
          <w:p>
            <w:pPr>
              <w:ind w:left="140"/>
              <w:spacing w:after="0" w:line="151" w:lineRule="exact"/>
              <w:rPr>
                <w:sz w:val="20"/>
                <w:szCs w:val="20"/>
                <w:color w:val="auto"/>
              </w:rPr>
            </w:pPr>
            <w:r>
              <w:rPr>
                <w:rFonts w:ascii="Arial" w:cs="Arial" w:eastAsia="Arial" w:hAnsi="Arial"/>
                <w:sz w:val="14"/>
                <w:szCs w:val="14"/>
                <w:color w:val="auto"/>
              </w:rPr>
              <w:t>Pension and other postretirement benefit</w:t>
            </w:r>
          </w:p>
        </w:tc>
        <w:tc>
          <w:tcPr>
            <w:tcW w:w="1120" w:type="dxa"/>
            <w:vAlign w:val="bottom"/>
          </w:tcPr>
          <w:p>
            <w:pPr>
              <w:spacing w:after="0"/>
              <w:rPr>
                <w:sz w:val="13"/>
                <w:szCs w:val="13"/>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color w:val="auto"/>
              </w:rPr>
              <w:t>(3)</w:t>
            </w:r>
          </w:p>
        </w:tc>
        <w:tc>
          <w:tcPr>
            <w:tcW w:w="12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color w:val="auto"/>
              </w:rPr>
              <w:t>(87)</w:t>
            </w:r>
          </w:p>
        </w:tc>
        <w:tc>
          <w:tcPr>
            <w:tcW w:w="12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5"/>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adjustments</w:t>
            </w:r>
          </w:p>
        </w:tc>
        <w:tc>
          <w:tcPr>
            <w:tcW w:w="11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vMerge w:val="continue"/>
          </w:tcPr>
          <w:p>
            <w:pPr>
              <w:spacing w:after="0"/>
              <w:rPr>
                <w:sz w:val="16"/>
                <w:szCs w:val="16"/>
                <w:color w:val="auto"/>
              </w:rPr>
            </w:pPr>
          </w:p>
        </w:tc>
        <w:tc>
          <w:tcPr>
            <w:tcW w:w="122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vMerge w:val="continue"/>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vMerge w:val="continue"/>
          </w:tcPr>
          <w:p>
            <w:pPr>
              <w:spacing w:after="0"/>
              <w:rPr>
                <w:sz w:val="16"/>
                <w:szCs w:val="16"/>
                <w:color w:val="auto"/>
              </w:rPr>
            </w:pP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500" w:type="dxa"/>
            <w:vAlign w:val="bottom"/>
          </w:tcPr>
          <w:p>
            <w:pPr>
              <w:ind w:left="140"/>
              <w:spacing w:after="0" w:line="147" w:lineRule="exact"/>
              <w:rPr>
                <w:sz w:val="20"/>
                <w:szCs w:val="20"/>
                <w:color w:val="auto"/>
              </w:rPr>
            </w:pPr>
            <w:r>
              <w:rPr>
                <w:rFonts w:ascii="Arial" w:cs="Arial" w:eastAsia="Arial" w:hAnsi="Arial"/>
                <w:sz w:val="14"/>
                <w:szCs w:val="14"/>
                <w:color w:val="auto"/>
              </w:rPr>
              <w:t>Changes in fair value of available for sale</w:t>
            </w:r>
          </w:p>
        </w:tc>
        <w:tc>
          <w:tcPr>
            <w:tcW w:w="1120" w:type="dxa"/>
            <w:vAlign w:val="bottom"/>
          </w:tcPr>
          <w:p>
            <w:pPr>
              <w:spacing w:after="0"/>
              <w:rPr>
                <w:sz w:val="12"/>
                <w:szCs w:val="12"/>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spacing w:after="0"/>
              <w:rPr>
                <w:sz w:val="12"/>
                <w:szCs w:val="12"/>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140" w:type="dxa"/>
            <w:vAlign w:val="bottom"/>
          </w:tcPr>
          <w:p>
            <w:pPr>
              <w:spacing w:after="0"/>
              <w:rPr>
                <w:sz w:val="12"/>
                <w:szCs w:val="12"/>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color w:val="auto"/>
              </w:rPr>
              <w:t>5</w:t>
            </w:r>
          </w:p>
        </w:tc>
        <w:tc>
          <w:tcPr>
            <w:tcW w:w="12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5"/>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investments</w:t>
            </w:r>
          </w:p>
        </w:tc>
        <w:tc>
          <w:tcPr>
            <w:tcW w:w="11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vMerge w:val="continue"/>
          </w:tcPr>
          <w:p>
            <w:pPr>
              <w:spacing w:after="0"/>
              <w:rPr>
                <w:sz w:val="16"/>
                <w:szCs w:val="16"/>
                <w:color w:val="auto"/>
              </w:rPr>
            </w:pPr>
          </w:p>
        </w:tc>
        <w:tc>
          <w:tcPr>
            <w:tcW w:w="122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gridSpan w:val="2"/>
            <w:vMerge w:val="continue"/>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vMerge w:val="continue"/>
          </w:tcPr>
          <w:p>
            <w:pPr>
              <w:spacing w:after="0"/>
              <w:rPr>
                <w:sz w:val="16"/>
                <w:szCs w:val="16"/>
                <w:color w:val="auto"/>
              </w:rPr>
            </w:pP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Changes in fair value of cash flow hedges</w:t>
            </w:r>
          </w:p>
        </w:tc>
        <w:tc>
          <w:tcPr>
            <w:tcW w:w="112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2</w:t>
            </w:r>
          </w:p>
        </w:tc>
        <w:tc>
          <w:tcPr>
            <w:tcW w:w="122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w:t>
            </w:r>
          </w:p>
        </w:tc>
        <w:tc>
          <w:tcPr>
            <w:tcW w:w="24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(30)</w:t>
            </w:r>
          </w:p>
        </w:tc>
        <w:tc>
          <w:tcPr>
            <w:tcW w:w="12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(4,639)</w:t>
            </w:r>
          </w:p>
        </w:tc>
        <w:tc>
          <w:tcPr>
            <w:tcW w:w="122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(4,404)</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(4,639)</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(4,404)</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Noncontrolling interest</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552</w:t>
            </w:r>
          </w:p>
        </w:tc>
        <w:tc>
          <w:tcPr>
            <w:tcW w:w="122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563</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535</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Acquisitions, divestitures, and other</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2</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 attributable to noncontrolling interest</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34</w:t>
            </w: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51</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exchange translation adjustment</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(4)</w:t>
            </w: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26</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Dividends paid</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(21)</w:t>
            </w:r>
          </w:p>
        </w:tc>
        <w:tc>
          <w:tcPr>
            <w:tcW w:w="122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(53)</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Contributions from noncontrolling interest holders</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404</w:t>
            </w:r>
          </w:p>
        </w:tc>
        <w:tc>
          <w:tcPr>
            <w:tcW w:w="12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404</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965</w:t>
            </w:r>
          </w:p>
        </w:tc>
        <w:tc>
          <w:tcPr>
            <w:tcW w:w="122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568</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965</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568</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shareowners' equity</w:t>
            </w:r>
          </w:p>
        </w:tc>
        <w:tc>
          <w:tcPr>
            <w:tcW w:w="112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634.9</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17,747</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650.2</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17,974</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634.9</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17,747</w:t>
            </w:r>
          </w:p>
        </w:tc>
        <w:tc>
          <w:tcPr>
            <w:tcW w:w="12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650.2</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17,974</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dividends per share of common stock</w:t>
            </w:r>
          </w:p>
        </w:tc>
        <w:tc>
          <w:tcPr>
            <w:tcW w:w="1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1.13</w:t>
            </w: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1.08</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3.39</w:t>
            </w: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3.24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 BASIS OF PRESENTATION</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the opinion of management, the accompanying unaudited Consolidated Financial Statements reflect all adjustments necessary to present fairly the financial position, results of operations, cash flows, and shareowners' equity of Honeywell International Inc. and its consolidated subsidiaries (Honeywell or the Company) for the periods presented. The interim results of operations and cash flows should not necessarily be taken as indicative of the entire year.</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Honeywell reports its quarterly financial information using a calendar convention; the first, second, and third quarters are consistently reported as ending on March 31, June 30, and September 30, respectively. It is Honeywell's practice to establish actual quarterly closing dates using a predetermined fiscal calendar, which requires Honeywell's businesses to close their books on a Saturday in order to minimize the potentially disruptive effects of quarterly closing on the Company's business processes. The effects of this practice are generally not significant to reported results for any quarter and only exist within a reporting year. In the event differences in actual closing dates are material to year-over-year comparisons of quarterly or year-to-date results, Honeywell will provide appropriate disclosures. Honeywell's closing dates for the three and nine months ended September 30, 2025, and 2024, were September 27, 2025, and September 28, 2024,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color w:val="D7282F"/>
        </w:rPr>
        <w:t>NOTE 2. SUMMARY OF SIGNIFICANT ACCOUNTING POLICIES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accounting policies of the Company are set forth in Note 1 Summary of Significant Accounting Policies of Notes to Consolidated Financial Statements in the Company’s 2024 Annual Report on Form 10-K. The Company includes herein certain updates to those policies.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RECLASSIFICATIONS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12529"/>
        </w:rPr>
        <w:t>Certain prior year amounts are reclassified to conform to the current year presentation. This includes the separate disclosure of changes in Income taxes within operating activities on the Consolidated Statement of Cash Flows.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SUPPLY CHAIN FINANCING</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Amounts outstanding related to supply chain financing programs are included in Accounts payable in the Consolidated Balance Sheet. Accounts payable included approximately $1,153 million and $1,150 million as of September 30, 2025, and December 31, 2024, respectively. The impact of these programs is not material to the Company's overall liquidity.</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RECENT ACCOUNTING PRONOUNCEMENTS</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considers the applicability and impact of all Accounting Standards Updates (ASUs) issued by the Financial Accounting Standards Board (FASB). ASUs not listed below were assessed and determined to be either not applicable or are expected to have minimal impact on the Company's Consolidated Financial Statements.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In September 2025, the FASB issued ASU 2025-06, </w:t>
      </w:r>
      <w:r>
        <w:rPr>
          <w:rFonts w:ascii="Arial" w:cs="Arial" w:eastAsia="Arial" w:hAnsi="Arial"/>
          <w:sz w:val="16"/>
          <w:szCs w:val="16"/>
          <w:i w:val="1"/>
          <w:iCs w:val="1"/>
          <w:color w:val="auto"/>
        </w:rPr>
        <w:t>Intangibles—Goodwill and Other—Internal-Use Software (Subtopic 350-40): Targeted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the Accounting for Internal-Use Software</w:t>
      </w:r>
      <w:r>
        <w:rPr>
          <w:rFonts w:ascii="Arial" w:cs="Arial" w:eastAsia="Arial" w:hAnsi="Arial"/>
          <w:sz w:val="16"/>
          <w:szCs w:val="16"/>
          <w:color w:val="auto"/>
        </w:rPr>
        <w:t>, which modernizes the accounting for internal-use software costs by removing all references to prescriptive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sequential software development stages. The new standard requires entities to consider whether significant development uncertainty has been resolved before starting to capitalize software costs and aligns disclosure requirements with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The ASU is effective for annual and interim reporting periods beginning after December 15, 2027, and can be applied prospectively, retrospectively, or using a modified transition method, with early adoption permitted. The Company is currently evaluating the impacts of this guidance on the Company's Consolidated Financial Statements.</w:t>
      </w:r>
    </w:p>
    <w:p>
      <w:pPr>
        <w:spacing w:after="0" w:line="28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In November 2024, the FASB issued ASU 2024-03, </w:t>
      </w:r>
      <w:r>
        <w:rPr>
          <w:rFonts w:ascii="Arial" w:cs="Arial" w:eastAsia="Arial" w:hAnsi="Arial"/>
          <w:sz w:val="16"/>
          <w:szCs w:val="16"/>
          <w:i w:val="1"/>
          <w:iCs w:val="1"/>
          <w:color w:val="auto"/>
        </w:rPr>
        <w:t>Income Statement—Reporting Comprehensive Income—Expense Disaggregation Disclosures (Subtopic</w:t>
      </w:r>
      <w:r>
        <w:rPr>
          <w:rFonts w:ascii="Arial" w:cs="Arial" w:eastAsia="Arial" w:hAnsi="Arial"/>
          <w:sz w:val="16"/>
          <w:szCs w:val="16"/>
          <w:color w:val="auto"/>
        </w:rPr>
        <w:t xml:space="preserve"> </w:t>
      </w:r>
      <w:r>
        <w:rPr>
          <w:rFonts w:ascii="Arial" w:cs="Arial" w:eastAsia="Arial" w:hAnsi="Arial"/>
          <w:sz w:val="16"/>
          <w:szCs w:val="16"/>
          <w:i w:val="1"/>
          <w:iCs w:val="1"/>
          <w:color w:val="auto"/>
        </w:rPr>
        <w:t>220-40): Disaggregation of Income Statement Expenses</w:t>
      </w:r>
      <w:r>
        <w:rPr>
          <w:rFonts w:ascii="Arial" w:cs="Arial" w:eastAsia="Arial" w:hAnsi="Arial"/>
          <w:sz w:val="16"/>
          <w:szCs w:val="16"/>
          <w:color w:val="auto"/>
        </w:rPr>
        <w:t>, which requires companies to disclose additional information about the types of expenses in</w:t>
      </w:r>
      <w:r>
        <w:rPr>
          <w:rFonts w:ascii="Arial" w:cs="Arial" w:eastAsia="Arial" w:hAnsi="Arial"/>
          <w:sz w:val="16"/>
          <w:szCs w:val="16"/>
          <w:i w:val="1"/>
          <w:iCs w:val="1"/>
          <w:color w:val="auto"/>
        </w:rPr>
        <w:t xml:space="preserve"> </w:t>
      </w:r>
      <w:r>
        <w:rPr>
          <w:rFonts w:ascii="Arial" w:cs="Arial" w:eastAsia="Arial" w:hAnsi="Arial"/>
          <w:sz w:val="16"/>
          <w:szCs w:val="16"/>
          <w:color w:val="auto"/>
        </w:rPr>
        <w:t>commonly presented expense captions. The new standard requires tabular disclosure of specified natural expenses in certain expense captions, a qualitative description of amounts that are not separately disaggregated, and disclosure of the Company's definition and total amount of selling expenses. The ASU should be applied prospectively for annual reporting periods beginning after December 15, 2026, with retrospective application and early adoption permitted. The Company is currently evaluating the impacts of this guidance on the Company's Consolidated Financial Statements.</w:t>
      </w:r>
    </w:p>
    <w:p>
      <w:pPr>
        <w:spacing w:after="0" w:line="200" w:lineRule="exact"/>
        <w:rPr>
          <w:sz w:val="20"/>
          <w:szCs w:val="20"/>
          <w:color w:val="auto"/>
        </w:rPr>
      </w:pPr>
    </w:p>
    <w:p>
      <w:pPr>
        <w:spacing w:after="0" w:line="221"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Income Taxes (Topic 740): Improvements to Income Taxes Disclosures</w:t>
      </w:r>
      <w:r>
        <w:rPr>
          <w:rFonts w:ascii="Arial" w:cs="Arial" w:eastAsia="Arial" w:hAnsi="Arial"/>
          <w:sz w:val="16"/>
          <w:szCs w:val="16"/>
          <w:color w:val="auto"/>
        </w:rPr>
        <w:t>, which requires greater disaggregation of income tax disclosures. The new standard requires additional information to be disclosed annually with respect to the income tax rate reconciliation and income taxes paid disaggregated by jurisdiction. This ASU should be applied prospectively for fiscal years beginning after December 15, 2024, with retrospective application permitted. The Company is currently evaluating the impacts of this guidance on the Company’s Consolidated Financial Statements.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In November 2023, the FASB issued ASU 2023-07, </w:t>
      </w:r>
      <w:r>
        <w:rPr>
          <w:rFonts w:ascii="Arial" w:cs="Arial" w:eastAsia="Arial" w:hAnsi="Arial"/>
          <w:sz w:val="16"/>
          <w:szCs w:val="16"/>
          <w:i w:val="1"/>
          <w:iCs w:val="1"/>
          <w:color w:val="auto"/>
        </w:rPr>
        <w:t>Segment Reporting (Topic 280): Improvements to Reportable Segment Disclosures</w:t>
      </w:r>
      <w:r>
        <w:rPr>
          <w:rFonts w:ascii="Arial" w:cs="Arial" w:eastAsia="Arial" w:hAnsi="Arial"/>
          <w:sz w:val="16"/>
          <w:szCs w:val="16"/>
          <w:color w:val="auto"/>
        </w:rPr>
        <w:t>, which requires companies to enhance the disclosures about segment expenses. The new standard requires the disclosure of the Company’s Chief Operating Decision Maker (CODM), expanded incremental line-item disclosures of significant segment expenses used by the CODM for decision-making, and the inclusion of previous annual only segment disclosure requirements on a quarterly basis. This ASU should be applied retrospectively for fiscal years beginning after December 15, 2023, and interim periods within fiscal years beginning after December 15, 2024. The Company adopted this guidance for annual disclosures for the year ended December 31, 2024, and interim disclosures beginning the first quarter of 2025. The adoption of this standard did not have a material impact on the Company’s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color w:val="D7282F"/>
        </w:rPr>
        <w:t>NOTE 3. ACQUISITIONS AND DIVESTITURES</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ACQUISITIONS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Johnson Matthey's Catalyst Technologies Business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On May 22, 2025, the Company announced its agreement to acquire Johnson Matthey's Catalyst Technologies business segment in an all-cash transaction for £1.8 billion. The transaction is subject to customary closing conditions, including receipt of certain regulatory approvals. The transaction is expected to close in the first half of 2026, and the business will be included within the Energy and Sustainability Solutions reportable business segment.</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Sundyne</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June 6, 2025, the Company acquired 100% of the outstanding equity interests of Sundyne, a leader in the design manufacturing, and aftermarket support of highly-engineered pumps and gas compressors for process industries, for total consideration of $2,158 million, net of cash acquired. The business is part of the Energy and Sustainability Solutions reportable business segment. The following table summarizes the determination of the fair value of identifiable assets acquired and liabilities assumed that are included in the Consolidated Balance Sheet as of September 30, 2025:</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Borders>
              <w:top w:val="single" w:sz="8" w:color="D7282F"/>
              <w:bottom w:val="single" w:sz="8" w:color="61656A"/>
            </w:tcBorders>
          </w:tcPr>
          <w:p>
            <w:pPr>
              <w:ind w:left="20"/>
              <w:spacing w:after="0"/>
              <w:rPr>
                <w:sz w:val="20"/>
                <w:szCs w:val="20"/>
                <w:color w:val="auto"/>
              </w:rPr>
            </w:pPr>
            <w:r>
              <w:rPr>
                <w:rFonts w:ascii="Arial" w:cs="Arial" w:eastAsia="Arial" w:hAnsi="Arial"/>
                <w:sz w:val="14"/>
                <w:szCs w:val="14"/>
                <w:color w:val="auto"/>
              </w:rPr>
              <w:t>Current assets</w:t>
            </w:r>
          </w:p>
        </w:tc>
        <w:tc>
          <w:tcPr>
            <w:tcW w:w="4660" w:type="dxa"/>
            <w:vAlign w:val="bottom"/>
            <w:tcBorders>
              <w:top w:val="single" w:sz="8" w:color="D7282F"/>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D7282F"/>
              <w:bottom w:val="single" w:sz="8" w:color="61656A"/>
            </w:tcBorders>
          </w:tcPr>
          <w:p>
            <w:pPr>
              <w:jc w:val="right"/>
              <w:spacing w:after="0"/>
              <w:rPr>
                <w:sz w:val="20"/>
                <w:szCs w:val="20"/>
                <w:color w:val="auto"/>
              </w:rPr>
            </w:pPr>
            <w:r>
              <w:rPr>
                <w:rFonts w:ascii="Arial" w:cs="Arial" w:eastAsia="Arial" w:hAnsi="Arial"/>
                <w:sz w:val="14"/>
                <w:szCs w:val="14"/>
                <w:color w:val="auto"/>
              </w:rPr>
              <w:t>287</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Intangible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990</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noncurrent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97</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Current liabilities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(102)</w:t>
            </w:r>
          </w:p>
        </w:tc>
      </w:tr>
      <w:tr>
        <w:trPr>
          <w:trHeight w:val="196"/>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Noncurrent liabilities</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(265)</w:t>
            </w:r>
          </w:p>
        </w:tc>
      </w:tr>
      <w:tr>
        <w:trPr>
          <w:trHeight w:val="199"/>
        </w:trPr>
        <w:tc>
          <w:tcPr>
            <w:tcW w:w="5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assets acquired</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1,007</w:t>
            </w:r>
          </w:p>
        </w:tc>
      </w:tr>
      <w:tr>
        <w:trPr>
          <w:trHeight w:val="193"/>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Goodwill</w:t>
            </w:r>
          </w:p>
        </w:tc>
        <w:tc>
          <w:tcPr>
            <w:tcW w:w="466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1,261</w:t>
            </w:r>
          </w:p>
        </w:tc>
      </w:tr>
      <w:tr>
        <w:trPr>
          <w:trHeight w:val="199"/>
        </w:trPr>
        <w:tc>
          <w:tcPr>
            <w:tcW w:w="59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Purchase price</w:t>
            </w:r>
          </w:p>
        </w:tc>
        <w:tc>
          <w:tcPr>
            <w:tcW w:w="46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2,268</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Sundyne identifiable intangible assets primarily include customer relationships, technology, and trademarks which will amortize over their estimated useful lives ranging from one to 15 years using straight-line and accelerated amortization methods. The goodwill is not deductible for tax purposes. As of the end of the third quarter of 2025, the purchase accounting is subject to final adjustment, primarily for the valuation of intangible assets, amounts allocated to goodwill, working capital adjustments, and tax balances.</w:t>
      </w:r>
    </w:p>
    <w:p>
      <w:pPr>
        <w:spacing w:after="0" w:line="200" w:lineRule="exact"/>
        <w:rPr>
          <w:sz w:val="20"/>
          <w:szCs w:val="20"/>
          <w:color w:val="auto"/>
        </w:rPr>
      </w:pPr>
    </w:p>
    <w:p>
      <w:pPr>
        <w:spacing w:after="0" w:line="204"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Air Products' Liquefied Natural Gas Process Technology and Equipment Business</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September 30, 2024, the Company acquired 100% of the outstanding equity interests of Air Products' liquefied natural gas process technology and equipment business (LNG), strengthening the Company's energy transition portfolio, for total consideration of $1,843 million, net of cash acquired. The business is part of the Energy and Sustainability Solutions reportable business segment. The Company finalized the evaluation for the fair value of all the assets acquired and liabilities assumed with LNG during the third quarter of 2025. The following table summarizes the determination of the fair value of identifiable assets acquired and liabilities assumed that are included in the Consolidated Balance Sheet as of September 30, 2025:</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Borders>
              <w:top w:val="single" w:sz="8" w:color="D7282F"/>
              <w:bottom w:val="single" w:sz="8" w:color="61656A"/>
            </w:tcBorders>
          </w:tcPr>
          <w:p>
            <w:pPr>
              <w:ind w:left="20"/>
              <w:spacing w:after="0"/>
              <w:rPr>
                <w:sz w:val="20"/>
                <w:szCs w:val="20"/>
                <w:color w:val="auto"/>
              </w:rPr>
            </w:pPr>
            <w:r>
              <w:rPr>
                <w:rFonts w:ascii="Arial" w:cs="Arial" w:eastAsia="Arial" w:hAnsi="Arial"/>
                <w:sz w:val="14"/>
                <w:szCs w:val="14"/>
                <w:color w:val="auto"/>
              </w:rPr>
              <w:t>Current assets</w:t>
            </w:r>
          </w:p>
        </w:tc>
        <w:tc>
          <w:tcPr>
            <w:tcW w:w="4660" w:type="dxa"/>
            <w:vAlign w:val="bottom"/>
            <w:tcBorders>
              <w:top w:val="single" w:sz="8" w:color="D7282F"/>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D7282F"/>
              <w:bottom w:val="single" w:sz="8" w:color="61656A"/>
            </w:tcBorders>
          </w:tcPr>
          <w:p>
            <w:pPr>
              <w:jc w:val="right"/>
              <w:spacing w:after="0"/>
              <w:rPr>
                <w:sz w:val="20"/>
                <w:szCs w:val="20"/>
                <w:color w:val="auto"/>
              </w:rPr>
            </w:pPr>
            <w:r>
              <w:rPr>
                <w:rFonts w:ascii="Arial" w:cs="Arial" w:eastAsia="Arial" w:hAnsi="Arial"/>
                <w:sz w:val="14"/>
                <w:szCs w:val="14"/>
                <w:color w:val="auto"/>
              </w:rPr>
              <w:t>73</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Intangible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894</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noncurrent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82</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Current liabilities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w:t>
            </w:r>
          </w:p>
        </w:tc>
      </w:tr>
      <w:tr>
        <w:trPr>
          <w:trHeight w:val="196"/>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Noncurrent liabilities</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w:t>
            </w:r>
          </w:p>
        </w:tc>
      </w:tr>
      <w:tr>
        <w:trPr>
          <w:trHeight w:val="199"/>
        </w:trPr>
        <w:tc>
          <w:tcPr>
            <w:tcW w:w="5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assets acquired</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947</w:t>
            </w:r>
          </w:p>
        </w:tc>
      </w:tr>
      <w:tr>
        <w:trPr>
          <w:trHeight w:val="193"/>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Goodwill</w:t>
            </w:r>
          </w:p>
        </w:tc>
        <w:tc>
          <w:tcPr>
            <w:tcW w:w="466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896</w:t>
            </w:r>
          </w:p>
        </w:tc>
      </w:tr>
      <w:tr>
        <w:trPr>
          <w:trHeight w:val="199"/>
        </w:trPr>
        <w:tc>
          <w:tcPr>
            <w:tcW w:w="59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Purchase price</w:t>
            </w:r>
          </w:p>
        </w:tc>
        <w:tc>
          <w:tcPr>
            <w:tcW w:w="46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1,843</w:t>
            </w: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LNG identifiable intangible assets primarily include customer relationships and technology which will amortize over their estimated useful lives ranging from three to 20 years using accelerated amortization methods. The goodwill is deductible for tax purposes.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CAES Systems Holdings LLC</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August 30, 2024, the Company acquired 100% of the outstanding equity interests of CAES Systems Holdings LLC (CAES), enhancing the Company's defense and space portfolio with high-reliability radio frequency technologies, for total consideration of $1,935 million, net of cash acquired. The business is part of the Aerospace Technologies reportable business segment. The Company finalized the evaluation for the fair value of all the assets acquired and liabilities assumed with CAES during the third quarter of 2025. The following table summarizes the determination of the fair value of identifiable assets acquired and liabilities assumed that are included in the Consolidated Balance Sheet as of September 30, 2025:</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Borders>
              <w:top w:val="single" w:sz="8" w:color="D7282F"/>
              <w:bottom w:val="single" w:sz="8" w:color="61656A"/>
            </w:tcBorders>
          </w:tcPr>
          <w:p>
            <w:pPr>
              <w:ind w:left="20"/>
              <w:spacing w:after="0"/>
              <w:rPr>
                <w:sz w:val="20"/>
                <w:szCs w:val="20"/>
                <w:color w:val="auto"/>
              </w:rPr>
            </w:pPr>
            <w:r>
              <w:rPr>
                <w:rFonts w:ascii="Arial" w:cs="Arial" w:eastAsia="Arial" w:hAnsi="Arial"/>
                <w:sz w:val="14"/>
                <w:szCs w:val="14"/>
                <w:color w:val="auto"/>
              </w:rPr>
              <w:t>Current assets</w:t>
            </w:r>
          </w:p>
        </w:tc>
        <w:tc>
          <w:tcPr>
            <w:tcW w:w="4660" w:type="dxa"/>
            <w:vAlign w:val="bottom"/>
            <w:tcBorders>
              <w:top w:val="single" w:sz="8" w:color="D7282F"/>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D7282F"/>
              <w:bottom w:val="single" w:sz="8" w:color="61656A"/>
            </w:tcBorders>
          </w:tcPr>
          <w:p>
            <w:pPr>
              <w:jc w:val="right"/>
              <w:spacing w:after="0"/>
              <w:rPr>
                <w:sz w:val="20"/>
                <w:szCs w:val="20"/>
                <w:color w:val="auto"/>
              </w:rPr>
            </w:pPr>
            <w:r>
              <w:rPr>
                <w:rFonts w:ascii="Arial" w:cs="Arial" w:eastAsia="Arial" w:hAnsi="Arial"/>
                <w:sz w:val="14"/>
                <w:szCs w:val="14"/>
                <w:color w:val="auto"/>
              </w:rPr>
              <w:t>314</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Intangible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1,155</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noncurrent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226</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Current liabilities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(123)</w:t>
            </w:r>
          </w:p>
        </w:tc>
      </w:tr>
      <w:tr>
        <w:trPr>
          <w:trHeight w:val="196"/>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Noncurrent liabilities</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(119)</w:t>
            </w:r>
          </w:p>
        </w:tc>
      </w:tr>
      <w:tr>
        <w:trPr>
          <w:trHeight w:val="199"/>
        </w:trPr>
        <w:tc>
          <w:tcPr>
            <w:tcW w:w="5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assets acquired</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1,453</w:t>
            </w:r>
          </w:p>
        </w:tc>
      </w:tr>
      <w:tr>
        <w:trPr>
          <w:trHeight w:val="193"/>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Goodwill</w:t>
            </w:r>
          </w:p>
        </w:tc>
        <w:tc>
          <w:tcPr>
            <w:tcW w:w="466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525</w:t>
            </w:r>
          </w:p>
        </w:tc>
      </w:tr>
      <w:tr>
        <w:trPr>
          <w:trHeight w:val="199"/>
        </w:trPr>
        <w:tc>
          <w:tcPr>
            <w:tcW w:w="59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Purchase price</w:t>
            </w:r>
          </w:p>
        </w:tc>
        <w:tc>
          <w:tcPr>
            <w:tcW w:w="46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1,978</w:t>
            </w: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CAES identifiable intangible assets primarily include customer relationships and trademarks which will amortize over their estimated useful lives ranging from two to 15 years using straight line and accelerated amortization methods. The goodwill is not deductible for tax purposes.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Civitanavi Systems S.p.A.</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August 19, 2024, the Company completed the acquisition of Civitanavi Systems S.p.A., a leader in position navigation and timing technology for the aerospace, defense, and industrial markets, for total consideration of $200 million, net of cash acquired. The business is part of the Aerospace Technologies reportable business segment. The assets acquired and liabilities assumed with Civitanavi Systems S.p.A. are included in the Consolidated Balance Sheet as of September 30, 2025, including $75 million of intangible assets and $107 million of goodwill, which is not deductible for tax purposes. The Company finalized the evaluation for the fair value of all the assets acquired and liabilities assumed with Civitanavi Systems S.p.A. during the third quarter of 2025.</w:t>
      </w:r>
    </w:p>
    <w:p>
      <w:pPr>
        <w:spacing w:after="0" w:line="200" w:lineRule="exact"/>
        <w:rPr>
          <w:sz w:val="20"/>
          <w:szCs w:val="20"/>
          <w:color w:val="auto"/>
        </w:rPr>
      </w:pPr>
    </w:p>
    <w:p>
      <w:pPr>
        <w:spacing w:after="0" w:line="207"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Carrier Global Corporation's Global Access Solutions Business</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June 3, 2024, the Company acquired 100% of the outstanding equity interests of Carrier Global Corporation's Global Access Solutions business (Access Solutions), an innovative global leader in advanced access and security solutions, electronic locking systems, and contactless mobile key solutions, for total consideration of $4,913 million, net of cash acquired. The business is part of the Building Automation reportable business segment. The Company finalized the evaluation for the fair value of all the assets acquired and liabilities assumed with Access Solutions during the second quarter of 2025. The following table summarizes the determination of the fair value of identifiable assets acquired and liabilities assumed that are included in the Consolidated Balance Sheet as of September 30, 2025: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Borders>
              <w:top w:val="single" w:sz="8" w:color="D7282F"/>
              <w:bottom w:val="single" w:sz="8" w:color="61656A"/>
            </w:tcBorders>
          </w:tcPr>
          <w:p>
            <w:pPr>
              <w:ind w:left="20"/>
              <w:spacing w:after="0"/>
              <w:rPr>
                <w:sz w:val="20"/>
                <w:szCs w:val="20"/>
                <w:color w:val="auto"/>
              </w:rPr>
            </w:pPr>
            <w:r>
              <w:rPr>
                <w:rFonts w:ascii="Arial" w:cs="Arial" w:eastAsia="Arial" w:hAnsi="Arial"/>
                <w:sz w:val="14"/>
                <w:szCs w:val="14"/>
                <w:color w:val="auto"/>
              </w:rPr>
              <w:t>Current assets</w:t>
            </w:r>
          </w:p>
        </w:tc>
        <w:tc>
          <w:tcPr>
            <w:tcW w:w="4660" w:type="dxa"/>
            <w:vAlign w:val="bottom"/>
            <w:tcBorders>
              <w:top w:val="single" w:sz="8" w:color="D7282F"/>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D7282F"/>
              <w:bottom w:val="single" w:sz="8" w:color="61656A"/>
            </w:tcBorders>
          </w:tcPr>
          <w:p>
            <w:pPr>
              <w:jc w:val="right"/>
              <w:spacing w:after="0"/>
              <w:rPr>
                <w:sz w:val="20"/>
                <w:szCs w:val="20"/>
                <w:color w:val="auto"/>
              </w:rPr>
            </w:pPr>
            <w:r>
              <w:rPr>
                <w:rFonts w:ascii="Arial" w:cs="Arial" w:eastAsia="Arial" w:hAnsi="Arial"/>
                <w:sz w:val="14"/>
                <w:szCs w:val="14"/>
                <w:color w:val="auto"/>
              </w:rPr>
              <w:t>236</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Intangible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1,959</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noncurrent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43</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Current liabilities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(158)</w:t>
            </w:r>
          </w:p>
        </w:tc>
      </w:tr>
      <w:tr>
        <w:trPr>
          <w:trHeight w:val="196"/>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Noncurrent liabilities</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w:t>
            </w:r>
          </w:p>
        </w:tc>
      </w:tr>
      <w:tr>
        <w:trPr>
          <w:trHeight w:val="199"/>
        </w:trPr>
        <w:tc>
          <w:tcPr>
            <w:tcW w:w="5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assets acquired</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2,074</w:t>
            </w:r>
          </w:p>
        </w:tc>
      </w:tr>
      <w:tr>
        <w:trPr>
          <w:trHeight w:val="193"/>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Goodwill</w:t>
            </w:r>
          </w:p>
        </w:tc>
        <w:tc>
          <w:tcPr>
            <w:tcW w:w="466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2,924</w:t>
            </w:r>
          </w:p>
        </w:tc>
      </w:tr>
      <w:tr>
        <w:trPr>
          <w:trHeight w:val="199"/>
        </w:trPr>
        <w:tc>
          <w:tcPr>
            <w:tcW w:w="59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Purchase price</w:t>
            </w:r>
          </w:p>
        </w:tc>
        <w:tc>
          <w:tcPr>
            <w:tcW w:w="46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4,998</w:t>
            </w:r>
          </w:p>
        </w:tc>
      </w:tr>
    </w:tbl>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Access Solutions identifiable intangible assets primarily include customer relationships, technology, and trademarks which will amortize over their estimated useful lives ranging from 10 to 20 years using straight line and accelerated amortization methods. The majority of the goodwill is deductible for tax purposes.</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DIVESTITURES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October 1, 2025, the Company announced, in connection with the anticipated spin-off of the Company's Advanced Materials business into an independent, publicly traded company named Solstice Advanced Materials, Inc. (Solstice), that its Board of Directors (Board) approved a record date of October 17, 2025 (Record Date) for the pro rata distribution of all of the issued and outstanding shares of Solstice to the holders of Company common stock as of the close of business on the Record Date (Eligible Holders). On October 16, 2025, the Company announced that the Board approved the spin-off, which will be effective as of 12:01 a.m. (New York City time) on October 30, 2025 (Distribution Date). On the Distribution Date, the Eligible Holders will receive one share of Solstice common stock for every four shares of Company common stock they hold as of the close of business on the Record Date. Completion of the Distribution is conditioned upon the satisfaction or waiver of certain conditions, as set forth in the form of Separation and Distribution Agreement filed with the SEC as part of the registration statement on Form 10 filed by Solstice, which was declared effective by the SEC on September 30, 2025.</w:t>
      </w:r>
    </w:p>
    <w:p>
      <w:pPr>
        <w:spacing w:after="0" w:line="2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May 21, 2025, the Company completed the sale of its personal protective equipment (PPE) business in exchange for total consideration of $1,157 million, net of cash transferred. The Company recognized a pre-tax loss on sale of the PPE business of $30 million for the nine months ended September 30, 2025, which was recorded in Other (income) expense in the Consolidated Statement of Operations. The PPE business was previously part of the Sensing and Safety Technologies business unit within the Industrial Automation reportable business segment. As of December 31, 2024, the Company classified the assets and liabilities of the PPE business as held for sale. During the first quarter of 2025, the Company recognized a $15 million increase to the valuation allowance to write down the disposal group to fair value, less costs to sell.</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February 6, 2025, the Company announced its intention to pursue a separation of its Automation and Aerospace Technologies businesses into independent, U.S. publicly traded companies, which is expected to be completed in the second half of 2026. The planned separation is intended to be a tax-free separation to Honeywell shareowners for U.S. federal income tax purposes. The separation will be subject to the satisfaction of a number of customary conditions, including, among others, the filing and effectiveness of applicable filings (including a Form 10 registration statement that includes required financial statements) with the SEC, assurance that the separation of the businesses will be tax-free to Honeywell’s shareowners, receipt of applicable regulatory approvals, and final approval by Honeywell’s Board. The proposed separation is complex in nature, and may be affected by unanticipated developments, credit and equity markets, or changes in market conditions.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4. REVENUE RECOGNITION AND CONTRACTS WITH CUSTOMERS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has a comprehensive offering of products and services, including software and technologies, that are sold to a variety of customers in multiple end markets. See the following disaggregated revenue table and related discussions by reportable business segment for details: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10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760" w:type="dxa"/>
            <w:vAlign w:val="bottom"/>
            <w:tcBorders>
              <w:top w:val="single" w:sz="8" w:color="D7282F"/>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Aerospace Technologies</w:t>
            </w:r>
          </w:p>
        </w:tc>
        <w:tc>
          <w:tcPr>
            <w:tcW w:w="18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Aviation Original Equipment</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632</w:t>
            </w:r>
          </w:p>
        </w:tc>
        <w:tc>
          <w:tcPr>
            <w:tcW w:w="3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617</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1,845</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1,959</w:t>
            </w: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Aviation Aftermarket</w:t>
            </w:r>
          </w:p>
        </w:tc>
        <w:tc>
          <w:tcPr>
            <w:tcW w:w="18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2,085</w:t>
            </w:r>
          </w:p>
        </w:tc>
        <w:tc>
          <w:tcPr>
            <w:tcW w:w="3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1,758</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5,900</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5,215</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Defense and Space</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1,794</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1,537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5,245</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4,298</w:t>
            </w:r>
          </w:p>
        </w:tc>
      </w:tr>
      <w:tr>
        <w:trPr>
          <w:trHeight w:val="199"/>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Aerospace Technologies sales</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4,511</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3,912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12,990</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11,472</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Industrial Automation</w:t>
            </w:r>
          </w:p>
        </w:tc>
        <w:tc>
          <w:tcPr>
            <w:tcW w:w="18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Sensing and Safety Technologies</w:t>
            </w:r>
          </w:p>
        </w:tc>
        <w:tc>
          <w:tcPr>
            <w:tcW w:w="18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202</w:t>
            </w:r>
          </w:p>
        </w:tc>
        <w:tc>
          <w:tcPr>
            <w:tcW w:w="34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452</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966</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1,368</w:t>
            </w: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Productivity Solutions and Services</w:t>
            </w:r>
          </w:p>
        </w:tc>
        <w:tc>
          <w:tcPr>
            <w:tcW w:w="18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284</w:t>
            </w:r>
          </w:p>
        </w:tc>
        <w:tc>
          <w:tcPr>
            <w:tcW w:w="3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289</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831</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909</w:t>
            </w: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Process Solutions</w:t>
            </w:r>
          </w:p>
        </w:tc>
        <w:tc>
          <w:tcPr>
            <w:tcW w:w="18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1,543</w:t>
            </w:r>
          </w:p>
        </w:tc>
        <w:tc>
          <w:tcPr>
            <w:tcW w:w="3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1,522</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4,549</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4,527</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Warehouse and Workflow Solutions</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245</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238</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686</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681</w:t>
            </w:r>
          </w:p>
        </w:tc>
      </w:tr>
      <w:tr>
        <w:trPr>
          <w:trHeight w:val="199"/>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Industrial Automation sales</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2,274</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2,501</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7,032</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7,485</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Building Automation</w:t>
            </w:r>
          </w:p>
        </w:tc>
        <w:tc>
          <w:tcPr>
            <w:tcW w:w="18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18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1,139</w:t>
            </w:r>
          </w:p>
        </w:tc>
        <w:tc>
          <w:tcPr>
            <w:tcW w:w="34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1,059</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3,293</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2,780</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Building Solutions</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739</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686</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2,103</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1,962</w:t>
            </w:r>
          </w:p>
        </w:tc>
      </w:tr>
      <w:tr>
        <w:trPr>
          <w:trHeight w:val="199"/>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Building Automation sales</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1,878</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1,745</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5,396</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4,742</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Energy and Sustainability Solutions</w:t>
            </w:r>
          </w:p>
        </w:tc>
        <w:tc>
          <w:tcPr>
            <w:tcW w:w="18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UOP</w:t>
            </w:r>
          </w:p>
        </w:tc>
        <w:tc>
          <w:tcPr>
            <w:tcW w:w="18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771</w:t>
            </w:r>
          </w:p>
        </w:tc>
        <w:tc>
          <w:tcPr>
            <w:tcW w:w="34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654</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2,242</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1,830</w:t>
            </w: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Advanced Materials</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971</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909</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2,898</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2,862</w:t>
            </w:r>
          </w:p>
        </w:tc>
      </w:tr>
      <w:tr>
        <w:trPr>
          <w:trHeight w:val="199"/>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Energy and Sustainability Solutions sales</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1,742</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1,563</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5,140</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4,692</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Corporate and All Other</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24</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w:t>
            </w:r>
          </w:p>
        </w:tc>
      </w:tr>
      <w:tr>
        <w:trPr>
          <w:trHeight w:val="196"/>
        </w:trPr>
        <w:tc>
          <w:tcPr>
            <w:tcW w:w="710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10,408</w:t>
            </w:r>
          </w:p>
        </w:tc>
        <w:tc>
          <w:tcPr>
            <w:tcW w:w="3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9,728</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30,582</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28,410</w:t>
            </w: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Aerospace Technologies </w:t>
      </w:r>
      <w:r>
        <w:rPr>
          <w:rFonts w:ascii="Arial" w:cs="Arial" w:eastAsia="Arial" w:hAnsi="Arial"/>
          <w:sz w:val="16"/>
          <w:szCs w:val="16"/>
          <w:color w:val="auto"/>
        </w:rPr>
        <w:t>– A global supplier of products, software, and services for aircrafts that it sells to original equipment manufacturers (OEM)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customers in a variety of end markets including air transport, regional, business and general aviation aircraft, airlines, aircraft operators, and defense and space contractors. Aerospace Technologies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and thermal systems. Aerospace Technologies also provides spare parts, repair, overhaul, and maintenance services (principally to aircraft operators), and sells licenses or intellectual property to other parties. Honeywell Forge solutions enable customers to turn data into predictive maintenance and predictive analytics to enable better fleet management and make flight operations more efficient.</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Industrial Automation </w:t>
      </w:r>
      <w:r>
        <w:rPr>
          <w:rFonts w:ascii="Arial" w:cs="Arial" w:eastAsia="Arial" w:hAnsi="Arial"/>
          <w:sz w:val="16"/>
          <w:szCs w:val="16"/>
          <w:color w:val="auto"/>
        </w:rPr>
        <w:t>– A global provider of industrial automation solutions that deliver intelligent, sustainable, and secure operations for customers in</w:t>
      </w:r>
      <w:r>
        <w:rPr>
          <w:rFonts w:ascii="Arial" w:cs="Arial" w:eastAsia="Arial" w:hAnsi="Arial"/>
          <w:sz w:val="16"/>
          <w:szCs w:val="16"/>
          <w:b w:val="1"/>
          <w:bCs w:val="1"/>
          <w:color w:val="auto"/>
        </w:rPr>
        <w:t xml:space="preserve"> </w:t>
      </w:r>
      <w:r>
        <w:rPr>
          <w:rFonts w:ascii="Arial" w:cs="Arial" w:eastAsia="Arial" w:hAnsi="Arial"/>
          <w:sz w:val="16"/>
          <w:szCs w:val="16"/>
          <w:color w:val="auto"/>
        </w:rPr>
        <w:t>refining/petrochemicals, life sciences, utilities, and warehouse and logistics segments. With millions of installed assets, Industrial Automation deploys outcome-based solutions to increase asset utilization; improve operational efficiency and labor productivity; reduce carbon emissions with less energy consumption; and enhance cyber security for critical infrastructure and operational assets. Industrial Automation offerings include automation control and instrumentation products and services; smart energy products; sensing technologies with an array of custom-engineered sensors and services; gas detection technologies; and system design, advanced automation equipment, software and analytics for manufacturing, distribution, and fulfillment operations. Industrial Automation combines these products and services with proprietary machine learning and artificial intelligence algorithms in products and projects which are digitally enabled through the Company's industry leading industrial Internet of Things (IoT) platform, Honeywell Forge.</w:t>
      </w:r>
    </w:p>
    <w:p>
      <w:pPr>
        <w:spacing w:after="0" w:line="200" w:lineRule="exact"/>
        <w:rPr>
          <w:sz w:val="20"/>
          <w:szCs w:val="20"/>
          <w:color w:val="auto"/>
        </w:rPr>
      </w:pPr>
    </w:p>
    <w:p>
      <w:pPr>
        <w:spacing w:after="0" w:line="225"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Building Automation </w:t>
      </w:r>
      <w:r>
        <w:rPr>
          <w:rFonts w:ascii="Arial" w:cs="Arial" w:eastAsia="Arial" w:hAnsi="Arial"/>
          <w:sz w:val="16"/>
          <w:szCs w:val="16"/>
          <w:color w:val="auto"/>
        </w:rPr>
        <w:t>– A global provider of products, software, solutions, and technologies that enable building owners and occupants to ensure their</w:t>
      </w:r>
      <w:r>
        <w:rPr>
          <w:rFonts w:ascii="Arial" w:cs="Arial" w:eastAsia="Arial" w:hAnsi="Arial"/>
          <w:sz w:val="16"/>
          <w:szCs w:val="16"/>
          <w:b w:val="1"/>
          <w:bCs w:val="1"/>
          <w:color w:val="auto"/>
        </w:rPr>
        <w:t xml:space="preserve"> </w:t>
      </w:r>
      <w:r>
        <w:rPr>
          <w:rFonts w:ascii="Arial" w:cs="Arial" w:eastAsia="Arial" w:hAnsi="Arial"/>
          <w:sz w:val="16"/>
          <w:szCs w:val="16"/>
          <w:color w:val="auto"/>
        </w:rPr>
        <w:t>facilities are safe, energy efficient, sustainable, and productive. Building Automation products and services include advanced software applications for building control and optimization; sensors, switches, control systems, and instruments for energy management; access control; video surveillance; fire products; and installation, maintenance, and upgrades of systems. Honeywell Forge solutions enable customers to digitally manage buildings, connecting data from different assets to enable smart maintenance, improve building performance, and even protect from incoming security threats.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Energy and Sustainability Solutions </w:t>
      </w:r>
      <w:r>
        <w:rPr>
          <w:rFonts w:ascii="Arial" w:cs="Arial" w:eastAsia="Arial" w:hAnsi="Arial"/>
          <w:sz w:val="16"/>
          <w:szCs w:val="16"/>
          <w:color w:val="auto"/>
        </w:rPr>
        <w:t>– A global provider of industry leading technology, processing, and licensing capabilities combined with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science capabilities and innovative chemistry to offer focused solutions integral to facilitating the world's energy transition. The reportable business segment is comprised of UOP and Advanced Materials business units. The UOP business provides sustainable aviation fuels, petrochemical, refining, and natural gas liquefaction technologies, and carbon management solutions across multiple sectors through process technology solutions, products, including catalysts and adsorbents, equipment and aftermarket services. The Advanced Materials business provides customers with its Solstice lower global warming potential refrigeration and heating solutions, Spectra fibers for high end protective armor and medical applications, and leading-edge semiconductor materials. Honeywell Forge solutions serve customer asset productivity and efficiency needs by providing connectivity, data integration, and software solutions to generate a holistic view of their operations.</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Corporate and All Other </w:t>
      </w:r>
      <w:r>
        <w:rPr>
          <w:rFonts w:ascii="Arial" w:cs="Arial" w:eastAsia="Arial" w:hAnsi="Arial"/>
          <w:sz w:val="16"/>
          <w:szCs w:val="16"/>
          <w:color w:val="auto"/>
        </w:rPr>
        <w:t>– Corporate and All Other includes revenue from Honeywell's majority-owned investment in Quantinuum. Through Quantinuum,</w:t>
      </w:r>
      <w:r>
        <w:rPr>
          <w:rFonts w:ascii="Arial" w:cs="Arial" w:eastAsia="Arial" w:hAnsi="Arial"/>
          <w:sz w:val="16"/>
          <w:szCs w:val="16"/>
          <w:b w:val="1"/>
          <w:bCs w:val="1"/>
          <w:color w:val="auto"/>
        </w:rPr>
        <w:t xml:space="preserve"> </w:t>
      </w:r>
      <w:r>
        <w:rPr>
          <w:rFonts w:ascii="Arial" w:cs="Arial" w:eastAsia="Arial" w:hAnsi="Arial"/>
          <w:sz w:val="16"/>
          <w:szCs w:val="16"/>
          <w:color w:val="auto"/>
        </w:rPr>
        <w:t>Honeywell provides a wide range of service offerings of fully integrated quantum computing hardware and software solutions.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18 </w:t>
      </w:r>
      <w:r>
        <w:rPr>
          <w:rFonts w:ascii="Arial" w:cs="Arial" w:eastAsia="Arial" w:hAnsi="Arial"/>
          <w:sz w:val="16"/>
          <w:szCs w:val="16"/>
          <w:u w:val="single" w:color="auto"/>
          <w:color w:val="0000FF"/>
        </w:rPr>
        <w:t>Segment Financial Data</w:t>
      </w:r>
      <w:r>
        <w:rPr>
          <w:rFonts w:ascii="Arial" w:cs="Arial" w:eastAsia="Arial" w:hAnsi="Arial"/>
          <w:sz w:val="16"/>
          <w:szCs w:val="16"/>
          <w:color w:val="auto"/>
        </w:rPr>
        <w:t xml:space="preserve"> for a summary by disaggregated product and services sales for each reportable business segment.</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recognizes revenue arising from performance obligations outlined in contracts with its customers that are satisfied at a point in time and over time. The disaggregation of the Company's revenue based on timing of recognition is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3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214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6720" w:type="dxa"/>
            <w:vAlign w:val="bottom"/>
          </w:tcPr>
          <w:p>
            <w:pPr>
              <w:spacing w:after="0"/>
              <w:rPr>
                <w:sz w:val="16"/>
                <w:szCs w:val="16"/>
                <w:color w:val="auto"/>
              </w:rPr>
            </w:pPr>
          </w:p>
        </w:tc>
        <w:tc>
          <w:tcPr>
            <w:tcW w:w="23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214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720" w:type="dxa"/>
            <w:vAlign w:val="bottom"/>
            <w:tcBorders>
              <w:bottom w:val="single" w:sz="8" w:color="D7282F"/>
            </w:tcBorders>
          </w:tcPr>
          <w:p>
            <w:pPr>
              <w:spacing w:after="0"/>
              <w:rPr>
                <w:sz w:val="16"/>
                <w:szCs w:val="16"/>
                <w:color w:val="auto"/>
              </w:rPr>
            </w:pPr>
          </w:p>
        </w:tc>
        <w:tc>
          <w:tcPr>
            <w:tcW w:w="1220" w:type="dxa"/>
            <w:vAlign w:val="bottom"/>
            <w:tcBorders>
              <w:top w:val="single" w:sz="8" w:color="D7282F"/>
              <w:bottom w:val="single" w:sz="8" w:color="D7282F"/>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920" w:type="dxa"/>
            <w:vAlign w:val="bottom"/>
            <w:tcBorders>
              <w:top w:val="single" w:sz="8" w:color="D7282F"/>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D7282F"/>
            </w:tcBorders>
          </w:tcPr>
          <w:p>
            <w:pPr>
              <w:spacing w:after="0"/>
              <w:rPr>
                <w:sz w:val="16"/>
                <w:szCs w:val="16"/>
                <w:color w:val="auto"/>
              </w:rPr>
            </w:pPr>
          </w:p>
        </w:tc>
        <w:tc>
          <w:tcPr>
            <w:tcW w:w="1220" w:type="dxa"/>
            <w:vAlign w:val="bottom"/>
            <w:tcBorders>
              <w:top w:val="single" w:sz="8" w:color="D7282F"/>
              <w:bottom w:val="single" w:sz="8" w:color="D7282F"/>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920" w:type="dxa"/>
            <w:vAlign w:val="bottom"/>
            <w:tcBorders>
              <w:top w:val="single" w:sz="8" w:color="D7282F"/>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r>
      <w:tr>
        <w:trPr>
          <w:trHeight w:val="193"/>
        </w:trPr>
        <w:tc>
          <w:tcPr>
            <w:tcW w:w="67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Products, transferred point in time</w:t>
            </w:r>
          </w:p>
        </w:tc>
        <w:tc>
          <w:tcPr>
            <w:tcW w:w="122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55 %</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56 %</w:t>
            </w:r>
          </w:p>
        </w:tc>
        <w:tc>
          <w:tcPr>
            <w:tcW w:w="240" w:type="dxa"/>
            <w:vAlign w:val="bottom"/>
            <w:tcBorders>
              <w:bottom w:val="single" w:sz="8" w:color="61656A"/>
            </w:tcBorders>
          </w:tcPr>
          <w:p>
            <w:pPr>
              <w:spacing w:after="0"/>
              <w:rPr>
                <w:sz w:val="16"/>
                <w:szCs w:val="16"/>
                <w:color w:val="auto"/>
              </w:rPr>
            </w:pPr>
          </w:p>
        </w:tc>
        <w:tc>
          <w:tcPr>
            <w:tcW w:w="122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56 %</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57 %</w:t>
            </w:r>
          </w:p>
        </w:tc>
      </w:tr>
      <w:tr>
        <w:trPr>
          <w:trHeight w:val="196"/>
        </w:trPr>
        <w:tc>
          <w:tcPr>
            <w:tcW w:w="67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Products, transferred over time</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13</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12</w:t>
            </w:r>
          </w:p>
        </w:tc>
        <w:tc>
          <w:tcPr>
            <w:tcW w:w="2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12</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11</w:t>
            </w:r>
          </w:p>
        </w:tc>
      </w:tr>
      <w:tr>
        <w:trPr>
          <w:trHeight w:val="199"/>
        </w:trPr>
        <w:tc>
          <w:tcPr>
            <w:tcW w:w="67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product sales</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68</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68</w:t>
            </w:r>
          </w:p>
        </w:tc>
        <w:tc>
          <w:tcPr>
            <w:tcW w:w="2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68</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68</w:t>
            </w:r>
          </w:p>
        </w:tc>
      </w:tr>
      <w:tr>
        <w:trPr>
          <w:trHeight w:val="193"/>
        </w:trPr>
        <w:tc>
          <w:tcPr>
            <w:tcW w:w="67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Services, transferred point in time</w:t>
            </w:r>
          </w:p>
        </w:tc>
        <w:tc>
          <w:tcPr>
            <w:tcW w:w="1220" w:type="dxa"/>
            <w:vAlign w:val="bottom"/>
            <w:tcBorders>
              <w:bottom w:val="single" w:sz="8" w:color="61656A"/>
            </w:tcBorders>
          </w:tcPr>
          <w:p>
            <w:pPr>
              <w:jc w:val="right"/>
              <w:ind w:right="388"/>
              <w:spacing w:after="0"/>
              <w:rPr>
                <w:sz w:val="20"/>
                <w:szCs w:val="20"/>
                <w:color w:val="auto"/>
              </w:rPr>
            </w:pPr>
            <w:r>
              <w:rPr>
                <w:rFonts w:ascii="Arial" w:cs="Arial" w:eastAsia="Arial" w:hAnsi="Arial"/>
                <w:sz w:val="14"/>
                <w:szCs w:val="14"/>
                <w:color w:val="auto"/>
              </w:rPr>
              <w:t>5</w:t>
            </w:r>
          </w:p>
        </w:tc>
        <w:tc>
          <w:tcPr>
            <w:tcW w:w="9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61656A"/>
            </w:tcBorders>
          </w:tcPr>
          <w:p>
            <w:pPr>
              <w:spacing w:after="0"/>
              <w:rPr>
                <w:sz w:val="16"/>
                <w:szCs w:val="16"/>
                <w:color w:val="auto"/>
              </w:rPr>
            </w:pPr>
          </w:p>
        </w:tc>
        <w:tc>
          <w:tcPr>
            <w:tcW w:w="1220" w:type="dxa"/>
            <w:vAlign w:val="bottom"/>
            <w:tcBorders>
              <w:bottom w:val="single" w:sz="8" w:color="61656A"/>
            </w:tcBorders>
          </w:tcPr>
          <w:p>
            <w:pPr>
              <w:jc w:val="right"/>
              <w:ind w:right="388"/>
              <w:spacing w:after="0"/>
              <w:rPr>
                <w:sz w:val="20"/>
                <w:szCs w:val="20"/>
                <w:color w:val="auto"/>
              </w:rPr>
            </w:pPr>
            <w:r>
              <w:rPr>
                <w:rFonts w:ascii="Arial" w:cs="Arial" w:eastAsia="Arial" w:hAnsi="Arial"/>
                <w:sz w:val="14"/>
                <w:szCs w:val="14"/>
                <w:color w:val="auto"/>
              </w:rPr>
              <w:t>5</w:t>
            </w:r>
          </w:p>
        </w:tc>
        <w:tc>
          <w:tcPr>
            <w:tcW w:w="9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w:t>
            </w:r>
          </w:p>
        </w:tc>
      </w:tr>
      <w:tr>
        <w:trPr>
          <w:trHeight w:val="196"/>
        </w:trPr>
        <w:tc>
          <w:tcPr>
            <w:tcW w:w="67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Services, transferred over time</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27</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29</w:t>
            </w:r>
          </w:p>
        </w:tc>
        <w:tc>
          <w:tcPr>
            <w:tcW w:w="2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27</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28</w:t>
            </w:r>
          </w:p>
        </w:tc>
      </w:tr>
      <w:tr>
        <w:trPr>
          <w:trHeight w:val="199"/>
        </w:trPr>
        <w:tc>
          <w:tcPr>
            <w:tcW w:w="67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service sales</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32</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32</w:t>
            </w:r>
          </w:p>
        </w:tc>
        <w:tc>
          <w:tcPr>
            <w:tcW w:w="2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32</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32</w:t>
            </w:r>
          </w:p>
        </w:tc>
      </w:tr>
      <w:tr>
        <w:trPr>
          <w:trHeight w:val="196"/>
        </w:trPr>
        <w:tc>
          <w:tcPr>
            <w:tcW w:w="67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sales</w:t>
            </w:r>
          </w:p>
        </w:tc>
        <w:tc>
          <w:tcPr>
            <w:tcW w:w="12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100 %</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100 %</w:t>
            </w:r>
          </w:p>
        </w:tc>
        <w:tc>
          <w:tcPr>
            <w:tcW w:w="2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100 %</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100 %</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CONTRACT BALANCES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 tracks progress on satisfying performance obligations under contracts with customers. The related billings and cash collections are recorded in the Consolidated Balance Sheet in Accounts receivable—net and Other assets (unbilled receivables (contract assets) and billed receivables), and Accrued liabilities and Other liabilities (customer advances and deposits (contract liabilities)). Unbilled receivables arise when the timing of cash collected from customers differs from the timing of revenue recognition, such as when contract provisions require specific milestones to be met before a customer can be billed. Contract assets are recognized when the revenue associated with the contract is recognized prior to billing and derecognized when billed in accordance with the terms of the contract. Contract liabilities are recorded when customers remit contractual cash payments in advance of the Company satisfying performance obligations under contractual arrangements, including those with performance obligations to be satisfied over a period of time. Contract liabilities are derecognized when revenue is recorded.</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Contract balances are classified as assets or liabilities on a contract-by-contract basis at the end of each reporting period.</w:t>
      </w:r>
    </w:p>
    <w:p>
      <w:pPr>
        <w:spacing w:after="0" w:line="200" w:lineRule="exact"/>
        <w:rPr>
          <w:sz w:val="20"/>
          <w:szCs w:val="20"/>
          <w:color w:val="auto"/>
        </w:rPr>
      </w:pPr>
    </w:p>
    <w:p>
      <w:pPr>
        <w:spacing w:after="0" w:line="252"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contract assets and liabilities balances: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40" w:type="dxa"/>
            <w:vAlign w:val="bottom"/>
            <w:tcBorders>
              <w:bottom w:val="single" w:sz="8" w:color="D7282F"/>
            </w:tcBorders>
          </w:tcPr>
          <w:p>
            <w:pPr>
              <w:spacing w:after="0"/>
              <w:rPr>
                <w:sz w:val="17"/>
                <w:szCs w:val="17"/>
                <w:color w:val="auto"/>
              </w:rPr>
            </w:pPr>
          </w:p>
        </w:tc>
        <w:tc>
          <w:tcPr>
            <w:tcW w:w="30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3"/>
        </w:trPr>
        <w:tc>
          <w:tcPr>
            <w:tcW w:w="64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Contract assets—January 1</w:t>
            </w:r>
          </w:p>
        </w:tc>
        <w:tc>
          <w:tcPr>
            <w:tcW w:w="30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2,207</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2,013</w:t>
            </w:r>
          </w:p>
        </w:tc>
      </w:tr>
      <w:tr>
        <w:trPr>
          <w:trHeight w:val="196"/>
        </w:trPr>
        <w:tc>
          <w:tcPr>
            <w:tcW w:w="64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Contract assets—September 30</w:t>
            </w:r>
          </w:p>
        </w:tc>
        <w:tc>
          <w:tcPr>
            <w:tcW w:w="30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2,674</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2,263</w:t>
            </w:r>
          </w:p>
        </w:tc>
      </w:tr>
      <w:tr>
        <w:trPr>
          <w:trHeight w:val="199"/>
        </w:trPr>
        <w:tc>
          <w:tcPr>
            <w:tcW w:w="64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Change in contract assets - increase (decrease)</w:t>
            </w:r>
          </w:p>
        </w:tc>
        <w:tc>
          <w:tcPr>
            <w:tcW w:w="30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467</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250</w:t>
            </w:r>
          </w:p>
        </w:tc>
      </w:tr>
      <w:tr>
        <w:trPr>
          <w:trHeight w:val="193"/>
        </w:trPr>
        <w:tc>
          <w:tcPr>
            <w:tcW w:w="64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Contract liabilities—January 1</w:t>
            </w:r>
          </w:p>
        </w:tc>
        <w:tc>
          <w:tcPr>
            <w:tcW w:w="30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(4,220)</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(4,326)</w:t>
            </w:r>
          </w:p>
        </w:tc>
      </w:tr>
      <w:tr>
        <w:trPr>
          <w:trHeight w:val="196"/>
        </w:trPr>
        <w:tc>
          <w:tcPr>
            <w:tcW w:w="64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Contract liabilities—September 30</w:t>
            </w:r>
          </w:p>
        </w:tc>
        <w:tc>
          <w:tcPr>
            <w:tcW w:w="30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(4,354)</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(3,928)</w:t>
            </w:r>
          </w:p>
        </w:tc>
      </w:tr>
      <w:tr>
        <w:trPr>
          <w:trHeight w:val="199"/>
        </w:trPr>
        <w:tc>
          <w:tcPr>
            <w:tcW w:w="64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Change in contract liabilities - (increase) decrease</w:t>
            </w:r>
          </w:p>
        </w:tc>
        <w:tc>
          <w:tcPr>
            <w:tcW w:w="30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(134)</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398</w:t>
            </w:r>
          </w:p>
        </w:tc>
      </w:tr>
      <w:tr>
        <w:trPr>
          <w:trHeight w:val="196"/>
        </w:trPr>
        <w:tc>
          <w:tcPr>
            <w:tcW w:w="64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change</w:t>
            </w:r>
          </w:p>
        </w:tc>
        <w:tc>
          <w:tcPr>
            <w:tcW w:w="30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333</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648</w:t>
            </w:r>
          </w:p>
        </w:tc>
      </w:tr>
    </w:tbl>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the three and nine months ended September 30, 2025, the Company recognized revenue of $326 million and $1,768 million, respectively, that was previously included in the beginning balance of contract liabilities. For the three and nine months ended September 30, 2024, the Company recognized revenue of $454 million and $1,941 million, respectively, that was previously included in the beginning balance of contract liabilities.</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Contract assets included $2,621 million and $2,139 million of unbilled balances under long-term contracts as of September 30, 2025, and December 31, 2024, respectively. These amounts are billed in accordance with the terms of customer contracts to which they relate.</w:t>
      </w:r>
    </w:p>
    <w:p>
      <w:pPr>
        <w:spacing w:after="0" w:line="3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When contracts are modified to account for changes in contract specifications and requirements, the Company considers whether the modification either creates new or changes the existing enforceable rights and obligations. Contract modifications for goods or services and not distinct from the existing contract, due to the significant integration with the original good or service provided, are accounted for as if they were part of that existing contract. The effect of a contract modification on the transaction price and the Company's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 OBLIGATIONS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the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the Company's contracts include distinct goods or services that are substantially the same and have the same pattern of transfer to the customer over time, they are recognized as a series of distinct goods or services. For any contracts with multiple performance obligations, the Company allocates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stand-alone selling price.</w:t>
      </w:r>
    </w:p>
    <w:p>
      <w:pPr>
        <w:spacing w:after="0" w:line="6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 The Company's remaining performance obligations as of September 30, 2025, are $39,087 million.</w:t>
      </w:r>
    </w:p>
    <w:p>
      <w:pPr>
        <w:spacing w:after="0" w:line="5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Performance obligations recognized as of September 30, 2025, will be satisfied over the course of future periods. The Company's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55% and 45%, respectively.</w:t>
      </w:r>
    </w:p>
    <w:p>
      <w:pPr>
        <w:spacing w:after="0" w:line="6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timing of satisfaction of the Company's performance obligations does not significantly vary from the typical timing of payment. Typical payment terms of the Company's fixed price over time contracts include progress payments based on specified events or milestones or based on project progress. For some contracts, the Company may be entitled to receive an advance payment.</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applied the practical expedient for certain revenue streams to exclude the value of remaining performance obligations for (i) contracts with an original expected term of one year or less or (ii) contracts for which the Company recognizes revenue in proportion to the amount the Company has the right to invoice for services performed.</w:t>
      </w:r>
    </w:p>
    <w:p>
      <w:pPr>
        <w:spacing w:after="0" w:line="395"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5. REPOSITIONING AND OTHER (GAINS) CHARGES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 summary of net repositioning and other (gains) charges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10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80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Severance</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40</w:t>
            </w:r>
          </w:p>
        </w:tc>
        <w:tc>
          <w:tcPr>
            <w:tcW w:w="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38</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67</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91</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Asset impairments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Exit costs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16</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15</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48</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Reserve adjustments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(11)</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(49)</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(55)</w:t>
            </w: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charges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47</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28</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66</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89</w:t>
            </w: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Asbestos-related charges, net of insurance and reimbursements</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169</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18</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210</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54</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Probable and reasonably estimable environmental liabilities, net of reimbursements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219</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243</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Gain on Resideo indemnification and reimbursement agreement termination</w:t>
            </w:r>
            <w:r>
              <w:rPr>
                <w:rFonts w:ascii="Arial" w:cs="Arial" w:eastAsia="Arial" w:hAnsi="Arial"/>
                <w:sz w:val="9"/>
                <w:szCs w:val="9"/>
                <w:color w:val="auto"/>
              </w:rPr>
              <w:t>1</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(802)</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(802)</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charges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w:t>
            </w:r>
          </w:p>
        </w:tc>
      </w:tr>
      <w:tr>
        <w:trPr>
          <w:trHeight w:val="199"/>
        </w:trPr>
        <w:tc>
          <w:tcPr>
            <w:tcW w:w="710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Total net repositioning and other (gains) charges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(367)</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52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(283)</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189</w:t>
            </w:r>
          </w:p>
        </w:tc>
      </w:tr>
    </w:tbl>
    <w:p>
      <w:pPr>
        <w:spacing w:after="0" w:line="36" w:lineRule="exact"/>
        <w:rPr>
          <w:sz w:val="20"/>
          <w:szCs w:val="20"/>
          <w:color w:val="auto"/>
        </w:rPr>
      </w:pPr>
    </w:p>
    <w:p>
      <w:pPr>
        <w:ind w:left="480" w:hanging="344"/>
        <w:spacing w:after="0"/>
        <w:tabs>
          <w:tab w:leader="none" w:pos="480" w:val="left"/>
        </w:tabs>
        <w:numPr>
          <w:ilvl w:val="0"/>
          <w:numId w:val="17"/>
        </w:numPr>
        <w:rPr>
          <w:rFonts w:ascii="Arial" w:cs="Arial" w:eastAsia="Arial" w:hAnsi="Arial"/>
          <w:sz w:val="25"/>
          <w:szCs w:val="25"/>
          <w:color w:val="auto"/>
          <w:vertAlign w:val="superscript"/>
        </w:rPr>
      </w:pPr>
      <w:r>
        <w:rPr>
          <w:rFonts w:ascii="Arial" w:cs="Arial" w:eastAsia="Arial" w:hAnsi="Arial"/>
          <w:sz w:val="13"/>
          <w:szCs w:val="13"/>
          <w:color w:val="auto"/>
        </w:rPr>
        <w:t>Refer to Note 15 Commitments and Contingencies for further discussion of the gain related to the Resideo indemnification and reimbursement agreement termination.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pre-tax distribution of total net repositioning and other (gains) charges by classification in the Consolidated Statement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10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1520" w:type="dxa"/>
            <w:vAlign w:val="bottom"/>
            <w:tcBorders>
              <w:bottom w:val="single" w:sz="8" w:color="D7282F"/>
            </w:tcBorders>
            <w:gridSpan w:val="2"/>
          </w:tcPr>
          <w:p>
            <w:pPr>
              <w:jc w:val="right"/>
              <w:ind w:right="168"/>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1780" w:type="dxa"/>
            <w:vAlign w:val="bottom"/>
            <w:tcBorders>
              <w:bottom w:val="single" w:sz="8" w:color="D7282F"/>
            </w:tcBorders>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10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395</w:t>
            </w:r>
          </w:p>
        </w:tc>
        <w:tc>
          <w:tcPr>
            <w:tcW w:w="74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23</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462</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109</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40</w:t>
            </w: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29</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57</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63</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(income) expense</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(802)</w:t>
            </w:r>
          </w:p>
        </w:tc>
        <w:tc>
          <w:tcPr>
            <w:tcW w:w="740" w:type="dxa"/>
            <w:vAlign w:val="bottom"/>
            <w:tcBorders>
              <w:bottom w:val="single" w:sz="8" w:color="D7282F"/>
            </w:tcBorders>
          </w:tcPr>
          <w:p>
            <w:pPr>
              <w:spacing w:after="0"/>
              <w:rPr>
                <w:sz w:val="17"/>
                <w:szCs w:val="17"/>
                <w:color w:val="auto"/>
              </w:rPr>
            </w:pPr>
          </w:p>
        </w:tc>
        <w:tc>
          <w:tcPr>
            <w:tcW w:w="48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(802)</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w:t>
            </w: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(gains) charges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(367)</w:t>
            </w:r>
          </w:p>
        </w:tc>
        <w:tc>
          <w:tcPr>
            <w:tcW w:w="7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52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(283)</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189</w:t>
            </w: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following table summarizes the pre-tax amount of total net repositioning and other (gains) charges by reportable business segment. These amounts are excluded from segment profit as described in Note 18 </w:t>
      </w:r>
      <w:r>
        <w:rPr>
          <w:rFonts w:ascii="Arial" w:cs="Arial" w:eastAsia="Arial" w:hAnsi="Arial"/>
          <w:sz w:val="16"/>
          <w:szCs w:val="16"/>
          <w:u w:val="single" w:color="auto"/>
          <w:color w:val="0000FF"/>
        </w:rPr>
        <w:t>Segment Financial Data</w:t>
      </w:r>
      <w:r>
        <w:rPr>
          <w:rFonts w:ascii="Arial" w:cs="Arial" w:eastAsia="Arial" w:hAnsi="Arial"/>
          <w:sz w:val="16"/>
          <w:szCs w:val="16"/>
          <w:color w:val="auto"/>
        </w:rPr>
        <w: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10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1520" w:type="dxa"/>
            <w:vAlign w:val="bottom"/>
            <w:tcBorders>
              <w:bottom w:val="single" w:sz="8" w:color="D7282F"/>
            </w:tcBorders>
            <w:gridSpan w:val="2"/>
          </w:tcPr>
          <w:p>
            <w:pPr>
              <w:jc w:val="right"/>
              <w:ind w:right="168"/>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1780" w:type="dxa"/>
            <w:vAlign w:val="bottom"/>
            <w:tcBorders>
              <w:bottom w:val="single" w:sz="8" w:color="D7282F"/>
            </w:tcBorders>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10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Aerospace Technologies</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w:t>
            </w:r>
          </w:p>
        </w:tc>
        <w:tc>
          <w:tcPr>
            <w:tcW w:w="74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Industrial Automation</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21</w:t>
            </w: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21</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49</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Building Automation</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w:t>
            </w: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Energy and Sustainability Solutions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w:t>
            </w: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Corporate and All Other</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(399)</w:t>
            </w:r>
          </w:p>
        </w:tc>
        <w:tc>
          <w:tcPr>
            <w:tcW w:w="7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36</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(332)</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118</w:t>
            </w: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(gains) charges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(367)</w:t>
            </w:r>
          </w:p>
        </w:tc>
        <w:tc>
          <w:tcPr>
            <w:tcW w:w="7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52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(283)</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189</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15</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NET REPOSITIONING CHARGES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three months ended September 30, 2025, the Company recognized gross repositioning charges totaling $58 million, including severance costs of $40 million related to workforce reductions of 1,055 manufacturing and administrative positions primarily in the Company's Industrial Automation and Building Automation reportable business segments and Corporate function. The workforce reductions related to productivity and ongoing functional transformation initiatives. The repositioning charges included asset impairments of $2 million related to the write-down of certain assets within the Company's Industrial Automation reportable business segment. The repositioning charges also included exit costs of $16 million related to current period costs incurred for closure obligations associated with site transitions primarily in the Company's Industrial Automation reportable business segment and Corporate function. Also, $11 million of previously established reserves, primarily for severance, were returned to income due to higher-than-expected voluntary exits and adjustments to the scope of previously announced repositioning actions.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three months ended September 30, 2024, the Company recognized gross repositioning charges totaling $56 million, including severance costs of $38 million related to workforce reductions of 727 manufacturing and administrative positions primarily in the Company's Industrial Automation and Aerospace Technologies reportable business segments. The workforce reductions related to productivity and ongoing functional transformation initiatives. The repositioning charges included asset impairments of $3 million related to the write-down of certain assets within the Company's Industrial Automation reportable business segment. The repositioning charges also included exit costs of $15 million related to current period costs incurred for closure obligations associated with site transitions primarily in the Company's Industrial Automation reportable business segment and corporate function. Also, $28 million of previously established reserves, primarily for severance, were returned to income due to higher-than-expected voluntary exits and adjustments to the scope of previously announced repositioning actions.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nine months ended September 30, 2025, the Company recognized gross repositioning charges totaling $115 million, including severance costs of $67 million related to workforce reductions of 1,917 manufacturing and administrative positions primarily in the Company's Industrial Automation and Building Automation reportable business segments and corporate function. The workforce reductions related to productivity and ongoing functional transformation initiatives. The repositioning charges also included asset impairments of $4 million for the write-down of certain assets within the Company's Industrial Automation reportable business segment and corporate function. The repositioning charges also included exit costs of $44 million primarily related to current period costs incurred for closure obligations associated with site transitions primarily in the Company's Industrial Automation and Building Automation reportable business segments and corporate function. Also, $49 million of previously established reserves, primarily for severance, were returned to income due to higher-than-expected voluntary exits and adjustments to the scope of previously announced repositioning actions.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nine months ended September 30, 2024, the Company recognized gross repositioning charges totaling $144 million, including severance costs of $91 million related to workforce reductions of 2,734 manufacturing and administrative positions primarily in the Company's Industrial Automation and Aerospace Technologies reportable business segments and corporate function. The workforce reductions related to productivity and ongoing functional transformation initiatives. The repositioning charges included asset impairments of $5 million related to the write-down of certain assets within the Company's Industrial Automation reportable business segment. The repositioning charges also included exit costs of $48 million related to current period costs incurred for closure obligations associated with site transitions primarily in the Company's Industrial Automation reportable business segment and corporate function. Also, $55 million of previously established reserves, primarily for severance, were returned to income due to adjustments to the scope of previously announced repositioning actions.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of the Company's repositioning reserves, excluding amounts included in Liabilities held for sale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 Sheet: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1140" w:type="dxa"/>
            <w:vAlign w:val="bottom"/>
          </w:tcPr>
          <w:p>
            <w:pPr>
              <w:jc w:val="right"/>
              <w:ind w:right="428"/>
              <w:spacing w:after="0"/>
              <w:rPr>
                <w:sz w:val="20"/>
                <w:szCs w:val="20"/>
                <w:color w:val="auto"/>
              </w:rPr>
            </w:pPr>
            <w:r>
              <w:rPr>
                <w:rFonts w:ascii="Arial" w:cs="Arial" w:eastAsia="Arial" w:hAnsi="Arial"/>
                <w:sz w:val="14"/>
                <w:szCs w:val="14"/>
                <w:b w:val="1"/>
                <w:bCs w:val="1"/>
                <w:color w:val="auto"/>
              </w:rPr>
              <w:t>Asset</w:t>
            </w:r>
          </w:p>
        </w:tc>
        <w:tc>
          <w:tcPr>
            <w:tcW w:w="360" w:type="dxa"/>
            <w:vAlign w:val="bottom"/>
          </w:tcPr>
          <w:p>
            <w:pPr>
              <w:spacing w:after="0"/>
              <w:rPr>
                <w:sz w:val="14"/>
                <w:szCs w:val="14"/>
                <w:color w:val="auto"/>
              </w:rPr>
            </w:pPr>
          </w:p>
        </w:tc>
        <w:tc>
          <w:tcPr>
            <w:tcW w:w="1020" w:type="dxa"/>
            <w:vAlign w:val="bottom"/>
          </w:tcPr>
          <w:p>
            <w:pPr>
              <w:jc w:val="right"/>
              <w:ind w:right="488"/>
              <w:spacing w:after="0"/>
              <w:rPr>
                <w:sz w:val="20"/>
                <w:szCs w:val="20"/>
                <w:color w:val="auto"/>
              </w:rPr>
            </w:pPr>
            <w:r>
              <w:rPr>
                <w:rFonts w:ascii="Arial" w:cs="Arial" w:eastAsia="Arial" w:hAnsi="Arial"/>
                <w:sz w:val="14"/>
                <w:szCs w:val="14"/>
                <w:b w:val="1"/>
                <w:bCs w:val="1"/>
                <w:color w:val="auto"/>
              </w:rPr>
              <w:t>Exit</w:t>
            </w:r>
          </w:p>
        </w:tc>
        <w:tc>
          <w:tcPr>
            <w:tcW w:w="360" w:type="dxa"/>
            <w:vAlign w:val="bottom"/>
          </w:tcPr>
          <w:p>
            <w:pPr>
              <w:spacing w:after="0"/>
              <w:rPr>
                <w:sz w:val="14"/>
                <w:szCs w:val="14"/>
                <w:color w:val="auto"/>
              </w:rPr>
            </w:pPr>
          </w:p>
        </w:tc>
        <w:tc>
          <w:tcPr>
            <w:tcW w:w="9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060" w:type="dxa"/>
            <w:vAlign w:val="bottom"/>
            <w:tcBorders>
              <w:bottom w:val="single" w:sz="8" w:color="D7282F"/>
            </w:tcBorders>
          </w:tcPr>
          <w:p>
            <w:pPr>
              <w:spacing w:after="0"/>
              <w:rPr>
                <w:sz w:val="16"/>
                <w:szCs w:val="16"/>
                <w:color w:val="auto"/>
              </w:rPr>
            </w:pPr>
          </w:p>
        </w:tc>
        <w:tc>
          <w:tcPr>
            <w:tcW w:w="2060" w:type="dxa"/>
            <w:vAlign w:val="bottom"/>
            <w:tcBorders>
              <w:bottom w:val="single" w:sz="8" w:color="D7282F"/>
            </w:tcBorders>
          </w:tcPr>
          <w:p>
            <w:pPr>
              <w:spacing w:after="0"/>
              <w:rPr>
                <w:sz w:val="16"/>
                <w:szCs w:val="16"/>
                <w:color w:val="auto"/>
              </w:rPr>
            </w:pPr>
          </w:p>
        </w:tc>
        <w:tc>
          <w:tcPr>
            <w:tcW w:w="110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Costs</w:t>
            </w:r>
          </w:p>
        </w:tc>
        <w:tc>
          <w:tcPr>
            <w:tcW w:w="24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Impairments</w:t>
            </w:r>
          </w:p>
        </w:tc>
        <w:tc>
          <w:tcPr>
            <w:tcW w:w="36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Costs</w:t>
            </w:r>
          </w:p>
        </w:tc>
        <w:tc>
          <w:tcPr>
            <w:tcW w:w="36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2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178</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185</w:t>
            </w:r>
          </w:p>
        </w:tc>
        <w:tc>
          <w:tcPr>
            <w:tcW w:w="0" w:type="dxa"/>
            <w:vAlign w:val="bottom"/>
          </w:tcPr>
          <w:p>
            <w:pPr>
              <w:spacing w:after="0"/>
              <w:rPr>
                <w:sz w:val="1"/>
                <w:szCs w:val="1"/>
                <w:color w:val="auto"/>
              </w:rPr>
            </w:pPr>
          </w:p>
        </w:tc>
      </w:tr>
      <w:tr>
        <w:trPr>
          <w:trHeight w:val="193"/>
        </w:trPr>
        <w:tc>
          <w:tcPr>
            <w:tcW w:w="40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Charges</w:t>
            </w:r>
          </w:p>
        </w:tc>
        <w:tc>
          <w:tcPr>
            <w:tcW w:w="2060" w:type="dxa"/>
            <w:vAlign w:val="bottom"/>
            <w:tcBorders>
              <w:bottom w:val="single" w:sz="8" w:color="61656A"/>
            </w:tcBorders>
          </w:tcPr>
          <w:p>
            <w:pPr>
              <w:spacing w:after="0"/>
              <w:rPr>
                <w:sz w:val="16"/>
                <w:szCs w:val="16"/>
                <w:color w:val="auto"/>
              </w:rPr>
            </w:pPr>
          </w:p>
        </w:tc>
        <w:tc>
          <w:tcPr>
            <w:tcW w:w="11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67</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w:t>
            </w:r>
          </w:p>
        </w:tc>
        <w:tc>
          <w:tcPr>
            <w:tcW w:w="36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w:t>
            </w:r>
          </w:p>
        </w:tc>
        <w:tc>
          <w:tcPr>
            <w:tcW w:w="36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Usage—cash</w:t>
            </w:r>
          </w:p>
        </w:tc>
        <w:tc>
          <w:tcPr>
            <w:tcW w:w="206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(68)</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(49)</w:t>
            </w:r>
          </w:p>
        </w:tc>
        <w:tc>
          <w:tcPr>
            <w:tcW w:w="36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Usage—noncash</w:t>
            </w:r>
          </w:p>
        </w:tc>
        <w:tc>
          <w:tcPr>
            <w:tcW w:w="206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w:t>
            </w:r>
          </w:p>
        </w:tc>
        <w:tc>
          <w:tcPr>
            <w:tcW w:w="3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translation</w:t>
            </w:r>
          </w:p>
        </w:tc>
        <w:tc>
          <w:tcPr>
            <w:tcW w:w="206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6"/>
        </w:trPr>
        <w:tc>
          <w:tcPr>
            <w:tcW w:w="40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Adjustments</w:t>
            </w:r>
          </w:p>
        </w:tc>
        <w:tc>
          <w:tcPr>
            <w:tcW w:w="206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(41)</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9"/>
        </w:trPr>
        <w:tc>
          <w:tcPr>
            <w:tcW w:w="40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September 30, 2025</w:t>
            </w:r>
          </w:p>
        </w:tc>
        <w:tc>
          <w:tcPr>
            <w:tcW w:w="2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138</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Certain repositioning projects will recognize exit costs in future periods when the actual liability is incurred. Such exit costs incurred in the nine months ended September 30, 2025, and 2024, were $44 million and $41 million, respectively.</w:t>
      </w:r>
    </w:p>
    <w:p>
      <w:pPr>
        <w:spacing w:after="0" w:line="400" w:lineRule="exact"/>
        <w:rPr>
          <w:sz w:val="20"/>
          <w:szCs w:val="20"/>
          <w:color w:val="auto"/>
        </w:rPr>
      </w:pPr>
    </w:p>
    <w:p>
      <w:pPr>
        <w:ind w:left="400" w:hanging="392"/>
        <w:spacing w:after="0"/>
        <w:tabs>
          <w:tab w:leader="none" w:pos="400" w:val="left"/>
        </w:tabs>
        <w:numPr>
          <w:ilvl w:val="0"/>
          <w:numId w:val="1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CHARGES</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nine months ended September 30, 2024, the Company recognized Other charges of $17 million related to the settlement of a contractual dispute with a Russian entity associated with the Company's suspension and wind down activities in Russia. The charges were recorded in Other (income) expense in the Consolidated Statement of Operations.</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Given the uncertainty inherent in the Company's remaining obligations related to contracts with Russian counterparties, the Company does not believe it is possible to develop estimates of reasonably possible loss in excess of current accruals for these matters (other than as specifically set forth above). Based on available information to date, the Company’s estimate of potential future losses or other contingencies related to suspension and wind down activities, including any guarantee payments or any litigation costs or as otherwise related to the Company's wind down in Russia, could adversely affect the Company's consolidated results of operations in the periods recognized but would not be material with respect to the Company's consolidated financial position. See Note 15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for a discussion of the recognition and measurement of estimate for contingencies.</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D7282F"/>
        </w:rPr>
        <w:t>NOTE 6. INCOME TAXES</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effective tax rate was lower than the U.S. federal statutory rate of 21% and decreased during 2025 compared to 2024 as a result of the nontaxable return of basis on the Resideo termination agreement and changes in estimate on prior tax positions, offset by frictional tax costs on separations and incremental tax expense for tax reserve activities.</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July 4, 2025, H.R.1, commonly referred to as the One Big Beautiful Bill Act (OBBBA) was enacted. The OBBBA includes a broad range of tax reform provisions affecting businesses, including extending and modifying certain key Tax Cuts &amp; Jobs Act provisions (both domestic and international), expanding certain Inflation Reduction Act incentives, and accelerating the phase-out of or repealing others.</w:t>
      </w:r>
    </w:p>
    <w:p>
      <w:pPr>
        <w:spacing w:after="0" w:line="234" w:lineRule="exact"/>
        <w:rPr>
          <w:sz w:val="20"/>
          <w:szCs w:val="20"/>
          <w:color w:val="auto"/>
        </w:rPr>
      </w:pPr>
    </w:p>
    <w:p>
      <w:pPr>
        <w:spacing w:after="0"/>
        <w:rPr>
          <w:sz w:val="20"/>
          <w:szCs w:val="20"/>
          <w:color w:val="auto"/>
        </w:rPr>
      </w:pPr>
      <w:r>
        <w:rPr>
          <w:rFonts w:ascii="Arial" w:cs="Arial" w:eastAsia="Arial" w:hAnsi="Arial"/>
          <w:sz w:val="29"/>
          <w:szCs w:val="29"/>
          <w:color w:val="D7282F"/>
        </w:rPr>
        <w:t>NOTE 7. INVENTORIES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80" w:type="dxa"/>
            <w:vAlign w:val="bottom"/>
            <w:tcBorders>
              <w:bottom w:val="single" w:sz="8" w:color="D7282F"/>
            </w:tcBorders>
          </w:tcPr>
          <w:p>
            <w:pPr>
              <w:spacing w:after="0"/>
              <w:rPr>
                <w:sz w:val="17"/>
                <w:szCs w:val="17"/>
                <w:color w:val="auto"/>
              </w:rPr>
            </w:pPr>
          </w:p>
        </w:tc>
        <w:tc>
          <w:tcPr>
            <w:tcW w:w="324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September 30, 2025</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3"/>
        </w:trPr>
        <w:tc>
          <w:tcPr>
            <w:tcW w:w="43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Raw materials</w:t>
            </w:r>
          </w:p>
        </w:tc>
        <w:tc>
          <w:tcPr>
            <w:tcW w:w="3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1,872</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1,528</w:t>
            </w:r>
          </w:p>
        </w:tc>
      </w:tr>
      <w:tr>
        <w:trPr>
          <w:trHeight w:val="196"/>
        </w:trPr>
        <w:tc>
          <w:tcPr>
            <w:tcW w:w="43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Work in process</w:t>
            </w:r>
          </w:p>
        </w:tc>
        <w:tc>
          <w:tcPr>
            <w:tcW w:w="3240" w:type="dxa"/>
            <w:vAlign w:val="bottom"/>
            <w:tcBorders>
              <w:bottom w:val="single" w:sz="8" w:color="61656A"/>
            </w:tcBorders>
          </w:tcPr>
          <w:p>
            <w:pPr>
              <w:spacing w:after="0"/>
              <w:rPr>
                <w:sz w:val="17"/>
                <w:szCs w:val="17"/>
                <w:color w:val="auto"/>
              </w:rPr>
            </w:pPr>
          </w:p>
        </w:tc>
        <w:tc>
          <w:tcPr>
            <w:tcW w:w="1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1,412</w:t>
            </w:r>
          </w:p>
        </w:tc>
        <w:tc>
          <w:tcPr>
            <w:tcW w:w="30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1,346</w:t>
            </w:r>
          </w:p>
        </w:tc>
      </w:tr>
      <w:tr>
        <w:trPr>
          <w:trHeight w:val="196"/>
        </w:trPr>
        <w:tc>
          <w:tcPr>
            <w:tcW w:w="43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Finished products</w:t>
            </w:r>
          </w:p>
        </w:tc>
        <w:tc>
          <w:tcPr>
            <w:tcW w:w="324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3,834</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3,568</w:t>
            </w:r>
          </w:p>
        </w:tc>
      </w:tr>
      <w:tr>
        <w:trPr>
          <w:trHeight w:val="199"/>
        </w:trPr>
        <w:tc>
          <w:tcPr>
            <w:tcW w:w="43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Inventories</w:t>
            </w:r>
          </w:p>
        </w:tc>
        <w:tc>
          <w:tcPr>
            <w:tcW w:w="3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7,118</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6,442</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29"/>
          <w:szCs w:val="29"/>
          <w:color w:val="D7282F"/>
        </w:rPr>
        <w:t>NOTE 8. GOODWILL AND OTHER INTANGIBLE ASSETS—NET</w:t>
      </w:r>
    </w:p>
    <w:p>
      <w:pPr>
        <w:spacing w:after="0" w:line="23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following table summarizes the change in the carrying amount of goodwill for the nine months ended September 30, 2025, by reportable business segment: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center"/>
              <w:ind w:right="188"/>
              <w:spacing w:after="0"/>
              <w:rPr>
                <w:sz w:val="20"/>
                <w:szCs w:val="20"/>
                <w:color w:val="auto"/>
              </w:rPr>
            </w:pPr>
            <w:r>
              <w:rPr>
                <w:rFonts w:ascii="Arial" w:cs="Arial" w:eastAsia="Arial" w:hAnsi="Arial"/>
                <w:sz w:val="14"/>
                <w:szCs w:val="14"/>
                <w:b w:val="1"/>
                <w:bCs w:val="1"/>
                <w:color w:val="auto"/>
              </w:rPr>
              <w:t>Currency</w:t>
            </w:r>
          </w:p>
        </w:tc>
        <w:tc>
          <w:tcPr>
            <w:tcW w:w="280" w:type="dxa"/>
            <w:vAlign w:val="bottom"/>
          </w:tcPr>
          <w:p>
            <w:pPr>
              <w:spacing w:after="0"/>
              <w:rPr>
                <w:sz w:val="14"/>
                <w:szCs w:val="14"/>
                <w:color w:val="auto"/>
              </w:rPr>
            </w:pPr>
          </w:p>
        </w:tc>
        <w:tc>
          <w:tcPr>
            <w:tcW w:w="11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4"/>
        </w:trPr>
        <w:tc>
          <w:tcPr>
            <w:tcW w:w="5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Acquisitions</w:t>
            </w:r>
          </w:p>
        </w:tc>
        <w:tc>
          <w:tcPr>
            <w:tcW w:w="300" w:type="dxa"/>
            <w:vAlign w:val="bottom"/>
          </w:tcPr>
          <w:p>
            <w:pPr>
              <w:spacing w:after="0"/>
              <w:rPr>
                <w:sz w:val="12"/>
                <w:szCs w:val="12"/>
                <w:color w:val="auto"/>
              </w:rPr>
            </w:pPr>
          </w:p>
        </w:tc>
        <w:tc>
          <w:tcPr>
            <w:tcW w:w="1200" w:type="dxa"/>
            <w:vAlign w:val="bottom"/>
          </w:tcPr>
          <w:p>
            <w:pPr>
              <w:jc w:val="center"/>
              <w:ind w:right="188"/>
              <w:spacing w:after="0" w:line="145" w:lineRule="exact"/>
              <w:rPr>
                <w:sz w:val="20"/>
                <w:szCs w:val="20"/>
                <w:color w:val="auto"/>
              </w:rPr>
            </w:pPr>
            <w:r>
              <w:rPr>
                <w:rFonts w:ascii="Arial" w:cs="Arial" w:eastAsia="Arial" w:hAnsi="Arial"/>
                <w:sz w:val="14"/>
                <w:szCs w:val="14"/>
                <w:b w:val="1"/>
                <w:bCs w:val="1"/>
                <w:color w:val="auto"/>
              </w:rPr>
              <w:t>Translation</w:t>
            </w:r>
          </w:p>
        </w:tc>
        <w:tc>
          <w:tcPr>
            <w:tcW w:w="2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36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vMerge w:val="continue"/>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120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Adjustment</w:t>
            </w:r>
          </w:p>
        </w:tc>
        <w:tc>
          <w:tcPr>
            <w:tcW w:w="280" w:type="dxa"/>
            <w:vAlign w:val="bottom"/>
            <w:tcBorders>
              <w:bottom w:val="single" w:sz="8" w:color="D7282F"/>
            </w:tcBorders>
          </w:tcPr>
          <w:p>
            <w:pPr>
              <w:spacing w:after="0"/>
              <w:rPr>
                <w:sz w:val="16"/>
                <w:szCs w:val="16"/>
                <w:color w:val="auto"/>
              </w:rPr>
            </w:pPr>
          </w:p>
        </w:tc>
        <w:tc>
          <w:tcPr>
            <w:tcW w:w="116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2"/>
        </w:trPr>
        <w:tc>
          <w:tcPr>
            <w:tcW w:w="536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Aerospace Technologies</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3,028</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(28)</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33</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3,033</w:t>
            </w:r>
          </w:p>
        </w:tc>
        <w:tc>
          <w:tcPr>
            <w:tcW w:w="0" w:type="dxa"/>
            <w:vAlign w:val="bottom"/>
          </w:tcPr>
          <w:p>
            <w:pPr>
              <w:spacing w:after="0"/>
              <w:rPr>
                <w:sz w:val="1"/>
                <w:szCs w:val="1"/>
                <w:color w:val="auto"/>
              </w:rPr>
            </w:pPr>
          </w:p>
        </w:tc>
      </w:tr>
      <w:tr>
        <w:trPr>
          <w:trHeight w:val="196"/>
        </w:trPr>
        <w:tc>
          <w:tcPr>
            <w:tcW w:w="536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Industrial Automation</w:t>
            </w:r>
          </w:p>
        </w:tc>
        <w:tc>
          <w:tcPr>
            <w:tcW w:w="14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9,164</w:t>
            </w:r>
          </w:p>
        </w:tc>
        <w:tc>
          <w:tcPr>
            <w:tcW w:w="30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239</w:t>
            </w:r>
          </w:p>
        </w:tc>
        <w:tc>
          <w:tcPr>
            <w:tcW w:w="280" w:type="dxa"/>
            <w:vAlign w:val="bottom"/>
            <w:tcBorders>
              <w:bottom w:val="single" w:sz="8" w:color="61656A"/>
            </w:tcBorders>
          </w:tcPr>
          <w:p>
            <w:pPr>
              <w:spacing w:after="0"/>
              <w:rPr>
                <w:sz w:val="17"/>
                <w:szCs w:val="17"/>
                <w:color w:val="auto"/>
              </w:rPr>
            </w:pP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9,403</w:t>
            </w:r>
          </w:p>
        </w:tc>
        <w:tc>
          <w:tcPr>
            <w:tcW w:w="0" w:type="dxa"/>
            <w:vAlign w:val="bottom"/>
          </w:tcPr>
          <w:p>
            <w:pPr>
              <w:spacing w:after="0"/>
              <w:rPr>
                <w:sz w:val="1"/>
                <w:szCs w:val="1"/>
                <w:color w:val="auto"/>
              </w:rPr>
            </w:pPr>
          </w:p>
        </w:tc>
      </w:tr>
      <w:tr>
        <w:trPr>
          <w:trHeight w:val="196"/>
        </w:trPr>
        <w:tc>
          <w:tcPr>
            <w:tcW w:w="536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Building Automation</w:t>
            </w:r>
          </w:p>
        </w:tc>
        <w:tc>
          <w:tcPr>
            <w:tcW w:w="14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6,136</w:t>
            </w:r>
          </w:p>
        </w:tc>
        <w:tc>
          <w:tcPr>
            <w:tcW w:w="30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122</w:t>
            </w:r>
          </w:p>
        </w:tc>
        <w:tc>
          <w:tcPr>
            <w:tcW w:w="3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180</w:t>
            </w:r>
          </w:p>
        </w:tc>
        <w:tc>
          <w:tcPr>
            <w:tcW w:w="280" w:type="dxa"/>
            <w:vAlign w:val="bottom"/>
            <w:tcBorders>
              <w:bottom w:val="single" w:sz="8" w:color="61656A"/>
            </w:tcBorders>
          </w:tcPr>
          <w:p>
            <w:pPr>
              <w:spacing w:after="0"/>
              <w:rPr>
                <w:sz w:val="17"/>
                <w:szCs w:val="17"/>
                <w:color w:val="auto"/>
              </w:rPr>
            </w:pP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6,438</w:t>
            </w:r>
          </w:p>
        </w:tc>
        <w:tc>
          <w:tcPr>
            <w:tcW w:w="0" w:type="dxa"/>
            <w:vAlign w:val="bottom"/>
          </w:tcPr>
          <w:p>
            <w:pPr>
              <w:spacing w:after="0"/>
              <w:rPr>
                <w:sz w:val="1"/>
                <w:szCs w:val="1"/>
                <w:color w:val="auto"/>
              </w:rPr>
            </w:pPr>
          </w:p>
        </w:tc>
      </w:tr>
      <w:tr>
        <w:trPr>
          <w:trHeight w:val="196"/>
        </w:trPr>
        <w:tc>
          <w:tcPr>
            <w:tcW w:w="536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Energy and Sustainability Solutions</w:t>
            </w:r>
          </w:p>
        </w:tc>
        <w:tc>
          <w:tcPr>
            <w:tcW w:w="14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2,598</w:t>
            </w:r>
          </w:p>
        </w:tc>
        <w:tc>
          <w:tcPr>
            <w:tcW w:w="30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1,281</w:t>
            </w:r>
          </w:p>
        </w:tc>
        <w:tc>
          <w:tcPr>
            <w:tcW w:w="3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w:t>
            </w:r>
          </w:p>
        </w:tc>
        <w:tc>
          <w:tcPr>
            <w:tcW w:w="280" w:type="dxa"/>
            <w:vAlign w:val="bottom"/>
            <w:tcBorders>
              <w:bottom w:val="single" w:sz="8" w:color="61656A"/>
            </w:tcBorders>
          </w:tcPr>
          <w:p>
            <w:pPr>
              <w:spacing w:after="0"/>
              <w:rPr>
                <w:sz w:val="17"/>
                <w:szCs w:val="17"/>
                <w:color w:val="auto"/>
              </w:rPr>
            </w:pPr>
          </w:p>
        </w:tc>
        <w:tc>
          <w:tcPr>
            <w:tcW w:w="1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3,894</w:t>
            </w:r>
          </w:p>
        </w:tc>
        <w:tc>
          <w:tcPr>
            <w:tcW w:w="0" w:type="dxa"/>
            <w:vAlign w:val="bottom"/>
          </w:tcPr>
          <w:p>
            <w:pPr>
              <w:spacing w:after="0"/>
              <w:rPr>
                <w:sz w:val="1"/>
                <w:szCs w:val="1"/>
                <w:color w:val="auto"/>
              </w:rPr>
            </w:pPr>
          </w:p>
        </w:tc>
      </w:tr>
      <w:tr>
        <w:trPr>
          <w:trHeight w:val="196"/>
        </w:trPr>
        <w:tc>
          <w:tcPr>
            <w:tcW w:w="53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Corporate and All Other</w:t>
            </w:r>
          </w:p>
        </w:tc>
        <w:tc>
          <w:tcPr>
            <w:tcW w:w="14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899</w:t>
            </w:r>
          </w:p>
        </w:tc>
        <w:tc>
          <w:tcPr>
            <w:tcW w:w="30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53</w:t>
            </w:r>
          </w:p>
        </w:tc>
        <w:tc>
          <w:tcPr>
            <w:tcW w:w="28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199"/>
        </w:trPr>
        <w:tc>
          <w:tcPr>
            <w:tcW w:w="53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Goodwill</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21,825</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1,375</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520</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23,720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17</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Other intangible assets are comprised of:</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September 30, 2025</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spacing w:after="0"/>
              <w:rPr>
                <w:sz w:val="17"/>
                <w:szCs w:val="17"/>
                <w:color w:val="auto"/>
              </w:rPr>
            </w:pPr>
          </w:p>
        </w:tc>
        <w:tc>
          <w:tcPr>
            <w:tcW w:w="1560" w:type="dxa"/>
            <w:vAlign w:val="bottom"/>
            <w:tcBorders>
              <w:bottom w:val="single" w:sz="8" w:color="D7282F"/>
            </w:tcBorders>
            <w:gridSpan w:val="2"/>
          </w:tcPr>
          <w:p>
            <w:pPr>
              <w:jc w:val="right"/>
              <w:ind w:right="48"/>
              <w:spacing w:after="0"/>
              <w:rPr>
                <w:sz w:val="20"/>
                <w:szCs w:val="20"/>
                <w:color w:val="auto"/>
              </w:rPr>
            </w:pPr>
            <w:r>
              <w:rPr>
                <w:rFonts w:ascii="Arial" w:cs="Arial" w:eastAsia="Arial" w:hAnsi="Arial"/>
                <w:sz w:val="14"/>
                <w:szCs w:val="14"/>
                <w:b w:val="1"/>
                <w:bCs w:val="1"/>
                <w:color w:val="auto"/>
              </w:rPr>
              <w:t>December 31, 2024</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128"/>
              <w:spacing w:after="0"/>
              <w:rPr>
                <w:sz w:val="20"/>
                <w:szCs w:val="20"/>
                <w:color w:val="auto"/>
              </w:rPr>
            </w:pPr>
            <w:r>
              <w:rPr>
                <w:rFonts w:ascii="Arial" w:cs="Arial" w:eastAsia="Arial" w:hAnsi="Arial"/>
                <w:sz w:val="14"/>
                <w:szCs w:val="14"/>
                <w:b w:val="1"/>
                <w:bCs w:val="1"/>
                <w:color w:val="auto"/>
                <w:w w:val="98"/>
              </w:rPr>
              <w:t>Gross</w:t>
            </w:r>
          </w:p>
        </w:tc>
        <w:tc>
          <w:tcPr>
            <w:tcW w:w="300" w:type="dxa"/>
            <w:vAlign w:val="bottom"/>
          </w:tcPr>
          <w:p>
            <w:pPr>
              <w:spacing w:after="0"/>
              <w:rPr>
                <w:sz w:val="15"/>
                <w:szCs w:val="15"/>
                <w:color w:val="auto"/>
              </w:rPr>
            </w:pPr>
          </w:p>
        </w:tc>
        <w:tc>
          <w:tcPr>
            <w:tcW w:w="128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5"/>
                <w:szCs w:val="15"/>
                <w:color w:val="auto"/>
              </w:rPr>
            </w:pPr>
          </w:p>
        </w:tc>
        <w:tc>
          <w:tcPr>
            <w:tcW w:w="860" w:type="dxa"/>
            <w:vAlign w:val="bottom"/>
          </w:tcPr>
          <w:p>
            <w:pPr>
              <w:jc w:val="center"/>
              <w:ind w:right="148"/>
              <w:spacing w:after="0"/>
              <w:rPr>
                <w:sz w:val="20"/>
                <w:szCs w:val="20"/>
                <w:color w:val="auto"/>
              </w:rPr>
            </w:pPr>
            <w:r>
              <w:rPr>
                <w:rFonts w:ascii="Arial" w:cs="Arial" w:eastAsia="Arial" w:hAnsi="Arial"/>
                <w:sz w:val="14"/>
                <w:szCs w:val="14"/>
                <w:b w:val="1"/>
                <w:bCs w:val="1"/>
                <w:color w:val="auto"/>
                <w:w w:val="98"/>
              </w:rPr>
              <w:t>Gross</w:t>
            </w:r>
          </w:p>
        </w:tc>
        <w:tc>
          <w:tcPr>
            <w:tcW w:w="380" w:type="dxa"/>
            <w:vAlign w:val="bottom"/>
          </w:tcPr>
          <w:p>
            <w:pPr>
              <w:spacing w:after="0"/>
              <w:rPr>
                <w:sz w:val="15"/>
                <w:szCs w:val="15"/>
                <w:color w:val="auto"/>
              </w:rPr>
            </w:pPr>
          </w:p>
        </w:tc>
        <w:tc>
          <w:tcPr>
            <w:tcW w:w="11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5"/>
                <w:szCs w:val="15"/>
                <w:color w:val="auto"/>
              </w:rPr>
            </w:pPr>
          </w:p>
        </w:tc>
        <w:tc>
          <w:tcPr>
            <w:tcW w:w="78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86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Carrying</w:t>
            </w:r>
          </w:p>
        </w:tc>
        <w:tc>
          <w:tcPr>
            <w:tcW w:w="3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5"/>
        </w:trPr>
        <w:tc>
          <w:tcPr>
            <w:tcW w:w="390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center"/>
              <w:ind w:right="108"/>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D7282F"/>
            </w:tcBorders>
          </w:tcPr>
          <w:p>
            <w:pPr>
              <w:spacing w:after="0"/>
              <w:rPr>
                <w:sz w:val="16"/>
                <w:szCs w:val="16"/>
                <w:color w:val="auto"/>
              </w:rPr>
            </w:pPr>
          </w:p>
        </w:tc>
        <w:tc>
          <w:tcPr>
            <w:tcW w:w="1000" w:type="dxa"/>
            <w:vAlign w:val="bottom"/>
            <w:tcBorders>
              <w:bottom w:val="single" w:sz="8" w:color="D7282F"/>
            </w:tcBorders>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center"/>
              <w:ind w:right="128"/>
              <w:spacing w:after="0"/>
              <w:rPr>
                <w:sz w:val="20"/>
                <w:szCs w:val="20"/>
                <w:color w:val="auto"/>
              </w:rPr>
            </w:pPr>
            <w:r>
              <w:rPr>
                <w:rFonts w:ascii="Arial" w:cs="Arial" w:eastAsia="Arial" w:hAnsi="Arial"/>
                <w:sz w:val="14"/>
                <w:szCs w:val="14"/>
                <w:b w:val="1"/>
                <w:bCs w:val="1"/>
                <w:color w:val="auto"/>
              </w:rPr>
              <w:t>Amount</w:t>
            </w:r>
          </w:p>
        </w:tc>
        <w:tc>
          <w:tcPr>
            <w:tcW w:w="38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5"/>
        </w:trPr>
        <w:tc>
          <w:tcPr>
            <w:tcW w:w="39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Definite-life intangibles</w:t>
            </w:r>
          </w:p>
        </w:tc>
        <w:tc>
          <w:tcPr>
            <w:tcW w:w="1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4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11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Patents and technology</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3,720</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(2,014)</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1,706</w:t>
            </w:r>
          </w:p>
        </w:tc>
        <w:tc>
          <w:tcPr>
            <w:tcW w:w="220" w:type="dxa"/>
            <w:vAlign w:val="bottom"/>
            <w:tcBorders>
              <w:bottom w:val="single" w:sz="8" w:color="61656A"/>
            </w:tcBorders>
          </w:tcPr>
          <w:p>
            <w:pPr>
              <w:spacing w:after="0"/>
              <w:rPr>
                <w:sz w:val="16"/>
                <w:szCs w:val="16"/>
                <w:color w:val="auto"/>
              </w:rPr>
            </w:pP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3,513</w:t>
            </w:r>
          </w:p>
        </w:tc>
        <w:tc>
          <w:tcPr>
            <w:tcW w:w="3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(1,849)</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1,664</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Customer relationships</w:t>
            </w:r>
          </w:p>
        </w:tc>
        <w:tc>
          <w:tcPr>
            <w:tcW w:w="1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7,152</w:t>
            </w:r>
          </w:p>
        </w:tc>
        <w:tc>
          <w:tcPr>
            <w:tcW w:w="30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(2,566)</w:t>
            </w: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4,586</w:t>
            </w:r>
          </w:p>
        </w:tc>
        <w:tc>
          <w:tcPr>
            <w:tcW w:w="22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6,411</w:t>
            </w:r>
          </w:p>
        </w:tc>
        <w:tc>
          <w:tcPr>
            <w:tcW w:w="3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(2,251)</w:t>
            </w: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4,160</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Trademarks</w:t>
            </w:r>
          </w:p>
        </w:tc>
        <w:tc>
          <w:tcPr>
            <w:tcW w:w="1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446</w:t>
            </w:r>
          </w:p>
        </w:tc>
        <w:tc>
          <w:tcPr>
            <w:tcW w:w="30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(326)</w:t>
            </w: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120</w:t>
            </w:r>
          </w:p>
        </w:tc>
        <w:tc>
          <w:tcPr>
            <w:tcW w:w="22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398</w:t>
            </w:r>
          </w:p>
        </w:tc>
        <w:tc>
          <w:tcPr>
            <w:tcW w:w="3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(296)</w:t>
            </w: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596</w:t>
            </w:r>
          </w:p>
        </w:tc>
        <w:tc>
          <w:tcPr>
            <w:tcW w:w="30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(285)</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311</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561</w:t>
            </w:r>
          </w:p>
        </w:tc>
        <w:tc>
          <w:tcPr>
            <w:tcW w:w="38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(270)</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99"/>
        </w:trPr>
        <w:tc>
          <w:tcPr>
            <w:tcW w:w="39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definite-life intangibles—net</w:t>
            </w:r>
          </w:p>
        </w:tc>
        <w:tc>
          <w:tcPr>
            <w:tcW w:w="14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11,914</w:t>
            </w:r>
          </w:p>
        </w:tc>
        <w:tc>
          <w:tcPr>
            <w:tcW w:w="30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(5,191)</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6,723</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10,883</w:t>
            </w:r>
          </w:p>
        </w:tc>
        <w:tc>
          <w:tcPr>
            <w:tcW w:w="38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(4,666)</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6,217</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Indefinite-life intangibles</w:t>
            </w:r>
          </w:p>
        </w:tc>
        <w:tc>
          <w:tcPr>
            <w:tcW w:w="1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Trademarks</w:t>
            </w:r>
          </w:p>
        </w:tc>
        <w:tc>
          <w:tcPr>
            <w:tcW w:w="1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426</w:t>
            </w:r>
          </w:p>
        </w:tc>
        <w:tc>
          <w:tcPr>
            <w:tcW w:w="30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426</w:t>
            </w:r>
          </w:p>
        </w:tc>
        <w:tc>
          <w:tcPr>
            <w:tcW w:w="22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439</w:t>
            </w:r>
          </w:p>
        </w:tc>
        <w:tc>
          <w:tcPr>
            <w:tcW w:w="38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99"/>
        </w:trPr>
        <w:tc>
          <w:tcPr>
            <w:tcW w:w="390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Other intangible assets—net</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12,340</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(5,191)</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7,149</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11,322</w:t>
            </w:r>
          </w:p>
        </w:tc>
        <w:tc>
          <w:tcPr>
            <w:tcW w:w="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(4,666)</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6,656</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Intangible assets amortization expense was $141 million and $410 million for the three and nine months ended September 30, 2025, respectively, and $120 million and $275 million for the three and nine months ended September 30, 2024, respectively.</w:t>
      </w:r>
    </w:p>
    <w:p>
      <w:pPr>
        <w:spacing w:after="0" w:line="400"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9. DEBT AND CREDIT AGREEMENTS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September 30, 2025</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3"/>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1.35% notes due 2025</w:t>
            </w: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2.50% notes due 2026</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1.10% notes due 2027</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3.50% euro notes due 2027</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764</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675</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4.65% notes due 2027</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4.95% notes due 2028</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2.25% euro notes due 2028</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881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779</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4.25% notes due 2029</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2.70% notes due 2029</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4.875% notes due 2029</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4.70% notes due 2030</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3.375% euro notes due 2030</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881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779</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1.95% notes due 2030</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4.95% notes due 2031</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1.75% notes due 2031</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4.75% notes due 2032</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0.75% euro notes due 2032</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587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519</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3.75% euro notes due 2032</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587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519</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5.00% notes due 2033</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4.50% notes due 2034</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4.125% euro notes due 2034</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1,175</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1,039</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5.00% notes due 2035</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3.75% euro notes due 2036</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881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779</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5.70% notes due 2036</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441</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5.70% notes due 2037</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462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462</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5.375% notes due 2041</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417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417</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3.812% notes due 2047</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442</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2.80% notes due 2050</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5.25% notes due 2054</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5.35% notes due 2064</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650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4.37% term loan due 2027</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One month term SOFR plus 0.875% term loan due 2027</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6.625% debentures due 2028</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201</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9.065% debentures due 2033</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51</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Industrial development bond obligations, floating rate maturing at various dates through 2037</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(including finance leases), 3.2% weighted average interest rate maturing at various dates through 2040</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247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390</w:t>
            </w:r>
          </w:p>
        </w:tc>
      </w:tr>
      <w:tr>
        <w:trPr>
          <w:trHeight w:val="196"/>
        </w:trPr>
        <w:tc>
          <w:tcPr>
            <w:tcW w:w="7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Fair value of hedging instruments</w:t>
            </w:r>
          </w:p>
        </w:tc>
        <w:tc>
          <w:tcPr>
            <w:tcW w:w="38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(83)</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(136)</w:t>
            </w:r>
          </w:p>
        </w:tc>
      </w:tr>
      <w:tr>
        <w:trPr>
          <w:trHeight w:val="196"/>
        </w:trPr>
        <w:tc>
          <w:tcPr>
            <w:tcW w:w="7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Debt issuance costs</w:t>
            </w:r>
          </w:p>
        </w:tc>
        <w:tc>
          <w:tcPr>
            <w:tcW w:w="38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(292)</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(303)</w:t>
            </w:r>
          </w:p>
        </w:tc>
      </w:tr>
      <w:tr>
        <w:trPr>
          <w:trHeight w:val="199"/>
        </w:trPr>
        <w:tc>
          <w:tcPr>
            <w:tcW w:w="7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Long-term debt and current related maturities</w:t>
            </w:r>
          </w:p>
        </w:tc>
        <w:tc>
          <w:tcPr>
            <w:tcW w:w="38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30,164</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26,826</w:t>
            </w:r>
          </w:p>
        </w:tc>
      </w:tr>
      <w:tr>
        <w:trPr>
          <w:trHeight w:val="193"/>
        </w:trPr>
        <w:tc>
          <w:tcPr>
            <w:tcW w:w="7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Current maturities of long-term debt</w:t>
            </w:r>
          </w:p>
        </w:tc>
        <w:tc>
          <w:tcPr>
            <w:tcW w:w="380" w:type="dxa"/>
            <w:vAlign w:val="bottom"/>
            <w:tcBorders>
              <w:bottom w:val="single" w:sz="8" w:color="D7282F"/>
            </w:tcBorders>
          </w:tcPr>
          <w:p>
            <w:pPr>
              <w:spacing w:after="0"/>
              <w:rPr>
                <w:sz w:val="16"/>
                <w:szCs w:val="16"/>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72</w:t>
            </w:r>
          </w:p>
        </w:tc>
        <w:tc>
          <w:tcPr>
            <w:tcW w:w="280" w:type="dxa"/>
            <w:vAlign w:val="bottom"/>
            <w:tcBorders>
              <w:bottom w:val="single" w:sz="8" w:color="D7282F"/>
            </w:tcBorders>
          </w:tcPr>
          <w:p>
            <w:pPr>
              <w:spacing w:after="0"/>
              <w:rPr>
                <w:sz w:val="16"/>
                <w:szCs w:val="16"/>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1,347</w:t>
            </w:r>
          </w:p>
        </w:tc>
      </w:tr>
      <w:tr>
        <w:trPr>
          <w:trHeight w:val="199"/>
        </w:trPr>
        <w:tc>
          <w:tcPr>
            <w:tcW w:w="72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Long-term debt</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30,092</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25,479</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19</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 Paper and Other Short-Term Borrowings</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As of September 30, 2025, the Company had $6.9 billion of Commercial paper and other short-term borrowings outstanding at a weighted average interest rate of 3.98%. As of December 31, 2024, the Company had $4.3 billion of Commercial paper and other short-term borrowings outstanding at a weighted average interest rate of 4.22%.</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 Loan Agreements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On July 1, 2025, the Company repaid its €196 million ($230 million) Euro Term Loan Credit Agreement due 2026.</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May 7, 2025, the Company entered into a Delayed Draw Term Loan Agreement (the Term Loan Agreement). The Term Loan Agreement provides for a delayed draw term loan facility of an aggregate principal amount of up to $6.0 billion comprised of two tranches: (i) commitments to provide loans in an aggregate principal amount of up to $4.0 billion (Tranche A-1) and (ii) commitments to provide loans in an aggregate amount of up to $2.0 billion (Tranche A-2). On May 30, 2025, the Company borrowed $4.0 billion under Tranche A-1, which remained outstanding as of September 30, 2025. Commitments to provide Tranche A-2 will expire on December 19, 2025. Interest rates on the term loans under each tranche will be based on prevailing market rates, plus a margin, in addition to a commitment fee on unused amounts. Amounts borrowed under the Term Loan Agreement are required to be paid no later than May 7, 2027, unless the Term Loan Agreement is terminated earlier pursuant to its terms. The Term Loan Agreement is maintained for general corporate purposes and provides financial flexibility as the Company manages the separation of its Automation, Aerospace Technologies, and Advanced Materials businesses into three independent public companies.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Revolving Credit Agreements</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March 17, 2025, the Company entered into a $3.0 billion 364-day credit agreement (the 364-Day Credit Agreement). The 364-Day Credit Agreement replaced the $1.5 billion 364-day credit agreement dated as of March 18, 2024, which was terminated in accordance with its terms effective March 17, 2025. Amounts borrowed under the 364-Day Credit Agreement are due no later than March 16, 2026, unless (i) Honeywell elects to convert all then outstanding amounts into a term loan, upon which such amounts shall be repaid in full on March 16, 2027, or (ii) the 364-Day Credit Agreement is terminated earlier pursuant to its terms. The 364-Day Credit Agreement is maintained for general corporate purposes.</w:t>
      </w:r>
    </w:p>
    <w:p>
      <w:pPr>
        <w:spacing w:after="0" w:line="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also maintains a $4.0 billion amended and restated five-year credit agreement dated as of March 18, 2024 (the Five-Year Credit Agreement) for general corporate purposes. Commitments under the Five-Year Credit Agreement can be increased pursuant to the terms of the Five-Year Credit Agreement to an aggregate amount not to exceed $4.5 billion.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2025, there were no outstanding borrowings under the 364-Day Credit Agreement or the Five-Year Credit Agreement.</w:t>
      </w:r>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color w:val="D7282F"/>
        </w:rPr>
        <w:t>NOTE 10. LEASES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operating and finance lease portfolio is described in Note 10 Leases of Notes to Consolidated Financial Statements in the Company's 2024 Annual Report on Form 10-K.</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information related to leases was as follows:</w:t>
      </w:r>
    </w:p>
    <w:p>
      <w:pPr>
        <w:spacing w:after="0" w:line="17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Nine Months Ended</w:t>
      </w:r>
    </w:p>
    <w:p>
      <w:pPr>
        <w:spacing w:after="0" w:line="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80" w:type="dxa"/>
            <w:vAlign w:val="bottom"/>
            <w:tcBorders>
              <w:bottom w:val="single" w:sz="8" w:color="D7282F"/>
            </w:tcBorders>
          </w:tcPr>
          <w:p>
            <w:pPr>
              <w:spacing w:after="0"/>
              <w:rPr>
                <w:sz w:val="17"/>
                <w:szCs w:val="17"/>
                <w:color w:val="auto"/>
              </w:rPr>
            </w:pPr>
          </w:p>
        </w:tc>
        <w:tc>
          <w:tcPr>
            <w:tcW w:w="180" w:type="dxa"/>
            <w:vAlign w:val="bottom"/>
            <w:tcBorders>
              <w:top w:val="single" w:sz="8" w:color="D7282F"/>
              <w:bottom w:val="single" w:sz="8" w:color="D7282F"/>
            </w:tcBorders>
          </w:tcPr>
          <w:p>
            <w:pPr>
              <w:spacing w:after="0"/>
              <w:rPr>
                <w:sz w:val="17"/>
                <w:szCs w:val="17"/>
                <w:color w:val="auto"/>
              </w:rPr>
            </w:pPr>
          </w:p>
        </w:tc>
        <w:tc>
          <w:tcPr>
            <w:tcW w:w="780" w:type="dxa"/>
            <w:vAlign w:val="bottom"/>
            <w:tcBorders>
              <w:top w:val="single" w:sz="8" w:color="D7282F"/>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top w:val="single" w:sz="8" w:color="D7282F"/>
              <w:bottom w:val="single" w:sz="8" w:color="D7282F"/>
            </w:tcBorders>
          </w:tcPr>
          <w:p>
            <w:pPr>
              <w:spacing w:after="0"/>
              <w:rPr>
                <w:sz w:val="17"/>
                <w:szCs w:val="17"/>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5"/>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Right-of-use assets obtained in exchange for lease obligations</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r>
      <w:tr>
        <w:trPr>
          <w:trHeight w:val="193"/>
        </w:trPr>
        <w:tc>
          <w:tcPr>
            <w:tcW w:w="92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Operating leases</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221</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158</w:t>
            </w:r>
          </w:p>
        </w:tc>
      </w:tr>
      <w:tr>
        <w:trPr>
          <w:trHeight w:val="196"/>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Finance leases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94</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67</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20</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Supplemental balance sheet information related to leases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Borders>
              <w:bottom w:val="single" w:sz="8" w:color="D7282F"/>
            </w:tcBorders>
          </w:tcPr>
          <w:p>
            <w:pPr>
              <w:spacing w:after="0"/>
              <w:rPr>
                <w:sz w:val="17"/>
                <w:szCs w:val="17"/>
                <w:color w:val="auto"/>
              </w:rPr>
            </w:pPr>
          </w:p>
        </w:tc>
        <w:tc>
          <w:tcPr>
            <w:tcW w:w="25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September 30, 2025</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5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Operating leases</w:t>
            </w:r>
          </w:p>
        </w:tc>
        <w:tc>
          <w:tcPr>
            <w:tcW w:w="25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spacing w:after="0"/>
              <w:rPr>
                <w:sz w:val="17"/>
                <w:szCs w:val="17"/>
                <w:color w:val="auto"/>
              </w:rPr>
            </w:pPr>
          </w:p>
        </w:tc>
      </w:tr>
      <w:tr>
        <w:trPr>
          <w:trHeight w:val="196"/>
        </w:trPr>
        <w:tc>
          <w:tcPr>
            <w:tcW w:w="5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Other assets</w:t>
            </w:r>
          </w:p>
        </w:tc>
        <w:tc>
          <w:tcPr>
            <w:tcW w:w="2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1,067</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1,025</w:t>
            </w:r>
          </w:p>
        </w:tc>
      </w:tr>
      <w:tr>
        <w:trPr>
          <w:trHeight w:val="193"/>
        </w:trPr>
        <w:tc>
          <w:tcPr>
            <w:tcW w:w="50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Accrued liabilities</w:t>
            </w:r>
          </w:p>
        </w:tc>
        <w:tc>
          <w:tcPr>
            <w:tcW w:w="2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211</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199</w:t>
            </w:r>
          </w:p>
        </w:tc>
      </w:tr>
      <w:tr>
        <w:trPr>
          <w:trHeight w:val="196"/>
        </w:trPr>
        <w:tc>
          <w:tcPr>
            <w:tcW w:w="50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liabilities</w:t>
            </w:r>
          </w:p>
        </w:tc>
        <w:tc>
          <w:tcPr>
            <w:tcW w:w="25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967</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927</w:t>
            </w:r>
          </w:p>
        </w:tc>
      </w:tr>
      <w:tr>
        <w:trPr>
          <w:trHeight w:val="199"/>
        </w:trPr>
        <w:tc>
          <w:tcPr>
            <w:tcW w:w="5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operating lease liabilities</w:t>
            </w:r>
          </w:p>
        </w:tc>
        <w:tc>
          <w:tcPr>
            <w:tcW w:w="2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1,178</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1,126</w:t>
            </w:r>
          </w:p>
        </w:tc>
      </w:tr>
      <w:tr>
        <w:trPr>
          <w:trHeight w:val="196"/>
        </w:trPr>
        <w:tc>
          <w:tcPr>
            <w:tcW w:w="50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Finance leases</w:t>
            </w:r>
          </w:p>
        </w:tc>
        <w:tc>
          <w:tcPr>
            <w:tcW w:w="254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3"/>
        </w:trPr>
        <w:tc>
          <w:tcPr>
            <w:tcW w:w="508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Property, plant and equipment</w:t>
            </w:r>
          </w:p>
        </w:tc>
        <w:tc>
          <w:tcPr>
            <w:tcW w:w="2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457</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396</w:t>
            </w:r>
          </w:p>
        </w:tc>
      </w:tr>
      <w:tr>
        <w:trPr>
          <w:trHeight w:val="196"/>
        </w:trPr>
        <w:tc>
          <w:tcPr>
            <w:tcW w:w="508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Accumulated depreciation</w:t>
            </w:r>
          </w:p>
        </w:tc>
        <w:tc>
          <w:tcPr>
            <w:tcW w:w="25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(235)</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(211)</w:t>
            </w:r>
          </w:p>
        </w:tc>
      </w:tr>
      <w:tr>
        <w:trPr>
          <w:trHeight w:val="199"/>
        </w:trPr>
        <w:tc>
          <w:tcPr>
            <w:tcW w:w="5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Property, plant and equipment—net</w:t>
            </w:r>
          </w:p>
        </w:tc>
        <w:tc>
          <w:tcPr>
            <w:tcW w:w="2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222</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185</w:t>
            </w:r>
          </w:p>
        </w:tc>
      </w:tr>
      <w:tr>
        <w:trPr>
          <w:trHeight w:val="193"/>
        </w:trPr>
        <w:tc>
          <w:tcPr>
            <w:tcW w:w="508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Current maturities of long-term debt</w:t>
            </w:r>
          </w:p>
        </w:tc>
        <w:tc>
          <w:tcPr>
            <w:tcW w:w="2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53</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69</w:t>
            </w:r>
          </w:p>
        </w:tc>
      </w:tr>
      <w:tr>
        <w:trPr>
          <w:trHeight w:val="196"/>
        </w:trPr>
        <w:tc>
          <w:tcPr>
            <w:tcW w:w="508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Long-term debt</w:t>
            </w:r>
          </w:p>
        </w:tc>
        <w:tc>
          <w:tcPr>
            <w:tcW w:w="254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136</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85</w:t>
            </w:r>
          </w:p>
        </w:tc>
      </w:tr>
      <w:tr>
        <w:trPr>
          <w:trHeight w:val="199"/>
        </w:trPr>
        <w:tc>
          <w:tcPr>
            <w:tcW w:w="5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finance lease liabilities</w:t>
            </w:r>
          </w:p>
        </w:tc>
        <w:tc>
          <w:tcPr>
            <w:tcW w:w="2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189</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154</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NOTE 11. DERIVATIVE INSTRUMENTS AND HEDGING TRANSACTIONS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Honeywell's foreign currency, interest rate, credit, and commodity price risk management policies are described in Note 11 Derivative Instruments and Hedging Transactions of Notes to Consolidated Financial Statements in the Company's 2024 Annual Report on Form 10-K.</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summarizes the notional amounts and fair values of the Company’s outstanding derivatives by risk category and instrument type within the Consolidated Balance Sheet: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20" w:type="dxa"/>
            <w:vAlign w:val="bottom"/>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gridSpan w:val="2"/>
          </w:tcPr>
          <w:p>
            <w:pPr>
              <w:jc w:val="right"/>
              <w:ind w:right="28"/>
              <w:spacing w:after="0"/>
              <w:rPr>
                <w:sz w:val="20"/>
                <w:szCs w:val="20"/>
                <w:color w:val="auto"/>
              </w:rPr>
            </w:pPr>
            <w:r>
              <w:rPr>
                <w:rFonts w:ascii="Arial" w:cs="Arial" w:eastAsia="Arial" w:hAnsi="Arial"/>
                <w:sz w:val="14"/>
                <w:szCs w:val="14"/>
                <w:b w:val="1"/>
                <w:bCs w:val="1"/>
                <w:color w:val="auto"/>
              </w:rPr>
              <w:t>Notional</w:t>
            </w:r>
          </w:p>
        </w:tc>
        <w:tc>
          <w:tcPr>
            <w:tcW w:w="800" w:type="dxa"/>
            <w:vAlign w:val="bottom"/>
            <w:tcBorders>
              <w:bottom w:val="single" w:sz="8" w:color="D7282F"/>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800" w:type="dxa"/>
            <w:vAlign w:val="bottom"/>
            <w:tcBorders>
              <w:bottom w:val="single" w:sz="8" w:color="D7282F"/>
            </w:tcBorders>
            <w:gridSpan w:val="2"/>
          </w:tcPr>
          <w:p>
            <w:pPr>
              <w:jc w:val="right"/>
              <w:ind w:right="228"/>
              <w:spacing w:after="0"/>
              <w:rPr>
                <w:sz w:val="20"/>
                <w:szCs w:val="20"/>
                <w:color w:val="auto"/>
              </w:rPr>
            </w:pPr>
            <w:r>
              <w:rPr>
                <w:rFonts w:ascii="Arial" w:cs="Arial" w:eastAsia="Arial" w:hAnsi="Arial"/>
                <w:sz w:val="14"/>
                <w:szCs w:val="14"/>
                <w:b w:val="1"/>
                <w:bCs w:val="1"/>
                <w:color w:val="auto"/>
              </w:rPr>
              <w:t>Fair Value Asset</w:t>
            </w:r>
          </w:p>
        </w:tc>
        <w:tc>
          <w:tcPr>
            <w:tcW w:w="340" w:type="dxa"/>
            <w:vAlign w:val="bottom"/>
            <w:tcBorders>
              <w:bottom w:val="single" w:sz="8" w:color="D7282F"/>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780" w:type="dxa"/>
            <w:vAlign w:val="bottom"/>
            <w:tcBorders>
              <w:bottom w:val="single" w:sz="8" w:color="D7282F"/>
            </w:tcBorders>
            <w:gridSpan w:val="2"/>
          </w:tcPr>
          <w:p>
            <w:pPr>
              <w:jc w:val="right"/>
              <w:ind w:right="108"/>
              <w:spacing w:after="0"/>
              <w:rPr>
                <w:sz w:val="20"/>
                <w:szCs w:val="20"/>
                <w:color w:val="auto"/>
              </w:rPr>
            </w:pPr>
            <w:r>
              <w:rPr>
                <w:rFonts w:ascii="Arial" w:cs="Arial" w:eastAsia="Arial" w:hAnsi="Arial"/>
                <w:sz w:val="14"/>
                <w:szCs w:val="14"/>
                <w:b w:val="1"/>
                <w:bCs w:val="1"/>
                <w:color w:val="auto"/>
              </w:rPr>
              <w:t>Fair Value Liability</w:t>
            </w:r>
          </w:p>
        </w:tc>
        <w:tc>
          <w:tcPr>
            <w:tcW w:w="38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620" w:type="dxa"/>
            <w:vAlign w:val="bottom"/>
          </w:tcPr>
          <w:p>
            <w:pPr>
              <w:spacing w:after="0"/>
              <w:rPr>
                <w:sz w:val="14"/>
                <w:szCs w:val="14"/>
                <w:color w:val="auto"/>
              </w:rPr>
            </w:pPr>
          </w:p>
        </w:tc>
        <w:tc>
          <w:tcPr>
            <w:tcW w:w="11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September 30,</w:t>
            </w:r>
          </w:p>
        </w:tc>
        <w:tc>
          <w:tcPr>
            <w:tcW w:w="144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September 30,</w:t>
            </w:r>
          </w:p>
        </w:tc>
        <w:tc>
          <w:tcPr>
            <w:tcW w:w="144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in fair value hedging relationships</w:t>
            </w:r>
          </w:p>
        </w:tc>
        <w:tc>
          <w:tcPr>
            <w:tcW w:w="240" w:type="dxa"/>
            <w:vAlign w:val="bottom"/>
            <w:tcBorders>
              <w:bottom w:val="single" w:sz="8" w:color="61656A"/>
            </w:tcBorders>
          </w:tcPr>
          <w:p>
            <w:pPr>
              <w:spacing w:after="0"/>
              <w:rPr>
                <w:sz w:val="19"/>
                <w:szCs w:val="19"/>
                <w:color w:val="auto"/>
              </w:rPr>
            </w:pPr>
          </w:p>
        </w:tc>
        <w:tc>
          <w:tcPr>
            <w:tcW w:w="940" w:type="dxa"/>
            <w:vAlign w:val="bottom"/>
            <w:tcBorders>
              <w:bottom w:val="single" w:sz="8" w:color="61656A"/>
            </w:tcBorders>
          </w:tcPr>
          <w:p>
            <w:pPr>
              <w:spacing w:after="0"/>
              <w:rPr>
                <w:sz w:val="19"/>
                <w:szCs w:val="19"/>
                <w:color w:val="auto"/>
              </w:rPr>
            </w:pPr>
          </w:p>
        </w:tc>
        <w:tc>
          <w:tcPr>
            <w:tcW w:w="400" w:type="dxa"/>
            <w:vAlign w:val="bottom"/>
            <w:tcBorders>
              <w:bottom w:val="single" w:sz="8" w:color="61656A"/>
            </w:tcBorders>
          </w:tcPr>
          <w:p>
            <w:pPr>
              <w:spacing w:after="0"/>
              <w:rPr>
                <w:sz w:val="19"/>
                <w:szCs w:val="19"/>
                <w:color w:val="auto"/>
              </w:rPr>
            </w:pPr>
          </w:p>
        </w:tc>
        <w:tc>
          <w:tcPr>
            <w:tcW w:w="800" w:type="dxa"/>
            <w:vAlign w:val="bottom"/>
            <w:tcBorders>
              <w:bottom w:val="single" w:sz="8" w:color="61656A"/>
            </w:tcBorders>
          </w:tcPr>
          <w:p>
            <w:pPr>
              <w:spacing w:after="0"/>
              <w:rPr>
                <w:sz w:val="19"/>
                <w:szCs w:val="19"/>
                <w:color w:val="auto"/>
              </w:rPr>
            </w:pPr>
          </w:p>
        </w:tc>
        <w:tc>
          <w:tcPr>
            <w:tcW w:w="240" w:type="dxa"/>
            <w:vAlign w:val="bottom"/>
            <w:tcBorders>
              <w:bottom w:val="single" w:sz="8" w:color="61656A"/>
            </w:tcBorders>
          </w:tcPr>
          <w:p>
            <w:pPr>
              <w:spacing w:after="0"/>
              <w:rPr>
                <w:sz w:val="19"/>
                <w:szCs w:val="19"/>
                <w:color w:val="auto"/>
              </w:rPr>
            </w:pPr>
          </w:p>
        </w:tc>
        <w:tc>
          <w:tcPr>
            <w:tcW w:w="240" w:type="dxa"/>
            <w:vAlign w:val="bottom"/>
            <w:tcBorders>
              <w:bottom w:val="single" w:sz="8" w:color="61656A"/>
            </w:tcBorders>
          </w:tcPr>
          <w:p>
            <w:pPr>
              <w:spacing w:after="0"/>
              <w:rPr>
                <w:sz w:val="19"/>
                <w:szCs w:val="19"/>
                <w:color w:val="auto"/>
              </w:rPr>
            </w:pPr>
          </w:p>
        </w:tc>
        <w:tc>
          <w:tcPr>
            <w:tcW w:w="940" w:type="dxa"/>
            <w:vAlign w:val="bottom"/>
            <w:tcBorders>
              <w:bottom w:val="single" w:sz="8" w:color="61656A"/>
            </w:tcBorders>
          </w:tcPr>
          <w:p>
            <w:pPr>
              <w:spacing w:after="0"/>
              <w:rPr>
                <w:sz w:val="19"/>
                <w:szCs w:val="19"/>
                <w:color w:val="auto"/>
              </w:rPr>
            </w:pPr>
          </w:p>
        </w:tc>
        <w:tc>
          <w:tcPr>
            <w:tcW w:w="860" w:type="dxa"/>
            <w:vAlign w:val="bottom"/>
            <w:tcBorders>
              <w:bottom w:val="single" w:sz="8" w:color="61656A"/>
            </w:tcBorders>
          </w:tcPr>
          <w:p>
            <w:pPr>
              <w:spacing w:after="0"/>
              <w:rPr>
                <w:sz w:val="19"/>
                <w:szCs w:val="19"/>
                <w:color w:val="auto"/>
              </w:rPr>
            </w:pPr>
          </w:p>
        </w:tc>
        <w:tc>
          <w:tcPr>
            <w:tcW w:w="340" w:type="dxa"/>
            <w:vAlign w:val="bottom"/>
            <w:tcBorders>
              <w:bottom w:val="single" w:sz="8" w:color="61656A"/>
            </w:tcBorders>
          </w:tcPr>
          <w:p>
            <w:pPr>
              <w:spacing w:after="0"/>
              <w:rPr>
                <w:sz w:val="19"/>
                <w:szCs w:val="19"/>
                <w:color w:val="auto"/>
              </w:rPr>
            </w:pPr>
          </w:p>
        </w:tc>
        <w:tc>
          <w:tcPr>
            <w:tcW w:w="240" w:type="dxa"/>
            <w:vAlign w:val="bottom"/>
            <w:tcBorders>
              <w:bottom w:val="single" w:sz="8" w:color="61656A"/>
            </w:tcBorders>
          </w:tcPr>
          <w:p>
            <w:pPr>
              <w:spacing w:after="0"/>
              <w:rPr>
                <w:sz w:val="19"/>
                <w:szCs w:val="19"/>
                <w:color w:val="auto"/>
              </w:rPr>
            </w:pPr>
          </w:p>
        </w:tc>
        <w:tc>
          <w:tcPr>
            <w:tcW w:w="220" w:type="dxa"/>
            <w:vAlign w:val="bottom"/>
            <w:tcBorders>
              <w:bottom w:val="single" w:sz="8" w:color="61656A"/>
            </w:tcBorders>
          </w:tcPr>
          <w:p>
            <w:pPr>
              <w:spacing w:after="0"/>
              <w:rPr>
                <w:sz w:val="19"/>
                <w:szCs w:val="19"/>
                <w:color w:val="auto"/>
              </w:rPr>
            </w:pPr>
          </w:p>
        </w:tc>
        <w:tc>
          <w:tcPr>
            <w:tcW w:w="960" w:type="dxa"/>
            <w:vAlign w:val="bottom"/>
            <w:tcBorders>
              <w:bottom w:val="single" w:sz="8" w:color="61656A"/>
            </w:tcBorders>
          </w:tcPr>
          <w:p>
            <w:pPr>
              <w:spacing w:after="0"/>
              <w:rPr>
                <w:sz w:val="19"/>
                <w:szCs w:val="19"/>
                <w:color w:val="auto"/>
              </w:rPr>
            </w:pPr>
          </w:p>
        </w:tc>
        <w:tc>
          <w:tcPr>
            <w:tcW w:w="820" w:type="dxa"/>
            <w:vAlign w:val="bottom"/>
            <w:tcBorders>
              <w:bottom w:val="single" w:sz="8" w:color="61656A"/>
            </w:tcBorders>
          </w:tcPr>
          <w:p>
            <w:pPr>
              <w:spacing w:after="0"/>
              <w:rPr>
                <w:sz w:val="19"/>
                <w:szCs w:val="19"/>
                <w:color w:val="auto"/>
              </w:rPr>
            </w:pPr>
          </w:p>
        </w:tc>
        <w:tc>
          <w:tcPr>
            <w:tcW w:w="380" w:type="dxa"/>
            <w:vAlign w:val="bottom"/>
            <w:tcBorders>
              <w:bottom w:val="single" w:sz="8" w:color="61656A"/>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6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2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4,069</w:t>
            </w:r>
          </w:p>
        </w:tc>
        <w:tc>
          <w:tcPr>
            <w:tcW w:w="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3,899</w:t>
            </w:r>
          </w:p>
        </w:tc>
        <w:tc>
          <w:tcPr>
            <w:tcW w:w="2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w:t>
            </w:r>
          </w:p>
        </w:tc>
        <w:tc>
          <w:tcPr>
            <w:tcW w:w="860" w:type="dxa"/>
            <w:vAlign w:val="bottom"/>
            <w:tcBorders>
              <w:bottom w:val="single" w:sz="8" w:color="61656A"/>
            </w:tcBorders>
          </w:tcPr>
          <w:p>
            <w:pPr>
              <w:jc w:val="right"/>
              <w:ind w:right="5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(97)</w:t>
            </w:r>
          </w:p>
        </w:tc>
        <w:tc>
          <w:tcPr>
            <w:tcW w:w="820" w:type="dxa"/>
            <w:vAlign w:val="bottom"/>
            <w:tcBorders>
              <w:bottom w:val="single" w:sz="8" w:color="61656A"/>
            </w:tcBorders>
          </w:tcPr>
          <w:p>
            <w:pPr>
              <w:jc w:val="right"/>
              <w:ind w:right="5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99"/>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24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24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742</w:t>
            </w:r>
          </w:p>
        </w:tc>
        <w:tc>
          <w:tcPr>
            <w:tcW w:w="40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1,235</w:t>
            </w:r>
          </w:p>
        </w:tc>
        <w:tc>
          <w:tcPr>
            <w:tcW w:w="2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w:t>
            </w:r>
          </w:p>
        </w:tc>
        <w:tc>
          <w:tcPr>
            <w:tcW w:w="86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w:t>
            </w:r>
          </w:p>
        </w:tc>
        <w:tc>
          <w:tcPr>
            <w:tcW w:w="24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(21)</w:t>
            </w:r>
          </w:p>
        </w:tc>
        <w:tc>
          <w:tcPr>
            <w:tcW w:w="82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Commodity contracts</w:t>
            </w:r>
          </w:p>
        </w:tc>
        <w:tc>
          <w:tcPr>
            <w:tcW w:w="24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w:t>
            </w:r>
          </w:p>
        </w:tc>
        <w:tc>
          <w:tcPr>
            <w:tcW w:w="4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61656A"/>
            </w:tcBorders>
          </w:tcPr>
          <w:p>
            <w:pPr>
              <w:spacing w:after="0"/>
              <w:rPr>
                <w:sz w:val="17"/>
                <w:szCs w:val="17"/>
                <w:color w:val="auto"/>
              </w:rPr>
            </w:pPr>
          </w:p>
        </w:tc>
        <w:tc>
          <w:tcPr>
            <w:tcW w:w="58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24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6,214</w:t>
            </w:r>
          </w:p>
        </w:tc>
        <w:tc>
          <w:tcPr>
            <w:tcW w:w="40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7,214</w:t>
            </w:r>
          </w:p>
        </w:tc>
        <w:tc>
          <w:tcPr>
            <w:tcW w:w="2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w:t>
            </w:r>
          </w:p>
        </w:tc>
        <w:tc>
          <w:tcPr>
            <w:tcW w:w="86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124</w:t>
            </w:r>
          </w:p>
        </w:tc>
        <w:tc>
          <w:tcPr>
            <w:tcW w:w="24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(776)</w:t>
            </w:r>
          </w:p>
        </w:tc>
        <w:tc>
          <w:tcPr>
            <w:tcW w:w="8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6"/>
        </w:trPr>
        <w:tc>
          <w:tcPr>
            <w:tcW w:w="3620" w:type="dxa"/>
            <w:vAlign w:val="bottom"/>
          </w:tcPr>
          <w:p>
            <w:pPr>
              <w:ind w:left="240"/>
              <w:spacing w:after="0" w:line="146" w:lineRule="exact"/>
              <w:rPr>
                <w:sz w:val="20"/>
                <w:szCs w:val="20"/>
                <w:color w:val="auto"/>
              </w:rPr>
            </w:pPr>
            <w:r>
              <w:rPr>
                <w:rFonts w:ascii="Arial" w:cs="Arial" w:eastAsia="Arial" w:hAnsi="Arial"/>
                <w:sz w:val="14"/>
                <w:szCs w:val="14"/>
                <w:b w:val="1"/>
                <w:bCs w:val="1"/>
                <w:color w:val="auto"/>
              </w:rPr>
              <w:t>Total derivatives designated as hedging</w:t>
            </w:r>
          </w:p>
        </w:tc>
        <w:tc>
          <w:tcPr>
            <w:tcW w:w="240" w:type="dxa"/>
            <w:vAlign w:val="bottom"/>
          </w:tcPr>
          <w:p>
            <w:pPr>
              <w:spacing w:after="0"/>
              <w:rPr>
                <w:sz w:val="12"/>
                <w:szCs w:val="12"/>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11,028</w:t>
            </w:r>
          </w:p>
        </w:tc>
        <w:tc>
          <w:tcPr>
            <w:tcW w:w="4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12,349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22</w:t>
            </w:r>
          </w:p>
        </w:tc>
        <w:tc>
          <w:tcPr>
            <w:tcW w:w="86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(894)</w:t>
            </w:r>
          </w:p>
        </w:tc>
        <w:tc>
          <w:tcPr>
            <w:tcW w:w="8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(205)</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instruments</w:t>
            </w: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vMerge w:val="continue"/>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vMerge w:val="continue"/>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vMerge w:val="continue"/>
          </w:tcPr>
          <w:p>
            <w:pPr>
              <w:spacing w:after="0"/>
              <w:rPr>
                <w:sz w:val="16"/>
                <w:szCs w:val="16"/>
                <w:color w:val="auto"/>
              </w:rPr>
            </w:pPr>
          </w:p>
        </w:tc>
        <w:tc>
          <w:tcPr>
            <w:tcW w:w="86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vMerge w:val="continue"/>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vMerge w:val="continue"/>
          </w:tcPr>
          <w:p>
            <w:pPr>
              <w:spacing w:after="0"/>
              <w:rPr>
                <w:sz w:val="16"/>
                <w:szCs w:val="16"/>
                <w:color w:val="auto"/>
              </w:rPr>
            </w:pPr>
          </w:p>
        </w:tc>
        <w:tc>
          <w:tcPr>
            <w:tcW w:w="8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4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40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10,114</w:t>
            </w:r>
          </w:p>
        </w:tc>
        <w:tc>
          <w:tcPr>
            <w:tcW w:w="40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8,773</w:t>
            </w:r>
          </w:p>
        </w:tc>
        <w:tc>
          <w:tcPr>
            <w:tcW w:w="24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w:t>
            </w:r>
          </w:p>
        </w:tc>
        <w:tc>
          <w:tcPr>
            <w:tcW w:w="86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w:t>
            </w:r>
          </w:p>
        </w:tc>
        <w:tc>
          <w:tcPr>
            <w:tcW w:w="8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9"/>
        </w:trPr>
        <w:tc>
          <w:tcPr>
            <w:tcW w:w="362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Derivative instruments</w:t>
            </w:r>
          </w:p>
        </w:tc>
        <w:tc>
          <w:tcPr>
            <w:tcW w:w="2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21,142</w:t>
            </w:r>
          </w:p>
        </w:tc>
        <w:tc>
          <w:tcPr>
            <w:tcW w:w="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21,122</w:t>
            </w:r>
          </w:p>
        </w:tc>
        <w:tc>
          <w:tcPr>
            <w:tcW w:w="2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27</w:t>
            </w:r>
          </w:p>
        </w:tc>
        <w:tc>
          <w:tcPr>
            <w:tcW w:w="860" w:type="dxa"/>
            <w:vAlign w:val="bottom"/>
            <w:tcBorders>
              <w:bottom w:val="single" w:sz="8" w:color="D7282F"/>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160</w:t>
            </w:r>
          </w:p>
        </w:tc>
        <w:tc>
          <w:tcPr>
            <w:tcW w:w="24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(898)</w:t>
            </w:r>
          </w:p>
        </w:tc>
        <w:tc>
          <w:tcPr>
            <w:tcW w:w="820" w:type="dxa"/>
            <w:vAlign w:val="bottom"/>
            <w:tcBorders>
              <w:bottom w:val="single" w:sz="8" w:color="D7282F"/>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All derivative assets are presented in Other current assets or Other assets. All derivative liabilities are presented in Accrued liabilities or Other liabilities.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to the foreign currency derivative contracts designated as net investment hedges, certain of the Company's foreign currency denominated debt instruments are designated as net investment hedges. The carrying value of those debt instruments designated as net investment hedges, which includes the adjustment for the foreign currency transaction gain or loss on those instruments, was $6,967 million and $6,158 million as of September 30, 2025, and December 31, 2024, respectively.</w:t>
      </w:r>
    </w:p>
    <w:p>
      <w:pPr>
        <w:spacing w:after="0" w:line="200" w:lineRule="exact"/>
        <w:rPr>
          <w:sz w:val="20"/>
          <w:szCs w:val="20"/>
          <w:color w:val="auto"/>
        </w:rPr>
      </w:pPr>
    </w:p>
    <w:p>
      <w:pPr>
        <w:spacing w:after="0" w:line="204" w:lineRule="exact"/>
        <w:rPr>
          <w:sz w:val="20"/>
          <w:szCs w:val="20"/>
          <w:color w:val="auto"/>
        </w:rPr>
      </w:pPr>
    </w:p>
    <w:p>
      <w:pPr>
        <w:ind w:left="400" w:hanging="392"/>
        <w:spacing w:after="0"/>
        <w:tabs>
          <w:tab w:leader="none" w:pos="400" w:val="left"/>
        </w:tabs>
        <w:numPr>
          <w:ilvl w:val="0"/>
          <w:numId w:val="2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amounts recorded in the Consolidated Balance Sheet related to cumulative basis adjustments for fair value hedges: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2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rPr>
              <w:t>Carrying Amount</w:t>
            </w:r>
          </w:p>
        </w:tc>
        <w:tc>
          <w:tcPr>
            <w:tcW w:w="120" w:type="dxa"/>
            <w:vAlign w:val="bottom"/>
          </w:tcPr>
          <w:p>
            <w:pPr>
              <w:spacing w:after="0"/>
              <w:rPr>
                <w:sz w:val="14"/>
                <w:szCs w:val="14"/>
                <w:color w:val="auto"/>
              </w:rPr>
            </w:pPr>
          </w:p>
        </w:tc>
        <w:tc>
          <w:tcPr>
            <w:tcW w:w="270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rPr>
              <w:t>Cumulative Amount of Fair Value</w:t>
            </w: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gridSpan w:val="3"/>
          </w:tcPr>
          <w:p>
            <w:pPr>
              <w:jc w:val="center"/>
              <w:ind w:right="48"/>
              <w:spacing w:after="0" w:line="149" w:lineRule="exact"/>
              <w:rPr>
                <w:sz w:val="20"/>
                <w:szCs w:val="20"/>
                <w:color w:val="auto"/>
              </w:rPr>
            </w:pPr>
            <w:r>
              <w:rPr>
                <w:rFonts w:ascii="Arial" w:cs="Arial" w:eastAsia="Arial" w:hAnsi="Arial"/>
                <w:sz w:val="14"/>
                <w:szCs w:val="14"/>
                <w:b w:val="1"/>
                <w:bCs w:val="1"/>
                <w:color w:val="auto"/>
              </w:rPr>
              <w:t>Hedging Adjustment Included in the</w:t>
            </w: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2680" w:type="dxa"/>
            <w:vAlign w:val="bottom"/>
            <w:tcBorders>
              <w:bottom w:val="single" w:sz="8" w:color="D7282F"/>
            </w:tcBorders>
            <w:gridSpan w:val="3"/>
          </w:tcPr>
          <w:p>
            <w:pPr>
              <w:jc w:val="center"/>
              <w:ind w:right="48"/>
              <w:spacing w:after="0"/>
              <w:rPr>
                <w:sz w:val="20"/>
                <w:szCs w:val="20"/>
                <w:color w:val="auto"/>
              </w:rPr>
            </w:pPr>
            <w:r>
              <w:rPr>
                <w:rFonts w:ascii="Arial" w:cs="Arial" w:eastAsia="Arial" w:hAnsi="Arial"/>
                <w:sz w:val="14"/>
                <w:szCs w:val="14"/>
                <w:b w:val="1"/>
                <w:bCs w:val="1"/>
                <w:color w:val="auto"/>
              </w:rPr>
              <w:t>of Hedged Item</w:t>
            </w:r>
          </w:p>
        </w:tc>
        <w:tc>
          <w:tcPr>
            <w:tcW w:w="240" w:type="dxa"/>
            <w:vAlign w:val="bottom"/>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2700" w:type="dxa"/>
            <w:vAlign w:val="bottom"/>
            <w:tcBorders>
              <w:bottom w:val="single" w:sz="8" w:color="D7282F"/>
            </w:tcBorders>
            <w:gridSpan w:val="3"/>
          </w:tcPr>
          <w:p>
            <w:pPr>
              <w:jc w:val="center"/>
              <w:ind w:right="48"/>
              <w:spacing w:after="0"/>
              <w:rPr>
                <w:sz w:val="20"/>
                <w:szCs w:val="20"/>
                <w:color w:val="auto"/>
              </w:rPr>
            </w:pPr>
            <w:r>
              <w:rPr>
                <w:rFonts w:ascii="Arial" w:cs="Arial" w:eastAsia="Arial" w:hAnsi="Arial"/>
                <w:sz w:val="14"/>
                <w:szCs w:val="14"/>
                <w:b w:val="1"/>
                <w:bCs w:val="1"/>
                <w:color w:val="auto"/>
              </w:rPr>
              <w:t>Carrying Amount of Hedged Item</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168"/>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1280" w:type="dxa"/>
            <w:vAlign w:val="bottom"/>
          </w:tcPr>
          <w:p>
            <w:pPr>
              <w:jc w:val="center"/>
              <w:ind w:right="148"/>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5"/>
                <w:szCs w:val="15"/>
                <w:color w:val="auto"/>
              </w:rPr>
            </w:pPr>
          </w:p>
        </w:tc>
        <w:tc>
          <w:tcPr>
            <w:tcW w:w="1160" w:type="dxa"/>
            <w:vAlign w:val="bottom"/>
          </w:tcPr>
          <w:p>
            <w:pPr>
              <w:jc w:val="center"/>
              <w:ind w:right="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536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right"/>
              <w:ind w:right="528"/>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D7282F"/>
            </w:tcBorders>
          </w:tcPr>
          <w:p>
            <w:pPr>
              <w:spacing w:after="0"/>
              <w:rPr>
                <w:sz w:val="16"/>
                <w:szCs w:val="16"/>
                <w:color w:val="auto"/>
              </w:rPr>
            </w:pPr>
          </w:p>
        </w:tc>
        <w:tc>
          <w:tcPr>
            <w:tcW w:w="116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2"/>
        </w:trPr>
        <w:tc>
          <w:tcPr>
            <w:tcW w:w="53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Long-term debt</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3,986</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3,763</w:t>
            </w:r>
          </w:p>
        </w:tc>
        <w:tc>
          <w:tcPr>
            <w:tcW w:w="24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location and impact to the Consolidated Statement of Operations related to derivative instruments: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0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spacing w:after="0"/>
              <w:rPr>
                <w:sz w:val="17"/>
                <w:szCs w:val="17"/>
                <w:color w:val="auto"/>
              </w:rPr>
            </w:pPr>
          </w:p>
        </w:tc>
        <w:tc>
          <w:tcPr>
            <w:tcW w:w="2940" w:type="dxa"/>
            <w:vAlign w:val="bottom"/>
            <w:tcBorders>
              <w:bottom w:val="single" w:sz="8" w:color="D7282F"/>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 2025</w:t>
            </w:r>
          </w:p>
        </w:tc>
        <w:tc>
          <w:tcPr>
            <w:tcW w:w="18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ind w:right="228"/>
              <w:spacing w:after="0" w:line="147" w:lineRule="exact"/>
              <w:rPr>
                <w:sz w:val="20"/>
                <w:szCs w:val="20"/>
                <w:color w:val="auto"/>
              </w:rPr>
            </w:pPr>
            <w:r>
              <w:rPr>
                <w:rFonts w:ascii="Arial" w:cs="Arial" w:eastAsia="Arial" w:hAnsi="Arial"/>
                <w:sz w:val="14"/>
                <w:szCs w:val="14"/>
                <w:b w:val="1"/>
                <w:bCs w:val="1"/>
                <w:color w:val="auto"/>
              </w:rPr>
              <w:t>Selling,</w:t>
            </w:r>
          </w:p>
        </w:tc>
        <w:tc>
          <w:tcPr>
            <w:tcW w:w="180" w:type="dxa"/>
            <w:vAlign w:val="bottom"/>
          </w:tcPr>
          <w:p>
            <w:pPr>
              <w:spacing w:after="0"/>
              <w:rPr>
                <w:sz w:val="12"/>
                <w:szCs w:val="12"/>
                <w:color w:val="auto"/>
              </w:rPr>
            </w:pPr>
          </w:p>
        </w:tc>
        <w:tc>
          <w:tcPr>
            <w:tcW w:w="102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94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 of</w:t>
            </w:r>
          </w:p>
        </w:tc>
        <w:tc>
          <w:tcPr>
            <w:tcW w:w="360" w:type="dxa"/>
            <w:vAlign w:val="bottom"/>
          </w:tcPr>
          <w:p>
            <w:pPr>
              <w:spacing w:after="0"/>
              <w:rPr>
                <w:sz w:val="12"/>
                <w:szCs w:val="12"/>
                <w:color w:val="auto"/>
              </w:rPr>
            </w:pPr>
          </w:p>
        </w:tc>
        <w:tc>
          <w:tcPr>
            <w:tcW w:w="98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rPr>
              <w:t>Cost of</w:t>
            </w:r>
          </w:p>
        </w:tc>
        <w:tc>
          <w:tcPr>
            <w:tcW w:w="240" w:type="dxa"/>
            <w:vAlign w:val="bottom"/>
          </w:tcPr>
          <w:p>
            <w:pPr>
              <w:spacing w:after="0"/>
              <w:rPr>
                <w:sz w:val="12"/>
                <w:szCs w:val="12"/>
                <w:color w:val="auto"/>
              </w:rPr>
            </w:pPr>
          </w:p>
        </w:tc>
        <w:tc>
          <w:tcPr>
            <w:tcW w:w="1360" w:type="dxa"/>
            <w:vAlign w:val="bottom"/>
          </w:tcPr>
          <w:p>
            <w:pPr>
              <w:jc w:val="center"/>
              <w:ind w:right="228"/>
              <w:spacing w:after="0" w:line="149" w:lineRule="exact"/>
              <w:rPr>
                <w:sz w:val="20"/>
                <w:szCs w:val="20"/>
                <w:color w:val="auto"/>
              </w:rPr>
            </w:pPr>
            <w:r>
              <w:rPr>
                <w:rFonts w:ascii="Arial" w:cs="Arial" w:eastAsia="Arial" w:hAnsi="Arial"/>
                <w:sz w:val="14"/>
                <w:szCs w:val="14"/>
                <w:b w:val="1"/>
                <w:bCs w:val="1"/>
                <w:color w:val="auto"/>
              </w:rPr>
              <w:t>General and</w:t>
            </w: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4"/>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ind w:right="248"/>
              <w:spacing w:after="0" w:line="145" w:lineRule="exact"/>
              <w:rPr>
                <w:sz w:val="20"/>
                <w:szCs w:val="20"/>
                <w:color w:val="auto"/>
              </w:rPr>
            </w:pPr>
            <w:r>
              <w:rPr>
                <w:rFonts w:ascii="Arial" w:cs="Arial" w:eastAsia="Arial" w:hAnsi="Arial"/>
                <w:sz w:val="14"/>
                <w:szCs w:val="14"/>
                <w:b w:val="1"/>
                <w:bCs w:val="1"/>
                <w:color w:val="auto"/>
              </w:rPr>
              <w:t>Administrative</w:t>
            </w:r>
          </w:p>
        </w:tc>
        <w:tc>
          <w:tcPr>
            <w:tcW w:w="180" w:type="dxa"/>
            <w:vAlign w:val="bottom"/>
          </w:tcPr>
          <w:p>
            <w:pPr>
              <w:spacing w:after="0"/>
              <w:rPr>
                <w:sz w:val="12"/>
                <w:szCs w:val="12"/>
                <w:color w:val="auto"/>
              </w:rPr>
            </w:pPr>
          </w:p>
        </w:tc>
        <w:tc>
          <w:tcPr>
            <w:tcW w:w="1020" w:type="dxa"/>
            <w:vAlign w:val="bottom"/>
          </w:tcPr>
          <w:p>
            <w:pPr>
              <w:jc w:val="center"/>
              <w:ind w:right="168"/>
              <w:spacing w:after="0" w:line="145"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4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60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vMerge w:val="continue"/>
          </w:tcPr>
          <w:p>
            <w:pPr>
              <w:spacing w:after="0"/>
              <w:rPr>
                <w:sz w:val="16"/>
                <w:szCs w:val="16"/>
                <w:color w:val="auto"/>
              </w:rPr>
            </w:pPr>
          </w:p>
        </w:tc>
        <w:tc>
          <w:tcPr>
            <w:tcW w:w="1220" w:type="dxa"/>
            <w:vAlign w:val="bottom"/>
            <w:tcBorders>
              <w:bottom w:val="single" w:sz="8" w:color="D7282F"/>
            </w:tcBorders>
            <w:gridSpan w:val="2"/>
          </w:tcPr>
          <w:p>
            <w:pPr>
              <w:jc w:val="right"/>
              <w:ind w:right="8"/>
              <w:spacing w:after="0"/>
              <w:rPr>
                <w:sz w:val="20"/>
                <w:szCs w:val="20"/>
                <w:color w:val="auto"/>
              </w:rPr>
            </w:pPr>
            <w:r>
              <w:rPr>
                <w:rFonts w:ascii="Arial" w:cs="Arial" w:eastAsia="Arial" w:hAnsi="Arial"/>
                <w:sz w:val="14"/>
                <w:szCs w:val="14"/>
                <w:b w:val="1"/>
                <w:bCs w:val="1"/>
                <w:color w:val="auto"/>
              </w:rPr>
              <w:t>Products Sold</w:t>
            </w:r>
          </w:p>
        </w:tc>
        <w:tc>
          <w:tcPr>
            <w:tcW w:w="1340" w:type="dxa"/>
            <w:vAlign w:val="bottom"/>
            <w:tcBorders>
              <w:bottom w:val="single" w:sz="8" w:color="D7282F"/>
            </w:tcBorders>
            <w:gridSpan w:val="2"/>
          </w:tcPr>
          <w:p>
            <w:pPr>
              <w:jc w:val="center"/>
              <w:ind w:left="8"/>
              <w:spacing w:after="0"/>
              <w:rPr>
                <w:sz w:val="20"/>
                <w:szCs w:val="20"/>
                <w:color w:val="auto"/>
              </w:rPr>
            </w:pPr>
            <w:r>
              <w:rPr>
                <w:rFonts w:ascii="Arial" w:cs="Arial" w:eastAsia="Arial" w:hAnsi="Arial"/>
                <w:sz w:val="14"/>
                <w:szCs w:val="14"/>
                <w:b w:val="1"/>
                <w:bCs w:val="1"/>
                <w:color w:val="auto"/>
              </w:rPr>
              <w:t>Services Sold</w:t>
            </w:r>
          </w:p>
        </w:tc>
        <w:tc>
          <w:tcPr>
            <w:tcW w:w="240" w:type="dxa"/>
            <w:vAlign w:val="bottom"/>
            <w:tcBorders>
              <w:bottom w:val="single" w:sz="8" w:color="D7282F"/>
            </w:tcBorders>
          </w:tcPr>
          <w:p>
            <w:pPr>
              <w:spacing w:after="0"/>
              <w:rPr>
                <w:sz w:val="16"/>
                <w:szCs w:val="16"/>
                <w:color w:val="auto"/>
              </w:rPr>
            </w:pPr>
          </w:p>
        </w:tc>
        <w:tc>
          <w:tcPr>
            <w:tcW w:w="1360" w:type="dxa"/>
            <w:vAlign w:val="bottom"/>
            <w:tcBorders>
              <w:bottom w:val="single" w:sz="8" w:color="D7282F"/>
            </w:tcBorders>
          </w:tcPr>
          <w:p>
            <w:pPr>
              <w:jc w:val="center"/>
              <w:ind w:right="228"/>
              <w:spacing w:after="0"/>
              <w:rPr>
                <w:sz w:val="20"/>
                <w:szCs w:val="20"/>
                <w:color w:val="auto"/>
              </w:rPr>
            </w:pPr>
            <w:r>
              <w:rPr>
                <w:rFonts w:ascii="Arial" w:cs="Arial" w:eastAsia="Arial" w:hAnsi="Arial"/>
                <w:sz w:val="14"/>
                <w:szCs w:val="14"/>
                <w:b w:val="1"/>
                <w:bCs w:val="1"/>
                <w:color w:val="auto"/>
              </w:rPr>
              <w:t>Expenses</w:t>
            </w:r>
          </w:p>
        </w:tc>
        <w:tc>
          <w:tcPr>
            <w:tcW w:w="18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w w:val="99"/>
              </w:rPr>
              <w:t>Charges</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61656A"/>
            </w:tcBorders>
            <w:gridSpan w:val="2"/>
          </w:tcPr>
          <w:p>
            <w:pPr>
              <w:ind w:left="36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10,408</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4,734</w:t>
            </w:r>
          </w:p>
        </w:tc>
        <w:tc>
          <w:tcPr>
            <w:tcW w:w="3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2,127</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1,296</w:t>
            </w:r>
          </w:p>
        </w:tc>
        <w:tc>
          <w:tcPr>
            <w:tcW w:w="1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822</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99"/>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(loss) on cash flow hedges</w:t>
            </w:r>
          </w:p>
        </w:tc>
        <w:tc>
          <w:tcPr>
            <w:tcW w:w="9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4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74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(6)</w:t>
            </w:r>
          </w:p>
        </w:tc>
        <w:tc>
          <w:tcPr>
            <w:tcW w:w="360" w:type="dxa"/>
            <w:vAlign w:val="bottom"/>
          </w:tcPr>
          <w:p>
            <w:pPr>
              <w:spacing w:after="0"/>
              <w:rPr>
                <w:sz w:val="13"/>
                <w:szCs w:val="13"/>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3"/>
                <w:szCs w:val="13"/>
                <w:color w:val="auto"/>
              </w:rPr>
            </w:pPr>
          </w:p>
        </w:tc>
        <w:tc>
          <w:tcPr>
            <w:tcW w:w="136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loss into income</w:t>
            </w:r>
          </w:p>
        </w:tc>
        <w:tc>
          <w:tcPr>
            <w:tcW w:w="980" w:type="dxa"/>
            <w:vAlign w:val="bottom"/>
            <w:tcBorders>
              <w:bottom w:val="single" w:sz="8" w:color="61656A"/>
            </w:tcBorders>
            <w:vMerge w:val="continue"/>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vMerge w:val="continue"/>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vMerge w:val="continue"/>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vMerge w:val="continue"/>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(loss) on fair value hedges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4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0"/>
        </w:trPr>
        <w:tc>
          <w:tcPr>
            <w:tcW w:w="374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Gain (loss) on derivatives not designated as</w:t>
            </w: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4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6"/>
                <w:szCs w:val="16"/>
                <w:color w:val="auto"/>
              </w:rPr>
            </w:pPr>
          </w:p>
        </w:tc>
        <w:tc>
          <w:tcPr>
            <w:tcW w:w="13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29"/>
        </w:trPr>
        <w:tc>
          <w:tcPr>
            <w:tcW w:w="3600" w:type="dxa"/>
            <w:vAlign w:val="bottom"/>
          </w:tcPr>
          <w:p>
            <w:pPr>
              <w:spacing w:after="0"/>
              <w:rPr>
                <w:sz w:val="24"/>
                <w:szCs w:val="24"/>
                <w:color w:val="auto"/>
              </w:rPr>
            </w:pPr>
          </w:p>
        </w:tc>
        <w:tc>
          <w:tcPr>
            <w:tcW w:w="140" w:type="dxa"/>
            <w:vAlign w:val="bottom"/>
            <w:tcBorders>
              <w:bottom w:val="single" w:sz="8" w:color="D7282F"/>
            </w:tcBorders>
          </w:tcPr>
          <w:p>
            <w:pPr>
              <w:spacing w:after="0"/>
              <w:rPr>
                <w:sz w:val="24"/>
                <w:szCs w:val="24"/>
                <w:color w:val="auto"/>
              </w:rPr>
            </w:pPr>
          </w:p>
        </w:tc>
        <w:tc>
          <w:tcPr>
            <w:tcW w:w="980" w:type="dxa"/>
            <w:vAlign w:val="bottom"/>
            <w:tcBorders>
              <w:bottom w:val="single" w:sz="8" w:color="D7282F"/>
            </w:tcBorders>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900" w:type="dxa"/>
            <w:vAlign w:val="bottom"/>
            <w:tcBorders>
              <w:bottom w:val="single" w:sz="8" w:color="D7282F"/>
            </w:tcBorders>
          </w:tcPr>
          <w:p>
            <w:pPr>
              <w:spacing w:after="0"/>
              <w:rPr>
                <w:sz w:val="24"/>
                <w:szCs w:val="24"/>
                <w:color w:val="auto"/>
              </w:rPr>
            </w:pPr>
          </w:p>
        </w:tc>
        <w:tc>
          <w:tcPr>
            <w:tcW w:w="2940" w:type="dxa"/>
            <w:vAlign w:val="bottom"/>
            <w:tcBorders>
              <w:bottom w:val="single" w:sz="8" w:color="D7282F"/>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 2024</w:t>
            </w:r>
          </w:p>
        </w:tc>
        <w:tc>
          <w:tcPr>
            <w:tcW w:w="180" w:type="dxa"/>
            <w:vAlign w:val="bottom"/>
            <w:tcBorders>
              <w:bottom w:val="single" w:sz="8" w:color="D7282F"/>
            </w:tcBorders>
          </w:tcPr>
          <w:p>
            <w:pPr>
              <w:spacing w:after="0"/>
              <w:rPr>
                <w:sz w:val="24"/>
                <w:szCs w:val="24"/>
                <w:color w:val="auto"/>
              </w:rPr>
            </w:pPr>
          </w:p>
        </w:tc>
        <w:tc>
          <w:tcPr>
            <w:tcW w:w="1020" w:type="dxa"/>
            <w:vAlign w:val="bottom"/>
            <w:tcBorders>
              <w:bottom w:val="single" w:sz="8" w:color="D7282F"/>
            </w:tcBorders>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94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ind w:right="228"/>
              <w:spacing w:after="0" w:line="147" w:lineRule="exact"/>
              <w:rPr>
                <w:sz w:val="20"/>
                <w:szCs w:val="20"/>
                <w:color w:val="auto"/>
              </w:rPr>
            </w:pPr>
            <w:r>
              <w:rPr>
                <w:rFonts w:ascii="Arial" w:cs="Arial" w:eastAsia="Arial" w:hAnsi="Arial"/>
                <w:sz w:val="14"/>
                <w:szCs w:val="14"/>
                <w:b w:val="1"/>
                <w:bCs w:val="1"/>
                <w:color w:val="auto"/>
              </w:rPr>
              <w:t>Selling,</w:t>
            </w:r>
          </w:p>
        </w:tc>
        <w:tc>
          <w:tcPr>
            <w:tcW w:w="180" w:type="dxa"/>
            <w:vAlign w:val="bottom"/>
          </w:tcPr>
          <w:p>
            <w:pPr>
              <w:spacing w:after="0"/>
              <w:rPr>
                <w:sz w:val="12"/>
                <w:szCs w:val="12"/>
                <w:color w:val="auto"/>
              </w:rPr>
            </w:pPr>
          </w:p>
        </w:tc>
        <w:tc>
          <w:tcPr>
            <w:tcW w:w="102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94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4"/>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 of</w:t>
            </w:r>
          </w:p>
        </w:tc>
        <w:tc>
          <w:tcPr>
            <w:tcW w:w="360" w:type="dxa"/>
            <w:vAlign w:val="bottom"/>
          </w:tcPr>
          <w:p>
            <w:pPr>
              <w:spacing w:after="0"/>
              <w:rPr>
                <w:sz w:val="12"/>
                <w:szCs w:val="12"/>
                <w:color w:val="auto"/>
              </w:rPr>
            </w:pPr>
          </w:p>
        </w:tc>
        <w:tc>
          <w:tcPr>
            <w:tcW w:w="98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rPr>
              <w:t>Cost of</w:t>
            </w:r>
          </w:p>
        </w:tc>
        <w:tc>
          <w:tcPr>
            <w:tcW w:w="240" w:type="dxa"/>
            <w:vAlign w:val="bottom"/>
          </w:tcPr>
          <w:p>
            <w:pPr>
              <w:spacing w:after="0"/>
              <w:rPr>
                <w:sz w:val="12"/>
                <w:szCs w:val="12"/>
                <w:color w:val="auto"/>
              </w:rPr>
            </w:pPr>
          </w:p>
        </w:tc>
        <w:tc>
          <w:tcPr>
            <w:tcW w:w="1360" w:type="dxa"/>
            <w:vAlign w:val="bottom"/>
          </w:tcPr>
          <w:p>
            <w:pPr>
              <w:jc w:val="center"/>
              <w:ind w:right="228"/>
              <w:spacing w:after="0" w:line="145" w:lineRule="exact"/>
              <w:rPr>
                <w:sz w:val="20"/>
                <w:szCs w:val="20"/>
                <w:color w:val="auto"/>
              </w:rPr>
            </w:pPr>
            <w:r>
              <w:rPr>
                <w:rFonts w:ascii="Arial" w:cs="Arial" w:eastAsia="Arial" w:hAnsi="Arial"/>
                <w:sz w:val="14"/>
                <w:szCs w:val="14"/>
                <w:b w:val="1"/>
                <w:bCs w:val="1"/>
                <w:color w:val="auto"/>
              </w:rPr>
              <w:t>General and</w:t>
            </w: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rPr>
              <w:t>Administrative</w:t>
            </w:r>
          </w:p>
        </w:tc>
        <w:tc>
          <w:tcPr>
            <w:tcW w:w="180" w:type="dxa"/>
            <w:vAlign w:val="bottom"/>
          </w:tcPr>
          <w:p>
            <w:pPr>
              <w:spacing w:after="0"/>
              <w:rPr>
                <w:sz w:val="12"/>
                <w:szCs w:val="12"/>
                <w:color w:val="auto"/>
              </w:rPr>
            </w:pPr>
          </w:p>
        </w:tc>
        <w:tc>
          <w:tcPr>
            <w:tcW w:w="102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60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vMerge w:val="continue"/>
          </w:tcPr>
          <w:p>
            <w:pPr>
              <w:spacing w:after="0"/>
              <w:rPr>
                <w:sz w:val="16"/>
                <w:szCs w:val="16"/>
                <w:color w:val="auto"/>
              </w:rPr>
            </w:pPr>
          </w:p>
        </w:tc>
        <w:tc>
          <w:tcPr>
            <w:tcW w:w="1220" w:type="dxa"/>
            <w:vAlign w:val="bottom"/>
            <w:tcBorders>
              <w:bottom w:val="single" w:sz="8" w:color="D7282F"/>
            </w:tcBorders>
            <w:gridSpan w:val="2"/>
          </w:tcPr>
          <w:p>
            <w:pPr>
              <w:jc w:val="right"/>
              <w:ind w:right="8"/>
              <w:spacing w:after="0"/>
              <w:rPr>
                <w:sz w:val="20"/>
                <w:szCs w:val="20"/>
                <w:color w:val="auto"/>
              </w:rPr>
            </w:pPr>
            <w:r>
              <w:rPr>
                <w:rFonts w:ascii="Arial" w:cs="Arial" w:eastAsia="Arial" w:hAnsi="Arial"/>
                <w:sz w:val="14"/>
                <w:szCs w:val="14"/>
                <w:b w:val="1"/>
                <w:bCs w:val="1"/>
                <w:color w:val="auto"/>
              </w:rPr>
              <w:t>Products Sold</w:t>
            </w:r>
          </w:p>
        </w:tc>
        <w:tc>
          <w:tcPr>
            <w:tcW w:w="1340" w:type="dxa"/>
            <w:vAlign w:val="bottom"/>
            <w:tcBorders>
              <w:bottom w:val="single" w:sz="8" w:color="D7282F"/>
            </w:tcBorders>
            <w:gridSpan w:val="2"/>
          </w:tcPr>
          <w:p>
            <w:pPr>
              <w:jc w:val="center"/>
              <w:ind w:left="8"/>
              <w:spacing w:after="0"/>
              <w:rPr>
                <w:sz w:val="20"/>
                <w:szCs w:val="20"/>
                <w:color w:val="auto"/>
              </w:rPr>
            </w:pPr>
            <w:r>
              <w:rPr>
                <w:rFonts w:ascii="Arial" w:cs="Arial" w:eastAsia="Arial" w:hAnsi="Arial"/>
                <w:sz w:val="14"/>
                <w:szCs w:val="14"/>
                <w:b w:val="1"/>
                <w:bCs w:val="1"/>
                <w:color w:val="auto"/>
              </w:rPr>
              <w:t>Services Sold</w:t>
            </w:r>
          </w:p>
        </w:tc>
        <w:tc>
          <w:tcPr>
            <w:tcW w:w="240" w:type="dxa"/>
            <w:vAlign w:val="bottom"/>
            <w:tcBorders>
              <w:bottom w:val="single" w:sz="8" w:color="D7282F"/>
            </w:tcBorders>
          </w:tcPr>
          <w:p>
            <w:pPr>
              <w:spacing w:after="0"/>
              <w:rPr>
                <w:sz w:val="16"/>
                <w:szCs w:val="16"/>
                <w:color w:val="auto"/>
              </w:rPr>
            </w:pPr>
          </w:p>
        </w:tc>
        <w:tc>
          <w:tcPr>
            <w:tcW w:w="1360" w:type="dxa"/>
            <w:vAlign w:val="bottom"/>
            <w:tcBorders>
              <w:bottom w:val="single" w:sz="8" w:color="D7282F"/>
            </w:tcBorders>
          </w:tcPr>
          <w:p>
            <w:pPr>
              <w:jc w:val="center"/>
              <w:ind w:right="228"/>
              <w:spacing w:after="0"/>
              <w:rPr>
                <w:sz w:val="20"/>
                <w:szCs w:val="20"/>
                <w:color w:val="auto"/>
              </w:rPr>
            </w:pPr>
            <w:r>
              <w:rPr>
                <w:rFonts w:ascii="Arial" w:cs="Arial" w:eastAsia="Arial" w:hAnsi="Arial"/>
                <w:sz w:val="14"/>
                <w:szCs w:val="14"/>
                <w:b w:val="1"/>
                <w:bCs w:val="1"/>
                <w:color w:val="auto"/>
              </w:rPr>
              <w:t>Expenses</w:t>
            </w:r>
          </w:p>
        </w:tc>
        <w:tc>
          <w:tcPr>
            <w:tcW w:w="18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w w:val="99"/>
              </w:rPr>
              <w:t>Charges</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61656A"/>
            </w:tcBorders>
            <w:gridSpan w:val="2"/>
          </w:tcPr>
          <w:p>
            <w:pPr>
              <w:ind w:left="36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9,728</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4,166</w:t>
            </w:r>
          </w:p>
        </w:tc>
        <w:tc>
          <w:tcPr>
            <w:tcW w:w="3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1,813</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1,398</w:t>
            </w:r>
          </w:p>
        </w:tc>
        <w:tc>
          <w:tcPr>
            <w:tcW w:w="1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263</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99"/>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(loss) on cash flow hedges</w:t>
            </w:r>
          </w:p>
        </w:tc>
        <w:tc>
          <w:tcPr>
            <w:tcW w:w="9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4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74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360" w:type="dxa"/>
            <w:vAlign w:val="bottom"/>
            <w:vMerge w:val="restart"/>
          </w:tcPr>
          <w:p>
            <w:pPr>
              <w:jc w:val="right"/>
              <w:ind w:right="168"/>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3"/>
                <w:szCs w:val="13"/>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loss into income</w:t>
            </w:r>
          </w:p>
        </w:tc>
        <w:tc>
          <w:tcPr>
            <w:tcW w:w="980" w:type="dxa"/>
            <w:vAlign w:val="bottom"/>
            <w:tcBorders>
              <w:bottom w:val="single" w:sz="8" w:color="61656A"/>
            </w:tcBorders>
            <w:vMerge w:val="continue"/>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vMerge w:val="continue"/>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vMerge w:val="continue"/>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vMerge w:val="continue"/>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(loss) on fair value hedges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4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36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50"/>
        </w:trPr>
        <w:tc>
          <w:tcPr>
            <w:tcW w:w="374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Gain (loss) on derivatives not designated as</w:t>
            </w: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6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4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6"/>
                <w:szCs w:val="16"/>
                <w:color w:val="auto"/>
              </w:rPr>
            </w:pPr>
          </w:p>
        </w:tc>
        <w:tc>
          <w:tcPr>
            <w:tcW w:w="13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(213)</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22</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2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2900" w:type="dxa"/>
            <w:vAlign w:val="bottom"/>
            <w:tcBorders>
              <w:bottom w:val="single" w:sz="8" w:color="D7282F"/>
            </w:tcBorders>
            <w:gridSpan w:val="4"/>
          </w:tcPr>
          <w:p>
            <w:pPr>
              <w:jc w:val="right"/>
              <w:ind w:right="8"/>
              <w:spacing w:after="0"/>
              <w:rPr>
                <w:sz w:val="20"/>
                <w:szCs w:val="20"/>
                <w:color w:val="auto"/>
              </w:rPr>
            </w:pPr>
            <w:r>
              <w:rPr>
                <w:rFonts w:ascii="Arial" w:cs="Arial" w:eastAsia="Arial" w:hAnsi="Arial"/>
                <w:sz w:val="14"/>
                <w:szCs w:val="14"/>
                <w:b w:val="1"/>
                <w:bCs w:val="1"/>
                <w:color w:val="auto"/>
              </w:rPr>
              <w:t>Nine Months Ended September 30, 2025</w:t>
            </w:r>
          </w:p>
        </w:tc>
        <w:tc>
          <w:tcPr>
            <w:tcW w:w="20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208"/>
              <w:spacing w:after="0" w:line="147" w:lineRule="exact"/>
              <w:rPr>
                <w:sz w:val="20"/>
                <w:szCs w:val="20"/>
                <w:color w:val="auto"/>
              </w:rPr>
            </w:pPr>
            <w:r>
              <w:rPr>
                <w:rFonts w:ascii="Arial" w:cs="Arial" w:eastAsia="Arial" w:hAnsi="Arial"/>
                <w:sz w:val="14"/>
                <w:szCs w:val="14"/>
                <w:b w:val="1"/>
                <w:bCs w:val="1"/>
                <w:color w:val="auto"/>
              </w:rPr>
              <w:t>Selling,</w:t>
            </w:r>
          </w:p>
        </w:tc>
        <w:tc>
          <w:tcPr>
            <w:tcW w:w="200" w:type="dxa"/>
            <w:vAlign w:val="bottom"/>
          </w:tcPr>
          <w:p>
            <w:pPr>
              <w:spacing w:after="0"/>
              <w:rPr>
                <w:sz w:val="12"/>
                <w:szCs w:val="12"/>
                <w:color w:val="auto"/>
              </w:rPr>
            </w:pPr>
          </w:p>
        </w:tc>
        <w:tc>
          <w:tcPr>
            <w:tcW w:w="102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94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4"/>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 of</w:t>
            </w:r>
          </w:p>
        </w:tc>
        <w:tc>
          <w:tcPr>
            <w:tcW w:w="340" w:type="dxa"/>
            <w:vAlign w:val="bottom"/>
          </w:tcPr>
          <w:p>
            <w:pPr>
              <w:spacing w:after="0"/>
              <w:rPr>
                <w:sz w:val="12"/>
                <w:szCs w:val="12"/>
                <w:color w:val="auto"/>
              </w:rPr>
            </w:pPr>
          </w:p>
        </w:tc>
        <w:tc>
          <w:tcPr>
            <w:tcW w:w="98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rPr>
              <w:t>Cost of</w:t>
            </w:r>
          </w:p>
        </w:tc>
        <w:tc>
          <w:tcPr>
            <w:tcW w:w="240" w:type="dxa"/>
            <w:vAlign w:val="bottom"/>
          </w:tcPr>
          <w:p>
            <w:pPr>
              <w:spacing w:after="0"/>
              <w:rPr>
                <w:sz w:val="12"/>
                <w:szCs w:val="12"/>
                <w:color w:val="auto"/>
              </w:rPr>
            </w:pPr>
          </w:p>
        </w:tc>
        <w:tc>
          <w:tcPr>
            <w:tcW w:w="1340" w:type="dxa"/>
            <w:vAlign w:val="bottom"/>
          </w:tcPr>
          <w:p>
            <w:pPr>
              <w:jc w:val="center"/>
              <w:ind w:right="208"/>
              <w:spacing w:after="0" w:line="145" w:lineRule="exact"/>
              <w:rPr>
                <w:sz w:val="20"/>
                <w:szCs w:val="20"/>
                <w:color w:val="auto"/>
              </w:rPr>
            </w:pPr>
            <w:r>
              <w:rPr>
                <w:rFonts w:ascii="Arial" w:cs="Arial" w:eastAsia="Arial" w:hAnsi="Arial"/>
                <w:sz w:val="14"/>
                <w:szCs w:val="14"/>
                <w:b w:val="1"/>
                <w:bCs w:val="1"/>
                <w:color w:val="auto"/>
              </w:rPr>
              <w:t>General and</w:t>
            </w: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228"/>
              <w:spacing w:after="0" w:line="149" w:lineRule="exact"/>
              <w:rPr>
                <w:sz w:val="20"/>
                <w:szCs w:val="20"/>
                <w:color w:val="auto"/>
              </w:rPr>
            </w:pPr>
            <w:r>
              <w:rPr>
                <w:rFonts w:ascii="Arial" w:cs="Arial" w:eastAsia="Arial" w:hAnsi="Arial"/>
                <w:sz w:val="14"/>
                <w:szCs w:val="14"/>
                <w:b w:val="1"/>
                <w:bCs w:val="1"/>
                <w:color w:val="auto"/>
              </w:rPr>
              <w:t>Administrative</w:t>
            </w:r>
          </w:p>
        </w:tc>
        <w:tc>
          <w:tcPr>
            <w:tcW w:w="200" w:type="dxa"/>
            <w:vAlign w:val="bottom"/>
          </w:tcPr>
          <w:p>
            <w:pPr>
              <w:spacing w:after="0"/>
              <w:rPr>
                <w:sz w:val="12"/>
                <w:szCs w:val="12"/>
                <w:color w:val="auto"/>
              </w:rPr>
            </w:pPr>
          </w:p>
        </w:tc>
        <w:tc>
          <w:tcPr>
            <w:tcW w:w="102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vMerge w:val="continue"/>
          </w:tcPr>
          <w:p>
            <w:pPr>
              <w:spacing w:after="0"/>
              <w:rPr>
                <w:sz w:val="16"/>
                <w:szCs w:val="16"/>
                <w:color w:val="auto"/>
              </w:rPr>
            </w:pPr>
          </w:p>
        </w:tc>
        <w:tc>
          <w:tcPr>
            <w:tcW w:w="124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Products Sold</w:t>
            </w:r>
          </w:p>
        </w:tc>
        <w:tc>
          <w:tcPr>
            <w:tcW w:w="132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Services Sold</w:t>
            </w:r>
          </w:p>
        </w:tc>
        <w:tc>
          <w:tcPr>
            <w:tcW w:w="240" w:type="dxa"/>
            <w:vAlign w:val="bottom"/>
            <w:tcBorders>
              <w:bottom w:val="single" w:sz="8" w:color="D7282F"/>
            </w:tcBorders>
          </w:tcPr>
          <w:p>
            <w:pPr>
              <w:spacing w:after="0"/>
              <w:rPr>
                <w:sz w:val="16"/>
                <w:szCs w:val="16"/>
                <w:color w:val="auto"/>
              </w:rPr>
            </w:pPr>
          </w:p>
        </w:tc>
        <w:tc>
          <w:tcPr>
            <w:tcW w:w="134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Expenses</w:t>
            </w:r>
          </w:p>
        </w:tc>
        <w:tc>
          <w:tcPr>
            <w:tcW w:w="20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w w:val="99"/>
              </w:rPr>
              <w:t>Charges</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61656A"/>
            </w:tcBorders>
            <w:gridSpan w:val="2"/>
          </w:tcPr>
          <w:p>
            <w:pPr>
              <w:ind w:left="36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30,582</w:t>
            </w:r>
          </w:p>
        </w:tc>
        <w:tc>
          <w:tcPr>
            <w:tcW w:w="32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13,533</w:t>
            </w:r>
          </w:p>
        </w:tc>
        <w:tc>
          <w:tcPr>
            <w:tcW w:w="34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5,694</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4,085</w:t>
            </w:r>
          </w:p>
        </w:tc>
        <w:tc>
          <w:tcPr>
            <w:tcW w:w="2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1,109</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970</w:t>
            </w:r>
          </w:p>
        </w:tc>
        <w:tc>
          <w:tcPr>
            <w:tcW w:w="0" w:type="dxa"/>
            <w:vAlign w:val="bottom"/>
          </w:tcPr>
          <w:p>
            <w:pPr>
              <w:spacing w:after="0"/>
              <w:rPr>
                <w:sz w:val="1"/>
                <w:szCs w:val="1"/>
                <w:color w:val="auto"/>
              </w:rPr>
            </w:pPr>
          </w:p>
        </w:tc>
      </w:tr>
      <w:tr>
        <w:trPr>
          <w:trHeight w:val="199"/>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(loss) on cash flow hedges</w:t>
            </w:r>
          </w:p>
        </w:tc>
        <w:tc>
          <w:tcPr>
            <w:tcW w:w="9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340" w:type="dxa"/>
            <w:vAlign w:val="bottom"/>
            <w:tcBorders>
              <w:bottom w:val="single" w:sz="8" w:color="61656A"/>
            </w:tcBorders>
          </w:tcPr>
          <w:p>
            <w:pPr>
              <w:spacing w:after="0"/>
              <w:rPr>
                <w:sz w:val="17"/>
                <w:szCs w:val="17"/>
                <w:color w:val="auto"/>
              </w:rPr>
            </w:pPr>
          </w:p>
        </w:tc>
        <w:tc>
          <w:tcPr>
            <w:tcW w:w="20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6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tcPr>
          <w:p>
            <w:pPr>
              <w:spacing w:after="0"/>
              <w:rPr>
                <w:sz w:val="16"/>
                <w:szCs w:val="16"/>
                <w:color w:val="auto"/>
              </w:rPr>
            </w:pPr>
          </w:p>
        </w:tc>
        <w:tc>
          <w:tcPr>
            <w:tcW w:w="20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76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(9)</w:t>
            </w:r>
          </w:p>
        </w:tc>
        <w:tc>
          <w:tcPr>
            <w:tcW w:w="340" w:type="dxa"/>
            <w:vAlign w:val="bottom"/>
          </w:tcPr>
          <w:p>
            <w:pPr>
              <w:spacing w:after="0"/>
              <w:rPr>
                <w:sz w:val="13"/>
                <w:szCs w:val="13"/>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3"/>
                <w:szCs w:val="13"/>
                <w:color w:val="auto"/>
              </w:rPr>
            </w:pPr>
          </w:p>
        </w:tc>
        <w:tc>
          <w:tcPr>
            <w:tcW w:w="1340" w:type="dxa"/>
            <w:vAlign w:val="bottom"/>
            <w:vMerge w:val="restart"/>
          </w:tcPr>
          <w:p>
            <w:pPr>
              <w:jc w:val="right"/>
              <w:ind w:right="108"/>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loss into income</w:t>
            </w:r>
          </w:p>
        </w:tc>
        <w:tc>
          <w:tcPr>
            <w:tcW w:w="960" w:type="dxa"/>
            <w:vAlign w:val="bottom"/>
            <w:tcBorders>
              <w:bottom w:val="single" w:sz="8" w:color="61656A"/>
            </w:tcBorders>
            <w:vMerge w:val="continue"/>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vMerge w:val="continue"/>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vMerge w:val="continue"/>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vMerge w:val="continue"/>
          </w:tcPr>
          <w:p>
            <w:pPr>
              <w:spacing w:after="0"/>
              <w:rPr>
                <w:sz w:val="16"/>
                <w:szCs w:val="16"/>
                <w:color w:val="auto"/>
              </w:rPr>
            </w:pPr>
          </w:p>
        </w:tc>
        <w:tc>
          <w:tcPr>
            <w:tcW w:w="20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(loss) on fair value hedges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tcPr>
          <w:p>
            <w:pPr>
              <w:spacing w:after="0"/>
              <w:rPr>
                <w:sz w:val="16"/>
                <w:szCs w:val="16"/>
                <w:color w:val="auto"/>
              </w:rPr>
            </w:pPr>
          </w:p>
        </w:tc>
        <w:tc>
          <w:tcPr>
            <w:tcW w:w="20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6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tcPr>
          <w:p>
            <w:pPr>
              <w:spacing w:after="0"/>
              <w:rPr>
                <w:sz w:val="16"/>
                <w:szCs w:val="16"/>
                <w:color w:val="auto"/>
              </w:rPr>
            </w:pPr>
          </w:p>
        </w:tc>
        <w:tc>
          <w:tcPr>
            <w:tcW w:w="20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3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3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50"/>
        </w:trPr>
        <w:tc>
          <w:tcPr>
            <w:tcW w:w="376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Gain (loss) on derivatives not designated as</w:t>
            </w: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tcPr>
          <w:p>
            <w:pPr>
              <w:spacing w:after="0"/>
              <w:rPr>
                <w:sz w:val="16"/>
                <w:szCs w:val="16"/>
                <w:color w:val="auto"/>
              </w:rPr>
            </w:pPr>
          </w:p>
        </w:tc>
        <w:tc>
          <w:tcPr>
            <w:tcW w:w="20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6"/>
                <w:szCs w:val="16"/>
                <w:color w:val="auto"/>
              </w:rPr>
            </w:pPr>
          </w:p>
        </w:tc>
        <w:tc>
          <w:tcPr>
            <w:tcW w:w="13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(396)</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29"/>
        </w:trPr>
        <w:tc>
          <w:tcPr>
            <w:tcW w:w="3620" w:type="dxa"/>
            <w:vAlign w:val="bottom"/>
          </w:tcPr>
          <w:p>
            <w:pPr>
              <w:spacing w:after="0"/>
              <w:rPr>
                <w:sz w:val="24"/>
                <w:szCs w:val="24"/>
                <w:color w:val="auto"/>
              </w:rPr>
            </w:pPr>
          </w:p>
        </w:tc>
        <w:tc>
          <w:tcPr>
            <w:tcW w:w="140" w:type="dxa"/>
            <w:vAlign w:val="bottom"/>
            <w:tcBorders>
              <w:bottom w:val="single" w:sz="8" w:color="D7282F"/>
            </w:tcBorders>
          </w:tcPr>
          <w:p>
            <w:pPr>
              <w:spacing w:after="0"/>
              <w:rPr>
                <w:sz w:val="24"/>
                <w:szCs w:val="24"/>
                <w:color w:val="auto"/>
              </w:rPr>
            </w:pPr>
          </w:p>
        </w:tc>
        <w:tc>
          <w:tcPr>
            <w:tcW w:w="960" w:type="dxa"/>
            <w:vAlign w:val="bottom"/>
            <w:tcBorders>
              <w:bottom w:val="single" w:sz="8" w:color="D7282F"/>
            </w:tcBorders>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920" w:type="dxa"/>
            <w:vAlign w:val="bottom"/>
            <w:tcBorders>
              <w:bottom w:val="single" w:sz="8" w:color="D7282F"/>
            </w:tcBorders>
          </w:tcPr>
          <w:p>
            <w:pPr>
              <w:spacing w:after="0"/>
              <w:rPr>
                <w:sz w:val="24"/>
                <w:szCs w:val="24"/>
                <w:color w:val="auto"/>
              </w:rPr>
            </w:pPr>
          </w:p>
        </w:tc>
        <w:tc>
          <w:tcPr>
            <w:tcW w:w="2900" w:type="dxa"/>
            <w:vAlign w:val="bottom"/>
            <w:tcBorders>
              <w:bottom w:val="single" w:sz="8" w:color="D7282F"/>
            </w:tcBorders>
            <w:gridSpan w:val="4"/>
          </w:tcPr>
          <w:p>
            <w:pPr>
              <w:jc w:val="right"/>
              <w:ind w:right="8"/>
              <w:spacing w:after="0"/>
              <w:rPr>
                <w:sz w:val="20"/>
                <w:szCs w:val="20"/>
                <w:color w:val="auto"/>
              </w:rPr>
            </w:pPr>
            <w:r>
              <w:rPr>
                <w:rFonts w:ascii="Arial" w:cs="Arial" w:eastAsia="Arial" w:hAnsi="Arial"/>
                <w:sz w:val="14"/>
                <w:szCs w:val="14"/>
                <w:b w:val="1"/>
                <w:bCs w:val="1"/>
                <w:color w:val="auto"/>
              </w:rPr>
              <w:t>Nine Months Ended September 30, 2024</w:t>
            </w:r>
          </w:p>
        </w:tc>
        <w:tc>
          <w:tcPr>
            <w:tcW w:w="200" w:type="dxa"/>
            <w:vAlign w:val="bottom"/>
            <w:tcBorders>
              <w:bottom w:val="single" w:sz="8" w:color="D7282F"/>
            </w:tcBorders>
          </w:tcPr>
          <w:p>
            <w:pPr>
              <w:spacing w:after="0"/>
              <w:rPr>
                <w:sz w:val="24"/>
                <w:szCs w:val="24"/>
                <w:color w:val="auto"/>
              </w:rPr>
            </w:pPr>
          </w:p>
        </w:tc>
        <w:tc>
          <w:tcPr>
            <w:tcW w:w="1020" w:type="dxa"/>
            <w:vAlign w:val="bottom"/>
            <w:tcBorders>
              <w:bottom w:val="single" w:sz="8" w:color="D7282F"/>
            </w:tcBorders>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94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208"/>
              <w:spacing w:after="0" w:line="143" w:lineRule="exact"/>
              <w:rPr>
                <w:sz w:val="20"/>
                <w:szCs w:val="20"/>
                <w:color w:val="auto"/>
              </w:rPr>
            </w:pPr>
            <w:r>
              <w:rPr>
                <w:rFonts w:ascii="Arial" w:cs="Arial" w:eastAsia="Arial" w:hAnsi="Arial"/>
                <w:sz w:val="14"/>
                <w:szCs w:val="14"/>
                <w:b w:val="1"/>
                <w:bCs w:val="1"/>
                <w:color w:val="auto"/>
              </w:rPr>
              <w:t>Selling,</w:t>
            </w:r>
          </w:p>
        </w:tc>
        <w:tc>
          <w:tcPr>
            <w:tcW w:w="200" w:type="dxa"/>
            <w:vAlign w:val="bottom"/>
          </w:tcPr>
          <w:p>
            <w:pPr>
              <w:spacing w:after="0"/>
              <w:rPr>
                <w:sz w:val="12"/>
                <w:szCs w:val="12"/>
                <w:color w:val="auto"/>
              </w:rPr>
            </w:pPr>
          </w:p>
        </w:tc>
        <w:tc>
          <w:tcPr>
            <w:tcW w:w="102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94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 of</w:t>
            </w:r>
          </w:p>
        </w:tc>
        <w:tc>
          <w:tcPr>
            <w:tcW w:w="340" w:type="dxa"/>
            <w:vAlign w:val="bottom"/>
          </w:tcPr>
          <w:p>
            <w:pPr>
              <w:spacing w:after="0"/>
              <w:rPr>
                <w:sz w:val="12"/>
                <w:szCs w:val="12"/>
                <w:color w:val="auto"/>
              </w:rPr>
            </w:pPr>
          </w:p>
        </w:tc>
        <w:tc>
          <w:tcPr>
            <w:tcW w:w="98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rPr>
              <w:t>Cost of</w:t>
            </w:r>
          </w:p>
        </w:tc>
        <w:tc>
          <w:tcPr>
            <w:tcW w:w="240" w:type="dxa"/>
            <w:vAlign w:val="bottom"/>
          </w:tcPr>
          <w:p>
            <w:pPr>
              <w:spacing w:after="0"/>
              <w:rPr>
                <w:sz w:val="12"/>
                <w:szCs w:val="12"/>
                <w:color w:val="auto"/>
              </w:rPr>
            </w:pPr>
          </w:p>
        </w:tc>
        <w:tc>
          <w:tcPr>
            <w:tcW w:w="134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rPr>
              <w:t>General and</w:t>
            </w: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228"/>
              <w:spacing w:after="0" w:line="149" w:lineRule="exact"/>
              <w:rPr>
                <w:sz w:val="20"/>
                <w:szCs w:val="20"/>
                <w:color w:val="auto"/>
              </w:rPr>
            </w:pPr>
            <w:r>
              <w:rPr>
                <w:rFonts w:ascii="Arial" w:cs="Arial" w:eastAsia="Arial" w:hAnsi="Arial"/>
                <w:sz w:val="14"/>
                <w:szCs w:val="14"/>
                <w:b w:val="1"/>
                <w:bCs w:val="1"/>
                <w:color w:val="auto"/>
              </w:rPr>
              <w:t>Administrative</w:t>
            </w:r>
          </w:p>
        </w:tc>
        <w:tc>
          <w:tcPr>
            <w:tcW w:w="200" w:type="dxa"/>
            <w:vAlign w:val="bottom"/>
          </w:tcPr>
          <w:p>
            <w:pPr>
              <w:spacing w:after="0"/>
              <w:rPr>
                <w:sz w:val="12"/>
                <w:szCs w:val="12"/>
                <w:color w:val="auto"/>
              </w:rPr>
            </w:pPr>
          </w:p>
        </w:tc>
        <w:tc>
          <w:tcPr>
            <w:tcW w:w="102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vMerge w:val="continue"/>
          </w:tcPr>
          <w:p>
            <w:pPr>
              <w:spacing w:after="0"/>
              <w:rPr>
                <w:sz w:val="16"/>
                <w:szCs w:val="16"/>
                <w:color w:val="auto"/>
              </w:rPr>
            </w:pPr>
          </w:p>
        </w:tc>
        <w:tc>
          <w:tcPr>
            <w:tcW w:w="124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Products Sold</w:t>
            </w:r>
          </w:p>
        </w:tc>
        <w:tc>
          <w:tcPr>
            <w:tcW w:w="132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Services Sold</w:t>
            </w:r>
          </w:p>
        </w:tc>
        <w:tc>
          <w:tcPr>
            <w:tcW w:w="240" w:type="dxa"/>
            <w:vAlign w:val="bottom"/>
            <w:tcBorders>
              <w:bottom w:val="single" w:sz="8" w:color="D7282F"/>
            </w:tcBorders>
          </w:tcPr>
          <w:p>
            <w:pPr>
              <w:spacing w:after="0"/>
              <w:rPr>
                <w:sz w:val="16"/>
                <w:szCs w:val="16"/>
                <w:color w:val="auto"/>
              </w:rPr>
            </w:pPr>
          </w:p>
        </w:tc>
        <w:tc>
          <w:tcPr>
            <w:tcW w:w="134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Expenses</w:t>
            </w:r>
          </w:p>
        </w:tc>
        <w:tc>
          <w:tcPr>
            <w:tcW w:w="20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w w:val="99"/>
              </w:rPr>
              <w:t>Charges</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61656A"/>
            </w:tcBorders>
            <w:gridSpan w:val="2"/>
          </w:tcPr>
          <w:p>
            <w:pPr>
              <w:ind w:left="36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28,410</w:t>
            </w:r>
          </w:p>
        </w:tc>
        <w:tc>
          <w:tcPr>
            <w:tcW w:w="32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12,448</w:t>
            </w:r>
          </w:p>
        </w:tc>
        <w:tc>
          <w:tcPr>
            <w:tcW w:w="34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4,970</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4,061</w:t>
            </w:r>
          </w:p>
        </w:tc>
        <w:tc>
          <w:tcPr>
            <w:tcW w:w="2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740</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767</w:t>
            </w:r>
          </w:p>
        </w:tc>
        <w:tc>
          <w:tcPr>
            <w:tcW w:w="0" w:type="dxa"/>
            <w:vAlign w:val="bottom"/>
          </w:tcPr>
          <w:p>
            <w:pPr>
              <w:spacing w:after="0"/>
              <w:rPr>
                <w:sz w:val="1"/>
                <w:szCs w:val="1"/>
                <w:color w:val="auto"/>
              </w:rPr>
            </w:pPr>
          </w:p>
        </w:tc>
      </w:tr>
      <w:tr>
        <w:trPr>
          <w:trHeight w:val="199"/>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(loss) on cash flow hedges</w:t>
            </w:r>
          </w:p>
        </w:tc>
        <w:tc>
          <w:tcPr>
            <w:tcW w:w="9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340" w:type="dxa"/>
            <w:vAlign w:val="bottom"/>
            <w:tcBorders>
              <w:bottom w:val="single" w:sz="8" w:color="61656A"/>
            </w:tcBorders>
          </w:tcPr>
          <w:p>
            <w:pPr>
              <w:spacing w:after="0"/>
              <w:rPr>
                <w:sz w:val="17"/>
                <w:szCs w:val="17"/>
                <w:color w:val="auto"/>
              </w:rPr>
            </w:pPr>
          </w:p>
        </w:tc>
        <w:tc>
          <w:tcPr>
            <w:tcW w:w="20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6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tcPr>
          <w:p>
            <w:pPr>
              <w:spacing w:after="0"/>
              <w:rPr>
                <w:sz w:val="16"/>
                <w:szCs w:val="16"/>
                <w:color w:val="auto"/>
              </w:rPr>
            </w:pPr>
          </w:p>
        </w:tc>
        <w:tc>
          <w:tcPr>
            <w:tcW w:w="20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760" w:type="dxa"/>
            <w:vAlign w:val="bottom"/>
            <w:gridSpan w:val="2"/>
          </w:tcPr>
          <w:p>
            <w:pPr>
              <w:ind w:left="240"/>
              <w:spacing w:after="0" w:line="146" w:lineRule="exact"/>
              <w:rPr>
                <w:sz w:val="20"/>
                <w:szCs w:val="20"/>
                <w:color w:val="auto"/>
              </w:rPr>
            </w:pPr>
            <w:r>
              <w:rPr>
                <w:rFonts w:ascii="Arial" w:cs="Arial" w:eastAsia="Arial" w:hAnsi="Arial"/>
                <w:sz w:val="14"/>
                <w:szCs w:val="14"/>
                <w:color w:val="auto"/>
              </w:rPr>
              <w:t>Amount reclassified from accumulated other</w:t>
            </w: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2"/>
                <w:szCs w:val="12"/>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12"/>
                <w:szCs w:val="12"/>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2"/>
                <w:szCs w:val="12"/>
                <w:color w:val="auto"/>
              </w:rPr>
            </w:pPr>
          </w:p>
        </w:tc>
        <w:tc>
          <w:tcPr>
            <w:tcW w:w="1340" w:type="dxa"/>
            <w:vAlign w:val="bottom"/>
            <w:vMerge w:val="restart"/>
          </w:tcPr>
          <w:p>
            <w:pPr>
              <w:jc w:val="right"/>
              <w:ind w:right="148"/>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12"/>
                <w:szCs w:val="12"/>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loss into income</w:t>
            </w:r>
          </w:p>
        </w:tc>
        <w:tc>
          <w:tcPr>
            <w:tcW w:w="960" w:type="dxa"/>
            <w:vAlign w:val="bottom"/>
            <w:tcBorders>
              <w:bottom w:val="single" w:sz="8" w:color="61656A"/>
            </w:tcBorders>
            <w:vMerge w:val="continue"/>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vMerge w:val="continue"/>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vMerge w:val="continue"/>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vMerge w:val="continue"/>
          </w:tcPr>
          <w:p>
            <w:pPr>
              <w:spacing w:after="0"/>
              <w:rPr>
                <w:sz w:val="16"/>
                <w:szCs w:val="16"/>
                <w:color w:val="auto"/>
              </w:rPr>
            </w:pPr>
          </w:p>
        </w:tc>
        <w:tc>
          <w:tcPr>
            <w:tcW w:w="20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(loss) on fair value hedges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tcPr>
          <w:p>
            <w:pPr>
              <w:spacing w:after="0"/>
              <w:rPr>
                <w:sz w:val="16"/>
                <w:szCs w:val="16"/>
                <w:color w:val="auto"/>
              </w:rPr>
            </w:pPr>
          </w:p>
        </w:tc>
        <w:tc>
          <w:tcPr>
            <w:tcW w:w="20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6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tcPr>
          <w:p>
            <w:pPr>
              <w:spacing w:after="0"/>
              <w:rPr>
                <w:sz w:val="16"/>
                <w:szCs w:val="16"/>
                <w:color w:val="auto"/>
              </w:rPr>
            </w:pPr>
          </w:p>
        </w:tc>
        <w:tc>
          <w:tcPr>
            <w:tcW w:w="20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3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3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6"/>
        </w:trPr>
        <w:tc>
          <w:tcPr>
            <w:tcW w:w="376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rPr>
              <w:t>Gain (loss) on derivatives not designated as</w:t>
            </w: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tcPr>
          <w:p>
            <w:pPr>
              <w:spacing w:after="0"/>
              <w:rPr>
                <w:sz w:val="16"/>
                <w:szCs w:val="16"/>
                <w:color w:val="auto"/>
              </w:rPr>
            </w:pPr>
          </w:p>
        </w:tc>
        <w:tc>
          <w:tcPr>
            <w:tcW w:w="20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6"/>
                <w:szCs w:val="16"/>
                <w:color w:val="auto"/>
              </w:rPr>
            </w:pPr>
          </w:p>
        </w:tc>
        <w:tc>
          <w:tcPr>
            <w:tcW w:w="13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(180)</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amounts of gain or (loss) on net investment hedges recognized in Accumulated other comprehensive loss: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ind w:left="120"/>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ind w:left="300"/>
              <w:spacing w:after="0"/>
              <w:rPr>
                <w:sz w:val="20"/>
                <w:szCs w:val="20"/>
                <w:color w:val="auto"/>
              </w:rPr>
            </w:pPr>
            <w:r>
              <w:rPr>
                <w:rFonts w:ascii="Arial" w:cs="Arial" w:eastAsia="Arial" w:hAnsi="Arial"/>
                <w:sz w:val="14"/>
                <w:szCs w:val="14"/>
                <w:b w:val="1"/>
                <w:bCs w:val="1"/>
                <w:color w:val="auto"/>
              </w:rPr>
              <w:t>September 30,</w:t>
            </w:r>
          </w:p>
        </w:tc>
      </w:tr>
      <w:tr>
        <w:trPr>
          <w:trHeight w:val="235"/>
        </w:trPr>
        <w:tc>
          <w:tcPr>
            <w:tcW w:w="7100" w:type="dxa"/>
            <w:vAlign w:val="bottom"/>
            <w:tcBorders>
              <w:bottom w:val="single" w:sz="8" w:color="D7282F"/>
            </w:tcBorders>
          </w:tcPr>
          <w:p>
            <w:pPr>
              <w:spacing w:after="0"/>
              <w:rPr>
                <w:sz w:val="20"/>
                <w:szCs w:val="20"/>
                <w:color w:val="auto"/>
              </w:rPr>
            </w:pPr>
          </w:p>
        </w:tc>
        <w:tc>
          <w:tcPr>
            <w:tcW w:w="180" w:type="dxa"/>
            <w:vAlign w:val="bottom"/>
            <w:tcBorders>
              <w:top w:val="single" w:sz="8" w:color="D7282F"/>
              <w:bottom w:val="single" w:sz="8" w:color="D7282F"/>
            </w:tcBorders>
          </w:tcPr>
          <w:p>
            <w:pPr>
              <w:spacing w:after="0"/>
              <w:rPr>
                <w:sz w:val="20"/>
                <w:szCs w:val="20"/>
                <w:color w:val="auto"/>
              </w:rPr>
            </w:pPr>
          </w:p>
        </w:tc>
        <w:tc>
          <w:tcPr>
            <w:tcW w:w="780" w:type="dxa"/>
            <w:vAlign w:val="bottom"/>
            <w:tcBorders>
              <w:top w:val="single" w:sz="8" w:color="D7282F"/>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20"/>
                <w:szCs w:val="20"/>
                <w:color w:val="auto"/>
              </w:rPr>
            </w:pPr>
          </w:p>
        </w:tc>
        <w:tc>
          <w:tcPr>
            <w:tcW w:w="180" w:type="dxa"/>
            <w:vAlign w:val="bottom"/>
            <w:tcBorders>
              <w:top w:val="single" w:sz="8" w:color="D7282F"/>
              <w:bottom w:val="single" w:sz="8" w:color="D7282F"/>
            </w:tcBorders>
          </w:tcPr>
          <w:p>
            <w:pPr>
              <w:spacing w:after="0"/>
              <w:rPr>
                <w:sz w:val="20"/>
                <w:szCs w:val="20"/>
                <w:color w:val="auto"/>
              </w:rPr>
            </w:pPr>
          </w:p>
        </w:tc>
        <w:tc>
          <w:tcPr>
            <w:tcW w:w="800" w:type="dxa"/>
            <w:vAlign w:val="bottom"/>
            <w:tcBorders>
              <w:top w:val="single" w:sz="8" w:color="D7282F"/>
              <w:bottom w:val="single" w:sz="8" w:color="D7282F"/>
            </w:tcBorders>
          </w:tcPr>
          <w:p>
            <w:pPr>
              <w:ind w:left="100"/>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Euro-denominated long-term debt</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(73)</w:t>
            </w:r>
          </w:p>
        </w:tc>
        <w:tc>
          <w:tcPr>
            <w:tcW w:w="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(246)</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ind w:left="320"/>
              <w:spacing w:after="0"/>
              <w:rPr>
                <w:sz w:val="20"/>
                <w:szCs w:val="20"/>
                <w:color w:val="auto"/>
              </w:rPr>
            </w:pPr>
            <w:r>
              <w:rPr>
                <w:rFonts w:ascii="Arial" w:cs="Arial" w:eastAsia="Arial" w:hAnsi="Arial"/>
                <w:sz w:val="14"/>
                <w:szCs w:val="14"/>
                <w:color w:val="auto"/>
              </w:rPr>
              <w:t>(666)</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(146)</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Euro-denominated commercial paper</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(15)</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(52)</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ind w:left="320"/>
              <w:spacing w:after="0"/>
              <w:rPr>
                <w:sz w:val="20"/>
                <w:szCs w:val="20"/>
                <w:color w:val="auto"/>
              </w:rPr>
            </w:pPr>
            <w:r>
              <w:rPr>
                <w:rFonts w:ascii="Arial" w:cs="Arial" w:eastAsia="Arial" w:hAnsi="Arial"/>
                <w:sz w:val="14"/>
                <w:szCs w:val="14"/>
                <w:color w:val="auto"/>
              </w:rPr>
              <w:t>(140)</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Cross currency swap agreements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(7)</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(314)</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ind w:left="320"/>
              <w:spacing w:after="0"/>
              <w:rPr>
                <w:sz w:val="20"/>
                <w:szCs w:val="20"/>
                <w:color w:val="auto"/>
              </w:rPr>
            </w:pPr>
            <w:r>
              <w:rPr>
                <w:rFonts w:ascii="Arial" w:cs="Arial" w:eastAsia="Arial" w:hAnsi="Arial"/>
                <w:sz w:val="14"/>
                <w:szCs w:val="14"/>
                <w:color w:val="auto"/>
              </w:rPr>
              <w:t>(843)</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(227)</w:t>
            </w:r>
          </w:p>
        </w:tc>
      </w:tr>
    </w:tbl>
    <w:p>
      <w:pPr>
        <w:spacing w:after="0" w:line="200" w:lineRule="exact"/>
        <w:rPr>
          <w:sz w:val="20"/>
          <w:szCs w:val="20"/>
          <w:color w:val="auto"/>
        </w:rPr>
      </w:pPr>
    </w:p>
    <w:p>
      <w:pPr>
        <w:spacing w:after="0" w:line="28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23</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12.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accounting guidance for fair value measurements and disclosures establishes a three-level fair value hierarchy:</w:t>
      </w:r>
    </w:p>
    <w:p>
      <w:pPr>
        <w:spacing w:after="0" w:line="113" w:lineRule="exact"/>
        <w:rPr>
          <w:sz w:val="20"/>
          <w:szCs w:val="20"/>
          <w:color w:val="auto"/>
        </w:rPr>
      </w:pPr>
    </w:p>
    <w:p>
      <w:pPr>
        <w:ind w:left="200" w:hanging="192"/>
        <w:spacing w:after="0"/>
        <w:tabs>
          <w:tab w:leader="none" w:pos="200" w:val="left"/>
        </w:tabs>
        <w:numPr>
          <w:ilvl w:val="0"/>
          <w:numId w:val="21"/>
        </w:numPr>
        <w:rPr>
          <w:rFonts w:ascii="Arial" w:cs="Arial" w:eastAsia="Arial" w:hAnsi="Arial"/>
          <w:sz w:val="16"/>
          <w:szCs w:val="16"/>
          <w:color w:val="D7282F"/>
        </w:rPr>
      </w:pPr>
      <w:r>
        <w:rPr>
          <w:rFonts w:ascii="Arial" w:cs="Arial" w:eastAsia="Arial" w:hAnsi="Arial"/>
          <w:sz w:val="16"/>
          <w:szCs w:val="16"/>
          <w:color w:val="auto"/>
        </w:rPr>
        <w:t>Level 1 - Inputs are based on quoted prices in active markets for identical assets and liabilities.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21"/>
        </w:numPr>
        <w:rPr>
          <w:rFonts w:ascii="Arial" w:cs="Arial" w:eastAsia="Arial" w:hAnsi="Arial"/>
          <w:sz w:val="16"/>
          <w:szCs w:val="16"/>
          <w:color w:val="D7282F"/>
        </w:rPr>
      </w:pPr>
      <w:r>
        <w:rPr>
          <w:rFonts w:ascii="Arial" w:cs="Arial" w:eastAsia="Arial" w:hAnsi="Arial"/>
          <w:sz w:val="16"/>
          <w:szCs w:val="16"/>
          <w:color w:val="auto"/>
        </w:rPr>
        <w:t>Level 2 - Inputs are based on observable inputs other than quoted prices in active markets for identical or similar assets and liabilities.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21"/>
        </w:numPr>
        <w:rPr>
          <w:rFonts w:ascii="Arial" w:cs="Arial" w:eastAsia="Arial" w:hAnsi="Arial"/>
          <w:sz w:val="16"/>
          <w:szCs w:val="16"/>
          <w:color w:val="D7282F"/>
        </w:rPr>
      </w:pPr>
      <w:r>
        <w:rPr>
          <w:rFonts w:ascii="Arial" w:cs="Arial" w:eastAsia="Arial" w:hAnsi="Arial"/>
          <w:sz w:val="16"/>
          <w:szCs w:val="16"/>
          <w:color w:val="auto"/>
        </w:rPr>
        <w:t>Level 3 - One or more inputs are unobservable and significant.</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classifies financial and nonfinancial assets and liabilities in their entirety based on the lowest level of input that is significant to the fair value measurement.</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financial assets and liabilities accounted for at fair value on a recurring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4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gridSpan w:val="3"/>
          </w:tcPr>
          <w:p>
            <w:pPr>
              <w:jc w:val="right"/>
              <w:ind w:right="208"/>
              <w:spacing w:after="0"/>
              <w:rPr>
                <w:sz w:val="20"/>
                <w:szCs w:val="20"/>
                <w:color w:val="auto"/>
              </w:rPr>
            </w:pPr>
            <w:r>
              <w:rPr>
                <w:rFonts w:ascii="Arial" w:cs="Arial" w:eastAsia="Arial" w:hAnsi="Arial"/>
                <w:sz w:val="14"/>
                <w:szCs w:val="14"/>
                <w:b w:val="1"/>
                <w:bCs w:val="1"/>
                <w:color w:val="auto"/>
              </w:rPr>
              <w:t>September 30, 2025</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gridSpan w:val="3"/>
          </w:tcPr>
          <w:p>
            <w:pPr>
              <w:jc w:val="right"/>
              <w:ind w:right="248"/>
              <w:spacing w:after="0"/>
              <w:rPr>
                <w:sz w:val="20"/>
                <w:szCs w:val="20"/>
                <w:color w:val="auto"/>
              </w:rPr>
            </w:pPr>
            <w:r>
              <w:rPr>
                <w:rFonts w:ascii="Arial" w:cs="Arial" w:eastAsia="Arial" w:hAnsi="Arial"/>
                <w:sz w:val="14"/>
                <w:szCs w:val="14"/>
                <w:b w:val="1"/>
                <w:bCs w:val="1"/>
                <w:color w:val="auto"/>
              </w:rPr>
              <w:t>December 31, 2024</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spacing w:after="0"/>
              <w:rPr>
                <w:sz w:val="17"/>
                <w:szCs w:val="17"/>
                <w:color w:val="auto"/>
              </w:rPr>
            </w:pPr>
          </w:p>
        </w:tc>
      </w:tr>
      <w:tr>
        <w:trPr>
          <w:trHeight w:val="196"/>
        </w:trPr>
        <w:tc>
          <w:tcPr>
            <w:tcW w:w="35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Total</w:t>
            </w:r>
          </w:p>
        </w:tc>
      </w:tr>
      <w:tr>
        <w:trPr>
          <w:trHeight w:val="196"/>
        </w:trPr>
        <w:tc>
          <w:tcPr>
            <w:tcW w:w="35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12</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w:t>
            </w: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33</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33</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Available for sale investments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52</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464</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516</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69</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427</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496</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124</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124</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Investments in equity securities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w:t>
            </w:r>
          </w:p>
        </w:tc>
      </w:tr>
      <w:tr>
        <w:trPr>
          <w:trHeight w:val="196"/>
        </w:trPr>
        <w:tc>
          <w:tcPr>
            <w:tcW w:w="3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Right to HWI Net Sale Proceeds</w:t>
            </w: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w:t>
            </w:r>
          </w:p>
        </w:tc>
      </w:tr>
      <w:tr>
        <w:trPr>
          <w:trHeight w:val="199"/>
        </w:trPr>
        <w:tc>
          <w:tcPr>
            <w:tcW w:w="35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54</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491</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549</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587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670</w:t>
            </w:r>
          </w:p>
        </w:tc>
      </w:tr>
      <w:tr>
        <w:trPr>
          <w:trHeight w:val="196"/>
        </w:trPr>
        <w:tc>
          <w:tcPr>
            <w:tcW w:w="35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25</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w:t>
            </w: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97</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97</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139</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139</w:t>
            </w:r>
          </w:p>
        </w:tc>
      </w:tr>
      <w:tr>
        <w:trPr>
          <w:trHeight w:val="196"/>
        </w:trPr>
        <w:tc>
          <w:tcPr>
            <w:tcW w:w="3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776</w:t>
            </w:r>
          </w:p>
        </w:tc>
        <w:tc>
          <w:tcPr>
            <w:tcW w:w="2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776</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56</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56</w:t>
            </w:r>
          </w:p>
        </w:tc>
      </w:tr>
      <w:tr>
        <w:trPr>
          <w:trHeight w:val="199"/>
        </w:trPr>
        <w:tc>
          <w:tcPr>
            <w:tcW w:w="35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898</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898</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210</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210</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values foreign currency exchange contracts, interest rate swap agreements, cross currency swap agreements, and commodity contracts using broker quotations, or market transactions in either the listed or over-the-counter markets. These derivative instruments are classified within level 2. The Company also holds investments in commercial paper, certificates of deposits, time deposits, and corporate debt securities that are designated as available for sale. These investments are valued using published prices based on observable market data. These investments are classified within level 2.</w:t>
      </w:r>
    </w:p>
    <w:p>
      <w:pPr>
        <w:spacing w:after="0" w:line="7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holds certain available for sale investments in U.S. government securities and investments in equity securities. The Company values these investments utilizing published prices based on quoted market pricing, which are classified within level 1.</w:t>
      </w:r>
    </w:p>
    <w:p>
      <w:pPr>
        <w:spacing w:after="0" w:line="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carrying value of cash and cash equivalents, trade accounts and notes receivables, payables, commercial paper, and other short-term borrowings contained in the Consolidated Balance Sheet approximates fair value.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financial assets and liabilities that were not carried at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0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1840" w:type="dxa"/>
            <w:vAlign w:val="bottom"/>
            <w:tcBorders>
              <w:bottom w:val="single" w:sz="8" w:color="D7282F"/>
            </w:tcBorders>
            <w:gridSpan w:val="3"/>
          </w:tcPr>
          <w:p>
            <w:pPr>
              <w:jc w:val="right"/>
              <w:ind w:right="248"/>
              <w:spacing w:after="0"/>
              <w:rPr>
                <w:sz w:val="20"/>
                <w:szCs w:val="20"/>
                <w:color w:val="auto"/>
              </w:rPr>
            </w:pPr>
            <w:r>
              <w:rPr>
                <w:rFonts w:ascii="Arial" w:cs="Arial" w:eastAsia="Arial" w:hAnsi="Arial"/>
                <w:sz w:val="14"/>
                <w:szCs w:val="14"/>
                <w:b w:val="1"/>
                <w:bCs w:val="1"/>
                <w:color w:val="auto"/>
              </w:rPr>
              <w:t>September 30, 2025</w:t>
            </w:r>
          </w:p>
        </w:tc>
        <w:tc>
          <w:tcPr>
            <w:tcW w:w="22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1840" w:type="dxa"/>
            <w:vAlign w:val="bottom"/>
            <w:tcBorders>
              <w:bottom w:val="single" w:sz="8" w:color="D7282F"/>
            </w:tcBorders>
            <w:gridSpan w:val="3"/>
          </w:tcPr>
          <w:p>
            <w:pPr>
              <w:jc w:val="right"/>
              <w:ind w:right="268"/>
              <w:spacing w:after="0"/>
              <w:rPr>
                <w:sz w:val="20"/>
                <w:szCs w:val="20"/>
                <w:color w:val="auto"/>
              </w:rPr>
            </w:pPr>
            <w:r>
              <w:rPr>
                <w:rFonts w:ascii="Arial" w:cs="Arial" w:eastAsia="Arial" w:hAnsi="Arial"/>
                <w:sz w:val="14"/>
                <w:szCs w:val="14"/>
                <w:b w:val="1"/>
                <w:bCs w:val="1"/>
                <w:color w:val="auto"/>
              </w:rPr>
              <w:t>December 31, 2024</w:t>
            </w:r>
          </w:p>
        </w:tc>
      </w:tr>
      <w:tr>
        <w:trPr>
          <w:trHeight w:val="147"/>
        </w:trPr>
        <w:tc>
          <w:tcPr>
            <w:tcW w:w="7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48"/>
              <w:spacing w:after="0" w:line="147"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920" w:type="dxa"/>
            <w:vAlign w:val="bottom"/>
            <w:gridSpan w:val="2"/>
          </w:tcPr>
          <w:p>
            <w:pPr>
              <w:jc w:val="right"/>
              <w:ind w:right="520"/>
              <w:spacing w:after="0" w:line="147"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840" w:type="dxa"/>
            <w:vAlign w:val="bottom"/>
          </w:tcPr>
          <w:p>
            <w:pPr>
              <w:jc w:val="right"/>
              <w:ind w:right="148"/>
              <w:spacing w:after="0" w:line="147"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2"/>
                <w:szCs w:val="12"/>
                <w:color w:val="auto"/>
              </w:rPr>
            </w:pPr>
          </w:p>
        </w:tc>
        <w:tc>
          <w:tcPr>
            <w:tcW w:w="700" w:type="dxa"/>
            <w:vAlign w:val="bottom"/>
          </w:tcPr>
          <w:p>
            <w:pPr>
              <w:jc w:val="right"/>
              <w:ind w:right="228"/>
              <w:spacing w:after="0" w:line="147" w:lineRule="exact"/>
              <w:rPr>
                <w:sz w:val="20"/>
                <w:szCs w:val="20"/>
                <w:color w:val="auto"/>
              </w:rPr>
            </w:pPr>
            <w:r>
              <w:rPr>
                <w:rFonts w:ascii="Arial" w:cs="Arial" w:eastAsia="Arial" w:hAnsi="Arial"/>
                <w:sz w:val="14"/>
                <w:szCs w:val="14"/>
                <w:b w:val="1"/>
                <w:bCs w:val="1"/>
                <w:color w:val="auto"/>
              </w:rPr>
              <w:t>Fair</w:t>
            </w:r>
          </w:p>
        </w:tc>
      </w:tr>
      <w:tr>
        <w:trPr>
          <w:trHeight w:val="185"/>
        </w:trPr>
        <w:tc>
          <w:tcPr>
            <w:tcW w:w="710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gridSpan w:val="2"/>
          </w:tcPr>
          <w:p>
            <w:pPr>
              <w:ind w:left="80"/>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D7282F"/>
            </w:tcBorders>
          </w:tcPr>
          <w:p>
            <w:pPr>
              <w:spacing w:after="0"/>
              <w:rPr>
                <w:sz w:val="16"/>
                <w:szCs w:val="16"/>
                <w:color w:val="auto"/>
              </w:rPr>
            </w:pPr>
          </w:p>
        </w:tc>
        <w:tc>
          <w:tcPr>
            <w:tcW w:w="7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Value</w:t>
            </w:r>
          </w:p>
        </w:tc>
      </w:tr>
      <w:tr>
        <w:trPr>
          <w:trHeight w:val="195"/>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spacing w:after="0"/>
              <w:rPr>
                <w:sz w:val="16"/>
                <w:szCs w:val="16"/>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Long-term receivables</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951</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913</w:t>
            </w: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723</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666</w:t>
            </w:r>
          </w:p>
        </w:tc>
      </w:tr>
      <w:tr>
        <w:trPr>
          <w:trHeight w:val="199"/>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spacing w:after="0"/>
              <w:rPr>
                <w:sz w:val="17"/>
                <w:szCs w:val="17"/>
                <w:color w:val="auto"/>
              </w:rPr>
            </w:pPr>
          </w:p>
        </w:tc>
      </w:tr>
      <w:tr>
        <w:trPr>
          <w:trHeight w:val="193"/>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Long-term debt and related current maturities</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30,164</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29,543</w:t>
            </w:r>
          </w:p>
        </w:tc>
        <w:tc>
          <w:tcPr>
            <w:tcW w:w="22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26,826</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25,503</w:t>
            </w:r>
          </w:p>
        </w:tc>
      </w:tr>
    </w:tbl>
    <w:p>
      <w:pPr>
        <w:spacing w:after="0" w:line="18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Company determined the fair value of the long-term receivables by utilizing transactions in the listed markets for identical or similar assets. As such, the fair value of these receivables is considered level 2.</w:t>
      </w:r>
    </w:p>
    <w:p>
      <w:pPr>
        <w:spacing w:after="0" w:line="373" w:lineRule="exact"/>
        <w:rPr>
          <w:sz w:val="20"/>
          <w:szCs w:val="20"/>
          <w:color w:val="auto"/>
        </w:rPr>
      </w:pPr>
    </w:p>
    <w:p>
      <w:pPr>
        <w:ind w:left="400" w:hanging="392"/>
        <w:spacing w:after="0"/>
        <w:tabs>
          <w:tab w:leader="none" w:pos="400" w:val="left"/>
        </w:tabs>
        <w:numPr>
          <w:ilvl w:val="0"/>
          <w:numId w:val="2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determined the fair value of the long-term debt and related current maturities by utilizing transactions in the listed markets for identical or similar liabilities. As such, the fair value of the long-term debt and related current maturities is considered level 2.</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As of December 31, 2024, the Company measured the disposal group of the PPE business at fair value, less costs to sell. The fair value of the disposal group was determined using significant unobservable inputs based on expected proceeds to be received upon the sale of the business. As such, the fair value of the disposal group was considered level 3. See Note 3 </w:t>
      </w:r>
      <w:r>
        <w:rPr>
          <w:rFonts w:ascii="Arial" w:cs="Arial" w:eastAsia="Arial" w:hAnsi="Arial"/>
          <w:sz w:val="16"/>
          <w:szCs w:val="16"/>
          <w:u w:val="single" w:color="auto"/>
          <w:color w:val="0000FF"/>
        </w:rPr>
        <w:t>Acquisitions and Divestitures</w:t>
      </w:r>
      <w:r>
        <w:rPr>
          <w:rFonts w:ascii="Arial" w:cs="Arial" w:eastAsia="Arial" w:hAnsi="Arial"/>
          <w:sz w:val="16"/>
          <w:szCs w:val="16"/>
          <w:color w:val="auto"/>
        </w:rPr>
        <w:t xml:space="preserve"> for more information on the disposal group.</w:t>
      </w:r>
    </w:p>
    <w:p>
      <w:pPr>
        <w:spacing w:after="0" w:line="214" w:lineRule="exact"/>
        <w:rPr>
          <w:sz w:val="20"/>
          <w:szCs w:val="20"/>
          <w:color w:val="auto"/>
        </w:rPr>
      </w:pPr>
    </w:p>
    <w:p>
      <w:pPr>
        <w:spacing w:after="0"/>
        <w:rPr>
          <w:sz w:val="20"/>
          <w:szCs w:val="20"/>
          <w:color w:val="auto"/>
        </w:rPr>
      </w:pPr>
      <w:r>
        <w:rPr>
          <w:rFonts w:ascii="Arial" w:cs="Arial" w:eastAsia="Arial" w:hAnsi="Arial"/>
          <w:sz w:val="29"/>
          <w:szCs w:val="29"/>
          <w:color w:val="D7282F"/>
        </w:rPr>
        <w:t>NOTE 13. EARNINGS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details of the earnings per share calculations for the three and nine months ended September 30, 2025, and 2024, are as follows (shares 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Basic</w:t>
            </w:r>
          </w:p>
        </w:tc>
        <w:tc>
          <w:tcPr>
            <w:tcW w:w="180" w:type="dxa"/>
            <w:vAlign w:val="bottom"/>
            <w:tcBorders>
              <w:top w:val="single" w:sz="8" w:color="D7282F"/>
              <w:bottom w:val="single" w:sz="8" w:color="D7282F"/>
            </w:tcBorders>
          </w:tcPr>
          <w:p>
            <w:pPr>
              <w:spacing w:after="0"/>
              <w:rPr>
                <w:sz w:val="16"/>
                <w:szCs w:val="16"/>
                <w:color w:val="auto"/>
              </w:rPr>
            </w:pPr>
          </w:p>
        </w:tc>
        <w:tc>
          <w:tcPr>
            <w:tcW w:w="760" w:type="dxa"/>
            <w:vAlign w:val="bottom"/>
            <w:tcBorders>
              <w:top w:val="single" w:sz="8" w:color="D7282F"/>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income attributable to Honeywell</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1,825</w:t>
            </w:r>
          </w:p>
        </w:tc>
        <w:tc>
          <w:tcPr>
            <w:tcW w:w="3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1,413</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4,844</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4,420</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Weighted average shares outstanding</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635.3</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650.4</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640.3</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651.0</w:t>
            </w: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Earnings per share of common stock—basic</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2.87</w:t>
            </w:r>
          </w:p>
        </w:tc>
        <w:tc>
          <w:tcPr>
            <w:tcW w:w="3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2.17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7.57</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6.79</w:t>
            </w:r>
          </w:p>
        </w:tc>
      </w:tr>
      <w:tr>
        <w:trPr>
          <w:trHeight w:val="377"/>
        </w:trPr>
        <w:tc>
          <w:tcPr>
            <w:tcW w:w="7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24"/>
                <w:szCs w:val="24"/>
                <w:color w:val="auto"/>
              </w:rPr>
            </w:pPr>
          </w:p>
        </w:tc>
        <w:tc>
          <w:tcPr>
            <w:tcW w:w="178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Assuming Dilution</w:t>
            </w:r>
          </w:p>
        </w:tc>
        <w:tc>
          <w:tcPr>
            <w:tcW w:w="180" w:type="dxa"/>
            <w:vAlign w:val="bottom"/>
            <w:tcBorders>
              <w:top w:val="single" w:sz="8" w:color="D7282F"/>
              <w:bottom w:val="single" w:sz="8" w:color="D7282F"/>
            </w:tcBorders>
          </w:tcPr>
          <w:p>
            <w:pPr>
              <w:spacing w:after="0"/>
              <w:rPr>
                <w:sz w:val="16"/>
                <w:szCs w:val="16"/>
                <w:color w:val="auto"/>
              </w:rPr>
            </w:pPr>
          </w:p>
        </w:tc>
        <w:tc>
          <w:tcPr>
            <w:tcW w:w="760" w:type="dxa"/>
            <w:vAlign w:val="bottom"/>
            <w:tcBorders>
              <w:top w:val="single" w:sz="8" w:color="D7282F"/>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income attributable to Honeywell</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1,825</w:t>
            </w:r>
          </w:p>
        </w:tc>
        <w:tc>
          <w:tcPr>
            <w:tcW w:w="3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1,413</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4,844</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4,420</w:t>
            </w:r>
          </w:p>
        </w:tc>
      </w:tr>
      <w:tr>
        <w:trPr>
          <w:trHeight w:val="199"/>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Average shares</w:t>
            </w:r>
          </w:p>
        </w:tc>
        <w:tc>
          <w:tcPr>
            <w:tcW w:w="180" w:type="dxa"/>
            <w:vAlign w:val="bottom"/>
            <w:tcBorders>
              <w:bottom w:val="single" w:sz="8" w:color="61656A"/>
            </w:tcBorders>
          </w:tcPr>
          <w:p>
            <w:pPr>
              <w:spacing w:after="0"/>
              <w:rPr>
                <w:sz w:val="17"/>
                <w:szCs w:val="17"/>
                <w:color w:val="auto"/>
              </w:rPr>
            </w:pPr>
          </w:p>
        </w:tc>
        <w:tc>
          <w:tcPr>
            <w:tcW w:w="760" w:type="dxa"/>
            <w:vAlign w:val="bottom"/>
            <w:tcBorders>
              <w:bottom w:val="single" w:sz="8" w:color="61656A"/>
            </w:tcBorders>
          </w:tcPr>
          <w:p>
            <w:pPr>
              <w:spacing w:after="0"/>
              <w:rPr>
                <w:sz w:val="17"/>
                <w:szCs w:val="17"/>
                <w:color w:val="auto"/>
              </w:rPr>
            </w:pPr>
          </w:p>
        </w:tc>
        <w:tc>
          <w:tcPr>
            <w:tcW w:w="3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Weighted average shares outstanding</w:t>
            </w:r>
          </w:p>
        </w:tc>
        <w:tc>
          <w:tcPr>
            <w:tcW w:w="18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635.3</w:t>
            </w:r>
          </w:p>
        </w:tc>
        <w:tc>
          <w:tcPr>
            <w:tcW w:w="34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650.4</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640.3</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651.0</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Dilutive securities issuable—stock plans</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3.5</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3.7</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4.2</w:t>
            </w: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weighted average diluted shares outstanding</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638.8</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654.1</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644.0</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655.2</w:t>
            </w:r>
          </w:p>
        </w:tc>
      </w:tr>
      <w:tr>
        <w:trPr>
          <w:trHeight w:val="196"/>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Earnings per share of common stock—assuming dilution</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2.86</w:t>
            </w:r>
          </w:p>
        </w:tc>
        <w:tc>
          <w:tcPr>
            <w:tcW w:w="3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2.16</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7.52</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6.75</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diluted earnings per share calculations exclude the effect of stock options when the cost to exercise an option exceeds the average market price of the common shares during the period. For the three and nine months ended September 30, 2025, the weighted average number of stock options excluded from the computations were 1.7 million and 2.6 million, respectively. For the three and nine months ended September 30, 2024, the weighted average number of stock options excluded from the computations were 4.1 million and 5.2 million, respectively.</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of September 30, 2025, and 2024, the total shares outstanding were 634.9 million and 650.2 million, respectively, and as of September 30, 2025, and 2024, total shares issued were 957.6 million.</w:t>
      </w:r>
    </w:p>
    <w:p>
      <w:pPr>
        <w:spacing w:after="0" w:line="373" w:lineRule="exact"/>
        <w:rPr>
          <w:sz w:val="20"/>
          <w:szCs w:val="20"/>
          <w:color w:val="auto"/>
        </w:rPr>
      </w:pPr>
    </w:p>
    <w:p>
      <w:pPr>
        <w:ind w:left="400" w:hanging="392"/>
        <w:spacing w:after="0"/>
        <w:tabs>
          <w:tab w:leader="none" w:pos="400" w:val="left"/>
        </w:tabs>
        <w:numPr>
          <w:ilvl w:val="0"/>
          <w:numId w:val="2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14. ACCUMULATED OTHER COMPREHENSIVE LOSS</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CHANGES IN ACCUMULATED OTHER COMPREHENSIVE LOSS BY COMPONENT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14"/>
                <w:szCs w:val="14"/>
                <w:color w:val="auto"/>
              </w:rPr>
            </w:pPr>
          </w:p>
        </w:tc>
        <w:tc>
          <w:tcPr>
            <w:tcW w:w="1400" w:type="dxa"/>
            <w:vAlign w:val="bottom"/>
          </w:tcPr>
          <w:p>
            <w:pPr>
              <w:jc w:val="center"/>
              <w:ind w:right="208"/>
              <w:spacing w:after="0"/>
              <w:rPr>
                <w:sz w:val="20"/>
                <w:szCs w:val="20"/>
                <w:color w:val="auto"/>
              </w:rPr>
            </w:pPr>
            <w:r>
              <w:rPr>
                <w:rFonts w:ascii="Arial" w:cs="Arial" w:eastAsia="Arial" w:hAnsi="Arial"/>
                <w:sz w:val="14"/>
                <w:szCs w:val="14"/>
                <w:b w:val="1"/>
                <w:bCs w:val="1"/>
                <w:color w:val="auto"/>
              </w:rPr>
              <w:t>Pension</w:t>
            </w:r>
          </w:p>
        </w:tc>
        <w:tc>
          <w:tcPr>
            <w:tcW w:w="220" w:type="dxa"/>
            <w:vAlign w:val="bottom"/>
          </w:tcPr>
          <w:p>
            <w:pPr>
              <w:spacing w:after="0"/>
              <w:rPr>
                <w:sz w:val="14"/>
                <w:szCs w:val="14"/>
                <w:color w:val="auto"/>
              </w:rPr>
            </w:pPr>
          </w:p>
        </w:tc>
        <w:tc>
          <w:tcPr>
            <w:tcW w:w="14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Changes in Fair</w:t>
            </w:r>
          </w:p>
        </w:tc>
        <w:tc>
          <w:tcPr>
            <w:tcW w:w="260" w:type="dxa"/>
            <w:vAlign w:val="bottom"/>
          </w:tcPr>
          <w:p>
            <w:pPr>
              <w:spacing w:after="0"/>
              <w:rPr>
                <w:sz w:val="14"/>
                <w:szCs w:val="14"/>
                <w:color w:val="auto"/>
              </w:rPr>
            </w:pPr>
          </w:p>
        </w:tc>
        <w:tc>
          <w:tcPr>
            <w:tcW w:w="106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Changes in</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jc w:val="center"/>
              <w:ind w:right="208"/>
              <w:spacing w:after="0" w:line="145" w:lineRule="exact"/>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Exchange</w:t>
            </w:r>
          </w:p>
        </w:tc>
        <w:tc>
          <w:tcPr>
            <w:tcW w:w="260" w:type="dxa"/>
            <w:vAlign w:val="bottom"/>
          </w:tcPr>
          <w:p>
            <w:pPr>
              <w:spacing w:after="0"/>
              <w:rPr>
                <w:sz w:val="11"/>
                <w:szCs w:val="11"/>
                <w:color w:val="auto"/>
              </w:rPr>
            </w:pPr>
          </w:p>
        </w:tc>
        <w:tc>
          <w:tcPr>
            <w:tcW w:w="1400" w:type="dxa"/>
            <w:vAlign w:val="bottom"/>
          </w:tcPr>
          <w:p>
            <w:pPr>
              <w:jc w:val="center"/>
              <w:ind w:right="188"/>
              <w:spacing w:after="0" w:line="135" w:lineRule="exact"/>
              <w:rPr>
                <w:sz w:val="20"/>
                <w:szCs w:val="20"/>
                <w:color w:val="auto"/>
              </w:rPr>
            </w:pPr>
            <w:r>
              <w:rPr>
                <w:rFonts w:ascii="Arial" w:cs="Arial" w:eastAsia="Arial" w:hAnsi="Arial"/>
                <w:sz w:val="14"/>
                <w:szCs w:val="14"/>
                <w:b w:val="1"/>
                <w:bCs w:val="1"/>
                <w:color w:val="auto"/>
              </w:rPr>
              <w:t>Postretirement</w:t>
            </w:r>
          </w:p>
        </w:tc>
        <w:tc>
          <w:tcPr>
            <w:tcW w:w="220" w:type="dxa"/>
            <w:vAlign w:val="bottom"/>
          </w:tcPr>
          <w:p>
            <w:pPr>
              <w:spacing w:after="0"/>
              <w:rPr>
                <w:sz w:val="11"/>
                <w:szCs w:val="11"/>
                <w:color w:val="auto"/>
              </w:rPr>
            </w:pPr>
          </w:p>
        </w:tc>
        <w:tc>
          <w:tcPr>
            <w:tcW w:w="140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Value of</w:t>
            </w:r>
          </w:p>
        </w:tc>
        <w:tc>
          <w:tcPr>
            <w:tcW w:w="260" w:type="dxa"/>
            <w:vAlign w:val="bottom"/>
          </w:tcPr>
          <w:p>
            <w:pPr>
              <w:spacing w:after="0"/>
              <w:rPr>
                <w:sz w:val="11"/>
                <w:szCs w:val="11"/>
                <w:color w:val="auto"/>
              </w:rPr>
            </w:pPr>
          </w:p>
        </w:tc>
        <w:tc>
          <w:tcPr>
            <w:tcW w:w="1060" w:type="dxa"/>
            <w:vAlign w:val="bottom"/>
          </w:tcPr>
          <w:p>
            <w:pPr>
              <w:jc w:val="center"/>
              <w:ind w:right="188"/>
              <w:spacing w:after="0" w:line="135" w:lineRule="exact"/>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2"/>
                <w:szCs w:val="12"/>
                <w:color w:val="auto"/>
              </w:rPr>
            </w:pPr>
          </w:p>
        </w:tc>
        <w:tc>
          <w:tcPr>
            <w:tcW w:w="14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Benefit</w:t>
            </w:r>
          </w:p>
        </w:tc>
        <w:tc>
          <w:tcPr>
            <w:tcW w:w="220" w:type="dxa"/>
            <w:vAlign w:val="bottom"/>
          </w:tcPr>
          <w:p>
            <w:pPr>
              <w:spacing w:after="0"/>
              <w:rPr>
                <w:sz w:val="12"/>
                <w:szCs w:val="12"/>
                <w:color w:val="auto"/>
              </w:rPr>
            </w:pPr>
          </w:p>
        </w:tc>
        <w:tc>
          <w:tcPr>
            <w:tcW w:w="14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Available for Sale</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of Cash Flow</w:t>
            </w:r>
          </w:p>
        </w:tc>
        <w:tc>
          <w:tcPr>
            <w:tcW w:w="300" w:type="dxa"/>
            <w:vAlign w:val="bottom"/>
          </w:tcPr>
          <w:p>
            <w:pPr>
              <w:spacing w:after="0"/>
              <w:rPr>
                <w:sz w:val="12"/>
                <w:szCs w:val="12"/>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36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Adjustment</w:t>
            </w:r>
          </w:p>
        </w:tc>
        <w:tc>
          <w:tcPr>
            <w:tcW w:w="2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88"/>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Hedges</w:t>
            </w:r>
          </w:p>
        </w:tc>
        <w:tc>
          <w:tcPr>
            <w:tcW w:w="3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(2,872)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(642)</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24</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(3,491)</w:t>
            </w:r>
          </w:p>
        </w:tc>
        <w:tc>
          <w:tcPr>
            <w:tcW w:w="0" w:type="dxa"/>
            <w:vAlign w:val="bottom"/>
          </w:tcPr>
          <w:p>
            <w:pPr>
              <w:spacing w:after="0"/>
              <w:rPr>
                <w:sz w:val="1"/>
                <w:szCs w:val="1"/>
                <w:color w:val="auto"/>
              </w:rPr>
            </w:pPr>
          </w:p>
        </w:tc>
      </w:tr>
      <w:tr>
        <w:trPr>
          <w:trHeight w:val="193"/>
        </w:trPr>
        <w:tc>
          <w:tcPr>
            <w:tcW w:w="4360" w:type="dxa"/>
            <w:vAlign w:val="bottom"/>
            <w:tcBorders>
              <w:bottom w:val="single" w:sz="8" w:color="61656A"/>
            </w:tcBorders>
          </w:tcPr>
          <w:p>
            <w:pPr>
              <w:ind w:left="80"/>
              <w:spacing w:after="0"/>
              <w:rPr>
                <w:sz w:val="20"/>
                <w:szCs w:val="20"/>
                <w:color w:val="auto"/>
              </w:rPr>
            </w:pPr>
            <w:r>
              <w:rPr>
                <w:rFonts w:ascii="Arial" w:cs="Arial" w:eastAsia="Arial" w:hAnsi="Arial"/>
                <w:sz w:val="14"/>
                <w:szCs w:val="14"/>
                <w:color w:val="auto"/>
              </w:rPr>
              <w:t>Other comprehensive (loss) income before reclassifications</w:t>
            </w:r>
          </w:p>
        </w:tc>
        <w:tc>
          <w:tcPr>
            <w:tcW w:w="180" w:type="dxa"/>
            <w:vAlign w:val="bottom"/>
            <w:tcBorders>
              <w:bottom w:val="single" w:sz="8" w:color="61656A"/>
            </w:tcBorders>
          </w:tcPr>
          <w:p>
            <w:pPr>
              <w:spacing w:after="0"/>
              <w:rPr>
                <w:sz w:val="16"/>
                <w:szCs w:val="16"/>
                <w:color w:val="auto"/>
              </w:rPr>
            </w:pPr>
          </w:p>
        </w:tc>
        <w:tc>
          <w:tcPr>
            <w:tcW w:w="10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(1,189)</w:t>
            </w:r>
          </w:p>
        </w:tc>
        <w:tc>
          <w:tcPr>
            <w:tcW w:w="26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w:t>
            </w:r>
          </w:p>
        </w:tc>
        <w:tc>
          <w:tcPr>
            <w:tcW w:w="26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(44)</w:t>
            </w:r>
          </w:p>
        </w:tc>
        <w:tc>
          <w:tcPr>
            <w:tcW w:w="30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(1,228)</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D7282F"/>
            </w:tcBorders>
          </w:tcPr>
          <w:p>
            <w:pPr>
              <w:ind w:left="80"/>
              <w:spacing w:after="0"/>
              <w:rPr>
                <w:sz w:val="20"/>
                <w:szCs w:val="20"/>
                <w:color w:val="auto"/>
              </w:rPr>
            </w:pPr>
            <w:r>
              <w:rPr>
                <w:rFonts w:ascii="Arial" w:cs="Arial" w:eastAsia="Arial" w:hAnsi="Arial"/>
                <w:sz w:val="14"/>
                <w:szCs w:val="14"/>
                <w:color w:val="auto"/>
              </w:rPr>
              <w:t>Amounts reclassified from accumulated other comprehensive loss</w:t>
            </w:r>
          </w:p>
        </w:tc>
        <w:tc>
          <w:tcPr>
            <w:tcW w:w="18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153</w:t>
            </w:r>
          </w:p>
        </w:tc>
        <w:tc>
          <w:tcPr>
            <w:tcW w:w="26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(87)</w:t>
            </w:r>
          </w:p>
        </w:tc>
        <w:tc>
          <w:tcPr>
            <w:tcW w:w="2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14</w:t>
            </w:r>
          </w:p>
        </w:tc>
        <w:tc>
          <w:tcPr>
            <w:tcW w:w="3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99"/>
        </w:trPr>
        <w:tc>
          <w:tcPr>
            <w:tcW w:w="43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current period other comprehensive (loss) income</w:t>
            </w:r>
          </w:p>
        </w:tc>
        <w:tc>
          <w:tcPr>
            <w:tcW w:w="18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(1,036)</w:t>
            </w:r>
          </w:p>
        </w:tc>
        <w:tc>
          <w:tcPr>
            <w:tcW w:w="26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(87)</w:t>
            </w:r>
          </w:p>
        </w:tc>
        <w:tc>
          <w:tcPr>
            <w:tcW w:w="2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(30)</w:t>
            </w:r>
          </w:p>
        </w:tc>
        <w:tc>
          <w:tcPr>
            <w:tcW w:w="3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(1,148)</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September 30, 2025</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(3,908)</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(729)</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(4,639)</w:t>
            </w:r>
          </w:p>
        </w:tc>
        <w:tc>
          <w:tcPr>
            <w:tcW w:w="0" w:type="dxa"/>
            <w:vAlign w:val="bottom"/>
          </w:tcPr>
          <w:p>
            <w:pPr>
              <w:spacing w:after="0"/>
              <w:rPr>
                <w:sz w:val="1"/>
                <w:szCs w:val="1"/>
                <w:color w:val="auto"/>
              </w:rPr>
            </w:pPr>
          </w:p>
        </w:tc>
      </w:tr>
      <w:tr>
        <w:trPr>
          <w:trHeight w:val="372"/>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24"/>
                <w:szCs w:val="24"/>
                <w:color w:val="auto"/>
              </w:rPr>
            </w:pPr>
          </w:p>
        </w:tc>
        <w:tc>
          <w:tcPr>
            <w:tcW w:w="1400" w:type="dxa"/>
            <w:vAlign w:val="bottom"/>
          </w:tcPr>
          <w:p>
            <w:pPr>
              <w:jc w:val="center"/>
              <w:ind w:right="248"/>
              <w:spacing w:after="0"/>
              <w:rPr>
                <w:sz w:val="20"/>
                <w:szCs w:val="20"/>
                <w:color w:val="auto"/>
              </w:rPr>
            </w:pPr>
            <w:r>
              <w:rPr>
                <w:rFonts w:ascii="Arial" w:cs="Arial" w:eastAsia="Arial" w:hAnsi="Arial"/>
                <w:sz w:val="14"/>
                <w:szCs w:val="14"/>
                <w:b w:val="1"/>
                <w:bCs w:val="1"/>
                <w:color w:val="auto"/>
              </w:rPr>
              <w:t>Pension</w:t>
            </w:r>
          </w:p>
        </w:tc>
        <w:tc>
          <w:tcPr>
            <w:tcW w:w="220" w:type="dxa"/>
            <w:vAlign w:val="bottom"/>
          </w:tcPr>
          <w:p>
            <w:pPr>
              <w:spacing w:after="0"/>
              <w:rPr>
                <w:sz w:val="24"/>
                <w:szCs w:val="24"/>
                <w:color w:val="auto"/>
              </w:rPr>
            </w:pPr>
          </w:p>
        </w:tc>
        <w:tc>
          <w:tcPr>
            <w:tcW w:w="140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Changes in Fair</w:t>
            </w:r>
          </w:p>
        </w:tc>
        <w:tc>
          <w:tcPr>
            <w:tcW w:w="260" w:type="dxa"/>
            <w:vAlign w:val="bottom"/>
          </w:tcPr>
          <w:p>
            <w:pPr>
              <w:spacing w:after="0"/>
              <w:rPr>
                <w:sz w:val="24"/>
                <w:szCs w:val="24"/>
                <w:color w:val="auto"/>
              </w:rPr>
            </w:pPr>
          </w:p>
        </w:tc>
        <w:tc>
          <w:tcPr>
            <w:tcW w:w="106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Changes in</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center"/>
              <w:ind w:right="208"/>
              <w:spacing w:after="0" w:line="135" w:lineRule="exact"/>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Exchange</w:t>
            </w:r>
          </w:p>
        </w:tc>
        <w:tc>
          <w:tcPr>
            <w:tcW w:w="260" w:type="dxa"/>
            <w:vAlign w:val="bottom"/>
          </w:tcPr>
          <w:p>
            <w:pPr>
              <w:spacing w:after="0"/>
              <w:rPr>
                <w:sz w:val="12"/>
                <w:szCs w:val="12"/>
                <w:color w:val="auto"/>
              </w:rPr>
            </w:pPr>
          </w:p>
        </w:tc>
        <w:tc>
          <w:tcPr>
            <w:tcW w:w="14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Postretirement</w:t>
            </w:r>
          </w:p>
        </w:tc>
        <w:tc>
          <w:tcPr>
            <w:tcW w:w="220" w:type="dxa"/>
            <w:vAlign w:val="bottom"/>
          </w:tcPr>
          <w:p>
            <w:pPr>
              <w:spacing w:after="0"/>
              <w:rPr>
                <w:sz w:val="12"/>
                <w:szCs w:val="12"/>
                <w:color w:val="auto"/>
              </w:rPr>
            </w:pPr>
          </w:p>
        </w:tc>
        <w:tc>
          <w:tcPr>
            <w:tcW w:w="140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Value of</w:t>
            </w:r>
          </w:p>
        </w:tc>
        <w:tc>
          <w:tcPr>
            <w:tcW w:w="260" w:type="dxa"/>
            <w:vAlign w:val="bottom"/>
          </w:tcPr>
          <w:p>
            <w:pPr>
              <w:spacing w:after="0"/>
              <w:rPr>
                <w:sz w:val="12"/>
                <w:szCs w:val="12"/>
                <w:color w:val="auto"/>
              </w:rPr>
            </w:pPr>
          </w:p>
        </w:tc>
        <w:tc>
          <w:tcPr>
            <w:tcW w:w="106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2"/>
                <w:szCs w:val="12"/>
                <w:color w:val="auto"/>
              </w:rPr>
            </w:pPr>
          </w:p>
        </w:tc>
        <w:tc>
          <w:tcPr>
            <w:tcW w:w="14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Benefit</w:t>
            </w:r>
          </w:p>
        </w:tc>
        <w:tc>
          <w:tcPr>
            <w:tcW w:w="220" w:type="dxa"/>
            <w:vAlign w:val="bottom"/>
          </w:tcPr>
          <w:p>
            <w:pPr>
              <w:spacing w:after="0"/>
              <w:rPr>
                <w:sz w:val="12"/>
                <w:szCs w:val="12"/>
                <w:color w:val="auto"/>
              </w:rPr>
            </w:pPr>
          </w:p>
        </w:tc>
        <w:tc>
          <w:tcPr>
            <w:tcW w:w="14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Available for Sale</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of Cash Flow</w:t>
            </w:r>
          </w:p>
        </w:tc>
        <w:tc>
          <w:tcPr>
            <w:tcW w:w="300" w:type="dxa"/>
            <w:vAlign w:val="bottom"/>
          </w:tcPr>
          <w:p>
            <w:pPr>
              <w:spacing w:after="0"/>
              <w:rPr>
                <w:sz w:val="12"/>
                <w:szCs w:val="12"/>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36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Adjustment</w:t>
            </w:r>
          </w:p>
        </w:tc>
        <w:tc>
          <w:tcPr>
            <w:tcW w:w="2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228"/>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88"/>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Hedges</w:t>
            </w:r>
          </w:p>
        </w:tc>
        <w:tc>
          <w:tcPr>
            <w:tcW w:w="3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(3,101)</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(1,055)</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23</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(4,135)</w:t>
            </w:r>
          </w:p>
        </w:tc>
        <w:tc>
          <w:tcPr>
            <w:tcW w:w="0" w:type="dxa"/>
            <w:vAlign w:val="bottom"/>
          </w:tcPr>
          <w:p>
            <w:pPr>
              <w:spacing w:after="0"/>
              <w:rPr>
                <w:sz w:val="1"/>
                <w:szCs w:val="1"/>
                <w:color w:val="auto"/>
              </w:rPr>
            </w:pPr>
          </w:p>
        </w:tc>
      </w:tr>
      <w:tr>
        <w:trPr>
          <w:trHeight w:val="193"/>
        </w:trPr>
        <w:tc>
          <w:tcPr>
            <w:tcW w:w="4360" w:type="dxa"/>
            <w:vAlign w:val="bottom"/>
            <w:tcBorders>
              <w:bottom w:val="single" w:sz="8" w:color="61656A"/>
            </w:tcBorders>
          </w:tcPr>
          <w:p>
            <w:pPr>
              <w:ind w:left="80"/>
              <w:spacing w:after="0"/>
              <w:rPr>
                <w:sz w:val="20"/>
                <w:szCs w:val="20"/>
                <w:color w:val="auto"/>
              </w:rPr>
            </w:pPr>
            <w:r>
              <w:rPr>
                <w:rFonts w:ascii="Arial" w:cs="Arial" w:eastAsia="Arial" w:hAnsi="Arial"/>
                <w:sz w:val="14"/>
                <w:szCs w:val="14"/>
                <w:color w:val="auto"/>
              </w:rPr>
              <w:t>Other comprehensive loss before reclassifications</w:t>
            </w:r>
          </w:p>
        </w:tc>
        <w:tc>
          <w:tcPr>
            <w:tcW w:w="180" w:type="dxa"/>
            <w:vAlign w:val="bottom"/>
            <w:tcBorders>
              <w:bottom w:val="single" w:sz="8" w:color="61656A"/>
            </w:tcBorders>
          </w:tcPr>
          <w:p>
            <w:pPr>
              <w:spacing w:after="0"/>
              <w:rPr>
                <w:sz w:val="16"/>
                <w:szCs w:val="16"/>
                <w:color w:val="auto"/>
              </w:rPr>
            </w:pPr>
          </w:p>
        </w:tc>
        <w:tc>
          <w:tcPr>
            <w:tcW w:w="10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(226)</w:t>
            </w:r>
          </w:p>
        </w:tc>
        <w:tc>
          <w:tcPr>
            <w:tcW w:w="26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(11)</w:t>
            </w:r>
          </w:p>
        </w:tc>
        <w:tc>
          <w:tcPr>
            <w:tcW w:w="30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D7282F"/>
            </w:tcBorders>
          </w:tcPr>
          <w:p>
            <w:pPr>
              <w:ind w:left="80"/>
              <w:spacing w:after="0"/>
              <w:rPr>
                <w:sz w:val="20"/>
                <w:szCs w:val="20"/>
                <w:color w:val="auto"/>
              </w:rPr>
            </w:pPr>
            <w:r>
              <w:rPr>
                <w:rFonts w:ascii="Arial" w:cs="Arial" w:eastAsia="Arial" w:hAnsi="Arial"/>
                <w:sz w:val="14"/>
                <w:szCs w:val="14"/>
                <w:color w:val="auto"/>
              </w:rPr>
              <w:t>Amounts reclassified from accumulated other comprehensive loss</w:t>
            </w:r>
          </w:p>
        </w:tc>
        <w:tc>
          <w:tcPr>
            <w:tcW w:w="18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(16)</w:t>
            </w:r>
          </w:p>
        </w:tc>
        <w:tc>
          <w:tcPr>
            <w:tcW w:w="2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(15)</w:t>
            </w:r>
          </w:p>
        </w:tc>
        <w:tc>
          <w:tcPr>
            <w:tcW w:w="3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9"/>
        </w:trPr>
        <w:tc>
          <w:tcPr>
            <w:tcW w:w="4360" w:type="dxa"/>
            <w:vAlign w:val="bottom"/>
            <w:tcBorders>
              <w:bottom w:val="single" w:sz="8" w:color="D7282F"/>
            </w:tcBorders>
          </w:tcPr>
          <w:p>
            <w:pPr>
              <w:ind w:left="180"/>
              <w:spacing w:after="0"/>
              <w:rPr>
                <w:sz w:val="20"/>
                <w:szCs w:val="20"/>
                <w:color w:val="auto"/>
              </w:rPr>
            </w:pPr>
            <w:r>
              <w:rPr>
                <w:rFonts w:ascii="Arial" w:cs="Arial" w:eastAsia="Arial" w:hAnsi="Arial"/>
                <w:sz w:val="14"/>
                <w:szCs w:val="14"/>
                <w:b w:val="1"/>
                <w:bCs w:val="1"/>
                <w:color w:val="auto"/>
              </w:rPr>
              <w:t>Net current period other comprehensive loss</w:t>
            </w:r>
          </w:p>
        </w:tc>
        <w:tc>
          <w:tcPr>
            <w:tcW w:w="18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(226)</w:t>
            </w:r>
          </w:p>
        </w:tc>
        <w:tc>
          <w:tcPr>
            <w:tcW w:w="26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(16)</w:t>
            </w:r>
          </w:p>
        </w:tc>
        <w:tc>
          <w:tcPr>
            <w:tcW w:w="22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(26)</w:t>
            </w:r>
          </w:p>
        </w:tc>
        <w:tc>
          <w:tcPr>
            <w:tcW w:w="3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(269)</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September 30, 2024</w:t>
            </w:r>
          </w:p>
        </w:tc>
        <w:tc>
          <w:tcPr>
            <w:tcW w:w="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(3,327)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(1,071)</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(4,404)</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NOTE 15. COMMITMENTS AND CONTINGENCIES</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ENVIRONMENTAL MATTERS</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is subject to various federal, state, local, and foreign government requirements relating to the protection of the environment. With respect to environmental matters involving site contamination, the Company continually conducts studies, individually or jointly with other potentially responsible parties, to determine the feasibility of various remedial techniques. It is the Company's policy to record liabilities for environmental matters when remedial efforts or damage claim payments are probable and the costs can be reasonably estimated. Such liabilities are based on the Company's best estimate of the undiscounted future costs required to complete the remedial work. The recorded liabilities are adjusted periodically as remediation efforts progress or as additional technical, regulatory, or legal information becomes available.</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Honeywell's environmental matters are further described in Note 19 Commitments and Contingencies of Notes to Consolidated Financial Statements in the Company's 2024 Annual Report on Form 10-K.</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concerning the Company's recorded liabilities for environmental costs: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0" w:type="dxa"/>
            <w:vAlign w:val="bottom"/>
            <w:tcBorders>
              <w:top w:val="single" w:sz="8" w:color="D7282F"/>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2880" w:type="dxa"/>
            <w:vAlign w:val="bottom"/>
            <w:tcBorders>
              <w:top w:val="single" w:sz="8" w:color="D7282F"/>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D7282F"/>
              <w:bottom w:val="single" w:sz="8" w:color="D7282F"/>
            </w:tcBorders>
          </w:tcPr>
          <w:p>
            <w:pPr>
              <w:jc w:val="center"/>
              <w:ind w:left="128"/>
              <w:spacing w:after="0"/>
              <w:rPr>
                <w:sz w:val="20"/>
                <w:szCs w:val="20"/>
                <w:color w:val="auto"/>
              </w:rPr>
            </w:pPr>
            <w:r>
              <w:rPr>
                <w:rFonts w:ascii="Arial" w:cs="Arial" w:eastAsia="Arial" w:hAnsi="Arial"/>
                <w:sz w:val="14"/>
                <w:szCs w:val="14"/>
                <w:b w:val="1"/>
                <w:bCs w:val="1"/>
                <w:color w:val="auto"/>
              </w:rPr>
              <w:t>678</w:t>
            </w:r>
          </w:p>
        </w:tc>
      </w:tr>
      <w:tr>
        <w:trPr>
          <w:trHeight w:val="193"/>
        </w:trPr>
        <w:tc>
          <w:tcPr>
            <w:tcW w:w="78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Accruals for environmental matters deemed probable and reasonably estimable</w:t>
            </w:r>
          </w:p>
        </w:tc>
        <w:tc>
          <w:tcPr>
            <w:tcW w:w="2880" w:type="dxa"/>
            <w:vAlign w:val="bottom"/>
            <w:tcBorders>
              <w:bottom w:val="single" w:sz="8" w:color="61656A"/>
            </w:tcBorders>
          </w:tcPr>
          <w:p>
            <w:pPr>
              <w:spacing w:after="0"/>
              <w:rPr>
                <w:sz w:val="16"/>
                <w:szCs w:val="16"/>
                <w:color w:val="auto"/>
              </w:rPr>
            </w:pPr>
          </w:p>
        </w:tc>
        <w:tc>
          <w:tcPr>
            <w:tcW w:w="560" w:type="dxa"/>
            <w:vAlign w:val="bottom"/>
            <w:tcBorders>
              <w:bottom w:val="single" w:sz="8" w:color="61656A"/>
            </w:tcBorders>
          </w:tcPr>
          <w:p>
            <w:pPr>
              <w:jc w:val="center"/>
              <w:ind w:left="128"/>
              <w:spacing w:after="0"/>
              <w:rPr>
                <w:sz w:val="20"/>
                <w:szCs w:val="20"/>
                <w:color w:val="auto"/>
              </w:rPr>
            </w:pPr>
            <w:r>
              <w:rPr>
                <w:rFonts w:ascii="Arial" w:cs="Arial" w:eastAsia="Arial" w:hAnsi="Arial"/>
                <w:sz w:val="14"/>
                <w:szCs w:val="14"/>
                <w:color w:val="auto"/>
              </w:rPr>
              <w:t>415</w:t>
            </w:r>
          </w:p>
        </w:tc>
      </w:tr>
      <w:tr>
        <w:trPr>
          <w:trHeight w:val="196"/>
        </w:trPr>
        <w:tc>
          <w:tcPr>
            <w:tcW w:w="78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Environmental liability payments</w:t>
            </w:r>
          </w:p>
        </w:tc>
        <w:tc>
          <w:tcPr>
            <w:tcW w:w="288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center"/>
              <w:ind w:left="108"/>
              <w:spacing w:after="0"/>
              <w:rPr>
                <w:sz w:val="20"/>
                <w:szCs w:val="20"/>
                <w:color w:val="auto"/>
              </w:rPr>
            </w:pPr>
            <w:r>
              <w:rPr>
                <w:rFonts w:ascii="Arial" w:cs="Arial" w:eastAsia="Arial" w:hAnsi="Arial"/>
                <w:sz w:val="14"/>
                <w:szCs w:val="14"/>
                <w:color w:val="auto"/>
              </w:rPr>
              <w:t>(112)</w:t>
            </w:r>
          </w:p>
        </w:tc>
      </w:tr>
      <w:tr>
        <w:trPr>
          <w:trHeight w:val="199"/>
        </w:trPr>
        <w:tc>
          <w:tcPr>
            <w:tcW w:w="78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September 30, 2025</w:t>
            </w:r>
          </w:p>
        </w:tc>
        <w:tc>
          <w:tcPr>
            <w:tcW w:w="28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center"/>
              <w:ind w:left="128"/>
              <w:spacing w:after="0"/>
              <w:rPr>
                <w:sz w:val="20"/>
                <w:szCs w:val="20"/>
                <w:color w:val="auto"/>
              </w:rPr>
            </w:pPr>
            <w:r>
              <w:rPr>
                <w:rFonts w:ascii="Arial" w:cs="Arial" w:eastAsia="Arial" w:hAnsi="Arial"/>
                <w:sz w:val="14"/>
                <w:szCs w:val="14"/>
                <w:b w:val="1"/>
                <w:bCs w:val="1"/>
                <w:color w:val="auto"/>
              </w:rPr>
              <w:t>981</w:t>
            </w: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26</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Environmental liabilities are included in the following balance sheet accounts: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Borders>
              <w:bottom w:val="single" w:sz="8" w:color="D7282F"/>
            </w:tcBorders>
          </w:tcPr>
          <w:p>
            <w:pPr>
              <w:spacing w:after="0"/>
              <w:rPr>
                <w:sz w:val="17"/>
                <w:szCs w:val="17"/>
                <w:color w:val="auto"/>
              </w:rPr>
            </w:pPr>
          </w:p>
        </w:tc>
        <w:tc>
          <w:tcPr>
            <w:tcW w:w="280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September 30, 2025</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3"/>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Accrued liabilities</w:t>
            </w:r>
          </w:p>
        </w:tc>
        <w:tc>
          <w:tcPr>
            <w:tcW w:w="2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267</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244</w:t>
            </w:r>
          </w:p>
        </w:tc>
      </w:tr>
      <w:tr>
        <w:trPr>
          <w:trHeight w:val="196"/>
        </w:trPr>
        <w:tc>
          <w:tcPr>
            <w:tcW w:w="48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liabilities</w:t>
            </w:r>
          </w:p>
        </w:tc>
        <w:tc>
          <w:tcPr>
            <w:tcW w:w="280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714</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434</w:t>
            </w:r>
          </w:p>
        </w:tc>
      </w:tr>
      <w:tr>
        <w:trPr>
          <w:trHeight w:val="199"/>
        </w:trPr>
        <w:tc>
          <w:tcPr>
            <w:tcW w:w="48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environmental liabilities</w:t>
            </w:r>
          </w:p>
        </w:tc>
        <w:tc>
          <w:tcPr>
            <w:tcW w:w="2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981</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678</w:t>
            </w: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conjunction with the Resideo Technologies, Inc. (Resideo) spin-off, the Company entered into an indemnification and reimbursement agreement with a Resideo subsidiary, pursuant to which Resideo’s subsidiary had an ongoing obligation to make cash payments to Honeywell in amounts equal to 90% of Honeywell’s annual net spending for environmental matters at certain sites as defined in the agreement. As the Company incurred costs for environmental matters deemed probable and reasonably estimable related to the sites covered by the indemnification and reimbursement agreement, a corresponding receivable from Resideo for 90% of such costs was also recorded. The amount payable to Honeywell in any given year was subject to a cap of $140 million, and the payment obligation was to continue until the earlier of December 31, 2043, or December 31 of the third consecutive year during which the annual payment obligation is less than $25 million. Reimbursements associated with this agreement were collected from Resideo quarterly and were $105 million in the nine months ended September 30, 2025.</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the third quarter of 2025, the Company and Resideo entered into a termination agreement for the accelerated monetization of the indemnification and reimbursement agreement. Upon closing of the transactions contemplated pursuant to the termination agreement, the Company received a one-time cash payment of $1,590 million in lieu of all future payments to which the Company was entitled pursuant to the indemnification and reimbursement agreement. Additionally, Resideo paid the quarterly payment of $35 million for the quarter ending September 30, 2025 due under the indemnification and reimbursement agreement. The Company applied the one-time cash payment and quarterly reimbursement payment against the outstanding receivable balance due from Resideo, inclusive of expenses incurred in the third quarter of 2025. The Company recognized a gain of $802 million in Other (income) expense for the cash proceeds received in excess of the receivables due from Resideo as of the third quarter of 2025.</w:t>
      </w:r>
    </w:p>
    <w:p>
      <w:pPr>
        <w:spacing w:after="0" w:line="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a result of the termination agreement, Resideo no longer has any obligation to make cash payments to Honeywell in respect of Honeywell's net spending for environmental matters.</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During the third quarter of 2025, the Company enhanced its process for estimating environmental liabilities at sites undergoing active remediation. By leveraging improved data availability and refining historical analytics, the Company implemented an improved methodology for estimating environmental liabilities related to actively managed environmental sites. This led to earlier recognition of the estimated probable liabilities related to these sites, resulting in an increase of the estimated environmental liabilities of $211 million. The Company does not currently possess sufficient additional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the Company's consolidated results of operations and operating cash flows in the periods recognized or paid. However, considering the Company's past experience and existing reserves, the Company does not expect that environmental matters will have a material adverse effect on its consolidated financial position.</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ASBESTOS MATTERS</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Honeywell is named in asbestos-related personal injury claims related to the Bendix Friction Materials (Bendix) business, which was sold in 2014. Bendix manufactured automotive brake linings that contained chrysotile asbestos in an encapsulated form. Claimants consist largely of individuals who allege exposure to asbestos from brakes from either performing or being in the vicinity of individuals who performed brake replacements.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information concerning Bendix asbestos-related balances: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Asbestos-Related Liabilities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0" w:type="dxa"/>
            <w:vAlign w:val="bottom"/>
            <w:tcBorders>
              <w:top w:val="single" w:sz="8" w:color="D7282F"/>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December 31, 2024</w:t>
            </w:r>
          </w:p>
        </w:tc>
        <w:tc>
          <w:tcPr>
            <w:tcW w:w="4040" w:type="dxa"/>
            <w:vAlign w:val="bottom"/>
            <w:tcBorders>
              <w:top w:val="single" w:sz="8" w:color="D7282F"/>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1,482</w:t>
            </w:r>
          </w:p>
        </w:tc>
      </w:tr>
      <w:tr>
        <w:trPr>
          <w:trHeight w:val="193"/>
        </w:trPr>
        <w:tc>
          <w:tcPr>
            <w:tcW w:w="66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Accrual for update to estimated liability</w:t>
            </w:r>
          </w:p>
        </w:tc>
        <w:tc>
          <w:tcPr>
            <w:tcW w:w="404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w:t>
            </w:r>
          </w:p>
        </w:tc>
      </w:tr>
      <w:tr>
        <w:trPr>
          <w:trHeight w:val="196"/>
        </w:trPr>
        <w:tc>
          <w:tcPr>
            <w:tcW w:w="66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Change in estimated cost of future claims</w:t>
            </w:r>
          </w:p>
        </w:tc>
        <w:tc>
          <w:tcPr>
            <w:tcW w:w="404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w:t>
            </w:r>
          </w:p>
        </w:tc>
      </w:tr>
      <w:tr>
        <w:trPr>
          <w:trHeight w:val="196"/>
        </w:trPr>
        <w:tc>
          <w:tcPr>
            <w:tcW w:w="66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Loss on expected settlement</w:t>
            </w:r>
          </w:p>
        </w:tc>
        <w:tc>
          <w:tcPr>
            <w:tcW w:w="404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148</w:t>
            </w:r>
          </w:p>
        </w:tc>
      </w:tr>
      <w:tr>
        <w:trPr>
          <w:trHeight w:val="196"/>
        </w:trPr>
        <w:tc>
          <w:tcPr>
            <w:tcW w:w="66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Asbestos-related liability payments</w:t>
            </w:r>
          </w:p>
        </w:tc>
        <w:tc>
          <w:tcPr>
            <w:tcW w:w="404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(158)</w:t>
            </w:r>
          </w:p>
        </w:tc>
      </w:tr>
      <w:tr>
        <w:trPr>
          <w:trHeight w:val="199"/>
        </w:trPr>
        <w:tc>
          <w:tcPr>
            <w:tcW w:w="66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September 30, 2025</w:t>
            </w:r>
          </w:p>
        </w:tc>
        <w:tc>
          <w:tcPr>
            <w:tcW w:w="4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1,526</w:t>
            </w:r>
          </w:p>
        </w:tc>
      </w:tr>
    </w:tbl>
    <w:p>
      <w:pPr>
        <w:spacing w:after="0" w:line="200" w:lineRule="exact"/>
        <w:rPr>
          <w:sz w:val="20"/>
          <w:szCs w:val="20"/>
          <w:color w:val="auto"/>
        </w:rPr>
      </w:pPr>
    </w:p>
    <w:p>
      <w:pPr>
        <w:spacing w:after="0" w:line="28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27</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 Recoveries for Asbestos-Related Liabilities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380" w:type="dxa"/>
            <w:vAlign w:val="bottom"/>
            <w:tcBorders>
              <w:top w:val="single" w:sz="8" w:color="D7282F"/>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December 31, 2024</w:t>
            </w:r>
          </w:p>
        </w:tc>
        <w:tc>
          <w:tcPr>
            <w:tcW w:w="320" w:type="dxa"/>
            <w:vAlign w:val="bottom"/>
            <w:tcBorders>
              <w:top w:val="single" w:sz="8" w:color="D7282F"/>
              <w:bottom w:val="single" w:sz="8" w:color="DC202E"/>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D7282F"/>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110</w:t>
            </w:r>
          </w:p>
        </w:tc>
      </w:tr>
      <w:tr>
        <w:trPr>
          <w:trHeight w:val="193"/>
        </w:trPr>
        <w:tc>
          <w:tcPr>
            <w:tcW w:w="103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Insurance receipts for asbestos-related liabilities</w:t>
            </w:r>
          </w:p>
        </w:tc>
        <w:tc>
          <w:tcPr>
            <w:tcW w:w="32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w:t>
            </w:r>
          </w:p>
        </w:tc>
      </w:tr>
      <w:tr>
        <w:trPr>
          <w:trHeight w:val="199"/>
        </w:trPr>
        <w:tc>
          <w:tcPr>
            <w:tcW w:w="103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September 30, 2025</w:t>
            </w:r>
          </w:p>
        </w:tc>
        <w:tc>
          <w:tcPr>
            <w:tcW w:w="3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98</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Bendix asbestos-related balances are included in the following balance sheet accounts: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60" w:type="dxa"/>
            <w:vAlign w:val="bottom"/>
            <w:tcBorders>
              <w:bottom w:val="single" w:sz="8" w:color="D7282F"/>
            </w:tcBorders>
          </w:tcPr>
          <w:p>
            <w:pPr>
              <w:spacing w:after="0"/>
              <w:rPr>
                <w:sz w:val="17"/>
                <w:szCs w:val="17"/>
                <w:color w:val="auto"/>
              </w:rPr>
            </w:pPr>
          </w:p>
        </w:tc>
        <w:tc>
          <w:tcPr>
            <w:tcW w:w="186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September 30, 2025</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3"/>
        </w:trPr>
        <w:tc>
          <w:tcPr>
            <w:tcW w:w="57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current assets</w:t>
            </w:r>
          </w:p>
        </w:tc>
        <w:tc>
          <w:tcPr>
            <w:tcW w:w="1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r>
      <w:tr>
        <w:trPr>
          <w:trHeight w:val="196"/>
        </w:trPr>
        <w:tc>
          <w:tcPr>
            <w:tcW w:w="57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Insurance recoveries for asbestos-related liabilities</w:t>
            </w:r>
          </w:p>
        </w:tc>
        <w:tc>
          <w:tcPr>
            <w:tcW w:w="186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84</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96</w:t>
            </w:r>
          </w:p>
        </w:tc>
      </w:tr>
      <w:tr>
        <w:trPr>
          <w:trHeight w:val="199"/>
        </w:trPr>
        <w:tc>
          <w:tcPr>
            <w:tcW w:w="57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insurance recoveries for asbestos-related liabilities</w:t>
            </w:r>
          </w:p>
        </w:tc>
        <w:tc>
          <w:tcPr>
            <w:tcW w:w="1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98</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110</w:t>
            </w:r>
          </w:p>
        </w:tc>
      </w:tr>
      <w:tr>
        <w:trPr>
          <w:trHeight w:val="193"/>
        </w:trPr>
        <w:tc>
          <w:tcPr>
            <w:tcW w:w="57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Accrued liabilities</w:t>
            </w:r>
          </w:p>
        </w:tc>
        <w:tc>
          <w:tcPr>
            <w:tcW w:w="1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157</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157</w:t>
            </w:r>
          </w:p>
        </w:tc>
      </w:tr>
      <w:tr>
        <w:trPr>
          <w:trHeight w:val="196"/>
        </w:trPr>
        <w:tc>
          <w:tcPr>
            <w:tcW w:w="57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Asbestos-related liabilities</w:t>
            </w:r>
          </w:p>
        </w:tc>
        <w:tc>
          <w:tcPr>
            <w:tcW w:w="186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1,369</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1,325</w:t>
            </w:r>
          </w:p>
        </w:tc>
      </w:tr>
      <w:tr>
        <w:trPr>
          <w:trHeight w:val="199"/>
        </w:trPr>
        <w:tc>
          <w:tcPr>
            <w:tcW w:w="57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asbestos-related liabilities</w:t>
            </w:r>
          </w:p>
        </w:tc>
        <w:tc>
          <w:tcPr>
            <w:tcW w:w="1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1,526</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1,482</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information regarding Bendix-related asbestos claims activity: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Nine Months Ended</w:t>
            </w:r>
          </w:p>
        </w:tc>
        <w:tc>
          <w:tcPr>
            <w:tcW w:w="17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Year Ended December</w:t>
            </w:r>
          </w:p>
        </w:tc>
      </w:tr>
      <w:tr>
        <w:trPr>
          <w:trHeight w:val="185"/>
        </w:trPr>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6"/>
                <w:szCs w:val="16"/>
                <w:color w:val="auto"/>
              </w:rPr>
            </w:pPr>
          </w:p>
        </w:tc>
        <w:tc>
          <w:tcPr>
            <w:tcW w:w="1060" w:type="dxa"/>
            <w:vAlign w:val="bottom"/>
          </w:tcPr>
          <w:p>
            <w:pPr>
              <w:jc w:val="right"/>
              <w:ind w:right="708"/>
              <w:spacing w:after="0"/>
              <w:rPr>
                <w:sz w:val="20"/>
                <w:szCs w:val="20"/>
                <w:color w:val="auto"/>
              </w:rPr>
            </w:pPr>
            <w:r>
              <w:rPr>
                <w:rFonts w:ascii="Arial" w:cs="Arial" w:eastAsia="Arial" w:hAnsi="Arial"/>
                <w:sz w:val="14"/>
                <w:szCs w:val="14"/>
                <w:b w:val="1"/>
                <w:bCs w:val="1"/>
                <w:color w:val="auto"/>
              </w:rPr>
              <w:t>31,</w:t>
            </w:r>
          </w:p>
        </w:tc>
      </w:tr>
      <w:tr>
        <w:trPr>
          <w:trHeight w:val="195"/>
        </w:trPr>
        <w:tc>
          <w:tcPr>
            <w:tcW w:w="648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760" w:type="dxa"/>
            <w:vAlign w:val="bottom"/>
            <w:tcBorders>
              <w:bottom w:val="single" w:sz="8" w:color="D7282F"/>
            </w:tcBorders>
          </w:tcPr>
          <w:p>
            <w:pPr>
              <w:spacing w:after="0"/>
              <w:rPr>
                <w:sz w:val="16"/>
                <w:szCs w:val="16"/>
                <w:color w:val="auto"/>
              </w:rPr>
            </w:pPr>
          </w:p>
        </w:tc>
        <w:tc>
          <w:tcPr>
            <w:tcW w:w="1820" w:type="dxa"/>
            <w:vAlign w:val="bottom"/>
            <w:tcBorders>
              <w:top w:val="single" w:sz="8" w:color="D7282F"/>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D7282F"/>
            </w:tcBorders>
          </w:tcPr>
          <w:p>
            <w:pPr>
              <w:spacing w:after="0"/>
              <w:rPr>
                <w:sz w:val="16"/>
                <w:szCs w:val="16"/>
                <w:color w:val="auto"/>
              </w:rPr>
            </w:pPr>
          </w:p>
        </w:tc>
        <w:tc>
          <w:tcPr>
            <w:tcW w:w="700" w:type="dxa"/>
            <w:vAlign w:val="bottom"/>
            <w:tcBorders>
              <w:top w:val="single" w:sz="8" w:color="D7282F"/>
              <w:bottom w:val="single" w:sz="8" w:color="D7282F"/>
            </w:tcBorders>
          </w:tcPr>
          <w:p>
            <w:pPr>
              <w:spacing w:after="0"/>
              <w:rPr>
                <w:sz w:val="16"/>
                <w:szCs w:val="16"/>
                <w:color w:val="auto"/>
              </w:rPr>
            </w:pPr>
          </w:p>
        </w:tc>
        <w:tc>
          <w:tcPr>
            <w:tcW w:w="1060" w:type="dxa"/>
            <w:vAlign w:val="bottom"/>
            <w:tcBorders>
              <w:top w:val="single" w:sz="8" w:color="D7282F"/>
              <w:bottom w:val="single" w:sz="8" w:color="D7282F"/>
            </w:tcBorders>
          </w:tcPr>
          <w:p>
            <w:pPr>
              <w:jc w:val="right"/>
              <w:ind w:right="648"/>
              <w:spacing w:after="0"/>
              <w:rPr>
                <w:sz w:val="20"/>
                <w:szCs w:val="20"/>
                <w:color w:val="auto"/>
              </w:rPr>
            </w:pPr>
            <w:r>
              <w:rPr>
                <w:rFonts w:ascii="Arial" w:cs="Arial" w:eastAsia="Arial" w:hAnsi="Arial"/>
                <w:sz w:val="14"/>
                <w:szCs w:val="14"/>
                <w:b w:val="1"/>
                <w:bCs w:val="1"/>
                <w:color w:val="auto"/>
              </w:rPr>
              <w:t>2024</w:t>
            </w:r>
          </w:p>
        </w:tc>
      </w:tr>
      <w:tr>
        <w:trPr>
          <w:trHeight w:val="196"/>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Claims unresolved at the beginning of period</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4,950</w:t>
            </w:r>
          </w:p>
        </w:tc>
        <w:tc>
          <w:tcPr>
            <w:tcW w:w="2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5,517</w:t>
            </w:r>
          </w:p>
        </w:tc>
      </w:tr>
      <w:tr>
        <w:trPr>
          <w:trHeight w:val="193"/>
        </w:trPr>
        <w:tc>
          <w:tcPr>
            <w:tcW w:w="6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Claims filed</w:t>
            </w:r>
          </w:p>
        </w:tc>
        <w:tc>
          <w:tcPr>
            <w:tcW w:w="18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1,232</w:t>
            </w:r>
          </w:p>
        </w:tc>
        <w:tc>
          <w:tcPr>
            <w:tcW w:w="24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1,617</w:t>
            </w:r>
          </w:p>
        </w:tc>
      </w:tr>
      <w:tr>
        <w:trPr>
          <w:trHeight w:val="196"/>
        </w:trPr>
        <w:tc>
          <w:tcPr>
            <w:tcW w:w="6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Claims resolved</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(1,880)</w:t>
            </w:r>
          </w:p>
        </w:tc>
        <w:tc>
          <w:tcPr>
            <w:tcW w:w="2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(2,184)</w:t>
            </w:r>
          </w:p>
        </w:tc>
      </w:tr>
      <w:tr>
        <w:trPr>
          <w:trHeight w:val="199"/>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Claims unresolved at the end of period</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4,302</w:t>
            </w:r>
          </w:p>
        </w:tc>
        <w:tc>
          <w:tcPr>
            <w:tcW w:w="2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4,950</w:t>
            </w:r>
          </w:p>
        </w:tc>
      </w:tr>
      <w:tr>
        <w:trPr>
          <w:trHeight w:val="426"/>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Disease Distribution of Unresolved Claims</w:t>
            </w:r>
          </w:p>
        </w:tc>
        <w:tc>
          <w:tcPr>
            <w:tcW w:w="180" w:type="dxa"/>
            <w:vAlign w:val="bottom"/>
            <w:tcBorders>
              <w:bottom w:val="single" w:sz="8" w:color="D7282F"/>
            </w:tcBorders>
          </w:tcPr>
          <w:p>
            <w:pPr>
              <w:spacing w:after="0"/>
              <w:rPr>
                <w:sz w:val="24"/>
                <w:szCs w:val="24"/>
                <w:color w:val="auto"/>
              </w:rPr>
            </w:pPr>
          </w:p>
        </w:tc>
        <w:tc>
          <w:tcPr>
            <w:tcW w:w="760" w:type="dxa"/>
            <w:vAlign w:val="bottom"/>
            <w:tcBorders>
              <w:bottom w:val="single" w:sz="8" w:color="D7282F"/>
            </w:tcBorders>
          </w:tcPr>
          <w:p>
            <w:pPr>
              <w:spacing w:after="0"/>
              <w:rPr>
                <w:sz w:val="24"/>
                <w:szCs w:val="24"/>
                <w:color w:val="auto"/>
              </w:rPr>
            </w:pPr>
          </w:p>
        </w:tc>
        <w:tc>
          <w:tcPr>
            <w:tcW w:w="2060" w:type="dxa"/>
            <w:vAlign w:val="bottom"/>
            <w:tcBorders>
              <w:bottom w:val="single" w:sz="8" w:color="D7282F"/>
            </w:tcBorders>
            <w:gridSpan w:val="3"/>
          </w:tcPr>
          <w:p>
            <w:pPr>
              <w:ind w:left="260"/>
              <w:spacing w:after="0"/>
              <w:rPr>
                <w:sz w:val="20"/>
                <w:szCs w:val="20"/>
                <w:color w:val="auto"/>
              </w:rPr>
            </w:pPr>
            <w:r>
              <w:rPr>
                <w:rFonts w:ascii="Arial" w:cs="Arial" w:eastAsia="Arial" w:hAnsi="Arial"/>
                <w:sz w:val="14"/>
                <w:szCs w:val="14"/>
                <w:b w:val="1"/>
                <w:bCs w:val="1"/>
                <w:color w:val="auto"/>
              </w:rPr>
              <w:t>September 30, 2025</w:t>
            </w:r>
          </w:p>
        </w:tc>
        <w:tc>
          <w:tcPr>
            <w:tcW w:w="1760" w:type="dxa"/>
            <w:vAlign w:val="bottom"/>
            <w:tcBorders>
              <w:bottom w:val="single" w:sz="8" w:color="D7282F"/>
            </w:tcBorders>
            <w:gridSpan w:val="2"/>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3"/>
        </w:trPr>
        <w:tc>
          <w:tcPr>
            <w:tcW w:w="6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Mesothelioma and other cancer claims</w:t>
            </w:r>
          </w:p>
        </w:tc>
        <w:tc>
          <w:tcPr>
            <w:tcW w:w="180" w:type="dxa"/>
            <w:vAlign w:val="bottom"/>
            <w:tcBorders>
              <w:bottom w:val="single" w:sz="8" w:color="61656A"/>
            </w:tcBorders>
          </w:tcPr>
          <w:p>
            <w:pPr>
              <w:spacing w:after="0"/>
              <w:rPr>
                <w:sz w:val="16"/>
                <w:szCs w:val="16"/>
                <w:color w:val="auto"/>
              </w:rPr>
            </w:pPr>
          </w:p>
        </w:tc>
        <w:tc>
          <w:tcPr>
            <w:tcW w:w="76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2,896</w:t>
            </w:r>
          </w:p>
        </w:tc>
        <w:tc>
          <w:tcPr>
            <w:tcW w:w="24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2,923</w:t>
            </w:r>
          </w:p>
        </w:tc>
      </w:tr>
      <w:tr>
        <w:trPr>
          <w:trHeight w:val="196"/>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Nonmalignant claims</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1,406</w:t>
            </w:r>
          </w:p>
        </w:tc>
        <w:tc>
          <w:tcPr>
            <w:tcW w:w="2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2,027</w:t>
            </w:r>
          </w:p>
        </w:tc>
      </w:tr>
      <w:tr>
        <w:trPr>
          <w:trHeight w:val="199"/>
        </w:trPr>
        <w:tc>
          <w:tcPr>
            <w:tcW w:w="6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claims</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4,302</w:t>
            </w:r>
          </w:p>
        </w:tc>
        <w:tc>
          <w:tcPr>
            <w:tcW w:w="2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4,950</w:t>
            </w:r>
          </w:p>
        </w:tc>
      </w:tr>
      <w:tr>
        <w:trPr>
          <w:trHeight w:val="398"/>
        </w:trPr>
        <w:tc>
          <w:tcPr>
            <w:tcW w:w="6660" w:type="dxa"/>
            <w:vAlign w:val="bottom"/>
            <w:gridSpan w:val="2"/>
          </w:tcPr>
          <w:p>
            <w:pPr>
              <w:spacing w:after="0"/>
              <w:rPr>
                <w:sz w:val="20"/>
                <w:szCs w:val="20"/>
                <w:color w:val="auto"/>
              </w:rPr>
            </w:pPr>
            <w:r>
              <w:rPr>
                <w:rFonts w:ascii="Arial" w:cs="Arial" w:eastAsia="Arial" w:hAnsi="Arial"/>
                <w:sz w:val="16"/>
                <w:szCs w:val="16"/>
                <w:color w:val="auto"/>
              </w:rPr>
              <w:t>Honeywell experienced average resolution values per claim excluding legal costs as follows:</w:t>
            </w: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25"/>
        </w:trPr>
        <w:tc>
          <w:tcPr>
            <w:tcW w:w="6480" w:type="dxa"/>
            <w:vAlign w:val="bottom"/>
          </w:tcPr>
          <w:p>
            <w:pPr>
              <w:spacing w:after="0"/>
              <w:rPr>
                <w:sz w:val="24"/>
                <w:szCs w:val="24"/>
                <w:color w:val="auto"/>
              </w:rPr>
            </w:pPr>
          </w:p>
        </w:tc>
        <w:tc>
          <w:tcPr>
            <w:tcW w:w="180" w:type="dxa"/>
            <w:vAlign w:val="bottom"/>
            <w:tcBorders>
              <w:bottom w:val="single" w:sz="8" w:color="D7282F"/>
            </w:tcBorders>
          </w:tcPr>
          <w:p>
            <w:pPr>
              <w:spacing w:after="0"/>
              <w:rPr>
                <w:sz w:val="24"/>
                <w:szCs w:val="24"/>
                <w:color w:val="auto"/>
              </w:rPr>
            </w:pPr>
          </w:p>
        </w:tc>
        <w:tc>
          <w:tcPr>
            <w:tcW w:w="760" w:type="dxa"/>
            <w:vAlign w:val="bottom"/>
            <w:tcBorders>
              <w:bottom w:val="single" w:sz="8" w:color="D7282F"/>
            </w:tcBorders>
          </w:tcPr>
          <w:p>
            <w:pPr>
              <w:spacing w:after="0"/>
              <w:rPr>
                <w:sz w:val="24"/>
                <w:szCs w:val="24"/>
                <w:color w:val="auto"/>
              </w:rPr>
            </w:pPr>
          </w:p>
        </w:tc>
        <w:tc>
          <w:tcPr>
            <w:tcW w:w="2760" w:type="dxa"/>
            <w:vAlign w:val="bottom"/>
            <w:tcBorders>
              <w:bottom w:val="single" w:sz="8" w:color="D7282F"/>
            </w:tcBorders>
            <w:gridSpan w:val="4"/>
          </w:tcPr>
          <w:p>
            <w:pPr>
              <w:jc w:val="center"/>
              <w:ind w:left="48"/>
              <w:spacing w:after="0"/>
              <w:rPr>
                <w:sz w:val="20"/>
                <w:szCs w:val="20"/>
                <w:color w:val="auto"/>
              </w:rPr>
            </w:pPr>
            <w:r>
              <w:rPr>
                <w:rFonts w:ascii="Arial" w:cs="Arial" w:eastAsia="Arial" w:hAnsi="Arial"/>
                <w:sz w:val="14"/>
                <w:szCs w:val="14"/>
                <w:b w:val="1"/>
                <w:bCs w:val="1"/>
                <w:color w:val="auto"/>
              </w:rPr>
              <w:t>Years Ended December 31,</w:t>
            </w:r>
          </w:p>
        </w:tc>
        <w:tc>
          <w:tcPr>
            <w:tcW w:w="1060" w:type="dxa"/>
            <w:vAlign w:val="bottom"/>
            <w:tcBorders>
              <w:bottom w:val="single" w:sz="8" w:color="D7282F"/>
            </w:tcBorders>
          </w:tcPr>
          <w:p>
            <w:pPr>
              <w:spacing w:after="0"/>
              <w:rPr>
                <w:sz w:val="24"/>
                <w:szCs w:val="24"/>
                <w:color w:val="auto"/>
              </w:rPr>
            </w:pPr>
          </w:p>
        </w:tc>
      </w:tr>
      <w:tr>
        <w:trPr>
          <w:trHeight w:val="196"/>
        </w:trPr>
        <w:tc>
          <w:tcPr>
            <w:tcW w:w="6480" w:type="dxa"/>
            <w:vAlign w:val="bottom"/>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1020" w:type="dxa"/>
            <w:vAlign w:val="bottom"/>
            <w:tcBorders>
              <w:bottom w:val="single" w:sz="8" w:color="D7282F"/>
            </w:tcBorders>
          </w:tcPr>
          <w:p>
            <w:pPr>
              <w:jc w:val="center"/>
              <w:ind w:left="18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10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2020</w:t>
            </w:r>
          </w:p>
        </w:tc>
      </w:tr>
      <w:tr>
        <w:trPr>
          <w:trHeight w:val="196"/>
        </w:trPr>
        <w:tc>
          <w:tcPr>
            <w:tcW w:w="648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(in whole dollars)</w:t>
            </w:r>
          </w:p>
        </w:tc>
        <w:tc>
          <w:tcPr>
            <w:tcW w:w="70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spacing w:after="0"/>
              <w:rPr>
                <w:sz w:val="17"/>
                <w:szCs w:val="17"/>
                <w:color w:val="auto"/>
              </w:rPr>
            </w:pPr>
          </w:p>
        </w:tc>
      </w:tr>
      <w:tr>
        <w:trPr>
          <w:trHeight w:val="193"/>
        </w:trPr>
        <w:tc>
          <w:tcPr>
            <w:tcW w:w="6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Mesothelioma and other cancer claims</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79,900</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66,200</w:t>
            </w: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59,200</w:t>
            </w:r>
          </w:p>
        </w:tc>
        <w:tc>
          <w:tcPr>
            <w:tcW w:w="24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56,000</w:t>
            </w:r>
          </w:p>
        </w:tc>
        <w:tc>
          <w:tcPr>
            <w:tcW w:w="10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61,500</w:t>
            </w:r>
          </w:p>
        </w:tc>
      </w:tr>
      <w:tr>
        <w:trPr>
          <w:trHeight w:val="196"/>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Nonmalignant claims</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1,100</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1,730</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520</w:t>
            </w:r>
          </w:p>
        </w:tc>
        <w:tc>
          <w:tcPr>
            <w:tcW w:w="2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400</w:t>
            </w:r>
          </w:p>
        </w:tc>
        <w:tc>
          <w:tcPr>
            <w:tcW w:w="1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550</w:t>
            </w: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Consolidated Financial Statements reflect an estimated liability for resolution of asserted (claims filed as of the financial statement date) and unasserted Bendix-related asbestos claims, which exclude the Company’s ongoing legal fees to defend such asbestos claims which will continue to be expensed as they are incurred.</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reflects the inclusion of all years of epidemiological disease projection through 2059 when estimating the liability for unasserted Bendix-related asbestos claims. Such liability for unasserted Bendix-related asbestos claims is based on historic and anticipated claims filing experience and dismissal rates, disease classifications, and average resolution values in the tort system over a defined look-back period. The Company valued Bendix asserted and unasserted claims using average resolution values for the previous two years. The Company reviews the valuation assumptions and average resolution values used to estimate the cost of Bendix asserted and unasserted claims during the fourth quarter each year.</w:t>
      </w:r>
    </w:p>
    <w:p>
      <w:pPr>
        <w:spacing w:after="0" w:line="200" w:lineRule="exact"/>
        <w:rPr>
          <w:sz w:val="20"/>
          <w:szCs w:val="20"/>
          <w:color w:val="auto"/>
        </w:rPr>
      </w:pPr>
    </w:p>
    <w:p>
      <w:pPr>
        <w:spacing w:after="0" w:line="203" w:lineRule="exact"/>
        <w:rPr>
          <w:sz w:val="20"/>
          <w:szCs w:val="20"/>
          <w:color w:val="auto"/>
        </w:rPr>
      </w:pPr>
    </w:p>
    <w:p>
      <w:pPr>
        <w:ind w:left="400" w:hanging="392"/>
        <w:spacing w:after="0"/>
        <w:tabs>
          <w:tab w:leader="none" w:pos="400" w:val="left"/>
        </w:tabs>
        <w:numPr>
          <w:ilvl w:val="0"/>
          <w:numId w:val="2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Company's insurance receivable corresponding to the liability for settlement of asserted and unasserted Bendix asbestos claims reflects coverage which is provided by a large number of insurance policies written by dozens of insurance companies in both the domestic insurance market and the London excess market. Based on the Company's ongoing analysis of the probable insurance recovery, insurance receivables are recorded in the financial statements simultaneous with the recording of the estimated liability for the underlying asbestos claims. This determination is based on the Company's analysis of the underlying insurance policies, historical experience with insurers, ongoing review of the solvency of insurers, judicial determinations relevant to insurance programs, and consideration of the impacts of any settlements reached with the Company's insurers.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Liability Divestiture Transaction</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September 29, 2025, the Company permanently divested all of its legacy Bendix asbestos liabilities and certain non-Bendix asbestos liabilities, contributing cash and transferring asbestos liabilities to a third party entity. As part of the agreement, the Company will be indemnified from future asbestos claims. Under the terms of the agreement, in the fourth quarter, the Company contributed $1.4 billion in cash and derecognized $1.5 billion of asbestos liabilities and $98 million of related insurance assets. Included in the Company's third quarter results is a pre-tax loss on expected settlement of the divestiture of $148 million.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SEC MATTER</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is cooperating with a formal investigation by the Securities and Exchange Commission (SEC) which is focused on certain financial reporting matters, including with respect to the Company's former Performance Materials and Technologies segment. At this time, the Company does not expect the outcome of this matter to have a material adverse effect on the Company's consolidated results of operations, cash flows, or financial position.</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PETROBRAS AND UNAOIL MATTERS</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December 19, 2022, the Company reached a comprehensive resolution to the investigations by the U.S. Department of Justice (DOJ), the SEC, and certain Brazilian authorities (Brazilian Authorities) relating to the Company's use of third parties who previously worked for the Company's UOP business in Brazil in relation to a project awarded in 2010 for Petróleo Brasileiro S.A. (Petrobras). The investigations focused on the Company’s compliance with the U.S. Foreign Corrupt Practices Act and similar Brazilian laws (UOP Matters). The comprehensive resolution also resolves DOJ and SEC investigations relating to a matter involving a foreign subsidiary’s prior contract with Unaoil S.A.M. in Algeria executed in 2011 (the Unaoil Matter).</w:t>
      </w:r>
    </w:p>
    <w:p>
      <w:pPr>
        <w:spacing w:after="0" w:line="5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connection with the comprehensive resolution, (i) the Company agreed to pay a total equivalent of $203 million, which payment occurred in January 2023, to the DOJ, the SEC, and the Brazilian Authorities, collectively, in penalties, disgorgement, and prejudgment interest, (ii) the Company’s subsidiary, UOP, LLC (UOP), entered into a three-year Deferred Prosecution Agreement (DPA) with the DOJ for charges related to the UOP Matters, (iii) UOP entered into leniency agreements with the Brazilian Authorities related to the UOP Matter in Brazil, and (iv) the Company entered into an agreement with the SEC that resolves allegations relating to the UOP Matters and the Unaoil Matter. Pursuant to these agreements, the Company agreed to undertake certain compliance measures and compliance reporting obligations. These agreements entirely resolved the Petrobras and Unaoil investigations. In July 2025, the DOJ filed, and the court granted, a motion for early termination of the DPA, and the deferred charges related to the UOP Matters have been dismissed with prejudice.</w:t>
      </w:r>
    </w:p>
    <w:p>
      <w:pPr>
        <w:spacing w:after="0" w:line="21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LITIGATION MATTERS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Flexjet v. Honeywell International Inc.</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Flexjet, LLC (Flexjet) provides private jet services to customers. Honeywell maintains aircraft engine maintenance service contracts with Flexjet. On March 1, 2023, Flexjet brought suit against the Company, alleging breach of the parties’ aircraft engine maintenance service agreement (the MSA), seeking liquidated damages for delayed engine repairs, and claiming that its liquidated damages continue to accrue related to engines awaiting repair.</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suit was filed in the Supreme Court of the State of New York, County of New York, Commercial Division. On December 12, 2024, the court issued a partial summary judgment order holding that the MSA could not be terminated for convenience. On May 8, 2025, the court ruled on the remaining issues in the parties’ motions for summary judgment, finding that the MSA’s liquidated damages provision is enforceable and dismissing the Company’s force majeure defense, among other rulings. The court’s second summary judgment order also held that a trial is necessary to determine whether and to what extent specific engines are covered by the MSA. In court filings, Flexjet claimed, based on summary judgment rulings to date, that it is entitled to liquidated damages of at least $500 million, and further claimed that it is owed additional liquidated damages substantially in excess of that amount, in each case before pre-judgment interest. The Company filed notices of appeal of the court’s summary judgment decisions on January 10, 2025 and June 17, 2025. Trial has not yet been scheduled but is currently anticipated in 2026.</w:t>
      </w:r>
    </w:p>
    <w:p>
      <w:pPr>
        <w:spacing w:after="0" w:line="200" w:lineRule="exact"/>
        <w:rPr>
          <w:sz w:val="20"/>
          <w:szCs w:val="20"/>
          <w:color w:val="auto"/>
        </w:rPr>
      </w:pPr>
    </w:p>
    <w:p>
      <w:pPr>
        <w:spacing w:after="0" w:line="223" w:lineRule="exact"/>
        <w:rPr>
          <w:sz w:val="20"/>
          <w:szCs w:val="20"/>
          <w:color w:val="auto"/>
        </w:rPr>
      </w:pPr>
    </w:p>
    <w:p>
      <w:pPr>
        <w:ind w:left="400" w:hanging="392"/>
        <w:spacing w:after="0"/>
        <w:tabs>
          <w:tab w:leader="none" w:pos="400" w:val="left"/>
        </w:tabs>
        <w:numPr>
          <w:ilvl w:val="0"/>
          <w:numId w:val="2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two related cases filed by third-party aircraft repair and services companies, Duncan Aviation, Inc. (Duncan) and StandardAero Business Aviation Services, LLC (StandardAero) brought suit against Flexjet for amounts allegedly owed for services provided. The Duncan litigation was filed in the U.S. District Court of Nebraska and Flexjet purported to join the Company as a third-party defendant in the Duncan litigation. Flexjet's third-party suit against the Company was transferred to the U.S. District Court for the Southern District of New York and was subsequently dismissed. Duncan's claims against Flexjet in the U.S. District Court for the District of Nebraska remain pending. The StandardAero litigation was filed in the Supreme Court of the State of New York, County of New York, Commercial Division. Flexjet filed amended pleadings in the Duncan and StandardAero cases on January 10, 2025 and June 10, 2025, purporting to join the Company as a third-party defendant and claiming that amounts allegedly owed to the respective plaintiffs are the liabilities of the Company. The Company believes that it has strong defenses and intends to continue to vigorously defend the Flexjet-related matters.</w:t>
      </w:r>
    </w:p>
    <w:p>
      <w:pPr>
        <w:spacing w:after="0" w:line="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The Company has recorded accruals in accordance with ASC 450, </w:t>
      </w:r>
      <w:r>
        <w:rPr>
          <w:rFonts w:ascii="Arial" w:cs="Arial" w:eastAsia="Arial" w:hAnsi="Arial"/>
          <w:sz w:val="16"/>
          <w:szCs w:val="16"/>
          <w:i w:val="1"/>
          <w:iCs w:val="1"/>
          <w:color w:val="auto"/>
        </w:rPr>
        <w:t>Contingencies</w:t>
      </w:r>
      <w:r>
        <w:rPr>
          <w:rFonts w:ascii="Arial" w:cs="Arial" w:eastAsia="Arial" w:hAnsi="Arial"/>
          <w:sz w:val="16"/>
          <w:szCs w:val="16"/>
          <w:color w:val="auto"/>
        </w:rPr>
        <w:t>, with respect to the Flexjet-related matters, which accruals are not material. Given the uncertainties inherent in litigation, the Company cannot predict when or how these matters will be resolved and cannot reasonably estimate a range of possible loss in excess of accruals.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ultimate resolution of these matters could result in damage awards or settlements that are materially higher than amounts currently accrued and changes to amounts accrued or paid could have a material adverse effect on the Company's consolidated results of operations or operating cash flows in the period(s) recognized or paid. The Company does not expect the outcome of the Flexjet-related matters, either individually or in the aggregate, to have a material adverse effect on the Company's consolidated financial position.</w:t>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MATTERS</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is subject to a number of other lawsuits, investigations, and disputes (some of which involve substantial amounts claimed) arising out of the conduct of the Company's business, including matters relating to commercial transactions, government contracts, product liability, prior acquisitions and divestitures, employee benefit plans, intellectual property, and environmental, health, and safety matters. The Company recognizes liabilities for any contingency that is probable of occurrence and reasonably estimable. The Company continually assesses the likelihood of adverse judgments or outcomes in such matters, as well as potential ranges of probable losses (taking into consideration any insurance recoveries), based on a careful analysis of each matter with the assistance of outside legal counsel and, if applicable, other experts.</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Given the uncertainty inherent in litigation and investigations, including those discussed in this Note 15, the Company cannot predict when or how these matters will be resolved and does not believe it is possible to develop estimates of reasonably possible loss (or a range of possible loss) in excess of current accruals for commitment and contingency matters. Considering the Company's past experience and existing accruals, the Company does not expect the outcome of such matters, either individually or in the aggregate, to have a material adverse effect on the Company's consolidated financial position. Because most contingencies are resolved over long periods of time, potential liabilities are subject to change due to new developments, changes in settlement strategy or the impact of evidentiary requirements, which could cause the Company to pay damage awards or settlements (or become subject to equitable remedies) that could have a material adverse effect on the Company's consolidated results of operations or operating cash flows in the periods recognized or paid.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NOTE 16. PENSION BENEFITS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Net periodic pension benefit (income) cost for the Company's significant pension plans included the following components: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00" w:type="dxa"/>
            <w:vAlign w:val="bottom"/>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b w:val="1"/>
                <w:bCs w:val="1"/>
                <w:color w:val="auto"/>
              </w:rPr>
              <w:t>U.S. Plans</w:t>
            </w:r>
          </w:p>
        </w:tc>
        <w:tc>
          <w:tcPr>
            <w:tcW w:w="72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r>
      <w:tr>
        <w:trPr>
          <w:trHeight w:val="170"/>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70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70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235"/>
        </w:trPr>
        <w:tc>
          <w:tcPr>
            <w:tcW w:w="7100" w:type="dxa"/>
            <w:vAlign w:val="bottom"/>
            <w:tcBorders>
              <w:bottom w:val="single" w:sz="8" w:color="D7282F"/>
            </w:tcBorders>
          </w:tcPr>
          <w:p>
            <w:pPr>
              <w:spacing w:after="0"/>
              <w:rPr>
                <w:sz w:val="20"/>
                <w:szCs w:val="20"/>
                <w:color w:val="auto"/>
              </w:rPr>
            </w:pPr>
          </w:p>
        </w:tc>
        <w:tc>
          <w:tcPr>
            <w:tcW w:w="180" w:type="dxa"/>
            <w:vAlign w:val="bottom"/>
            <w:tcBorders>
              <w:top w:val="single" w:sz="8" w:color="D7282F"/>
              <w:bottom w:val="single" w:sz="8" w:color="D7282F"/>
            </w:tcBorders>
          </w:tcPr>
          <w:p>
            <w:pPr>
              <w:spacing w:after="0"/>
              <w:rPr>
                <w:sz w:val="20"/>
                <w:szCs w:val="20"/>
                <w:color w:val="auto"/>
              </w:rPr>
            </w:pPr>
          </w:p>
        </w:tc>
        <w:tc>
          <w:tcPr>
            <w:tcW w:w="78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20"/>
                <w:szCs w:val="20"/>
                <w:color w:val="auto"/>
              </w:rPr>
            </w:pPr>
          </w:p>
        </w:tc>
        <w:tc>
          <w:tcPr>
            <w:tcW w:w="260" w:type="dxa"/>
            <w:vAlign w:val="bottom"/>
            <w:tcBorders>
              <w:top w:val="single" w:sz="8" w:color="D7282F"/>
              <w:bottom w:val="single" w:sz="8" w:color="D7282F"/>
            </w:tcBorders>
          </w:tcPr>
          <w:p>
            <w:pPr>
              <w:spacing w:after="0"/>
              <w:rPr>
                <w:sz w:val="20"/>
                <w:szCs w:val="20"/>
                <w:color w:val="auto"/>
              </w:rPr>
            </w:pPr>
          </w:p>
        </w:tc>
        <w:tc>
          <w:tcPr>
            <w:tcW w:w="72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Service cost</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7</w:t>
            </w:r>
          </w:p>
        </w:tc>
        <w:tc>
          <w:tcPr>
            <w:tcW w:w="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21</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cost</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147</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150</w:t>
            </w:r>
          </w:p>
        </w:tc>
        <w:tc>
          <w:tcPr>
            <w:tcW w:w="2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449</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Expected return on plan assets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(289)</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(282)</w:t>
            </w:r>
          </w:p>
        </w:tc>
        <w:tc>
          <w:tcPr>
            <w:tcW w:w="2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(867)</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(844)</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Amortization of prior service (credit) cost</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w:t>
            </w: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periodic benefit (income) cost</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(135)</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(126)</w:t>
            </w:r>
          </w:p>
        </w:tc>
        <w:tc>
          <w:tcPr>
            <w:tcW w:w="2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(405)</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(379)</w:t>
            </w: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30</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00" w:type="dxa"/>
            <w:vAlign w:val="bottom"/>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1880" w:type="dxa"/>
            <w:vAlign w:val="bottom"/>
            <w:tcBorders>
              <w:bottom w:val="single" w:sz="8" w:color="D7282F"/>
            </w:tcBorders>
            <w:gridSpan w:val="4"/>
          </w:tcPr>
          <w:p>
            <w:pPr>
              <w:jc w:val="right"/>
              <w:ind w:right="508"/>
              <w:spacing w:after="0"/>
              <w:rPr>
                <w:sz w:val="20"/>
                <w:szCs w:val="20"/>
                <w:color w:val="auto"/>
              </w:rPr>
            </w:pPr>
            <w:r>
              <w:rPr>
                <w:rFonts w:ascii="Arial" w:cs="Arial" w:eastAsia="Arial" w:hAnsi="Arial"/>
                <w:sz w:val="14"/>
                <w:szCs w:val="14"/>
                <w:b w:val="1"/>
                <w:bCs w:val="1"/>
                <w:color w:val="auto"/>
              </w:rPr>
              <w:t>Non-U.S. Plans</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r>
      <w:tr>
        <w:trPr>
          <w:trHeight w:val="174"/>
        </w:trPr>
        <w:tc>
          <w:tcPr>
            <w:tcW w:w="7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1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235"/>
        </w:trPr>
        <w:tc>
          <w:tcPr>
            <w:tcW w:w="7100" w:type="dxa"/>
            <w:vAlign w:val="bottom"/>
            <w:tcBorders>
              <w:bottom w:val="single" w:sz="8" w:color="D7282F"/>
            </w:tcBorders>
          </w:tcPr>
          <w:p>
            <w:pPr>
              <w:spacing w:after="0"/>
              <w:rPr>
                <w:sz w:val="20"/>
                <w:szCs w:val="20"/>
                <w:color w:val="auto"/>
              </w:rPr>
            </w:pPr>
          </w:p>
        </w:tc>
        <w:tc>
          <w:tcPr>
            <w:tcW w:w="180" w:type="dxa"/>
            <w:vAlign w:val="bottom"/>
            <w:tcBorders>
              <w:top w:val="single" w:sz="8" w:color="D7282F"/>
              <w:bottom w:val="single" w:sz="8" w:color="D7282F"/>
            </w:tcBorders>
          </w:tcPr>
          <w:p>
            <w:pPr>
              <w:spacing w:after="0"/>
              <w:rPr>
                <w:sz w:val="20"/>
                <w:szCs w:val="20"/>
                <w:color w:val="auto"/>
              </w:rPr>
            </w:pPr>
          </w:p>
        </w:tc>
        <w:tc>
          <w:tcPr>
            <w:tcW w:w="78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20"/>
                <w:szCs w:val="20"/>
                <w:color w:val="auto"/>
              </w:rPr>
            </w:pPr>
          </w:p>
        </w:tc>
        <w:tc>
          <w:tcPr>
            <w:tcW w:w="180" w:type="dxa"/>
            <w:vAlign w:val="bottom"/>
            <w:tcBorders>
              <w:top w:val="single" w:sz="8" w:color="D7282F"/>
              <w:bottom w:val="single" w:sz="8" w:color="D7282F"/>
            </w:tcBorders>
          </w:tcPr>
          <w:p>
            <w:pPr>
              <w:spacing w:after="0"/>
              <w:rPr>
                <w:sz w:val="20"/>
                <w:szCs w:val="20"/>
                <w:color w:val="auto"/>
              </w:rPr>
            </w:pPr>
          </w:p>
        </w:tc>
        <w:tc>
          <w:tcPr>
            <w:tcW w:w="80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top w:val="single" w:sz="8" w:color="D7282F"/>
              <w:bottom w:val="single" w:sz="8" w:color="D7282F"/>
            </w:tcBorders>
          </w:tcPr>
          <w:p>
            <w:pPr>
              <w:spacing w:after="0"/>
              <w:rPr>
                <w:sz w:val="20"/>
                <w:szCs w:val="20"/>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Service cost</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cost</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46</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49</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138</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143</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Expected return on plan assets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(69)</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(78)</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(211)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(226)</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Recognition of actuarial (gains) losses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100" w:type="dxa"/>
            <w:vAlign w:val="bottom"/>
            <w:tcBorders>
              <w:bottom w:val="single" w:sz="8" w:color="DC202E"/>
            </w:tcBorders>
          </w:tcPr>
          <w:p>
            <w:pPr>
              <w:ind w:left="20"/>
              <w:spacing w:after="0"/>
              <w:rPr>
                <w:sz w:val="20"/>
                <w:szCs w:val="20"/>
                <w:color w:val="auto"/>
              </w:rPr>
            </w:pPr>
            <w:r>
              <w:rPr>
                <w:rFonts w:ascii="Arial" w:cs="Arial" w:eastAsia="Arial" w:hAnsi="Arial"/>
                <w:sz w:val="14"/>
                <w:szCs w:val="14"/>
                <w:color w:val="auto"/>
              </w:rPr>
              <w:t>Settlements and curtailments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68</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7100" w:type="dxa"/>
            <w:vAlign w:val="bottom"/>
            <w:tcBorders>
              <w:bottom w:val="single" w:sz="8" w:color="DC202E"/>
            </w:tcBorders>
          </w:tcPr>
          <w:p>
            <w:pPr>
              <w:ind w:left="140"/>
              <w:spacing w:after="0"/>
              <w:rPr>
                <w:sz w:val="20"/>
                <w:szCs w:val="20"/>
                <w:color w:val="auto"/>
              </w:rPr>
            </w:pPr>
            <w:r>
              <w:rPr>
                <w:rFonts w:ascii="Arial" w:cs="Arial" w:eastAsia="Arial" w:hAnsi="Arial"/>
                <w:sz w:val="14"/>
                <w:szCs w:val="14"/>
                <w:b w:val="1"/>
                <w:bCs w:val="1"/>
                <w:color w:val="auto"/>
              </w:rPr>
              <w:t>Net periodic benefit (income) cost</w:t>
            </w:r>
          </w:p>
        </w:tc>
        <w:tc>
          <w:tcPr>
            <w:tcW w:w="180" w:type="dxa"/>
            <w:vAlign w:val="bottom"/>
            <w:tcBorders>
              <w:bottom w:val="single" w:sz="8" w:color="DC202E"/>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C202E"/>
            </w:tcBorders>
          </w:tcPr>
          <w:p>
            <w:pPr>
              <w:jc w:val="right"/>
              <w:ind w:right="48"/>
              <w:spacing w:after="0"/>
              <w:rPr>
                <w:sz w:val="20"/>
                <w:szCs w:val="20"/>
                <w:color w:val="auto"/>
              </w:rPr>
            </w:pPr>
            <w:r>
              <w:rPr>
                <w:rFonts w:ascii="Arial" w:cs="Arial" w:eastAsia="Arial" w:hAnsi="Arial"/>
                <w:sz w:val="14"/>
                <w:szCs w:val="14"/>
                <w:b w:val="1"/>
                <w:bCs w:val="1"/>
                <w:color w:val="auto"/>
              </w:rPr>
              <w:t>(22)</w:t>
            </w:r>
          </w:p>
        </w:tc>
        <w:tc>
          <w:tcPr>
            <w:tcW w:w="320" w:type="dxa"/>
            <w:vAlign w:val="bottom"/>
            <w:tcBorders>
              <w:bottom w:val="single" w:sz="8" w:color="DC202E"/>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(26)</w:t>
            </w:r>
          </w:p>
        </w:tc>
        <w:tc>
          <w:tcPr>
            <w:tcW w:w="220" w:type="dxa"/>
            <w:vAlign w:val="bottom"/>
            <w:tcBorders>
              <w:bottom w:val="single" w:sz="8" w:color="DC202E"/>
            </w:tcBorders>
          </w:tcPr>
          <w:p>
            <w:pPr>
              <w:spacing w:after="0"/>
              <w:rPr>
                <w:sz w:val="17"/>
                <w:szCs w:val="17"/>
                <w:color w:val="auto"/>
              </w:rPr>
            </w:pPr>
          </w:p>
        </w:tc>
        <w:tc>
          <w:tcPr>
            <w:tcW w:w="180" w:type="dxa"/>
            <w:vAlign w:val="bottom"/>
            <w:tcBorders>
              <w:bottom w:val="single" w:sz="8" w:color="DC202E"/>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C202E"/>
            </w:tcBorders>
          </w:tcPr>
          <w:p>
            <w:pPr>
              <w:jc w:val="right"/>
              <w:ind w:right="108"/>
              <w:spacing w:after="0"/>
              <w:rPr>
                <w:sz w:val="20"/>
                <w:szCs w:val="20"/>
                <w:color w:val="auto"/>
              </w:rPr>
            </w:pPr>
            <w:r>
              <w:rPr>
                <w:rFonts w:ascii="Arial" w:cs="Arial" w:eastAsia="Arial" w:hAnsi="Arial"/>
                <w:sz w:val="14"/>
                <w:szCs w:val="14"/>
                <w:b w:val="1"/>
                <w:bCs w:val="1"/>
                <w:color w:val="auto"/>
              </w:rPr>
              <w:t>12</w:t>
            </w:r>
          </w:p>
        </w:tc>
        <w:tc>
          <w:tcPr>
            <w:tcW w:w="300" w:type="dxa"/>
            <w:vAlign w:val="bottom"/>
            <w:tcBorders>
              <w:bottom w:val="single" w:sz="8" w:color="DC202E"/>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(74)</w:t>
            </w:r>
          </w:p>
        </w:tc>
      </w:tr>
    </w:tbl>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repurchased $100 million and $400 million of outstanding Honeywell shares of common stock from the Honeywell U.S. Pension Plan Master Trust during the three and nine months ended September 30, 2025, respectively. The Company completed no repurchases of outstanding Honeywell shares of common stock from the Honeywell U.S. Pension Plan Master Trust during the nine months ended September 30, 2024.</w:t>
      </w:r>
    </w:p>
    <w:p>
      <w:pPr>
        <w:spacing w:after="0" w:line="234" w:lineRule="exact"/>
        <w:rPr>
          <w:sz w:val="20"/>
          <w:szCs w:val="20"/>
          <w:color w:val="auto"/>
        </w:rPr>
      </w:pPr>
    </w:p>
    <w:p>
      <w:pPr>
        <w:spacing w:after="0"/>
        <w:rPr>
          <w:sz w:val="20"/>
          <w:szCs w:val="20"/>
          <w:color w:val="auto"/>
        </w:rPr>
      </w:pPr>
      <w:r>
        <w:rPr>
          <w:rFonts w:ascii="Arial" w:cs="Arial" w:eastAsia="Arial" w:hAnsi="Arial"/>
          <w:sz w:val="29"/>
          <w:szCs w:val="29"/>
          <w:color w:val="D7282F"/>
        </w:rPr>
        <w:t>NOTE 17. OTHER (INCOME) EXPENSE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10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80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income</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(86)</w:t>
            </w:r>
          </w:p>
        </w:tc>
        <w:tc>
          <w:tcPr>
            <w:tcW w:w="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(110)</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(255)</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(325)</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Pension ongoing income—non-service</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(169)</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(161)</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(424)</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(478)</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postretirement income—non-service</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(3)</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Equity income of affiliated companies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(13)</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(45)</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(47)</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Gain on Resideo indemnification and reimbursement agreement termination</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(802)</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(802)</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Loss on sale of non-strategic businesses and assets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30</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exchange (gain) loss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(10)</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(25)</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w:t>
            </w:r>
          </w:p>
        </w:tc>
      </w:tr>
      <w:tr>
        <w:trPr>
          <w:trHeight w:val="200"/>
        </w:trPr>
        <w:tc>
          <w:tcPr>
            <w:tcW w:w="7100" w:type="dxa"/>
            <w:vAlign w:val="bottom"/>
            <w:tcBorders>
              <w:bottom w:val="single" w:sz="8" w:color="61656A"/>
            </w:tcBorders>
          </w:tcPr>
          <w:p>
            <w:pPr>
              <w:ind w:left="20"/>
              <w:spacing w:after="0" w:line="200" w:lineRule="exact"/>
              <w:rPr>
                <w:sz w:val="20"/>
                <w:szCs w:val="20"/>
                <w:color w:val="auto"/>
              </w:rPr>
            </w:pPr>
            <w:r>
              <w:rPr>
                <w:rFonts w:ascii="Arial" w:cs="Arial" w:eastAsia="Arial" w:hAnsi="Arial"/>
                <w:sz w:val="14"/>
                <w:szCs w:val="14"/>
                <w:color w:val="auto"/>
              </w:rPr>
              <w:t>Divestiture-related costs</w:t>
            </w:r>
            <w:r>
              <w:rPr>
                <w:rFonts w:ascii="Arial" w:cs="Arial" w:eastAsia="Arial" w:hAnsi="Arial"/>
                <w:sz w:val="18"/>
                <w:szCs w:val="18"/>
                <w:color w:val="auto"/>
                <w:vertAlign w:val="superscript"/>
              </w:rPr>
              <w:t>1</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234</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361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Acquisition-related costs</w:t>
            </w: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13</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24</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Expense related to Russia-Ukraine conflict</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net</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14</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38</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45</w:t>
            </w: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Other (income) expense</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(822)</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(263)</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(1,109)</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(740)</w:t>
            </w:r>
          </w:p>
        </w:tc>
      </w:tr>
    </w:tbl>
    <w:p>
      <w:pPr>
        <w:spacing w:after="0" w:line="23" w:lineRule="exact"/>
        <w:rPr>
          <w:sz w:val="20"/>
          <w:szCs w:val="20"/>
          <w:color w:val="auto"/>
        </w:rPr>
      </w:pPr>
    </w:p>
    <w:p>
      <w:pPr>
        <w:ind w:left="480" w:hanging="344"/>
        <w:spacing w:after="0"/>
        <w:tabs>
          <w:tab w:leader="none" w:pos="480" w:val="left"/>
        </w:tabs>
        <w:numPr>
          <w:ilvl w:val="0"/>
          <w:numId w:val="26"/>
        </w:numPr>
        <w:rPr>
          <w:rFonts w:ascii="Arial" w:cs="Arial" w:eastAsia="Arial" w:hAnsi="Arial"/>
          <w:sz w:val="25"/>
          <w:szCs w:val="25"/>
          <w:color w:val="auto"/>
          <w:vertAlign w:val="superscript"/>
        </w:rPr>
      </w:pPr>
      <w:r>
        <w:rPr>
          <w:rFonts w:ascii="Arial" w:cs="Arial" w:eastAsia="Arial" w:hAnsi="Arial"/>
          <w:sz w:val="13"/>
          <w:szCs w:val="13"/>
          <w:color w:val="auto"/>
        </w:rPr>
        <w:t>Includes divestiture, spin-off, and separation costs.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See Note 15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for further discussion of the gain related to the Resideo indemnification and reimbursement agreement termination.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5 </w:t>
      </w:r>
      <w:r>
        <w:rPr>
          <w:rFonts w:ascii="Arial" w:cs="Arial" w:eastAsia="Arial" w:hAnsi="Arial"/>
          <w:sz w:val="16"/>
          <w:szCs w:val="16"/>
          <w:u w:val="single" w:color="auto"/>
          <w:color w:val="0000FF"/>
        </w:rPr>
        <w:t>Repositioning and Other (Gains) Charges</w:t>
      </w:r>
      <w:r>
        <w:rPr>
          <w:rFonts w:ascii="Arial" w:cs="Arial" w:eastAsia="Arial" w:hAnsi="Arial"/>
          <w:sz w:val="16"/>
          <w:szCs w:val="16"/>
          <w:color w:val="auto"/>
        </w:rPr>
        <w:t xml:space="preserve"> for further discussion of the expense related to the Russia-Ukraine conflict.</w:t>
      </w:r>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color w:val="D7282F"/>
        </w:rPr>
        <w:t>NOTE 18. SEGMENT FINANCIAL DATA</w:t>
      </w:r>
    </w:p>
    <w:p>
      <w:pPr>
        <w:spacing w:after="0" w:line="23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Honeywell globally manages its business operations through four reportable business segments. Segment information is consistent with how the Chairman and Chief Executive Officer, who is the Company's chief operating decision maker, and management reviews the businesses, makes investing and resource allocation decisions, and assesses operating performance.</w:t>
      </w:r>
    </w:p>
    <w:p>
      <w:pPr>
        <w:spacing w:after="0" w:line="5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Honeywell’s senior management evaluates segment performance based on segment profit. Each segment’s profit is measured as segment income (loss) before taxes excluding general corporate unallocated expense, interest and other financial charges, interest income, amortization of acquisition-related intangibles, certain acquisition- and divestiture-related costs, impairment of assets held for sale, stock compensation expense, pension and other postretirement income (expense), repositioning and other (gains) charges, and other items within Other (income) expense.</w:t>
      </w:r>
    </w:p>
    <w:p>
      <w:pPr>
        <w:spacing w:after="0" w:line="399" w:lineRule="exact"/>
        <w:rPr>
          <w:sz w:val="20"/>
          <w:szCs w:val="20"/>
          <w:color w:val="auto"/>
        </w:rPr>
      </w:pPr>
    </w:p>
    <w:p>
      <w:pPr>
        <w:ind w:left="400" w:hanging="392"/>
        <w:spacing w:after="0"/>
        <w:tabs>
          <w:tab w:leader="none" w:pos="400" w:val="left"/>
        </w:tabs>
        <w:numPr>
          <w:ilvl w:val="0"/>
          <w:numId w:val="2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30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October 2025, the Company announced a planned realignment, expected to be effective in the first quarter of 2026, of its business units comprising its Industrial Automation and Energy and Sustainability Solutions reportable business segments. This realignment will form a new reportable business segment, Process Automation and Technology, and result in a new composition of its Industrial Automation reportable business segment. Process Automation and Technology will be comprised of UOP, which is currently in Energy and Sustainability Solutions, and the core portion of the Process Solutions business, which is currently in Industrial Automation. The new composition of Industrial Automation will continue to include the smart energy, thermal solutions, and process measurement and control businesses, currently included in the Process Solutions business, as well as the Sensing and Safety Technologies, Warehouse and Workflow Solutions, and Productivity Solutions and Services businesses. Following the realignment, the Company’s reportable business segments will be Aerospace Technologies, Building Automation, Process Automation and Technology, and Industrial Automation. The realignment will not impact the Company’s historical consolidated financial position, results of operations, or cash flows. The Company expects to report its financial performance based on this realignment effective with the first quarter of 2026.</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Aerospace</w:t>
            </w:r>
          </w:p>
        </w:tc>
        <w:tc>
          <w:tcPr>
            <w:tcW w:w="260" w:type="dxa"/>
            <w:vAlign w:val="bottom"/>
          </w:tcPr>
          <w:p>
            <w:pPr>
              <w:spacing w:after="0"/>
              <w:rPr>
                <w:sz w:val="14"/>
                <w:szCs w:val="14"/>
                <w:color w:val="auto"/>
              </w:rPr>
            </w:pPr>
          </w:p>
        </w:tc>
        <w:tc>
          <w:tcPr>
            <w:tcW w:w="10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Industrial</w:t>
            </w:r>
          </w:p>
        </w:tc>
        <w:tc>
          <w:tcPr>
            <w:tcW w:w="260" w:type="dxa"/>
            <w:vAlign w:val="bottom"/>
          </w:tcPr>
          <w:p>
            <w:pPr>
              <w:spacing w:after="0"/>
              <w:rPr>
                <w:sz w:val="14"/>
                <w:szCs w:val="14"/>
                <w:color w:val="auto"/>
              </w:rPr>
            </w:pPr>
          </w:p>
        </w:tc>
        <w:tc>
          <w:tcPr>
            <w:tcW w:w="10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Building</w:t>
            </w:r>
          </w:p>
        </w:tc>
        <w:tc>
          <w:tcPr>
            <w:tcW w:w="260" w:type="dxa"/>
            <w:vAlign w:val="bottom"/>
          </w:tcPr>
          <w:p>
            <w:pPr>
              <w:spacing w:after="0"/>
              <w:rPr>
                <w:sz w:val="14"/>
                <w:szCs w:val="14"/>
                <w:color w:val="auto"/>
              </w:rPr>
            </w:pPr>
          </w:p>
        </w:tc>
        <w:tc>
          <w:tcPr>
            <w:tcW w:w="1200" w:type="dxa"/>
            <w:vAlign w:val="bottom"/>
          </w:tcPr>
          <w:p>
            <w:pPr>
              <w:jc w:val="center"/>
              <w:ind w:right="148"/>
              <w:spacing w:after="0"/>
              <w:rPr>
                <w:sz w:val="20"/>
                <w:szCs w:val="20"/>
                <w:color w:val="auto"/>
              </w:rPr>
            </w:pPr>
            <w:r>
              <w:rPr>
                <w:rFonts w:ascii="Arial" w:cs="Arial" w:eastAsia="Arial" w:hAnsi="Arial"/>
                <w:sz w:val="14"/>
                <w:szCs w:val="14"/>
                <w:b w:val="1"/>
                <w:bCs w:val="1"/>
                <w:color w:val="auto"/>
              </w:rPr>
              <w:t>Energy and</w:t>
            </w:r>
          </w:p>
        </w:tc>
        <w:tc>
          <w:tcPr>
            <w:tcW w:w="260" w:type="dxa"/>
            <w:vAlign w:val="bottom"/>
          </w:tcPr>
          <w:p>
            <w:pPr>
              <w:spacing w:after="0"/>
              <w:rPr>
                <w:sz w:val="14"/>
                <w:szCs w:val="14"/>
                <w:color w:val="auto"/>
              </w:rPr>
            </w:pPr>
          </w:p>
        </w:tc>
        <w:tc>
          <w:tcPr>
            <w:tcW w:w="9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4"/>
                <w:szCs w:val="14"/>
                <w:color w:val="auto"/>
              </w:rPr>
            </w:pPr>
          </w:p>
        </w:tc>
        <w:tc>
          <w:tcPr>
            <w:tcW w:w="9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 2025</w:t>
            </w:r>
          </w:p>
        </w:tc>
        <w:tc>
          <w:tcPr>
            <w:tcW w:w="3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ind w:right="148"/>
              <w:spacing w:after="0" w:line="145" w:lineRule="exact"/>
              <w:rPr>
                <w:sz w:val="20"/>
                <w:szCs w:val="20"/>
                <w:color w:val="auto"/>
              </w:rPr>
            </w:pPr>
            <w:r>
              <w:rPr>
                <w:rFonts w:ascii="Arial" w:cs="Arial" w:eastAsia="Arial" w:hAnsi="Arial"/>
                <w:sz w:val="14"/>
                <w:szCs w:val="14"/>
                <w:b w:val="1"/>
                <w:bCs w:val="1"/>
                <w:color w:val="auto"/>
              </w:rPr>
              <w:t>Sustainability</w:t>
            </w: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200" w:type="dxa"/>
            <w:vAlign w:val="bottom"/>
            <w:tcBorders>
              <w:bottom w:val="single" w:sz="8" w:color="D7282F"/>
            </w:tcBorders>
            <w:vMerge w:val="continue"/>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120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Technologies</w:t>
            </w:r>
          </w:p>
        </w:tc>
        <w:tc>
          <w:tcPr>
            <w:tcW w:w="26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Automation</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Automation</w:t>
            </w:r>
          </w:p>
        </w:tc>
        <w:tc>
          <w:tcPr>
            <w:tcW w:w="260" w:type="dxa"/>
            <w:vAlign w:val="bottom"/>
            <w:tcBorders>
              <w:bottom w:val="single" w:sz="8" w:color="D7282F"/>
            </w:tcBorders>
          </w:tcPr>
          <w:p>
            <w:pPr>
              <w:spacing w:after="0"/>
              <w:rPr>
                <w:sz w:val="16"/>
                <w:szCs w:val="16"/>
                <w:color w:val="auto"/>
              </w:rPr>
            </w:pPr>
          </w:p>
        </w:tc>
        <w:tc>
          <w:tcPr>
            <w:tcW w:w="120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Solutions</w:t>
            </w:r>
          </w:p>
        </w:tc>
        <w:tc>
          <w:tcPr>
            <w:tcW w:w="1240" w:type="dxa"/>
            <w:vAlign w:val="bottom"/>
            <w:tcBorders>
              <w:bottom w:val="single" w:sz="8" w:color="D7282F"/>
            </w:tcBorders>
            <w:gridSpan w:val="2"/>
          </w:tcPr>
          <w:p>
            <w:pPr>
              <w:jc w:val="right"/>
              <w:ind w:right="88"/>
              <w:spacing w:after="0"/>
              <w:rPr>
                <w:sz w:val="20"/>
                <w:szCs w:val="20"/>
                <w:color w:val="auto"/>
              </w:rPr>
            </w:pPr>
            <w:r>
              <w:rPr>
                <w:rFonts w:ascii="Arial" w:cs="Arial" w:eastAsia="Arial" w:hAnsi="Arial"/>
                <w:sz w:val="14"/>
                <w:szCs w:val="14"/>
                <w:b w:val="1"/>
                <w:bCs w:val="1"/>
                <w:color w:val="auto"/>
              </w:rPr>
              <w:t>and All Other</w:t>
            </w:r>
          </w:p>
        </w:tc>
        <w:tc>
          <w:tcPr>
            <w:tcW w:w="26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Honeywell</w:t>
            </w:r>
          </w:p>
        </w:tc>
        <w:tc>
          <w:tcPr>
            <w:tcW w:w="0" w:type="dxa"/>
            <w:vAlign w:val="bottom"/>
          </w:tcPr>
          <w:p>
            <w:pPr>
              <w:spacing w:after="0"/>
              <w:rPr>
                <w:sz w:val="1"/>
                <w:szCs w:val="1"/>
                <w:color w:val="auto"/>
              </w:rPr>
            </w:pPr>
          </w:p>
        </w:tc>
      </w:tr>
      <w:tr>
        <w:trPr>
          <w:trHeight w:val="195"/>
        </w:trPr>
        <w:tc>
          <w:tcPr>
            <w:tcW w:w="320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320" w:type="dxa"/>
            <w:vAlign w:val="bottom"/>
            <w:tcBorders>
              <w:bottom w:val="single" w:sz="8" w:color="888B8D"/>
            </w:tcBorders>
          </w:tcPr>
          <w:p>
            <w:pPr>
              <w:spacing w:after="0"/>
              <w:rPr>
                <w:sz w:val="16"/>
                <w:szCs w:val="16"/>
                <w:color w:val="auto"/>
              </w:rPr>
            </w:pPr>
          </w:p>
        </w:tc>
        <w:tc>
          <w:tcPr>
            <w:tcW w:w="120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04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06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20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Products</w:t>
            </w:r>
          </w:p>
        </w:tc>
        <w:tc>
          <w:tcPr>
            <w:tcW w:w="3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2,606</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1,511</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1,369</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1,600</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7,086</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2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1,905</w:t>
            </w: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763</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509</w:t>
            </w:r>
          </w:p>
        </w:tc>
        <w:tc>
          <w:tcPr>
            <w:tcW w:w="2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142</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3,322</w:t>
            </w:r>
          </w:p>
        </w:tc>
        <w:tc>
          <w:tcPr>
            <w:tcW w:w="0" w:type="dxa"/>
            <w:vAlign w:val="bottom"/>
          </w:tcPr>
          <w:p>
            <w:pPr>
              <w:spacing w:after="0"/>
              <w:rPr>
                <w:sz w:val="1"/>
                <w:szCs w:val="1"/>
                <w:color w:val="auto"/>
              </w:rPr>
            </w:pPr>
          </w:p>
        </w:tc>
      </w:tr>
      <w:tr>
        <w:trPr>
          <w:trHeight w:val="199"/>
        </w:trPr>
        <w:tc>
          <w:tcPr>
            <w:tcW w:w="32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Net sales</w:t>
            </w:r>
          </w:p>
        </w:tc>
        <w:tc>
          <w:tcPr>
            <w:tcW w:w="32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4,511</w:t>
            </w: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2,274</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1,878</w:t>
            </w:r>
          </w:p>
        </w:tc>
        <w:tc>
          <w:tcPr>
            <w:tcW w:w="2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1,742</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10,408</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Less</w:t>
            </w:r>
          </w:p>
        </w:tc>
        <w:tc>
          <w:tcPr>
            <w:tcW w:w="320" w:type="dxa"/>
            <w:vAlign w:val="bottom"/>
            <w:tcBorders>
              <w:bottom w:val="single" w:sz="8" w:color="888B8D"/>
            </w:tcBorders>
          </w:tcPr>
          <w:p>
            <w:pPr>
              <w:spacing w:after="0"/>
              <w:rPr>
                <w:sz w:val="17"/>
                <w:szCs w:val="17"/>
                <w:color w:val="auto"/>
              </w:rPr>
            </w:pPr>
          </w:p>
        </w:tc>
        <w:tc>
          <w:tcPr>
            <w:tcW w:w="120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20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Cost of products and services sold</w:t>
            </w:r>
          </w:p>
        </w:tc>
        <w:tc>
          <w:tcPr>
            <w:tcW w:w="320" w:type="dxa"/>
            <w:vAlign w:val="bottom"/>
            <w:tcBorders>
              <w:bottom w:val="single" w:sz="8" w:color="888B8D"/>
            </w:tcBorders>
          </w:tcPr>
          <w:p>
            <w:pPr>
              <w:spacing w:after="0"/>
              <w:rPr>
                <w:sz w:val="16"/>
                <w:szCs w:val="16"/>
                <w:color w:val="auto"/>
              </w:rPr>
            </w:pP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2,844</w:t>
            </w:r>
          </w:p>
        </w:tc>
        <w:tc>
          <w:tcPr>
            <w:tcW w:w="260" w:type="dxa"/>
            <w:vAlign w:val="bottom"/>
            <w:tcBorders>
              <w:bottom w:val="single" w:sz="8" w:color="888B8D"/>
            </w:tcBorders>
          </w:tcPr>
          <w:p>
            <w:pPr>
              <w:spacing w:after="0"/>
              <w:rPr>
                <w:sz w:val="16"/>
                <w:szCs w:val="16"/>
                <w:color w:val="auto"/>
              </w:rPr>
            </w:pPr>
          </w:p>
        </w:tc>
        <w:tc>
          <w:tcPr>
            <w:tcW w:w="10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1,345</w:t>
            </w:r>
          </w:p>
        </w:tc>
        <w:tc>
          <w:tcPr>
            <w:tcW w:w="260" w:type="dxa"/>
            <w:vAlign w:val="bottom"/>
            <w:tcBorders>
              <w:bottom w:val="single" w:sz="8" w:color="888B8D"/>
            </w:tcBorders>
          </w:tcPr>
          <w:p>
            <w:pPr>
              <w:spacing w:after="0"/>
              <w:rPr>
                <w:sz w:val="16"/>
                <w:szCs w:val="16"/>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990</w:t>
            </w:r>
          </w:p>
        </w:tc>
        <w:tc>
          <w:tcPr>
            <w:tcW w:w="260" w:type="dxa"/>
            <w:vAlign w:val="bottom"/>
            <w:tcBorders>
              <w:bottom w:val="single" w:sz="8" w:color="888B8D"/>
            </w:tcBorders>
          </w:tcPr>
          <w:p>
            <w:pPr>
              <w:spacing w:after="0"/>
              <w:rPr>
                <w:sz w:val="16"/>
                <w:szCs w:val="16"/>
                <w:color w:val="auto"/>
              </w:rPr>
            </w:pP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1,118</w:t>
            </w:r>
          </w:p>
        </w:tc>
        <w:tc>
          <w:tcPr>
            <w:tcW w:w="26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320" w:type="dxa"/>
            <w:vAlign w:val="bottom"/>
            <w:tcBorders>
              <w:bottom w:val="single" w:sz="8" w:color="888B8D"/>
            </w:tcBorders>
          </w:tcPr>
          <w:p>
            <w:pPr>
              <w:spacing w:after="0"/>
              <w:rPr>
                <w:sz w:val="17"/>
                <w:szCs w:val="17"/>
                <w:color w:val="auto"/>
              </w:rPr>
            </w:pP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169</w:t>
            </w:r>
          </w:p>
        </w:tc>
        <w:tc>
          <w:tcPr>
            <w:tcW w:w="260" w:type="dxa"/>
            <w:vAlign w:val="bottom"/>
            <w:tcBorders>
              <w:bottom w:val="single" w:sz="8" w:color="888B8D"/>
            </w:tcBorders>
          </w:tcPr>
          <w:p>
            <w:pPr>
              <w:spacing w:after="0"/>
              <w:rPr>
                <w:sz w:val="17"/>
                <w:szCs w:val="17"/>
                <w:color w:val="auto"/>
              </w:rPr>
            </w:pPr>
          </w:p>
        </w:tc>
        <w:tc>
          <w:tcPr>
            <w:tcW w:w="10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297</w:t>
            </w: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265</w:t>
            </w:r>
          </w:p>
        </w:tc>
        <w:tc>
          <w:tcPr>
            <w:tcW w:w="260" w:type="dxa"/>
            <w:vAlign w:val="bottom"/>
            <w:tcBorders>
              <w:bottom w:val="single" w:sz="8" w:color="888B8D"/>
            </w:tcBorders>
          </w:tcPr>
          <w:p>
            <w:pPr>
              <w:spacing w:after="0"/>
              <w:rPr>
                <w:sz w:val="17"/>
                <w:szCs w:val="17"/>
                <w:color w:val="auto"/>
              </w:rPr>
            </w:pP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97</w:t>
            </w: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200" w:type="dxa"/>
            <w:vAlign w:val="bottom"/>
            <w:tcBorders>
              <w:bottom w:val="single" w:sz="8" w:color="D7282F"/>
            </w:tcBorders>
          </w:tcPr>
          <w:p>
            <w:pPr>
              <w:ind w:left="140"/>
              <w:spacing w:after="0" w:line="200" w:lineRule="exact"/>
              <w:rPr>
                <w:sz w:val="20"/>
                <w:szCs w:val="20"/>
                <w:color w:val="auto"/>
              </w:rPr>
            </w:pPr>
            <w:r>
              <w:rPr>
                <w:rFonts w:ascii="Arial" w:cs="Arial" w:eastAsia="Arial" w:hAnsi="Arial"/>
                <w:sz w:val="14"/>
                <w:szCs w:val="14"/>
                <w:color w:val="auto"/>
              </w:rPr>
              <w:t>Other segment items</w:t>
            </w:r>
            <w:r>
              <w:rPr>
                <w:rFonts w:ascii="Arial" w:cs="Arial" w:eastAsia="Arial" w:hAnsi="Arial"/>
                <w:sz w:val="18"/>
                <w:szCs w:val="18"/>
                <w:color w:val="auto"/>
                <w:vertAlign w:val="superscript"/>
              </w:rPr>
              <w:t>1</w:t>
            </w:r>
          </w:p>
        </w:tc>
        <w:tc>
          <w:tcPr>
            <w:tcW w:w="32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320</w:t>
            </w: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204</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121</w:t>
            </w:r>
          </w:p>
        </w:tc>
        <w:tc>
          <w:tcPr>
            <w:tcW w:w="2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100</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Segment profit</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1,178</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428</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502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427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(128)</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2,407</w:t>
            </w:r>
          </w:p>
        </w:tc>
        <w:tc>
          <w:tcPr>
            <w:tcW w:w="0" w:type="dxa"/>
            <w:vAlign w:val="bottom"/>
          </w:tcPr>
          <w:p>
            <w:pPr>
              <w:spacing w:after="0"/>
              <w:rPr>
                <w:sz w:val="1"/>
                <w:szCs w:val="1"/>
                <w:color w:val="auto"/>
              </w:rPr>
            </w:pPr>
          </w:p>
        </w:tc>
      </w:tr>
      <w:tr>
        <w:trPr>
          <w:trHeight w:val="238"/>
        </w:trPr>
        <w:tc>
          <w:tcPr>
            <w:tcW w:w="3200" w:type="dxa"/>
            <w:vAlign w:val="bottom"/>
            <w:tcBorders>
              <w:bottom w:val="single" w:sz="8" w:color="D7282F"/>
            </w:tcBorders>
          </w:tcPr>
          <w:p>
            <w:pPr>
              <w:spacing w:after="0"/>
              <w:rPr>
                <w:sz w:val="20"/>
                <w:szCs w:val="20"/>
                <w:color w:val="auto"/>
              </w:rPr>
            </w:pPr>
          </w:p>
        </w:tc>
        <w:tc>
          <w:tcPr>
            <w:tcW w:w="320" w:type="dxa"/>
            <w:vAlign w:val="bottom"/>
            <w:tcBorders>
              <w:bottom w:val="single" w:sz="8" w:color="D7282F"/>
            </w:tcBorders>
          </w:tcPr>
          <w:p>
            <w:pPr>
              <w:spacing w:after="0"/>
              <w:rPr>
                <w:sz w:val="20"/>
                <w:szCs w:val="20"/>
                <w:color w:val="auto"/>
              </w:rPr>
            </w:pPr>
          </w:p>
        </w:tc>
        <w:tc>
          <w:tcPr>
            <w:tcW w:w="120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04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06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20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98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940" w:type="dxa"/>
            <w:vAlign w:val="bottom"/>
            <w:tcBorders>
              <w:bottom w:val="single" w:sz="8" w:color="D7282F"/>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84</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87</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63</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113</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50</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Capital expenditures</w:t>
            </w:r>
          </w:p>
        </w:tc>
        <w:tc>
          <w:tcPr>
            <w:tcW w:w="32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105</w:t>
            </w: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57</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22</w:t>
            </w:r>
          </w:p>
        </w:tc>
        <w:tc>
          <w:tcPr>
            <w:tcW w:w="2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157</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33</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480" w:right="120" w:hanging="344"/>
        <w:spacing w:after="0" w:line="183" w:lineRule="auto"/>
        <w:tabs>
          <w:tab w:leader="none" w:pos="480" w:val="left"/>
        </w:tabs>
        <w:numPr>
          <w:ilvl w:val="0"/>
          <w:numId w:val="28"/>
        </w:numPr>
        <w:rPr>
          <w:rFonts w:ascii="Arial" w:cs="Arial" w:eastAsia="Arial" w:hAnsi="Arial"/>
          <w:sz w:val="24"/>
          <w:szCs w:val="24"/>
          <w:color w:val="auto"/>
          <w:vertAlign w:val="superscript"/>
        </w:rPr>
      </w:pPr>
      <w:r>
        <w:rPr>
          <w:rFonts w:ascii="Arial" w:cs="Arial" w:eastAsia="Arial" w:hAnsi="Arial"/>
          <w:sz w:val="12"/>
          <w:szCs w:val="12"/>
          <w:color w:val="auto"/>
        </w:rPr>
        <w:t>For each reportable segment, the other segment items category includes research and development expenses, equity income of affiliated companies and certain allocated overhead expenses, which are comprised of salaries and fringe benefits, professional &amp; purchased services, and other indirect spend across core corporate functions such as central IT, corporate finance, human resources, supply chain, legal, government relations, and other corporate functions.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Aerospace</w:t>
            </w:r>
          </w:p>
        </w:tc>
        <w:tc>
          <w:tcPr>
            <w:tcW w:w="260" w:type="dxa"/>
            <w:vAlign w:val="bottom"/>
          </w:tcPr>
          <w:p>
            <w:pPr>
              <w:spacing w:after="0"/>
              <w:rPr>
                <w:sz w:val="14"/>
                <w:szCs w:val="14"/>
                <w:color w:val="auto"/>
              </w:rPr>
            </w:pPr>
          </w:p>
        </w:tc>
        <w:tc>
          <w:tcPr>
            <w:tcW w:w="10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Industrial</w:t>
            </w:r>
          </w:p>
        </w:tc>
        <w:tc>
          <w:tcPr>
            <w:tcW w:w="260" w:type="dxa"/>
            <w:vAlign w:val="bottom"/>
          </w:tcPr>
          <w:p>
            <w:pPr>
              <w:spacing w:after="0"/>
              <w:rPr>
                <w:sz w:val="14"/>
                <w:szCs w:val="14"/>
                <w:color w:val="auto"/>
              </w:rPr>
            </w:pPr>
          </w:p>
        </w:tc>
        <w:tc>
          <w:tcPr>
            <w:tcW w:w="10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Building</w:t>
            </w:r>
          </w:p>
        </w:tc>
        <w:tc>
          <w:tcPr>
            <w:tcW w:w="260" w:type="dxa"/>
            <w:vAlign w:val="bottom"/>
          </w:tcPr>
          <w:p>
            <w:pPr>
              <w:spacing w:after="0"/>
              <w:rPr>
                <w:sz w:val="14"/>
                <w:szCs w:val="14"/>
                <w:color w:val="auto"/>
              </w:rPr>
            </w:pPr>
          </w:p>
        </w:tc>
        <w:tc>
          <w:tcPr>
            <w:tcW w:w="1200" w:type="dxa"/>
            <w:vAlign w:val="bottom"/>
          </w:tcPr>
          <w:p>
            <w:pPr>
              <w:jc w:val="center"/>
              <w:ind w:right="148"/>
              <w:spacing w:after="0"/>
              <w:rPr>
                <w:sz w:val="20"/>
                <w:szCs w:val="20"/>
                <w:color w:val="auto"/>
              </w:rPr>
            </w:pPr>
            <w:r>
              <w:rPr>
                <w:rFonts w:ascii="Arial" w:cs="Arial" w:eastAsia="Arial" w:hAnsi="Arial"/>
                <w:sz w:val="14"/>
                <w:szCs w:val="14"/>
                <w:b w:val="1"/>
                <w:bCs w:val="1"/>
                <w:color w:val="auto"/>
              </w:rPr>
              <w:t>Energy and</w:t>
            </w:r>
          </w:p>
        </w:tc>
        <w:tc>
          <w:tcPr>
            <w:tcW w:w="260" w:type="dxa"/>
            <w:vAlign w:val="bottom"/>
          </w:tcPr>
          <w:p>
            <w:pPr>
              <w:spacing w:after="0"/>
              <w:rPr>
                <w:sz w:val="14"/>
                <w:szCs w:val="14"/>
                <w:color w:val="auto"/>
              </w:rPr>
            </w:pPr>
          </w:p>
        </w:tc>
        <w:tc>
          <w:tcPr>
            <w:tcW w:w="9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4"/>
                <w:szCs w:val="14"/>
                <w:color w:val="auto"/>
              </w:rPr>
            </w:pPr>
          </w:p>
        </w:tc>
        <w:tc>
          <w:tcPr>
            <w:tcW w:w="9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 2024</w:t>
            </w:r>
          </w:p>
        </w:tc>
        <w:tc>
          <w:tcPr>
            <w:tcW w:w="3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Sustainability</w:t>
            </w: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200" w:type="dxa"/>
            <w:vAlign w:val="bottom"/>
            <w:tcBorders>
              <w:bottom w:val="single" w:sz="8" w:color="D7282F"/>
            </w:tcBorders>
            <w:vMerge w:val="continue"/>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120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Technologies</w:t>
            </w:r>
          </w:p>
        </w:tc>
        <w:tc>
          <w:tcPr>
            <w:tcW w:w="26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Automation</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Automation</w:t>
            </w:r>
          </w:p>
        </w:tc>
        <w:tc>
          <w:tcPr>
            <w:tcW w:w="260" w:type="dxa"/>
            <w:vAlign w:val="bottom"/>
            <w:tcBorders>
              <w:bottom w:val="single" w:sz="8" w:color="D7282F"/>
            </w:tcBorders>
          </w:tcPr>
          <w:p>
            <w:pPr>
              <w:spacing w:after="0"/>
              <w:rPr>
                <w:sz w:val="16"/>
                <w:szCs w:val="16"/>
                <w:color w:val="auto"/>
              </w:rPr>
            </w:pPr>
          </w:p>
        </w:tc>
        <w:tc>
          <w:tcPr>
            <w:tcW w:w="120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Solutions</w:t>
            </w:r>
          </w:p>
        </w:tc>
        <w:tc>
          <w:tcPr>
            <w:tcW w:w="1240" w:type="dxa"/>
            <w:vAlign w:val="bottom"/>
            <w:tcBorders>
              <w:bottom w:val="single" w:sz="8" w:color="D7282F"/>
            </w:tcBorders>
            <w:gridSpan w:val="2"/>
          </w:tcPr>
          <w:p>
            <w:pPr>
              <w:jc w:val="right"/>
              <w:ind w:right="88"/>
              <w:spacing w:after="0"/>
              <w:rPr>
                <w:sz w:val="20"/>
                <w:szCs w:val="20"/>
                <w:color w:val="auto"/>
              </w:rPr>
            </w:pPr>
            <w:r>
              <w:rPr>
                <w:rFonts w:ascii="Arial" w:cs="Arial" w:eastAsia="Arial" w:hAnsi="Arial"/>
                <w:sz w:val="14"/>
                <w:szCs w:val="14"/>
                <w:b w:val="1"/>
                <w:bCs w:val="1"/>
                <w:color w:val="auto"/>
              </w:rPr>
              <w:t>and All Other</w:t>
            </w:r>
          </w:p>
        </w:tc>
        <w:tc>
          <w:tcPr>
            <w:tcW w:w="26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Honeywell</w:t>
            </w:r>
          </w:p>
        </w:tc>
        <w:tc>
          <w:tcPr>
            <w:tcW w:w="0" w:type="dxa"/>
            <w:vAlign w:val="bottom"/>
          </w:tcPr>
          <w:p>
            <w:pPr>
              <w:spacing w:after="0"/>
              <w:rPr>
                <w:sz w:val="1"/>
                <w:szCs w:val="1"/>
                <w:color w:val="auto"/>
              </w:rPr>
            </w:pPr>
          </w:p>
        </w:tc>
      </w:tr>
      <w:tr>
        <w:trPr>
          <w:trHeight w:val="195"/>
        </w:trPr>
        <w:tc>
          <w:tcPr>
            <w:tcW w:w="320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320" w:type="dxa"/>
            <w:vAlign w:val="bottom"/>
            <w:tcBorders>
              <w:bottom w:val="single" w:sz="8" w:color="888B8D"/>
            </w:tcBorders>
          </w:tcPr>
          <w:p>
            <w:pPr>
              <w:spacing w:after="0"/>
              <w:rPr>
                <w:sz w:val="16"/>
                <w:szCs w:val="16"/>
                <w:color w:val="auto"/>
              </w:rPr>
            </w:pPr>
          </w:p>
        </w:tc>
        <w:tc>
          <w:tcPr>
            <w:tcW w:w="120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04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06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20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Products</w:t>
            </w:r>
          </w:p>
        </w:tc>
        <w:tc>
          <w:tcPr>
            <w:tcW w:w="3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2,148</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1,755</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1,281</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1,406</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6,590</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2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1,764</w:t>
            </w: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746</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464</w:t>
            </w:r>
          </w:p>
        </w:tc>
        <w:tc>
          <w:tcPr>
            <w:tcW w:w="2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157</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3,138</w:t>
            </w:r>
          </w:p>
        </w:tc>
        <w:tc>
          <w:tcPr>
            <w:tcW w:w="0" w:type="dxa"/>
            <w:vAlign w:val="bottom"/>
          </w:tcPr>
          <w:p>
            <w:pPr>
              <w:spacing w:after="0"/>
              <w:rPr>
                <w:sz w:val="1"/>
                <w:szCs w:val="1"/>
                <w:color w:val="auto"/>
              </w:rPr>
            </w:pPr>
          </w:p>
        </w:tc>
      </w:tr>
      <w:tr>
        <w:trPr>
          <w:trHeight w:val="199"/>
        </w:trPr>
        <w:tc>
          <w:tcPr>
            <w:tcW w:w="32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Net sales</w:t>
            </w:r>
          </w:p>
        </w:tc>
        <w:tc>
          <w:tcPr>
            <w:tcW w:w="32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3,912</w:t>
            </w: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2,501</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1,745</w:t>
            </w:r>
          </w:p>
        </w:tc>
        <w:tc>
          <w:tcPr>
            <w:tcW w:w="2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1,563</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9,728</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Less</w:t>
            </w:r>
          </w:p>
        </w:tc>
        <w:tc>
          <w:tcPr>
            <w:tcW w:w="320" w:type="dxa"/>
            <w:vAlign w:val="bottom"/>
            <w:tcBorders>
              <w:bottom w:val="single" w:sz="8" w:color="888B8D"/>
            </w:tcBorders>
          </w:tcPr>
          <w:p>
            <w:pPr>
              <w:spacing w:after="0"/>
              <w:rPr>
                <w:sz w:val="17"/>
                <w:szCs w:val="17"/>
                <w:color w:val="auto"/>
              </w:rPr>
            </w:pPr>
          </w:p>
        </w:tc>
        <w:tc>
          <w:tcPr>
            <w:tcW w:w="120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20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Cost of products and services sold</w:t>
            </w:r>
          </w:p>
        </w:tc>
        <w:tc>
          <w:tcPr>
            <w:tcW w:w="320" w:type="dxa"/>
            <w:vAlign w:val="bottom"/>
            <w:tcBorders>
              <w:bottom w:val="single" w:sz="8" w:color="888B8D"/>
            </w:tcBorders>
          </w:tcPr>
          <w:p>
            <w:pPr>
              <w:spacing w:after="0"/>
              <w:rPr>
                <w:sz w:val="16"/>
                <w:szCs w:val="16"/>
                <w:color w:val="auto"/>
              </w:rPr>
            </w:pP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2,446</w:t>
            </w:r>
          </w:p>
        </w:tc>
        <w:tc>
          <w:tcPr>
            <w:tcW w:w="260" w:type="dxa"/>
            <w:vAlign w:val="bottom"/>
            <w:tcBorders>
              <w:bottom w:val="single" w:sz="8" w:color="888B8D"/>
            </w:tcBorders>
          </w:tcPr>
          <w:p>
            <w:pPr>
              <w:spacing w:after="0"/>
              <w:rPr>
                <w:sz w:val="16"/>
                <w:szCs w:val="16"/>
                <w:color w:val="auto"/>
              </w:rPr>
            </w:pPr>
          </w:p>
        </w:tc>
        <w:tc>
          <w:tcPr>
            <w:tcW w:w="10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1,461</w:t>
            </w:r>
          </w:p>
        </w:tc>
        <w:tc>
          <w:tcPr>
            <w:tcW w:w="260" w:type="dxa"/>
            <w:vAlign w:val="bottom"/>
            <w:tcBorders>
              <w:bottom w:val="single" w:sz="8" w:color="888B8D"/>
            </w:tcBorders>
          </w:tcPr>
          <w:p>
            <w:pPr>
              <w:spacing w:after="0"/>
              <w:rPr>
                <w:sz w:val="16"/>
                <w:szCs w:val="16"/>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926</w:t>
            </w:r>
          </w:p>
        </w:tc>
        <w:tc>
          <w:tcPr>
            <w:tcW w:w="260" w:type="dxa"/>
            <w:vAlign w:val="bottom"/>
            <w:tcBorders>
              <w:bottom w:val="single" w:sz="8" w:color="888B8D"/>
            </w:tcBorders>
          </w:tcPr>
          <w:p>
            <w:pPr>
              <w:spacing w:after="0"/>
              <w:rPr>
                <w:sz w:val="16"/>
                <w:szCs w:val="16"/>
                <w:color w:val="auto"/>
              </w:rPr>
            </w:pP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957</w:t>
            </w:r>
          </w:p>
        </w:tc>
        <w:tc>
          <w:tcPr>
            <w:tcW w:w="26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320" w:type="dxa"/>
            <w:vAlign w:val="bottom"/>
            <w:tcBorders>
              <w:bottom w:val="single" w:sz="8" w:color="888B8D"/>
            </w:tcBorders>
          </w:tcPr>
          <w:p>
            <w:pPr>
              <w:spacing w:after="0"/>
              <w:rPr>
                <w:sz w:val="17"/>
                <w:szCs w:val="17"/>
                <w:color w:val="auto"/>
              </w:rPr>
            </w:pP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143</w:t>
            </w:r>
          </w:p>
        </w:tc>
        <w:tc>
          <w:tcPr>
            <w:tcW w:w="260" w:type="dxa"/>
            <w:vAlign w:val="bottom"/>
            <w:tcBorders>
              <w:bottom w:val="single" w:sz="8" w:color="888B8D"/>
            </w:tcBorders>
          </w:tcPr>
          <w:p>
            <w:pPr>
              <w:spacing w:after="0"/>
              <w:rPr>
                <w:sz w:val="17"/>
                <w:szCs w:val="17"/>
                <w:color w:val="auto"/>
              </w:rPr>
            </w:pPr>
          </w:p>
        </w:tc>
        <w:tc>
          <w:tcPr>
            <w:tcW w:w="10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332</w:t>
            </w: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256</w:t>
            </w:r>
          </w:p>
        </w:tc>
        <w:tc>
          <w:tcPr>
            <w:tcW w:w="260" w:type="dxa"/>
            <w:vAlign w:val="bottom"/>
            <w:tcBorders>
              <w:bottom w:val="single" w:sz="8" w:color="888B8D"/>
            </w:tcBorders>
          </w:tcPr>
          <w:p>
            <w:pPr>
              <w:spacing w:after="0"/>
              <w:rPr>
                <w:sz w:val="17"/>
                <w:szCs w:val="17"/>
                <w:color w:val="auto"/>
              </w:rPr>
            </w:pP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125</w:t>
            </w: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segment items</w:t>
            </w:r>
          </w:p>
        </w:tc>
        <w:tc>
          <w:tcPr>
            <w:tcW w:w="32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241</w:t>
            </w: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200</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111</w:t>
            </w:r>
          </w:p>
        </w:tc>
        <w:tc>
          <w:tcPr>
            <w:tcW w:w="2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98</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Segment profit</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1,082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508</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452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383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(129)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2,296</w:t>
            </w:r>
          </w:p>
        </w:tc>
        <w:tc>
          <w:tcPr>
            <w:tcW w:w="0" w:type="dxa"/>
            <w:vAlign w:val="bottom"/>
          </w:tcPr>
          <w:p>
            <w:pPr>
              <w:spacing w:after="0"/>
              <w:rPr>
                <w:sz w:val="1"/>
                <w:szCs w:val="1"/>
                <w:color w:val="auto"/>
              </w:rPr>
            </w:pPr>
          </w:p>
        </w:tc>
      </w:tr>
      <w:tr>
        <w:trPr>
          <w:trHeight w:val="238"/>
        </w:trPr>
        <w:tc>
          <w:tcPr>
            <w:tcW w:w="3200" w:type="dxa"/>
            <w:vAlign w:val="bottom"/>
            <w:tcBorders>
              <w:bottom w:val="single" w:sz="8" w:color="D7282F"/>
            </w:tcBorders>
          </w:tcPr>
          <w:p>
            <w:pPr>
              <w:spacing w:after="0"/>
              <w:rPr>
                <w:sz w:val="20"/>
                <w:szCs w:val="20"/>
                <w:color w:val="auto"/>
              </w:rPr>
            </w:pPr>
          </w:p>
        </w:tc>
        <w:tc>
          <w:tcPr>
            <w:tcW w:w="320" w:type="dxa"/>
            <w:vAlign w:val="bottom"/>
            <w:tcBorders>
              <w:bottom w:val="single" w:sz="8" w:color="D7282F"/>
            </w:tcBorders>
          </w:tcPr>
          <w:p>
            <w:pPr>
              <w:spacing w:after="0"/>
              <w:rPr>
                <w:sz w:val="20"/>
                <w:szCs w:val="20"/>
                <w:color w:val="auto"/>
              </w:rPr>
            </w:pPr>
          </w:p>
        </w:tc>
        <w:tc>
          <w:tcPr>
            <w:tcW w:w="120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04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06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20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98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940" w:type="dxa"/>
            <w:vAlign w:val="bottom"/>
            <w:tcBorders>
              <w:bottom w:val="single" w:sz="8" w:color="D7282F"/>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76</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100</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67</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67</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47</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Capital expenditures</w:t>
            </w:r>
          </w:p>
        </w:tc>
        <w:tc>
          <w:tcPr>
            <w:tcW w:w="32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79</w:t>
            </w: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55</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19</w:t>
            </w:r>
          </w:p>
        </w:tc>
        <w:tc>
          <w:tcPr>
            <w:tcW w:w="2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91</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35</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32</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Aerospace</w:t>
            </w:r>
          </w:p>
        </w:tc>
        <w:tc>
          <w:tcPr>
            <w:tcW w:w="260" w:type="dxa"/>
            <w:vAlign w:val="bottom"/>
          </w:tcPr>
          <w:p>
            <w:pPr>
              <w:spacing w:after="0"/>
              <w:rPr>
                <w:sz w:val="14"/>
                <w:szCs w:val="14"/>
                <w:color w:val="auto"/>
              </w:rPr>
            </w:pPr>
          </w:p>
        </w:tc>
        <w:tc>
          <w:tcPr>
            <w:tcW w:w="104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Industrial</w:t>
            </w:r>
          </w:p>
        </w:tc>
        <w:tc>
          <w:tcPr>
            <w:tcW w:w="260" w:type="dxa"/>
            <w:vAlign w:val="bottom"/>
          </w:tcPr>
          <w:p>
            <w:pPr>
              <w:spacing w:after="0"/>
              <w:rPr>
                <w:sz w:val="14"/>
                <w:szCs w:val="14"/>
                <w:color w:val="auto"/>
              </w:rPr>
            </w:pPr>
          </w:p>
        </w:tc>
        <w:tc>
          <w:tcPr>
            <w:tcW w:w="10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Building</w:t>
            </w:r>
          </w:p>
        </w:tc>
        <w:tc>
          <w:tcPr>
            <w:tcW w:w="240" w:type="dxa"/>
            <w:vAlign w:val="bottom"/>
          </w:tcPr>
          <w:p>
            <w:pPr>
              <w:spacing w:after="0"/>
              <w:rPr>
                <w:sz w:val="14"/>
                <w:szCs w:val="14"/>
                <w:color w:val="auto"/>
              </w:rPr>
            </w:pPr>
          </w:p>
        </w:tc>
        <w:tc>
          <w:tcPr>
            <w:tcW w:w="1140" w:type="dxa"/>
            <w:vAlign w:val="bottom"/>
          </w:tcPr>
          <w:p>
            <w:pPr>
              <w:jc w:val="center"/>
              <w:ind w:right="48"/>
              <w:spacing w:after="0"/>
              <w:rPr>
                <w:sz w:val="20"/>
                <w:szCs w:val="20"/>
                <w:color w:val="auto"/>
              </w:rPr>
            </w:pPr>
            <w:r>
              <w:rPr>
                <w:rFonts w:ascii="Arial" w:cs="Arial" w:eastAsia="Arial" w:hAnsi="Arial"/>
                <w:sz w:val="14"/>
                <w:szCs w:val="14"/>
                <w:b w:val="1"/>
                <w:bCs w:val="1"/>
                <w:color w:val="auto"/>
              </w:rPr>
              <w:t>Energy and</w:t>
            </w:r>
          </w:p>
        </w:tc>
        <w:tc>
          <w:tcPr>
            <w:tcW w:w="1320" w:type="dxa"/>
            <w:vAlign w:val="bottom"/>
            <w:gridSpan w:val="2"/>
            <w:vMerge w:val="restart"/>
          </w:tcPr>
          <w:p>
            <w:pPr>
              <w:jc w:val="center"/>
              <w:ind w:left="48"/>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4"/>
                <w:szCs w:val="14"/>
                <w:color w:val="auto"/>
              </w:rPr>
            </w:pPr>
          </w:p>
        </w:tc>
        <w:tc>
          <w:tcPr>
            <w:tcW w:w="9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2025</w:t>
            </w:r>
          </w:p>
        </w:tc>
        <w:tc>
          <w:tcPr>
            <w:tcW w:w="3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rPr>
              <w:t>Sustainability</w:t>
            </w: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200" w:type="dxa"/>
            <w:vAlign w:val="bottom"/>
            <w:tcBorders>
              <w:bottom w:val="single" w:sz="8" w:color="D7282F"/>
            </w:tcBorders>
            <w:vMerge w:val="continue"/>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120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w w:val="99"/>
              </w:rPr>
              <w:t>Technologies</w:t>
            </w:r>
          </w:p>
        </w:tc>
        <w:tc>
          <w:tcPr>
            <w:tcW w:w="26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center"/>
              <w:ind w:right="128"/>
              <w:spacing w:after="0"/>
              <w:rPr>
                <w:sz w:val="20"/>
                <w:szCs w:val="20"/>
                <w:color w:val="auto"/>
              </w:rPr>
            </w:pPr>
            <w:r>
              <w:rPr>
                <w:rFonts w:ascii="Arial" w:cs="Arial" w:eastAsia="Arial" w:hAnsi="Arial"/>
                <w:sz w:val="14"/>
                <w:szCs w:val="14"/>
                <w:b w:val="1"/>
                <w:bCs w:val="1"/>
                <w:color w:val="auto"/>
              </w:rPr>
              <w:t>Automation</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Automation</w:t>
            </w:r>
          </w:p>
        </w:tc>
        <w:tc>
          <w:tcPr>
            <w:tcW w:w="24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b w:val="1"/>
                <w:bCs w:val="1"/>
                <w:color w:val="auto"/>
              </w:rPr>
              <w:t>Solutions</w:t>
            </w:r>
          </w:p>
        </w:tc>
        <w:tc>
          <w:tcPr>
            <w:tcW w:w="1320" w:type="dxa"/>
            <w:vAlign w:val="bottom"/>
            <w:tcBorders>
              <w:bottom w:val="single" w:sz="8" w:color="D7282F"/>
            </w:tcBorders>
            <w:gridSpan w:val="2"/>
          </w:tcPr>
          <w:p>
            <w:pPr>
              <w:jc w:val="center"/>
              <w:ind w:left="28"/>
              <w:spacing w:after="0"/>
              <w:rPr>
                <w:sz w:val="20"/>
                <w:szCs w:val="20"/>
                <w:color w:val="auto"/>
              </w:rPr>
            </w:pPr>
            <w:r>
              <w:rPr>
                <w:rFonts w:ascii="Arial" w:cs="Arial" w:eastAsia="Arial" w:hAnsi="Arial"/>
                <w:sz w:val="14"/>
                <w:szCs w:val="14"/>
                <w:b w:val="1"/>
                <w:bCs w:val="1"/>
                <w:color w:val="auto"/>
              </w:rPr>
              <w:t>and All Other</w:t>
            </w:r>
          </w:p>
        </w:tc>
        <w:tc>
          <w:tcPr>
            <w:tcW w:w="26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68"/>
              <w:spacing w:after="0"/>
              <w:rPr>
                <w:sz w:val="20"/>
                <w:szCs w:val="20"/>
                <w:color w:val="auto"/>
              </w:rPr>
            </w:pPr>
            <w:r>
              <w:rPr>
                <w:rFonts w:ascii="Arial" w:cs="Arial" w:eastAsia="Arial" w:hAnsi="Arial"/>
                <w:sz w:val="14"/>
                <w:szCs w:val="14"/>
                <w:b w:val="1"/>
                <w:bCs w:val="1"/>
                <w:color w:val="auto"/>
              </w:rPr>
              <w:t>Honeywell</w:t>
            </w:r>
          </w:p>
        </w:tc>
        <w:tc>
          <w:tcPr>
            <w:tcW w:w="0" w:type="dxa"/>
            <w:vAlign w:val="bottom"/>
          </w:tcPr>
          <w:p>
            <w:pPr>
              <w:spacing w:after="0"/>
              <w:rPr>
                <w:sz w:val="1"/>
                <w:szCs w:val="1"/>
                <w:color w:val="auto"/>
              </w:rPr>
            </w:pPr>
          </w:p>
        </w:tc>
      </w:tr>
      <w:tr>
        <w:trPr>
          <w:trHeight w:val="195"/>
        </w:trPr>
        <w:tc>
          <w:tcPr>
            <w:tcW w:w="320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320" w:type="dxa"/>
            <w:vAlign w:val="bottom"/>
            <w:tcBorders>
              <w:bottom w:val="single" w:sz="8" w:color="888B8D"/>
            </w:tcBorders>
          </w:tcPr>
          <w:p>
            <w:pPr>
              <w:spacing w:after="0"/>
              <w:rPr>
                <w:sz w:val="16"/>
                <w:szCs w:val="16"/>
                <w:color w:val="auto"/>
              </w:rPr>
            </w:pPr>
          </w:p>
        </w:tc>
        <w:tc>
          <w:tcPr>
            <w:tcW w:w="120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04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06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140" w:type="dxa"/>
            <w:vAlign w:val="bottom"/>
            <w:tcBorders>
              <w:bottom w:val="single" w:sz="8" w:color="888B8D"/>
            </w:tcBorders>
          </w:tcPr>
          <w:p>
            <w:pPr>
              <w:spacing w:after="0"/>
              <w:rPr>
                <w:sz w:val="16"/>
                <w:szCs w:val="16"/>
                <w:color w:val="auto"/>
              </w:rPr>
            </w:pPr>
          </w:p>
        </w:tc>
        <w:tc>
          <w:tcPr>
            <w:tcW w:w="800" w:type="dxa"/>
            <w:vAlign w:val="bottom"/>
            <w:tcBorders>
              <w:bottom w:val="single" w:sz="8" w:color="888B8D"/>
            </w:tcBorders>
          </w:tcPr>
          <w:p>
            <w:pPr>
              <w:spacing w:after="0"/>
              <w:rPr>
                <w:sz w:val="16"/>
                <w:szCs w:val="16"/>
                <w:color w:val="auto"/>
              </w:rPr>
            </w:pPr>
          </w:p>
        </w:tc>
        <w:tc>
          <w:tcPr>
            <w:tcW w:w="52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Products</w:t>
            </w:r>
          </w:p>
        </w:tc>
        <w:tc>
          <w:tcPr>
            <w:tcW w:w="3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7,439</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4,801</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3,910</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4,700</w:t>
            </w:r>
          </w:p>
        </w:tc>
        <w:tc>
          <w:tcPr>
            <w:tcW w:w="800" w:type="dxa"/>
            <w:vAlign w:val="bottom"/>
            <w:tcBorders>
              <w:bottom w:val="single" w:sz="8" w:color="888B8D"/>
            </w:tcBorders>
          </w:tcPr>
          <w:p>
            <w:pPr>
              <w:jc w:val="center"/>
              <w:ind w:right="1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20,850</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2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5,551</w:t>
            </w: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2,231</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1,486</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440</w:t>
            </w:r>
          </w:p>
        </w:tc>
        <w:tc>
          <w:tcPr>
            <w:tcW w:w="8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24</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9,732</w:t>
            </w:r>
          </w:p>
        </w:tc>
        <w:tc>
          <w:tcPr>
            <w:tcW w:w="0" w:type="dxa"/>
            <w:vAlign w:val="bottom"/>
          </w:tcPr>
          <w:p>
            <w:pPr>
              <w:spacing w:after="0"/>
              <w:rPr>
                <w:sz w:val="1"/>
                <w:szCs w:val="1"/>
                <w:color w:val="auto"/>
              </w:rPr>
            </w:pPr>
          </w:p>
        </w:tc>
      </w:tr>
      <w:tr>
        <w:trPr>
          <w:trHeight w:val="199"/>
        </w:trPr>
        <w:tc>
          <w:tcPr>
            <w:tcW w:w="32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Net sales</w:t>
            </w:r>
          </w:p>
        </w:tc>
        <w:tc>
          <w:tcPr>
            <w:tcW w:w="32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12,990</w:t>
            </w: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7,032</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5,396</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5,140</w:t>
            </w:r>
          </w:p>
        </w:tc>
        <w:tc>
          <w:tcPr>
            <w:tcW w:w="8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24</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30,582</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Less</w:t>
            </w:r>
          </w:p>
        </w:tc>
        <w:tc>
          <w:tcPr>
            <w:tcW w:w="320" w:type="dxa"/>
            <w:vAlign w:val="bottom"/>
            <w:tcBorders>
              <w:bottom w:val="single" w:sz="8" w:color="888B8D"/>
            </w:tcBorders>
          </w:tcPr>
          <w:p>
            <w:pPr>
              <w:spacing w:after="0"/>
              <w:rPr>
                <w:sz w:val="17"/>
                <w:szCs w:val="17"/>
                <w:color w:val="auto"/>
              </w:rPr>
            </w:pPr>
          </w:p>
        </w:tc>
        <w:tc>
          <w:tcPr>
            <w:tcW w:w="120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spacing w:after="0"/>
              <w:rPr>
                <w:sz w:val="17"/>
                <w:szCs w:val="17"/>
                <w:color w:val="auto"/>
              </w:rPr>
            </w:pPr>
          </w:p>
        </w:tc>
        <w:tc>
          <w:tcPr>
            <w:tcW w:w="800" w:type="dxa"/>
            <w:vAlign w:val="bottom"/>
            <w:tcBorders>
              <w:bottom w:val="single" w:sz="8" w:color="888B8D"/>
            </w:tcBorders>
          </w:tcPr>
          <w:p>
            <w:pPr>
              <w:spacing w:after="0"/>
              <w:rPr>
                <w:sz w:val="17"/>
                <w:szCs w:val="17"/>
                <w:color w:val="auto"/>
              </w:rPr>
            </w:pPr>
          </w:p>
        </w:tc>
        <w:tc>
          <w:tcPr>
            <w:tcW w:w="52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Cost of products and services sold</w:t>
            </w:r>
          </w:p>
        </w:tc>
        <w:tc>
          <w:tcPr>
            <w:tcW w:w="320" w:type="dxa"/>
            <w:vAlign w:val="bottom"/>
            <w:tcBorders>
              <w:bottom w:val="single" w:sz="8" w:color="888B8D"/>
            </w:tcBorders>
          </w:tcPr>
          <w:p>
            <w:pPr>
              <w:spacing w:after="0"/>
              <w:rPr>
                <w:sz w:val="16"/>
                <w:szCs w:val="16"/>
                <w:color w:val="auto"/>
              </w:rPr>
            </w:pP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8,154</w:t>
            </w:r>
          </w:p>
        </w:tc>
        <w:tc>
          <w:tcPr>
            <w:tcW w:w="260" w:type="dxa"/>
            <w:vAlign w:val="bottom"/>
            <w:tcBorders>
              <w:bottom w:val="single" w:sz="8" w:color="888B8D"/>
            </w:tcBorders>
          </w:tcPr>
          <w:p>
            <w:pPr>
              <w:spacing w:after="0"/>
              <w:rPr>
                <w:sz w:val="16"/>
                <w:szCs w:val="16"/>
                <w:color w:val="auto"/>
              </w:rPr>
            </w:pPr>
          </w:p>
        </w:tc>
        <w:tc>
          <w:tcPr>
            <w:tcW w:w="10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4,105</w:t>
            </w:r>
          </w:p>
        </w:tc>
        <w:tc>
          <w:tcPr>
            <w:tcW w:w="260" w:type="dxa"/>
            <w:vAlign w:val="bottom"/>
            <w:tcBorders>
              <w:bottom w:val="single" w:sz="8" w:color="888B8D"/>
            </w:tcBorders>
          </w:tcPr>
          <w:p>
            <w:pPr>
              <w:spacing w:after="0"/>
              <w:rPr>
                <w:sz w:val="16"/>
                <w:szCs w:val="16"/>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2,802</w:t>
            </w:r>
          </w:p>
        </w:tc>
        <w:tc>
          <w:tcPr>
            <w:tcW w:w="240" w:type="dxa"/>
            <w:vAlign w:val="bottom"/>
            <w:tcBorders>
              <w:bottom w:val="single" w:sz="8" w:color="888B8D"/>
            </w:tcBorders>
          </w:tcPr>
          <w:p>
            <w:pPr>
              <w:spacing w:after="0"/>
              <w:rPr>
                <w:sz w:val="16"/>
                <w:szCs w:val="16"/>
                <w:color w:val="auto"/>
              </w:rPr>
            </w:pPr>
          </w:p>
        </w:tc>
        <w:tc>
          <w:tcPr>
            <w:tcW w:w="114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3,248</w:t>
            </w:r>
          </w:p>
        </w:tc>
        <w:tc>
          <w:tcPr>
            <w:tcW w:w="800" w:type="dxa"/>
            <w:vAlign w:val="bottom"/>
            <w:tcBorders>
              <w:bottom w:val="single" w:sz="8" w:color="888B8D"/>
            </w:tcBorders>
          </w:tcPr>
          <w:p>
            <w:pPr>
              <w:spacing w:after="0"/>
              <w:rPr>
                <w:sz w:val="16"/>
                <w:szCs w:val="16"/>
                <w:color w:val="auto"/>
              </w:rPr>
            </w:pPr>
          </w:p>
        </w:tc>
        <w:tc>
          <w:tcPr>
            <w:tcW w:w="52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320" w:type="dxa"/>
            <w:vAlign w:val="bottom"/>
            <w:tcBorders>
              <w:bottom w:val="single" w:sz="8" w:color="888B8D"/>
            </w:tcBorders>
          </w:tcPr>
          <w:p>
            <w:pPr>
              <w:spacing w:after="0"/>
              <w:rPr>
                <w:sz w:val="17"/>
                <w:szCs w:val="17"/>
                <w:color w:val="auto"/>
              </w:rPr>
            </w:pP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538</w:t>
            </w:r>
          </w:p>
        </w:tc>
        <w:tc>
          <w:tcPr>
            <w:tcW w:w="260" w:type="dxa"/>
            <w:vAlign w:val="bottom"/>
            <w:tcBorders>
              <w:bottom w:val="single" w:sz="8" w:color="888B8D"/>
            </w:tcBorders>
          </w:tcPr>
          <w:p>
            <w:pPr>
              <w:spacing w:after="0"/>
              <w:rPr>
                <w:sz w:val="17"/>
                <w:szCs w:val="17"/>
                <w:color w:val="auto"/>
              </w:rPr>
            </w:pPr>
          </w:p>
        </w:tc>
        <w:tc>
          <w:tcPr>
            <w:tcW w:w="10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996</w:t>
            </w: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822</w:t>
            </w: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379</w:t>
            </w:r>
          </w:p>
        </w:tc>
        <w:tc>
          <w:tcPr>
            <w:tcW w:w="800" w:type="dxa"/>
            <w:vAlign w:val="bottom"/>
            <w:tcBorders>
              <w:bottom w:val="single" w:sz="8" w:color="888B8D"/>
            </w:tcBorders>
          </w:tcPr>
          <w:p>
            <w:pPr>
              <w:spacing w:after="0"/>
              <w:rPr>
                <w:sz w:val="17"/>
                <w:szCs w:val="17"/>
                <w:color w:val="auto"/>
              </w:rPr>
            </w:pPr>
          </w:p>
        </w:tc>
        <w:tc>
          <w:tcPr>
            <w:tcW w:w="52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segment items</w:t>
            </w:r>
          </w:p>
        </w:tc>
        <w:tc>
          <w:tcPr>
            <w:tcW w:w="32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923</w:t>
            </w: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623</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351</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297</w:t>
            </w:r>
          </w:p>
        </w:tc>
        <w:tc>
          <w:tcPr>
            <w:tcW w:w="8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Segment profit</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3,375</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1,308</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1,421</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1,216</w:t>
            </w:r>
          </w:p>
        </w:tc>
        <w:tc>
          <w:tcPr>
            <w:tcW w:w="80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(289)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7,031</w:t>
            </w:r>
          </w:p>
        </w:tc>
        <w:tc>
          <w:tcPr>
            <w:tcW w:w="0" w:type="dxa"/>
            <w:vAlign w:val="bottom"/>
          </w:tcPr>
          <w:p>
            <w:pPr>
              <w:spacing w:after="0"/>
              <w:rPr>
                <w:sz w:val="1"/>
                <w:szCs w:val="1"/>
                <w:color w:val="auto"/>
              </w:rPr>
            </w:pPr>
          </w:p>
        </w:tc>
      </w:tr>
      <w:tr>
        <w:trPr>
          <w:trHeight w:val="238"/>
        </w:trPr>
        <w:tc>
          <w:tcPr>
            <w:tcW w:w="3200" w:type="dxa"/>
            <w:vAlign w:val="bottom"/>
            <w:tcBorders>
              <w:bottom w:val="single" w:sz="8" w:color="D7282F"/>
            </w:tcBorders>
          </w:tcPr>
          <w:p>
            <w:pPr>
              <w:spacing w:after="0"/>
              <w:rPr>
                <w:sz w:val="20"/>
                <w:szCs w:val="20"/>
                <w:color w:val="auto"/>
              </w:rPr>
            </w:pPr>
          </w:p>
        </w:tc>
        <w:tc>
          <w:tcPr>
            <w:tcW w:w="320" w:type="dxa"/>
            <w:vAlign w:val="bottom"/>
            <w:tcBorders>
              <w:bottom w:val="single" w:sz="8" w:color="D7282F"/>
            </w:tcBorders>
          </w:tcPr>
          <w:p>
            <w:pPr>
              <w:spacing w:after="0"/>
              <w:rPr>
                <w:sz w:val="20"/>
                <w:szCs w:val="20"/>
                <w:color w:val="auto"/>
              </w:rPr>
            </w:pPr>
          </w:p>
        </w:tc>
        <w:tc>
          <w:tcPr>
            <w:tcW w:w="120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04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060" w:type="dxa"/>
            <w:vAlign w:val="bottom"/>
            <w:tcBorders>
              <w:bottom w:val="single" w:sz="8" w:color="D7282F"/>
            </w:tcBorders>
          </w:tcPr>
          <w:p>
            <w:pPr>
              <w:spacing w:after="0"/>
              <w:rPr>
                <w:sz w:val="20"/>
                <w:szCs w:val="20"/>
                <w:color w:val="auto"/>
              </w:rPr>
            </w:pPr>
          </w:p>
        </w:tc>
        <w:tc>
          <w:tcPr>
            <w:tcW w:w="240" w:type="dxa"/>
            <w:vAlign w:val="bottom"/>
            <w:tcBorders>
              <w:bottom w:val="single" w:sz="8" w:color="D7282F"/>
            </w:tcBorders>
          </w:tcPr>
          <w:p>
            <w:pPr>
              <w:spacing w:after="0"/>
              <w:rPr>
                <w:sz w:val="20"/>
                <w:szCs w:val="20"/>
                <w:color w:val="auto"/>
              </w:rPr>
            </w:pPr>
          </w:p>
        </w:tc>
        <w:tc>
          <w:tcPr>
            <w:tcW w:w="1140" w:type="dxa"/>
            <w:vAlign w:val="bottom"/>
            <w:tcBorders>
              <w:bottom w:val="single" w:sz="8" w:color="D7282F"/>
            </w:tcBorders>
          </w:tcPr>
          <w:p>
            <w:pPr>
              <w:spacing w:after="0"/>
              <w:rPr>
                <w:sz w:val="20"/>
                <w:szCs w:val="20"/>
                <w:color w:val="auto"/>
              </w:rPr>
            </w:pPr>
          </w:p>
        </w:tc>
        <w:tc>
          <w:tcPr>
            <w:tcW w:w="800" w:type="dxa"/>
            <w:vAlign w:val="bottom"/>
            <w:tcBorders>
              <w:bottom w:val="single" w:sz="8" w:color="D7282F"/>
            </w:tcBorders>
          </w:tcPr>
          <w:p>
            <w:pPr>
              <w:spacing w:after="0"/>
              <w:rPr>
                <w:sz w:val="20"/>
                <w:szCs w:val="20"/>
                <w:color w:val="auto"/>
              </w:rPr>
            </w:pPr>
          </w:p>
        </w:tc>
        <w:tc>
          <w:tcPr>
            <w:tcW w:w="52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940" w:type="dxa"/>
            <w:vAlign w:val="bottom"/>
            <w:tcBorders>
              <w:bottom w:val="single" w:sz="8" w:color="D7282F"/>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278</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256</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180</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310</w:t>
            </w:r>
          </w:p>
        </w:tc>
        <w:tc>
          <w:tcPr>
            <w:tcW w:w="800" w:type="dxa"/>
            <w:vAlign w:val="bottom"/>
            <w:tcBorders>
              <w:bottom w:val="single" w:sz="8" w:color="888B8D"/>
            </w:tcBorders>
          </w:tcPr>
          <w:p>
            <w:pPr>
              <w:jc w:val="center"/>
              <w:ind w:right="1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151</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1,175</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Capital expenditures</w:t>
            </w:r>
          </w:p>
        </w:tc>
        <w:tc>
          <w:tcPr>
            <w:tcW w:w="32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275</w:t>
            </w: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135</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69</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350</w:t>
            </w:r>
          </w:p>
        </w:tc>
        <w:tc>
          <w:tcPr>
            <w:tcW w:w="8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99</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928</w:t>
            </w:r>
          </w:p>
        </w:tc>
        <w:tc>
          <w:tcPr>
            <w:tcW w:w="0" w:type="dxa"/>
            <w:vAlign w:val="bottom"/>
          </w:tcPr>
          <w:p>
            <w:pPr>
              <w:spacing w:after="0"/>
              <w:rPr>
                <w:sz w:val="1"/>
                <w:szCs w:val="1"/>
                <w:color w:val="auto"/>
              </w:rPr>
            </w:pPr>
          </w:p>
        </w:tc>
      </w:tr>
      <w:tr>
        <w:trPr>
          <w:trHeight w:val="362"/>
        </w:trPr>
        <w:tc>
          <w:tcPr>
            <w:tcW w:w="3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Aerospace</w:t>
            </w:r>
          </w:p>
        </w:tc>
        <w:tc>
          <w:tcPr>
            <w:tcW w:w="260" w:type="dxa"/>
            <w:vAlign w:val="bottom"/>
          </w:tcPr>
          <w:p>
            <w:pPr>
              <w:spacing w:after="0"/>
              <w:rPr>
                <w:sz w:val="24"/>
                <w:szCs w:val="24"/>
                <w:color w:val="auto"/>
              </w:rPr>
            </w:pPr>
          </w:p>
        </w:tc>
        <w:tc>
          <w:tcPr>
            <w:tcW w:w="104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Industrial</w:t>
            </w:r>
          </w:p>
        </w:tc>
        <w:tc>
          <w:tcPr>
            <w:tcW w:w="260" w:type="dxa"/>
            <w:vAlign w:val="bottom"/>
          </w:tcPr>
          <w:p>
            <w:pPr>
              <w:spacing w:after="0"/>
              <w:rPr>
                <w:sz w:val="24"/>
                <w:szCs w:val="24"/>
                <w:color w:val="auto"/>
              </w:rPr>
            </w:pPr>
          </w:p>
        </w:tc>
        <w:tc>
          <w:tcPr>
            <w:tcW w:w="10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Building</w:t>
            </w:r>
          </w:p>
        </w:tc>
        <w:tc>
          <w:tcPr>
            <w:tcW w:w="240" w:type="dxa"/>
            <w:vAlign w:val="bottom"/>
          </w:tcPr>
          <w:p>
            <w:pPr>
              <w:spacing w:after="0"/>
              <w:rPr>
                <w:sz w:val="24"/>
                <w:szCs w:val="24"/>
                <w:color w:val="auto"/>
              </w:rPr>
            </w:pPr>
          </w:p>
        </w:tc>
        <w:tc>
          <w:tcPr>
            <w:tcW w:w="1140" w:type="dxa"/>
            <w:vAlign w:val="bottom"/>
          </w:tcPr>
          <w:p>
            <w:pPr>
              <w:jc w:val="center"/>
              <w:ind w:right="48"/>
              <w:spacing w:after="0"/>
              <w:rPr>
                <w:sz w:val="20"/>
                <w:szCs w:val="20"/>
                <w:color w:val="auto"/>
              </w:rPr>
            </w:pPr>
            <w:r>
              <w:rPr>
                <w:rFonts w:ascii="Arial" w:cs="Arial" w:eastAsia="Arial" w:hAnsi="Arial"/>
                <w:sz w:val="14"/>
                <w:szCs w:val="14"/>
                <w:b w:val="1"/>
                <w:bCs w:val="1"/>
                <w:color w:val="auto"/>
              </w:rPr>
              <w:t>Energy and</w:t>
            </w:r>
          </w:p>
        </w:tc>
        <w:tc>
          <w:tcPr>
            <w:tcW w:w="1320" w:type="dxa"/>
            <w:vAlign w:val="bottom"/>
            <w:gridSpan w:val="2"/>
            <w:vMerge w:val="restart"/>
          </w:tcPr>
          <w:p>
            <w:pPr>
              <w:jc w:val="center"/>
              <w:ind w:left="48"/>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24"/>
                <w:szCs w:val="24"/>
                <w:color w:val="auto"/>
              </w:rPr>
            </w:pPr>
          </w:p>
        </w:tc>
        <w:tc>
          <w:tcPr>
            <w:tcW w:w="9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2024</w:t>
            </w:r>
          </w:p>
        </w:tc>
        <w:tc>
          <w:tcPr>
            <w:tcW w:w="3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Sustainability</w:t>
            </w: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200" w:type="dxa"/>
            <w:vAlign w:val="bottom"/>
            <w:tcBorders>
              <w:bottom w:val="single" w:sz="8" w:color="D7282F"/>
            </w:tcBorders>
            <w:vMerge w:val="continue"/>
          </w:tcPr>
          <w:p>
            <w:pPr>
              <w:spacing w:after="0"/>
              <w:rPr>
                <w:sz w:val="16"/>
                <w:szCs w:val="16"/>
                <w:color w:val="auto"/>
              </w:rPr>
            </w:pPr>
          </w:p>
        </w:tc>
        <w:tc>
          <w:tcPr>
            <w:tcW w:w="320" w:type="dxa"/>
            <w:vAlign w:val="bottom"/>
            <w:tcBorders>
              <w:bottom w:val="single" w:sz="8" w:color="D7282F"/>
            </w:tcBorders>
          </w:tcPr>
          <w:p>
            <w:pPr>
              <w:spacing w:after="0"/>
              <w:rPr>
                <w:sz w:val="16"/>
                <w:szCs w:val="16"/>
                <w:color w:val="auto"/>
              </w:rPr>
            </w:pPr>
          </w:p>
        </w:tc>
        <w:tc>
          <w:tcPr>
            <w:tcW w:w="120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w w:val="99"/>
              </w:rPr>
              <w:t>Technologies</w:t>
            </w:r>
          </w:p>
        </w:tc>
        <w:tc>
          <w:tcPr>
            <w:tcW w:w="26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center"/>
              <w:ind w:right="128"/>
              <w:spacing w:after="0"/>
              <w:rPr>
                <w:sz w:val="20"/>
                <w:szCs w:val="20"/>
                <w:color w:val="auto"/>
              </w:rPr>
            </w:pPr>
            <w:r>
              <w:rPr>
                <w:rFonts w:ascii="Arial" w:cs="Arial" w:eastAsia="Arial" w:hAnsi="Arial"/>
                <w:sz w:val="14"/>
                <w:szCs w:val="14"/>
                <w:b w:val="1"/>
                <w:bCs w:val="1"/>
                <w:color w:val="auto"/>
              </w:rPr>
              <w:t>Automation</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Automation</w:t>
            </w:r>
          </w:p>
        </w:tc>
        <w:tc>
          <w:tcPr>
            <w:tcW w:w="24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b w:val="1"/>
                <w:bCs w:val="1"/>
                <w:color w:val="auto"/>
              </w:rPr>
              <w:t>Solutions</w:t>
            </w:r>
          </w:p>
        </w:tc>
        <w:tc>
          <w:tcPr>
            <w:tcW w:w="1320" w:type="dxa"/>
            <w:vAlign w:val="bottom"/>
            <w:tcBorders>
              <w:bottom w:val="single" w:sz="8" w:color="D7282F"/>
            </w:tcBorders>
            <w:gridSpan w:val="2"/>
          </w:tcPr>
          <w:p>
            <w:pPr>
              <w:jc w:val="center"/>
              <w:ind w:left="28"/>
              <w:spacing w:after="0"/>
              <w:rPr>
                <w:sz w:val="20"/>
                <w:szCs w:val="20"/>
                <w:color w:val="auto"/>
              </w:rPr>
            </w:pPr>
            <w:r>
              <w:rPr>
                <w:rFonts w:ascii="Arial" w:cs="Arial" w:eastAsia="Arial" w:hAnsi="Arial"/>
                <w:sz w:val="14"/>
                <w:szCs w:val="14"/>
                <w:b w:val="1"/>
                <w:bCs w:val="1"/>
                <w:color w:val="auto"/>
              </w:rPr>
              <w:t>and All Other</w:t>
            </w:r>
          </w:p>
        </w:tc>
        <w:tc>
          <w:tcPr>
            <w:tcW w:w="26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68"/>
              <w:spacing w:after="0"/>
              <w:rPr>
                <w:sz w:val="20"/>
                <w:szCs w:val="20"/>
                <w:color w:val="auto"/>
              </w:rPr>
            </w:pPr>
            <w:r>
              <w:rPr>
                <w:rFonts w:ascii="Arial" w:cs="Arial" w:eastAsia="Arial" w:hAnsi="Arial"/>
                <w:sz w:val="14"/>
                <w:szCs w:val="14"/>
                <w:b w:val="1"/>
                <w:bCs w:val="1"/>
                <w:color w:val="auto"/>
              </w:rPr>
              <w:t>Honeywell</w:t>
            </w:r>
          </w:p>
        </w:tc>
        <w:tc>
          <w:tcPr>
            <w:tcW w:w="0" w:type="dxa"/>
            <w:vAlign w:val="bottom"/>
          </w:tcPr>
          <w:p>
            <w:pPr>
              <w:spacing w:after="0"/>
              <w:rPr>
                <w:sz w:val="1"/>
                <w:szCs w:val="1"/>
                <w:color w:val="auto"/>
              </w:rPr>
            </w:pPr>
          </w:p>
        </w:tc>
      </w:tr>
      <w:tr>
        <w:trPr>
          <w:trHeight w:val="195"/>
        </w:trPr>
        <w:tc>
          <w:tcPr>
            <w:tcW w:w="320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320" w:type="dxa"/>
            <w:vAlign w:val="bottom"/>
            <w:tcBorders>
              <w:bottom w:val="single" w:sz="8" w:color="888B8D"/>
            </w:tcBorders>
          </w:tcPr>
          <w:p>
            <w:pPr>
              <w:spacing w:after="0"/>
              <w:rPr>
                <w:sz w:val="16"/>
                <w:szCs w:val="16"/>
                <w:color w:val="auto"/>
              </w:rPr>
            </w:pPr>
          </w:p>
        </w:tc>
        <w:tc>
          <w:tcPr>
            <w:tcW w:w="120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04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06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140" w:type="dxa"/>
            <w:vAlign w:val="bottom"/>
            <w:tcBorders>
              <w:bottom w:val="single" w:sz="8" w:color="888B8D"/>
            </w:tcBorders>
          </w:tcPr>
          <w:p>
            <w:pPr>
              <w:spacing w:after="0"/>
              <w:rPr>
                <w:sz w:val="16"/>
                <w:szCs w:val="16"/>
                <w:color w:val="auto"/>
              </w:rPr>
            </w:pPr>
          </w:p>
        </w:tc>
        <w:tc>
          <w:tcPr>
            <w:tcW w:w="800" w:type="dxa"/>
            <w:vAlign w:val="bottom"/>
            <w:tcBorders>
              <w:bottom w:val="single" w:sz="8" w:color="888B8D"/>
            </w:tcBorders>
          </w:tcPr>
          <w:p>
            <w:pPr>
              <w:spacing w:after="0"/>
              <w:rPr>
                <w:sz w:val="16"/>
                <w:szCs w:val="16"/>
                <w:color w:val="auto"/>
              </w:rPr>
            </w:pPr>
          </w:p>
        </w:tc>
        <w:tc>
          <w:tcPr>
            <w:tcW w:w="52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2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Products</w:t>
            </w:r>
          </w:p>
        </w:tc>
        <w:tc>
          <w:tcPr>
            <w:tcW w:w="3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6,300</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5,332</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3,492</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4,206</w:t>
            </w:r>
          </w:p>
        </w:tc>
        <w:tc>
          <w:tcPr>
            <w:tcW w:w="800" w:type="dxa"/>
            <w:vAlign w:val="bottom"/>
            <w:tcBorders>
              <w:bottom w:val="single" w:sz="8" w:color="888B8D"/>
            </w:tcBorders>
          </w:tcPr>
          <w:p>
            <w:pPr>
              <w:jc w:val="center"/>
              <w:ind w:right="1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19,330</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32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5,172</w:t>
            </w: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2,153</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1,250</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486</w:t>
            </w:r>
          </w:p>
        </w:tc>
        <w:tc>
          <w:tcPr>
            <w:tcW w:w="8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19</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9,080</w:t>
            </w:r>
          </w:p>
        </w:tc>
        <w:tc>
          <w:tcPr>
            <w:tcW w:w="0" w:type="dxa"/>
            <w:vAlign w:val="bottom"/>
          </w:tcPr>
          <w:p>
            <w:pPr>
              <w:spacing w:after="0"/>
              <w:rPr>
                <w:sz w:val="1"/>
                <w:szCs w:val="1"/>
                <w:color w:val="auto"/>
              </w:rPr>
            </w:pPr>
          </w:p>
        </w:tc>
      </w:tr>
      <w:tr>
        <w:trPr>
          <w:trHeight w:val="199"/>
        </w:trPr>
        <w:tc>
          <w:tcPr>
            <w:tcW w:w="32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Net sales</w:t>
            </w:r>
          </w:p>
        </w:tc>
        <w:tc>
          <w:tcPr>
            <w:tcW w:w="32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11,472</w:t>
            </w: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7,485</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4,742</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4,692</w:t>
            </w:r>
          </w:p>
        </w:tc>
        <w:tc>
          <w:tcPr>
            <w:tcW w:w="8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19</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28,410</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Less</w:t>
            </w:r>
          </w:p>
        </w:tc>
        <w:tc>
          <w:tcPr>
            <w:tcW w:w="320" w:type="dxa"/>
            <w:vAlign w:val="bottom"/>
            <w:tcBorders>
              <w:bottom w:val="single" w:sz="8" w:color="888B8D"/>
            </w:tcBorders>
          </w:tcPr>
          <w:p>
            <w:pPr>
              <w:spacing w:after="0"/>
              <w:rPr>
                <w:sz w:val="17"/>
                <w:szCs w:val="17"/>
                <w:color w:val="auto"/>
              </w:rPr>
            </w:pPr>
          </w:p>
        </w:tc>
        <w:tc>
          <w:tcPr>
            <w:tcW w:w="120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spacing w:after="0"/>
              <w:rPr>
                <w:sz w:val="17"/>
                <w:szCs w:val="17"/>
                <w:color w:val="auto"/>
              </w:rPr>
            </w:pPr>
          </w:p>
        </w:tc>
        <w:tc>
          <w:tcPr>
            <w:tcW w:w="800" w:type="dxa"/>
            <w:vAlign w:val="bottom"/>
            <w:tcBorders>
              <w:bottom w:val="single" w:sz="8" w:color="888B8D"/>
            </w:tcBorders>
          </w:tcPr>
          <w:p>
            <w:pPr>
              <w:spacing w:after="0"/>
              <w:rPr>
                <w:sz w:val="17"/>
                <w:szCs w:val="17"/>
                <w:color w:val="auto"/>
              </w:rPr>
            </w:pPr>
          </w:p>
        </w:tc>
        <w:tc>
          <w:tcPr>
            <w:tcW w:w="52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Cost of products and services sold</w:t>
            </w:r>
          </w:p>
        </w:tc>
        <w:tc>
          <w:tcPr>
            <w:tcW w:w="320" w:type="dxa"/>
            <w:vAlign w:val="bottom"/>
            <w:tcBorders>
              <w:bottom w:val="single" w:sz="8" w:color="888B8D"/>
            </w:tcBorders>
          </w:tcPr>
          <w:p>
            <w:pPr>
              <w:spacing w:after="0"/>
              <w:rPr>
                <w:sz w:val="16"/>
                <w:szCs w:val="16"/>
                <w:color w:val="auto"/>
              </w:rPr>
            </w:pP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7,081</w:t>
            </w:r>
          </w:p>
        </w:tc>
        <w:tc>
          <w:tcPr>
            <w:tcW w:w="260" w:type="dxa"/>
            <w:vAlign w:val="bottom"/>
            <w:tcBorders>
              <w:bottom w:val="single" w:sz="8" w:color="888B8D"/>
            </w:tcBorders>
          </w:tcPr>
          <w:p>
            <w:pPr>
              <w:spacing w:after="0"/>
              <w:rPr>
                <w:sz w:val="16"/>
                <w:szCs w:val="16"/>
                <w:color w:val="auto"/>
              </w:rPr>
            </w:pPr>
          </w:p>
        </w:tc>
        <w:tc>
          <w:tcPr>
            <w:tcW w:w="10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4,358</w:t>
            </w:r>
          </w:p>
        </w:tc>
        <w:tc>
          <w:tcPr>
            <w:tcW w:w="260" w:type="dxa"/>
            <w:vAlign w:val="bottom"/>
            <w:tcBorders>
              <w:bottom w:val="single" w:sz="8" w:color="888B8D"/>
            </w:tcBorders>
          </w:tcPr>
          <w:p>
            <w:pPr>
              <w:spacing w:after="0"/>
              <w:rPr>
                <w:sz w:val="16"/>
                <w:szCs w:val="16"/>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2,534</w:t>
            </w:r>
          </w:p>
        </w:tc>
        <w:tc>
          <w:tcPr>
            <w:tcW w:w="240" w:type="dxa"/>
            <w:vAlign w:val="bottom"/>
            <w:tcBorders>
              <w:bottom w:val="single" w:sz="8" w:color="888B8D"/>
            </w:tcBorders>
          </w:tcPr>
          <w:p>
            <w:pPr>
              <w:spacing w:after="0"/>
              <w:rPr>
                <w:sz w:val="16"/>
                <w:szCs w:val="16"/>
                <w:color w:val="auto"/>
              </w:rPr>
            </w:pPr>
          </w:p>
        </w:tc>
        <w:tc>
          <w:tcPr>
            <w:tcW w:w="114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2,952</w:t>
            </w:r>
          </w:p>
        </w:tc>
        <w:tc>
          <w:tcPr>
            <w:tcW w:w="800" w:type="dxa"/>
            <w:vAlign w:val="bottom"/>
            <w:tcBorders>
              <w:bottom w:val="single" w:sz="8" w:color="888B8D"/>
            </w:tcBorders>
          </w:tcPr>
          <w:p>
            <w:pPr>
              <w:spacing w:after="0"/>
              <w:rPr>
                <w:sz w:val="16"/>
                <w:szCs w:val="16"/>
                <w:color w:val="auto"/>
              </w:rPr>
            </w:pPr>
          </w:p>
        </w:tc>
        <w:tc>
          <w:tcPr>
            <w:tcW w:w="52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320" w:type="dxa"/>
            <w:vAlign w:val="bottom"/>
            <w:tcBorders>
              <w:bottom w:val="single" w:sz="8" w:color="888B8D"/>
            </w:tcBorders>
          </w:tcPr>
          <w:p>
            <w:pPr>
              <w:spacing w:after="0"/>
              <w:rPr>
                <w:sz w:val="17"/>
                <w:szCs w:val="17"/>
                <w:color w:val="auto"/>
              </w:rPr>
            </w:pP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437</w:t>
            </w:r>
          </w:p>
        </w:tc>
        <w:tc>
          <w:tcPr>
            <w:tcW w:w="260" w:type="dxa"/>
            <w:vAlign w:val="bottom"/>
            <w:tcBorders>
              <w:bottom w:val="single" w:sz="8" w:color="888B8D"/>
            </w:tcBorders>
          </w:tcPr>
          <w:p>
            <w:pPr>
              <w:spacing w:after="0"/>
              <w:rPr>
                <w:sz w:val="17"/>
                <w:szCs w:val="17"/>
                <w:color w:val="auto"/>
              </w:rPr>
            </w:pPr>
          </w:p>
        </w:tc>
        <w:tc>
          <w:tcPr>
            <w:tcW w:w="10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1,060</w:t>
            </w: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705</w:t>
            </w: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365</w:t>
            </w:r>
          </w:p>
        </w:tc>
        <w:tc>
          <w:tcPr>
            <w:tcW w:w="800" w:type="dxa"/>
            <w:vAlign w:val="bottom"/>
            <w:tcBorders>
              <w:bottom w:val="single" w:sz="8" w:color="888B8D"/>
            </w:tcBorders>
          </w:tcPr>
          <w:p>
            <w:pPr>
              <w:spacing w:after="0"/>
              <w:rPr>
                <w:sz w:val="17"/>
                <w:szCs w:val="17"/>
                <w:color w:val="auto"/>
              </w:rPr>
            </w:pPr>
          </w:p>
        </w:tc>
        <w:tc>
          <w:tcPr>
            <w:tcW w:w="52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segment items</w:t>
            </w:r>
          </w:p>
        </w:tc>
        <w:tc>
          <w:tcPr>
            <w:tcW w:w="32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777</w:t>
            </w: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608</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304</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284</w:t>
            </w:r>
          </w:p>
        </w:tc>
        <w:tc>
          <w:tcPr>
            <w:tcW w:w="8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Segment profit</w:t>
            </w:r>
          </w:p>
        </w:tc>
        <w:tc>
          <w:tcPr>
            <w:tcW w:w="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3,177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1,459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1,199</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1,091</w:t>
            </w:r>
          </w:p>
        </w:tc>
        <w:tc>
          <w:tcPr>
            <w:tcW w:w="80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(337)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6,589</w:t>
            </w:r>
          </w:p>
        </w:tc>
        <w:tc>
          <w:tcPr>
            <w:tcW w:w="0" w:type="dxa"/>
            <w:vAlign w:val="bottom"/>
          </w:tcPr>
          <w:p>
            <w:pPr>
              <w:spacing w:after="0"/>
              <w:rPr>
                <w:sz w:val="1"/>
                <w:szCs w:val="1"/>
                <w:color w:val="auto"/>
              </w:rPr>
            </w:pPr>
          </w:p>
        </w:tc>
      </w:tr>
      <w:tr>
        <w:trPr>
          <w:trHeight w:val="238"/>
        </w:trPr>
        <w:tc>
          <w:tcPr>
            <w:tcW w:w="3200" w:type="dxa"/>
            <w:vAlign w:val="bottom"/>
            <w:tcBorders>
              <w:bottom w:val="single" w:sz="8" w:color="D7282F"/>
            </w:tcBorders>
          </w:tcPr>
          <w:p>
            <w:pPr>
              <w:spacing w:after="0"/>
              <w:rPr>
                <w:sz w:val="20"/>
                <w:szCs w:val="20"/>
                <w:color w:val="auto"/>
              </w:rPr>
            </w:pPr>
          </w:p>
        </w:tc>
        <w:tc>
          <w:tcPr>
            <w:tcW w:w="320" w:type="dxa"/>
            <w:vAlign w:val="bottom"/>
            <w:tcBorders>
              <w:bottom w:val="single" w:sz="8" w:color="D7282F"/>
            </w:tcBorders>
          </w:tcPr>
          <w:p>
            <w:pPr>
              <w:spacing w:after="0"/>
              <w:rPr>
                <w:sz w:val="20"/>
                <w:szCs w:val="20"/>
                <w:color w:val="auto"/>
              </w:rPr>
            </w:pPr>
          </w:p>
        </w:tc>
        <w:tc>
          <w:tcPr>
            <w:tcW w:w="120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04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060" w:type="dxa"/>
            <w:vAlign w:val="bottom"/>
            <w:tcBorders>
              <w:bottom w:val="single" w:sz="8" w:color="D7282F"/>
            </w:tcBorders>
          </w:tcPr>
          <w:p>
            <w:pPr>
              <w:spacing w:after="0"/>
              <w:rPr>
                <w:sz w:val="20"/>
                <w:szCs w:val="20"/>
                <w:color w:val="auto"/>
              </w:rPr>
            </w:pPr>
          </w:p>
        </w:tc>
        <w:tc>
          <w:tcPr>
            <w:tcW w:w="240" w:type="dxa"/>
            <w:vAlign w:val="bottom"/>
            <w:tcBorders>
              <w:bottom w:val="single" w:sz="8" w:color="D7282F"/>
            </w:tcBorders>
          </w:tcPr>
          <w:p>
            <w:pPr>
              <w:spacing w:after="0"/>
              <w:rPr>
                <w:sz w:val="20"/>
                <w:szCs w:val="20"/>
                <w:color w:val="auto"/>
              </w:rPr>
            </w:pPr>
          </w:p>
        </w:tc>
        <w:tc>
          <w:tcPr>
            <w:tcW w:w="1140" w:type="dxa"/>
            <w:vAlign w:val="bottom"/>
            <w:tcBorders>
              <w:bottom w:val="single" w:sz="8" w:color="D7282F"/>
            </w:tcBorders>
          </w:tcPr>
          <w:p>
            <w:pPr>
              <w:spacing w:after="0"/>
              <w:rPr>
                <w:sz w:val="20"/>
                <w:szCs w:val="20"/>
                <w:color w:val="auto"/>
              </w:rPr>
            </w:pPr>
          </w:p>
        </w:tc>
        <w:tc>
          <w:tcPr>
            <w:tcW w:w="800" w:type="dxa"/>
            <w:vAlign w:val="bottom"/>
            <w:tcBorders>
              <w:bottom w:val="single" w:sz="8" w:color="D7282F"/>
            </w:tcBorders>
          </w:tcPr>
          <w:p>
            <w:pPr>
              <w:spacing w:after="0"/>
              <w:rPr>
                <w:sz w:val="20"/>
                <w:szCs w:val="20"/>
                <w:color w:val="auto"/>
              </w:rPr>
            </w:pPr>
          </w:p>
        </w:tc>
        <w:tc>
          <w:tcPr>
            <w:tcW w:w="52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940" w:type="dxa"/>
            <w:vAlign w:val="bottom"/>
            <w:tcBorders>
              <w:bottom w:val="single" w:sz="8" w:color="D7282F"/>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210</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278</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132</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197</w:t>
            </w:r>
          </w:p>
        </w:tc>
        <w:tc>
          <w:tcPr>
            <w:tcW w:w="800" w:type="dxa"/>
            <w:vAlign w:val="bottom"/>
            <w:tcBorders>
              <w:bottom w:val="single" w:sz="8" w:color="888B8D"/>
            </w:tcBorders>
          </w:tcPr>
          <w:p>
            <w:pPr>
              <w:jc w:val="center"/>
              <w:ind w:right="1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140</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957</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Capital expenditures</w:t>
            </w:r>
          </w:p>
        </w:tc>
        <w:tc>
          <w:tcPr>
            <w:tcW w:w="32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221</w:t>
            </w: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149</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54</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260</w:t>
            </w:r>
          </w:p>
        </w:tc>
        <w:tc>
          <w:tcPr>
            <w:tcW w:w="80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87</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771</w:t>
            </w:r>
          </w:p>
        </w:tc>
        <w:tc>
          <w:tcPr>
            <w:tcW w:w="0" w:type="dxa"/>
            <w:vAlign w:val="bottom"/>
          </w:tcPr>
          <w:p>
            <w:pPr>
              <w:spacing w:after="0"/>
              <w:rPr>
                <w:sz w:val="1"/>
                <w:szCs w:val="1"/>
                <w:color w:val="auto"/>
              </w:rPr>
            </w:pPr>
          </w:p>
        </w:tc>
      </w:tr>
      <w:tr>
        <w:trPr>
          <w:trHeight w:val="402"/>
        </w:trPr>
        <w:tc>
          <w:tcPr>
            <w:tcW w:w="3200" w:type="dxa"/>
            <w:vAlign w:val="bottom"/>
            <w:tcBorders>
              <w:bottom w:val="single" w:sz="8" w:color="D7282F"/>
            </w:tcBorders>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1200" w:type="dxa"/>
            <w:vAlign w:val="bottom"/>
            <w:tcBorders>
              <w:bottom w:val="single" w:sz="8" w:color="D7282F"/>
            </w:tcBorders>
          </w:tcPr>
          <w:p>
            <w:pPr>
              <w:spacing w:after="0"/>
              <w:rPr>
                <w:sz w:val="24"/>
                <w:szCs w:val="24"/>
                <w:color w:val="auto"/>
              </w:rPr>
            </w:pPr>
          </w:p>
        </w:tc>
        <w:tc>
          <w:tcPr>
            <w:tcW w:w="260" w:type="dxa"/>
            <w:vAlign w:val="bottom"/>
            <w:tcBorders>
              <w:bottom w:val="single" w:sz="8" w:color="D7282F"/>
            </w:tcBorders>
          </w:tcPr>
          <w:p>
            <w:pPr>
              <w:spacing w:after="0"/>
              <w:rPr>
                <w:sz w:val="24"/>
                <w:szCs w:val="24"/>
                <w:color w:val="auto"/>
              </w:rPr>
            </w:pPr>
          </w:p>
        </w:tc>
        <w:tc>
          <w:tcPr>
            <w:tcW w:w="1040" w:type="dxa"/>
            <w:vAlign w:val="bottom"/>
            <w:tcBorders>
              <w:bottom w:val="single" w:sz="8" w:color="D7282F"/>
            </w:tcBorders>
          </w:tcPr>
          <w:p>
            <w:pPr>
              <w:spacing w:after="0"/>
              <w:rPr>
                <w:sz w:val="24"/>
                <w:szCs w:val="24"/>
                <w:color w:val="auto"/>
              </w:rPr>
            </w:pPr>
          </w:p>
        </w:tc>
        <w:tc>
          <w:tcPr>
            <w:tcW w:w="260" w:type="dxa"/>
            <w:vAlign w:val="bottom"/>
            <w:tcBorders>
              <w:bottom w:val="single" w:sz="8" w:color="D7282F"/>
            </w:tcBorders>
          </w:tcPr>
          <w:p>
            <w:pPr>
              <w:spacing w:after="0"/>
              <w:rPr>
                <w:sz w:val="24"/>
                <w:szCs w:val="24"/>
                <w:color w:val="auto"/>
              </w:rPr>
            </w:pPr>
          </w:p>
        </w:tc>
        <w:tc>
          <w:tcPr>
            <w:tcW w:w="106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940" w:type="dxa"/>
            <w:vAlign w:val="bottom"/>
            <w:tcBorders>
              <w:bottom w:val="single" w:sz="8" w:color="D7282F"/>
            </w:tcBorders>
            <w:gridSpan w:val="2"/>
          </w:tcPr>
          <w:p>
            <w:pPr>
              <w:ind w:left="160"/>
              <w:spacing w:after="0"/>
              <w:rPr>
                <w:sz w:val="20"/>
                <w:szCs w:val="20"/>
                <w:color w:val="auto"/>
              </w:rPr>
            </w:pPr>
            <w:r>
              <w:rPr>
                <w:rFonts w:ascii="Arial" w:cs="Arial" w:eastAsia="Arial" w:hAnsi="Arial"/>
                <w:sz w:val="14"/>
                <w:szCs w:val="14"/>
                <w:b w:val="1"/>
                <w:bCs w:val="1"/>
                <w:color w:val="auto"/>
              </w:rPr>
              <w:t>September 30, 2025</w:t>
            </w:r>
          </w:p>
        </w:tc>
        <w:tc>
          <w:tcPr>
            <w:tcW w:w="1720" w:type="dxa"/>
            <w:vAlign w:val="bottom"/>
            <w:tcBorders>
              <w:bottom w:val="single" w:sz="8" w:color="D7282F"/>
            </w:tcBorders>
            <w:gridSpan w:val="3"/>
          </w:tcPr>
          <w:p>
            <w:pPr>
              <w:jc w:val="right"/>
              <w:ind w:right="148"/>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93"/>
        </w:trPr>
        <w:tc>
          <w:tcPr>
            <w:tcW w:w="3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Aerospace Technologies</w:t>
            </w:r>
          </w:p>
        </w:tc>
        <w:tc>
          <w:tcPr>
            <w:tcW w:w="320" w:type="dxa"/>
            <w:vAlign w:val="bottom"/>
            <w:tcBorders>
              <w:bottom w:val="single" w:sz="8" w:color="61656A"/>
            </w:tcBorders>
          </w:tcPr>
          <w:p>
            <w:pPr>
              <w:spacing w:after="0"/>
              <w:rPr>
                <w:sz w:val="16"/>
                <w:szCs w:val="16"/>
                <w:color w:val="auto"/>
              </w:rPr>
            </w:pPr>
          </w:p>
        </w:tc>
        <w:tc>
          <w:tcPr>
            <w:tcW w:w="120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jc w:val="right"/>
              <w:ind w:right="9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61656A"/>
            </w:tcBorders>
          </w:tcPr>
          <w:p>
            <w:pPr>
              <w:jc w:val="center"/>
              <w:ind w:right="168"/>
              <w:spacing w:after="0"/>
              <w:rPr>
                <w:sz w:val="20"/>
                <w:szCs w:val="20"/>
                <w:color w:val="auto"/>
              </w:rPr>
            </w:pPr>
            <w:r>
              <w:rPr>
                <w:rFonts w:ascii="Arial" w:cs="Arial" w:eastAsia="Arial" w:hAnsi="Arial"/>
                <w:sz w:val="14"/>
                <w:szCs w:val="14"/>
                <w:color w:val="auto"/>
              </w:rPr>
              <w:t>18,060</w:t>
            </w:r>
          </w:p>
        </w:tc>
        <w:tc>
          <w:tcPr>
            <w:tcW w:w="520" w:type="dxa"/>
            <w:vAlign w:val="bottom"/>
            <w:tcBorders>
              <w:bottom w:val="single" w:sz="8" w:color="61656A"/>
            </w:tcBorders>
          </w:tcPr>
          <w:p>
            <w:pPr>
              <w:jc w:val="right"/>
              <w:ind w:right="3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16,966</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Industrial Automation</w:t>
            </w:r>
          </w:p>
        </w:tc>
        <w:tc>
          <w:tcPr>
            <w:tcW w:w="32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06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center"/>
              <w:ind w:right="168"/>
              <w:spacing w:after="0"/>
              <w:rPr>
                <w:sz w:val="20"/>
                <w:szCs w:val="20"/>
                <w:color w:val="auto"/>
              </w:rPr>
            </w:pPr>
            <w:r>
              <w:rPr>
                <w:rFonts w:ascii="Arial" w:cs="Arial" w:eastAsia="Arial" w:hAnsi="Arial"/>
                <w:sz w:val="14"/>
                <w:szCs w:val="14"/>
                <w:color w:val="auto"/>
              </w:rPr>
              <w:t>21,198</w:t>
            </w:r>
          </w:p>
        </w:tc>
        <w:tc>
          <w:tcPr>
            <w:tcW w:w="52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21,035</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Building Automation</w:t>
            </w:r>
          </w:p>
        </w:tc>
        <w:tc>
          <w:tcPr>
            <w:tcW w:w="32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06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center"/>
              <w:ind w:right="168"/>
              <w:spacing w:after="0"/>
              <w:rPr>
                <w:sz w:val="20"/>
                <w:szCs w:val="20"/>
                <w:color w:val="auto"/>
              </w:rPr>
            </w:pPr>
            <w:r>
              <w:rPr>
                <w:rFonts w:ascii="Arial" w:cs="Arial" w:eastAsia="Arial" w:hAnsi="Arial"/>
                <w:sz w:val="14"/>
                <w:szCs w:val="14"/>
                <w:color w:val="auto"/>
              </w:rPr>
              <w:t>10,943</w:t>
            </w:r>
          </w:p>
        </w:tc>
        <w:tc>
          <w:tcPr>
            <w:tcW w:w="52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11,438</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Energy and Sustainability Solutions</w:t>
            </w:r>
          </w:p>
        </w:tc>
        <w:tc>
          <w:tcPr>
            <w:tcW w:w="32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06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center"/>
              <w:ind w:right="168"/>
              <w:spacing w:after="0"/>
              <w:rPr>
                <w:sz w:val="20"/>
                <w:szCs w:val="20"/>
                <w:color w:val="auto"/>
              </w:rPr>
            </w:pPr>
            <w:r>
              <w:rPr>
                <w:rFonts w:ascii="Arial" w:cs="Arial" w:eastAsia="Arial" w:hAnsi="Arial"/>
                <w:sz w:val="14"/>
                <w:szCs w:val="14"/>
                <w:color w:val="auto"/>
              </w:rPr>
              <w:t>13,454</w:t>
            </w:r>
          </w:p>
        </w:tc>
        <w:tc>
          <w:tcPr>
            <w:tcW w:w="52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10,337</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Corporate and All Other</w:t>
            </w:r>
          </w:p>
        </w:tc>
        <w:tc>
          <w:tcPr>
            <w:tcW w:w="32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color w:val="auto"/>
              </w:rPr>
              <w:t>17,262</w:t>
            </w:r>
          </w:p>
        </w:tc>
        <w:tc>
          <w:tcPr>
            <w:tcW w:w="5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15,420</w:t>
            </w:r>
          </w:p>
        </w:tc>
        <w:tc>
          <w:tcPr>
            <w:tcW w:w="0" w:type="dxa"/>
            <w:vAlign w:val="bottom"/>
          </w:tcPr>
          <w:p>
            <w:pPr>
              <w:spacing w:after="0"/>
              <w:rPr>
                <w:sz w:val="1"/>
                <w:szCs w:val="1"/>
                <w:color w:val="auto"/>
              </w:rPr>
            </w:pPr>
          </w:p>
        </w:tc>
      </w:tr>
      <w:tr>
        <w:trPr>
          <w:trHeight w:val="199"/>
        </w:trPr>
        <w:tc>
          <w:tcPr>
            <w:tcW w:w="32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assets</w:t>
            </w:r>
          </w:p>
        </w:tc>
        <w:tc>
          <w:tcPr>
            <w:tcW w:w="32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98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80,917</w:t>
            </w:r>
          </w:p>
        </w:tc>
        <w:tc>
          <w:tcPr>
            <w:tcW w:w="52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75,196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33</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segment profit to consolidated income before taxes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10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80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Segment profit</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2,407</w:t>
            </w:r>
          </w:p>
        </w:tc>
        <w:tc>
          <w:tcPr>
            <w:tcW w:w="3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2,296</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7,031</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6,589</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and other financial charges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(354)</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(297)</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(970)</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(767)</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income</w:t>
            </w:r>
            <w:r>
              <w:rPr>
                <w:rFonts w:ascii="Arial" w:cs="Arial" w:eastAsia="Arial" w:hAnsi="Arial"/>
                <w:sz w:val="9"/>
                <w:szCs w:val="9"/>
                <w:color w:val="auto"/>
              </w:rPr>
              <w:t>1</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86</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110</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255</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325</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Amortization of acquisition-related intangibles</w:t>
            </w:r>
            <w:r>
              <w:rPr>
                <w:rFonts w:ascii="Arial" w:cs="Arial" w:eastAsia="Arial" w:hAnsi="Arial"/>
                <w:sz w:val="9"/>
                <w:szCs w:val="9"/>
                <w:color w:val="auto"/>
              </w:rPr>
              <w:t>2</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(141)</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(120)</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(410)</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(275)</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Impairment of assets held for sale</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(125)</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(15)</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(125)</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Stock compensation expense</w:t>
            </w:r>
            <w:r>
              <w:rPr>
                <w:rFonts w:ascii="Arial" w:cs="Arial" w:eastAsia="Arial" w:hAnsi="Arial"/>
                <w:sz w:val="9"/>
                <w:szCs w:val="9"/>
                <w:color w:val="auto"/>
              </w:rPr>
              <w:t>3</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(36)</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(45)</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(154)</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(153)</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Pension ongoing income</w:t>
            </w:r>
            <w:r>
              <w:rPr>
                <w:rFonts w:ascii="Arial" w:cs="Arial" w:eastAsia="Arial" w:hAnsi="Arial"/>
                <w:sz w:val="9"/>
                <w:szCs w:val="9"/>
                <w:color w:val="auto"/>
              </w:rPr>
              <w:t>4</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150</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145</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390</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430</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Pension mark-to-market expense</w:t>
            </w:r>
            <w:r>
              <w:rPr>
                <w:rFonts w:ascii="Arial" w:cs="Arial" w:eastAsia="Arial" w:hAnsi="Arial"/>
                <w:sz w:val="9"/>
                <w:szCs w:val="9"/>
                <w:color w:val="auto"/>
              </w:rPr>
              <w:t>4</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(14)</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postretirement income</w:t>
            </w:r>
            <w:r>
              <w:rPr>
                <w:rFonts w:ascii="Arial" w:cs="Arial" w:eastAsia="Arial" w:hAnsi="Arial"/>
                <w:sz w:val="9"/>
                <w:szCs w:val="9"/>
                <w:color w:val="auto"/>
              </w:rPr>
              <w:t>4</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w:t>
            </w: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Repositioning and other gains (charges)</w:t>
            </w:r>
            <w:r>
              <w:rPr>
                <w:rFonts w:ascii="Arial" w:cs="Arial" w:eastAsia="Arial" w:hAnsi="Arial"/>
                <w:sz w:val="9"/>
                <w:szCs w:val="9"/>
                <w:color w:val="auto"/>
              </w:rPr>
              <w:t>5</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367</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(52)</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283</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(189)</w:t>
            </w: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expense</w:t>
            </w:r>
            <w:r>
              <w:rPr>
                <w:rFonts w:ascii="Arial" w:cs="Arial" w:eastAsia="Arial" w:hAnsi="Arial"/>
                <w:sz w:val="9"/>
                <w:szCs w:val="9"/>
                <w:color w:val="auto"/>
              </w:rPr>
              <w:t>6</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(260)</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(91)</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(430)</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(179)</w:t>
            </w: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Income before taxes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2,222</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1,824</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5,977</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5,669</w:t>
            </w:r>
          </w:p>
        </w:tc>
      </w:tr>
    </w:tbl>
    <w:p>
      <w:pPr>
        <w:spacing w:after="0" w:line="117" w:lineRule="exact"/>
        <w:rPr>
          <w:sz w:val="20"/>
          <w:szCs w:val="20"/>
          <w:color w:val="auto"/>
        </w:rPr>
      </w:pPr>
    </w:p>
    <w:p>
      <w:pPr>
        <w:ind w:left="480" w:hanging="344"/>
        <w:spacing w:after="0"/>
        <w:tabs>
          <w:tab w:leader="none" w:pos="4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Amounts included in Other (income) expense.</w:t>
      </w:r>
    </w:p>
    <w:p>
      <w:pPr>
        <w:spacing w:after="0" w:line="26" w:lineRule="exact"/>
        <w:rPr>
          <w:sz w:val="20"/>
          <w:szCs w:val="20"/>
          <w:color w:val="auto"/>
        </w:rPr>
      </w:pPr>
    </w:p>
    <w:p>
      <w:pPr>
        <w:ind w:left="480" w:hanging="344"/>
        <w:spacing w:after="0"/>
        <w:tabs>
          <w:tab w:leader="none" w:pos="4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Amounts included in Cost of products and services sold.</w:t>
      </w:r>
    </w:p>
    <w:p>
      <w:pPr>
        <w:ind w:left="480" w:hanging="344"/>
        <w:spacing w:after="0" w:line="194" w:lineRule="auto"/>
        <w:tabs>
          <w:tab w:leader="none" w:pos="480" w:val="left"/>
        </w:tabs>
        <w:numPr>
          <w:ilvl w:val="0"/>
          <w:numId w:val="31"/>
        </w:numPr>
        <w:rPr>
          <w:rFonts w:ascii="Arial" w:cs="Arial" w:eastAsia="Arial" w:hAnsi="Arial"/>
          <w:sz w:val="25"/>
          <w:szCs w:val="25"/>
          <w:color w:val="auto"/>
          <w:vertAlign w:val="superscript"/>
        </w:rPr>
      </w:pPr>
      <w:r>
        <w:rPr>
          <w:rFonts w:ascii="Arial" w:cs="Arial" w:eastAsia="Arial" w:hAnsi="Arial"/>
          <w:sz w:val="13"/>
          <w:szCs w:val="13"/>
          <w:color w:val="auto"/>
        </w:rPr>
        <w:t>Amounts included in Selling, general and administrative expenses.</w:t>
      </w:r>
    </w:p>
    <w:p>
      <w:pPr>
        <w:spacing w:after="0" w:line="50" w:lineRule="exact"/>
        <w:rPr>
          <w:sz w:val="20"/>
          <w:szCs w:val="20"/>
          <w:color w:val="auto"/>
        </w:rPr>
      </w:pPr>
    </w:p>
    <w:p>
      <w:pPr>
        <w:ind w:left="480" w:right="40" w:hanging="344"/>
        <w:spacing w:after="0" w:line="181" w:lineRule="auto"/>
        <w:tabs>
          <w:tab w:leader="none" w:pos="480" w:val="left"/>
        </w:tabs>
        <w:numPr>
          <w:ilvl w:val="0"/>
          <w:numId w:val="32"/>
        </w:numPr>
        <w:rPr>
          <w:rFonts w:ascii="Arial" w:cs="Arial" w:eastAsia="Arial" w:hAnsi="Arial"/>
          <w:sz w:val="22"/>
          <w:szCs w:val="22"/>
          <w:color w:val="auto"/>
          <w:vertAlign w:val="superscript"/>
        </w:rPr>
      </w:pPr>
      <w:r>
        <w:rPr>
          <w:rFonts w:ascii="Arial" w:cs="Arial" w:eastAsia="Arial" w:hAnsi="Arial"/>
          <w:sz w:val="11"/>
          <w:szCs w:val="11"/>
          <w:color w:val="auto"/>
        </w:rPr>
        <w:t>Amounts included in Cost of products and services sold (service cost component), Selling, general and administrative expenses (service cost component), Research and development expenses (service cost component), and Other (income) expense (non-service cost component).</w:t>
      </w:r>
    </w:p>
    <w:p>
      <w:pPr>
        <w:ind w:left="480" w:hanging="344"/>
        <w:spacing w:after="0" w:line="181" w:lineRule="auto"/>
        <w:tabs>
          <w:tab w:leader="none" w:pos="480" w:val="left"/>
        </w:tabs>
        <w:numPr>
          <w:ilvl w:val="0"/>
          <w:numId w:val="33"/>
        </w:numPr>
        <w:rPr>
          <w:rFonts w:ascii="Arial" w:cs="Arial" w:eastAsia="Arial" w:hAnsi="Arial"/>
          <w:sz w:val="25"/>
          <w:szCs w:val="25"/>
          <w:color w:val="auto"/>
          <w:vertAlign w:val="superscript"/>
        </w:rPr>
      </w:pPr>
      <w:r>
        <w:rPr>
          <w:rFonts w:ascii="Arial" w:cs="Arial" w:eastAsia="Arial" w:hAnsi="Arial"/>
          <w:sz w:val="13"/>
          <w:szCs w:val="13"/>
          <w:color w:val="auto"/>
        </w:rPr>
        <w:t>Amounts included in Cost of products and services sold, Selling, general and administrative expenses, and Other (income) expense.</w:t>
      </w:r>
    </w:p>
    <w:p>
      <w:pPr>
        <w:ind w:left="480" w:hanging="344"/>
        <w:spacing w:after="0" w:line="188" w:lineRule="auto"/>
        <w:tabs>
          <w:tab w:leader="none" w:pos="480" w:val="left"/>
        </w:tabs>
        <w:numPr>
          <w:ilvl w:val="0"/>
          <w:numId w:val="34"/>
        </w:numPr>
        <w:rPr>
          <w:rFonts w:ascii="Arial" w:cs="Arial" w:eastAsia="Arial" w:hAnsi="Arial"/>
          <w:sz w:val="24"/>
          <w:szCs w:val="24"/>
          <w:color w:val="auto"/>
          <w:vertAlign w:val="superscript"/>
        </w:rPr>
      </w:pPr>
      <w:r>
        <w:rPr>
          <w:rFonts w:ascii="Arial" w:cs="Arial" w:eastAsia="Arial" w:hAnsi="Arial"/>
          <w:sz w:val="12"/>
          <w:szCs w:val="12"/>
          <w:color w:val="auto"/>
        </w:rPr>
        <w:t>Amounts include the other components of Other (income) expense not included within other categories in this reconciliation. Equity income of affiliated companies is included in segment profit.</w:t>
      </w:r>
    </w:p>
    <w:p>
      <w:pPr>
        <w:spacing w:after="0" w:line="360" w:lineRule="exact"/>
        <w:rPr>
          <w:sz w:val="20"/>
          <w:szCs w:val="20"/>
          <w:color w:val="auto"/>
        </w:rPr>
      </w:pPr>
    </w:p>
    <w:p>
      <w:pPr>
        <w:spacing w:after="0"/>
        <w:rPr>
          <w:sz w:val="20"/>
          <w:szCs w:val="20"/>
          <w:color w:val="auto"/>
        </w:rPr>
      </w:pPr>
      <w:r>
        <w:rPr>
          <w:rFonts w:ascii="Arial" w:cs="Arial" w:eastAsia="Arial" w:hAnsi="Arial"/>
          <w:sz w:val="29"/>
          <w:szCs w:val="29"/>
          <w:color w:val="D7282F"/>
        </w:rPr>
        <w:t>NOTE 19. SUBSEQUENT EVENTS</w:t>
      </w:r>
    </w:p>
    <w:p>
      <w:pPr>
        <w:spacing w:after="0" w:line="25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In the fourth quarter, the Company permanently divested all of its legacy Bendix asbestos liabilities and certain non-Bendix asbestos liabilities, contributing cash and transferring asbestos liabilities to a third party entity. As part of the agreement, the Company will be indemnified from future asbestos claims. Under the terms of the agreement, in the fourth quarter, the Company contributed $1.4 billion in cash and derecognized $1.5 billion of asbestos liabilities and $98 million of related insurance assets. Included in the Company's third quarter results is a pre-tax loss on expected settlement of the divestiture of $148 million. See Note 15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for more information.</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Also in the fourth quarter, in connection with the planned spin-off, Solstice issued 5.625% Senior Notes due September 30, 2033 in an aggregate principal amount of $1.0 billion (the Notes). The proceeds from the Notes offering will be held in escrow until satisfaction of the conditions precedent to the spin-off and certain other escrow release conditions. If such conditions are not met by March 31, 2026, the Notes will be redeemed at 100% of principal plus accrued interest. Solstice will pay interest on the Notes on March 31 and September 30 of each year, with the first payment due on March 31, 2026. The Notes are senior unsecured obligations of Solstice, guaranteed on a senior unsecured basis by certain of its domestic subsidiaries and, from and after the escrow release date, will be guaranteed on a senior unsecured basis by each of Solstice’s existing and future domestic subsidiaries that guarantees Solstice’s senior credit facilities.</w:t>
      </w:r>
    </w:p>
    <w:p>
      <w:pPr>
        <w:spacing w:after="0" w:line="5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See Note 18 </w:t>
      </w:r>
      <w:r>
        <w:rPr>
          <w:rFonts w:ascii="Arial" w:cs="Arial" w:eastAsia="Arial" w:hAnsi="Arial"/>
          <w:sz w:val="16"/>
          <w:szCs w:val="16"/>
          <w:u w:val="single" w:color="auto"/>
          <w:color w:val="0000FF"/>
        </w:rPr>
        <w:t>Segment Financial Data</w:t>
      </w:r>
      <w:r>
        <w:rPr>
          <w:rFonts w:ascii="Arial" w:cs="Arial" w:eastAsia="Arial" w:hAnsi="Arial"/>
          <w:sz w:val="16"/>
          <w:szCs w:val="16"/>
          <w:color w:val="auto"/>
        </w:rPr>
        <w:t xml:space="preserve"> for information related to the Company’s planned realignment of its reportable business segments announced on October 22, 2025, and expected to be effective in the first quarter of 2026.</w:t>
      </w:r>
    </w:p>
    <w:p>
      <w:pPr>
        <w:spacing w:after="0" w:line="292" w:lineRule="exact"/>
        <w:rPr>
          <w:sz w:val="20"/>
          <w:szCs w:val="20"/>
          <w:color w:val="auto"/>
        </w:rPr>
      </w:pPr>
    </w:p>
    <w:p>
      <w:pPr>
        <w:ind w:left="400" w:hanging="392"/>
        <w:spacing w:after="0"/>
        <w:tabs>
          <w:tab w:leader="none" w:pos="400" w:val="left"/>
        </w:tabs>
        <w:numPr>
          <w:ilvl w:val="0"/>
          <w:numId w:val="3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220"/>
        <w:spacing w:after="0" w:line="313" w:lineRule="auto"/>
        <w:rPr>
          <w:sz w:val="20"/>
          <w:szCs w:val="20"/>
          <w:color w:val="auto"/>
        </w:rPr>
      </w:pPr>
      <w:r>
        <w:rPr>
          <w:rFonts w:ascii="Arial" w:cs="Arial" w:eastAsia="Arial" w:hAnsi="Arial"/>
          <w:sz w:val="35"/>
          <w:szCs w:val="35"/>
          <w:b w:val="1"/>
          <w:bCs w:val="1"/>
          <w:color w:val="auto"/>
        </w:rPr>
        <w:t>ITEM 2. MANAGEMENT'S DISCUSSION AND ANALYSIS OF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in tables and graphs in millions, except per share amounts)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is intended to help the reader understand the results of operations and financial condition of Honeywell International Inc. and its consolidated subsidiaries (Honeywell, we, us, our, or the Company) for the three and nine months ended September 30, 2025. The financial information as of September 30, 2025, should be read in conjunction with the Consolidated Financial Statements for the year ended December 31, 2024, contained in our 2024 Annual Report on Form 10-K.</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BUSINESS UPDATE</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MACROECONOMIC CONDITIONS</w:t>
      </w:r>
    </w:p>
    <w:p>
      <w:pPr>
        <w:spacing w:after="0" w:line="12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continue to monitor macroeconomic and geopolitical developments amid heightened trade tensions, economic and trade policy uncertainty, and inflationary risks. Trade policy volatility during 2025, including new tariffs and, in some cases, subsequent rollbacks or suspensions, could impact global growth and contribute to inflationary pressures. Global conflicts, tariffs, labor disruptions, and regulations continue to generate volatility in global markets and contribute to supply chain vulnerabilities and pricing fluctuations. We remain proactive in our collaboration with suppliers to minimize shortages and mitigate supply chain and pricing volatility.</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Mitigation strategies remain crucial to meet customer demand in this evolving environment. Our mitigation strategies include supply chain simplification, continued alignment to local supply sources, pricing actions and dual source strategies, long-term strategies for constrained materials, direct engagement with key suppliers, and new supplier development. Strong relationships with strategic primary and secondary suppliers allow us to collaborate to reliably source key components and raw materials, develop new products, commit our resources to assist certain suppliers, and at times, alter designs of existing products. We believe these mitigation strategies enable us to reduce supply risk, foster new product innovation, and expand our market presence. Additionally, due to the stringent quality controls and product qualification we perform on any new or altered product, these mitigation strategies have not impacted, and we do not expect them to impact, product quality or reliability.</w:t>
      </w:r>
    </w:p>
    <w:p>
      <w:pPr>
        <w:spacing w:after="0" w:line="6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To date, our strategies helped minimize our exposure to these conditions. However, if we are not successful in sustaining or executing these strategies, these macroeconomic conditions could have a material adverse effect on our consolidated results of operations, cash flows, or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PORTFOLIO TRANSFORMATION</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continually assess the relative strength of each business in our portfolio as to strategic fit, market position, profit, and cash flow contribution in order to identify target investment and acquisition opportunities in order to upgrade our combined portfolio. We also identify businesses that do not fit into our long-term strategic plan based on their market position, relative profitability, or growth potential. During the second quarter of 2025, we completed the divestiture of our PPE business, as well as closed on the acquisition of Sundyne. We also announced our agreement to acquire Johnson Matthey's Catalyst Technologies business segment.</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October 8, 2024, we announced our intention to spin off our Advanced Materials business into Solstice Advanced Materials, Inc. (Solstice), an independent, U.S. publicly traded company. The spin-off will be a tax-free spin to Honeywell shareowners for U.S. federal income tax purposes. On October 1, 2025, we announced that our Board approved a record date of October 17, 2025 (Record Date) for the pro rata distribution of all of the issued and outstanding shares of Solstice to the holders of our common stock as of the close of business on the Record Date (Eligible Holders). On October 16, 2025, we announced that the Board approved the spin-off, which will be effective as of 12:01 a.m. (New York City time) on October 30, 2025 (Distribution Date). On the Distribution Date, the Eligible Holders will receive one share of Solstice common stock for every four shares of our common stock they hold as of the close of business on the Record Date. Completion of the Distribution is conditioned upon the satisfaction or waiver of certain conditions, as set forth in the form of Separation and Distribution Agreement filed with the SEC as part of the registration statement on Form 10 filed by Solstice, which was declared effective by the SEC on September 30, 2025.</w:t>
      </w:r>
    </w:p>
    <w:p>
      <w:pPr>
        <w:spacing w:after="0" w:line="200" w:lineRule="exact"/>
        <w:rPr>
          <w:sz w:val="20"/>
          <w:szCs w:val="20"/>
          <w:color w:val="auto"/>
        </w:rPr>
      </w:pPr>
    </w:p>
    <w:p>
      <w:pPr>
        <w:spacing w:after="0" w:line="222" w:lineRule="exact"/>
        <w:rPr>
          <w:sz w:val="20"/>
          <w:szCs w:val="20"/>
          <w:color w:val="auto"/>
        </w:rPr>
      </w:pPr>
    </w:p>
    <w:p>
      <w:pPr>
        <w:ind w:left="400" w:hanging="392"/>
        <w:spacing w:after="0"/>
        <w:tabs>
          <w:tab w:leader="none" w:pos="400" w:val="left"/>
        </w:tabs>
        <w:numPr>
          <w:ilvl w:val="0"/>
          <w:numId w:val="3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February 6, 2025, we announced our intention to pursue a separation of our Automation and Aerospace Technologies businesses into independent, U.S. publicly traded companies, which is expected to be completed in the second half of 2026. The planned separation is intended to be a tax-free separation to Honeywell shareowners for U.S. federal income tax purposes. The separation will be subject to the satisfaction of a number of customary conditions, including, among others, the filing and effectiveness of applicable filings (including a Form 10 registration statement that includes required financial statements) with the SEC, assurance that the separation of the businesses will be tax-free to Honeywell’s shareowners, receipt of applicable regulatory approvals, and final approval by our Board. The proposed separation is complex in nature, and may be affected by unanticipated developments, credit and equity markets, or changes in market conditions.</w:t>
      </w:r>
    </w:p>
    <w:p>
      <w:pPr>
        <w:spacing w:after="0" w:line="8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July 8, 2025, we announced we are evaluating strategic alternatives for our Productivity Solutions and Services and Warehouse and Workflow Solutions businesses within the Industrial Automation reportable segment to further simplify Honeywell's portfolio and accelerate shareowner value creation ahead of our planned separation into three independent, U.S. publicly traded companies.</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LIABILITY MANAGEMENT REORGANIZATION</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June 23, 2025, we completed our previously announced reorganization (the “Liability Management Reorganization”) in connection with which: (i) certain of our asbestos-related assets and liabilities were allocated to a separate, wholly owned entity, (ii) certain assets and liabilities associated with certain sites for which we had or may have had environmental liabilities were allocated to a separate, wholly owned entity, (iii) certain assets and liabilities associated with certain other sites (not included in clause (ii) above) for which we had or may have had environmental liabilities were allocated to a separate, wholly owned entity, and (iv) all of our remaining assets and liabilities (i.e., all assets and liabilities not included in clauses (i)-(iii) above) were allocated to the Company. The reorganization is intended to provide us flexibility with respect to managing certain asbestos, environmental, and other liabilities, including any future strategic transactions involving such liabilities, and enable us to focus on our operating business, while efficiently managing potential asbestos liabilities, existing or future environmental liabilities and remediation obligations, and certain other liabilities.</w:t>
      </w:r>
    </w:p>
    <w:p>
      <w:pPr>
        <w:spacing w:after="0" w:line="7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September 29, 2025, we permanently divested all of our legacy Bendix asbestos liabilities and certain non-Bendix asbestos liabilities (referenced in clause (i) above). We recorded a pre-tax loss of $148 million in the third quarter of 2025 related to the divested asbestos liabilities. Under the terms of the divestiture agreement, we contributed $1.4 billion in cash and derecognized $1.5 billion in asbestos liabilities and $0.1 billion of related insurance assets on September 29, 2025, which is after our quarter-end close date of September 27, 2025.</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SEGMENT REALIGNMENT</w:t>
      </w:r>
    </w:p>
    <w:p>
      <w:pPr>
        <w:spacing w:after="0" w:line="12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October 2025, we announced a planned realignment, expected to be effective in the first quarter of 2026, of our business units comprising our Industrial Automation and Energy and Sustainability Solutions reportable business segments. This realignment will form a new reportable business segment, Process Automation and Technology, and result in a new composition of our Industrial Automation reportable business segment. Process Automation and Technology will be comprised of UOP, which is currently in Energy and Sustainability Solutions, and the core portion of the Process Solutions business, which is currently in Industrial Automation. The new composition of Industrial Automation will continue to include the smart energy, thermal solutions, and process measurement and control businesses, currently included in the Process Solutions business, as well as the Sensing and Safety Technologies, Warehouse and Workflow Solutions, and Productivity Solutions and Services businesses. Following the realignment, our reportable business segments will be Aerospace Technologies, Building Automation, Process Automation and Technology, and Industrial Automation. The realignment will not impact our historical consolidated financial position, results of operations, or cash flows. We expects to report our financial performance based on this realignment effective with the first quarter of 2026.</w:t>
      </w:r>
    </w:p>
    <w:p>
      <w:pPr>
        <w:spacing w:after="0" w:line="200" w:lineRule="exact"/>
        <w:rPr>
          <w:sz w:val="20"/>
          <w:szCs w:val="20"/>
          <w:color w:val="auto"/>
        </w:rPr>
      </w:pPr>
    </w:p>
    <w:p>
      <w:pPr>
        <w:spacing w:after="0" w:line="311" w:lineRule="exact"/>
        <w:rPr>
          <w:sz w:val="20"/>
          <w:szCs w:val="20"/>
          <w:color w:val="auto"/>
        </w:rPr>
      </w:pPr>
    </w:p>
    <w:p>
      <w:pPr>
        <w:ind w:left="400" w:hanging="392"/>
        <w:spacing w:after="0"/>
        <w:tabs>
          <w:tab w:leader="none" w:pos="400" w:val="left"/>
        </w:tabs>
        <w:numPr>
          <w:ilvl w:val="0"/>
          <w:numId w:val="3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8"/>
          <w:szCs w:val="28"/>
          <w:color w:val="D7282F"/>
        </w:rPr>
        <w:t>RESULTS OF OPERATIONS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80645</wp:posOffset>
            </wp:positionV>
            <wp:extent cx="5572125" cy="52717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72125" cy="5271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0" w:hanging="392"/>
        <w:spacing w:after="0"/>
        <w:tabs>
          <w:tab w:leader="none" w:pos="400" w:val="left"/>
        </w:tabs>
        <w:numPr>
          <w:ilvl w:val="0"/>
          <w:numId w:val="3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62153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00375" cy="6215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0" w:hanging="392"/>
        <w:spacing w:after="0"/>
        <w:tabs>
          <w:tab w:leader="none" w:pos="400" w:val="left"/>
        </w:tabs>
        <w:numPr>
          <w:ilvl w:val="0"/>
          <w:numId w:val="3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Profit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62153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00375" cy="6215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0" w:hanging="392"/>
        <w:spacing w:after="0"/>
        <w:tabs>
          <w:tab w:leader="none" w:pos="400" w:val="left"/>
        </w:tabs>
        <w:numPr>
          <w:ilvl w:val="0"/>
          <w:numId w:val="4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41" w:name="page42"/>
    <w:bookmarkEnd w:id="4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CONSOLIDATED OPERATING RESULTS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80645</wp:posOffset>
            </wp:positionV>
            <wp:extent cx="5572125" cy="21431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721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The change in Net sales was attributable to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Borders>
              <w:bottom w:val="single" w:sz="8" w:color="D7282F"/>
            </w:tcBorders>
          </w:tcPr>
          <w:p>
            <w:pPr>
              <w:spacing w:after="0"/>
              <w:rPr>
                <w:sz w:val="17"/>
                <w:szCs w:val="17"/>
                <w:color w:val="auto"/>
              </w:rPr>
            </w:pPr>
          </w:p>
        </w:tc>
        <w:tc>
          <w:tcPr>
            <w:tcW w:w="4000" w:type="dxa"/>
            <w:vAlign w:val="bottom"/>
            <w:tcBorders>
              <w:bottom w:val="single" w:sz="8" w:color="D7282F"/>
            </w:tcBorders>
          </w:tcPr>
          <w:p>
            <w:pPr>
              <w:ind w:left="2260"/>
              <w:spacing w:after="0"/>
              <w:rPr>
                <w:sz w:val="20"/>
                <w:szCs w:val="20"/>
                <w:color w:val="auto"/>
              </w:rPr>
            </w:pPr>
            <w:r>
              <w:rPr>
                <w:rFonts w:ascii="Arial" w:cs="Arial" w:eastAsia="Arial" w:hAnsi="Arial"/>
                <w:sz w:val="14"/>
                <w:szCs w:val="14"/>
                <w:b w:val="1"/>
                <w:bCs w:val="1"/>
                <w:color w:val="auto"/>
              </w:rPr>
              <w:t>Q3 2025 vs. Q3 2024</w:t>
            </w:r>
          </w:p>
        </w:tc>
        <w:tc>
          <w:tcPr>
            <w:tcW w:w="240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Year to Date 2025 vs. 2024</w:t>
            </w:r>
          </w:p>
        </w:tc>
      </w:tr>
      <w:tr>
        <w:trPr>
          <w:trHeight w:val="193"/>
        </w:trPr>
        <w:tc>
          <w:tcPr>
            <w:tcW w:w="4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Volume</w:t>
            </w:r>
          </w:p>
        </w:tc>
        <w:tc>
          <w:tcPr>
            <w:tcW w:w="4000" w:type="dxa"/>
            <w:vAlign w:val="bottom"/>
            <w:tcBorders>
              <w:bottom w:val="single" w:sz="8" w:color="61656A"/>
            </w:tcBorders>
          </w:tcPr>
          <w:p>
            <w:pPr>
              <w:jc w:val="center"/>
              <w:ind w:left="1848"/>
              <w:spacing w:after="0"/>
              <w:rPr>
                <w:sz w:val="20"/>
                <w:szCs w:val="20"/>
                <w:color w:val="auto"/>
              </w:rPr>
            </w:pPr>
            <w:r>
              <w:rPr>
                <w:rFonts w:ascii="Arial" w:cs="Arial" w:eastAsia="Arial" w:hAnsi="Arial"/>
                <w:sz w:val="14"/>
                <w:szCs w:val="14"/>
                <w:color w:val="auto"/>
                <w:w w:val="98"/>
              </w:rPr>
              <w:t>3%</w:t>
            </w:r>
          </w:p>
        </w:tc>
        <w:tc>
          <w:tcPr>
            <w:tcW w:w="2400" w:type="dxa"/>
            <w:vAlign w:val="bottom"/>
            <w:tcBorders>
              <w:bottom w:val="single" w:sz="8" w:color="61656A"/>
            </w:tcBorders>
          </w:tcPr>
          <w:p>
            <w:pPr>
              <w:jc w:val="center"/>
              <w:ind w:left="48"/>
              <w:spacing w:after="0"/>
              <w:rPr>
                <w:sz w:val="20"/>
                <w:szCs w:val="20"/>
                <w:color w:val="auto"/>
              </w:rPr>
            </w:pPr>
            <w:r>
              <w:rPr>
                <w:rFonts w:ascii="Arial" w:cs="Arial" w:eastAsia="Arial" w:hAnsi="Arial"/>
                <w:sz w:val="14"/>
                <w:szCs w:val="14"/>
                <w:color w:val="auto"/>
                <w:w w:val="98"/>
              </w:rPr>
              <w:t>2%</w:t>
            </w:r>
          </w:p>
        </w:tc>
      </w:tr>
      <w:tr>
        <w:trPr>
          <w:trHeight w:val="196"/>
        </w:trPr>
        <w:tc>
          <w:tcPr>
            <w:tcW w:w="4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Price</w:t>
            </w:r>
          </w:p>
        </w:tc>
        <w:tc>
          <w:tcPr>
            <w:tcW w:w="4000" w:type="dxa"/>
            <w:vAlign w:val="bottom"/>
            <w:tcBorders>
              <w:bottom w:val="single" w:sz="8" w:color="61656A"/>
            </w:tcBorders>
          </w:tcPr>
          <w:p>
            <w:pPr>
              <w:jc w:val="center"/>
              <w:ind w:left="1848"/>
              <w:spacing w:after="0"/>
              <w:rPr>
                <w:sz w:val="20"/>
                <w:szCs w:val="20"/>
                <w:color w:val="auto"/>
              </w:rPr>
            </w:pPr>
            <w:r>
              <w:rPr>
                <w:rFonts w:ascii="Arial" w:cs="Arial" w:eastAsia="Arial" w:hAnsi="Arial"/>
                <w:sz w:val="14"/>
                <w:szCs w:val="14"/>
                <w:color w:val="auto"/>
                <w:w w:val="98"/>
              </w:rPr>
              <w:t>3%</w:t>
            </w:r>
          </w:p>
        </w:tc>
        <w:tc>
          <w:tcPr>
            <w:tcW w:w="2400" w:type="dxa"/>
            <w:vAlign w:val="bottom"/>
            <w:tcBorders>
              <w:bottom w:val="single" w:sz="8" w:color="61656A"/>
            </w:tcBorders>
          </w:tcPr>
          <w:p>
            <w:pPr>
              <w:jc w:val="center"/>
              <w:ind w:left="48"/>
              <w:spacing w:after="0"/>
              <w:rPr>
                <w:sz w:val="20"/>
                <w:szCs w:val="20"/>
                <w:color w:val="auto"/>
              </w:rPr>
            </w:pPr>
            <w:r>
              <w:rPr>
                <w:rFonts w:ascii="Arial" w:cs="Arial" w:eastAsia="Arial" w:hAnsi="Arial"/>
                <w:sz w:val="14"/>
                <w:szCs w:val="14"/>
                <w:color w:val="auto"/>
                <w:w w:val="98"/>
              </w:rPr>
              <w:t>3%</w:t>
            </w:r>
          </w:p>
        </w:tc>
      </w:tr>
      <w:tr>
        <w:trPr>
          <w:trHeight w:val="196"/>
        </w:trPr>
        <w:tc>
          <w:tcPr>
            <w:tcW w:w="4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4000" w:type="dxa"/>
            <w:vAlign w:val="bottom"/>
            <w:tcBorders>
              <w:bottom w:val="single" w:sz="8" w:color="61656A"/>
            </w:tcBorders>
          </w:tcPr>
          <w:p>
            <w:pPr>
              <w:jc w:val="center"/>
              <w:ind w:left="1848"/>
              <w:spacing w:after="0"/>
              <w:rPr>
                <w:sz w:val="20"/>
                <w:szCs w:val="20"/>
                <w:color w:val="auto"/>
              </w:rPr>
            </w:pPr>
            <w:r>
              <w:rPr>
                <w:rFonts w:ascii="Arial" w:cs="Arial" w:eastAsia="Arial" w:hAnsi="Arial"/>
                <w:sz w:val="14"/>
                <w:szCs w:val="14"/>
                <w:color w:val="auto"/>
                <w:w w:val="98"/>
              </w:rPr>
              <w:t>1%</w:t>
            </w:r>
          </w:p>
        </w:tc>
        <w:tc>
          <w:tcPr>
            <w:tcW w:w="2400" w:type="dxa"/>
            <w:vAlign w:val="bottom"/>
            <w:tcBorders>
              <w:bottom w:val="single" w:sz="8" w:color="61656A"/>
            </w:tcBorders>
          </w:tcPr>
          <w:p>
            <w:pPr>
              <w:jc w:val="center"/>
              <w:ind w:left="48"/>
              <w:spacing w:after="0"/>
              <w:rPr>
                <w:sz w:val="20"/>
                <w:szCs w:val="20"/>
                <w:color w:val="auto"/>
              </w:rPr>
            </w:pPr>
            <w:r>
              <w:rPr>
                <w:rFonts w:ascii="Arial" w:cs="Arial" w:eastAsia="Arial" w:hAnsi="Arial"/>
                <w:sz w:val="14"/>
                <w:szCs w:val="14"/>
                <w:color w:val="auto"/>
              </w:rPr>
              <w:t>—%</w:t>
            </w:r>
          </w:p>
        </w:tc>
      </w:tr>
      <w:tr>
        <w:trPr>
          <w:trHeight w:val="196"/>
        </w:trPr>
        <w:tc>
          <w:tcPr>
            <w:tcW w:w="48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4000" w:type="dxa"/>
            <w:vAlign w:val="bottom"/>
            <w:tcBorders>
              <w:bottom w:val="single" w:sz="8" w:color="D7282F"/>
            </w:tcBorders>
          </w:tcPr>
          <w:p>
            <w:pPr>
              <w:jc w:val="center"/>
              <w:ind w:left="1848"/>
              <w:spacing w:after="0"/>
              <w:rPr>
                <w:sz w:val="20"/>
                <w:szCs w:val="20"/>
                <w:color w:val="auto"/>
              </w:rPr>
            </w:pPr>
            <w:r>
              <w:rPr>
                <w:rFonts w:ascii="Arial" w:cs="Arial" w:eastAsia="Arial" w:hAnsi="Arial"/>
                <w:sz w:val="14"/>
                <w:szCs w:val="14"/>
                <w:color w:val="auto"/>
              </w:rPr>
              <w:t>—%</w:t>
            </w:r>
          </w:p>
        </w:tc>
        <w:tc>
          <w:tcPr>
            <w:tcW w:w="2400" w:type="dxa"/>
            <w:vAlign w:val="bottom"/>
            <w:tcBorders>
              <w:bottom w:val="single" w:sz="8" w:color="D7282F"/>
            </w:tcBorders>
          </w:tcPr>
          <w:p>
            <w:pPr>
              <w:jc w:val="center"/>
              <w:ind w:left="48"/>
              <w:spacing w:after="0"/>
              <w:rPr>
                <w:sz w:val="20"/>
                <w:szCs w:val="20"/>
                <w:color w:val="auto"/>
              </w:rPr>
            </w:pPr>
            <w:r>
              <w:rPr>
                <w:rFonts w:ascii="Arial" w:cs="Arial" w:eastAsia="Arial" w:hAnsi="Arial"/>
                <w:sz w:val="14"/>
                <w:szCs w:val="14"/>
                <w:color w:val="auto"/>
                <w:w w:val="98"/>
              </w:rPr>
              <w:t>3%</w:t>
            </w:r>
          </w:p>
        </w:tc>
      </w:tr>
      <w:tr>
        <w:trPr>
          <w:trHeight w:val="199"/>
        </w:trPr>
        <w:tc>
          <w:tcPr>
            <w:tcW w:w="4840" w:type="dxa"/>
            <w:vAlign w:val="bottom"/>
            <w:tcBorders>
              <w:bottom w:val="single" w:sz="8" w:color="D7282F"/>
            </w:tcBorders>
          </w:tcPr>
          <w:p>
            <w:pPr>
              <w:ind w:left="60"/>
              <w:spacing w:after="0"/>
              <w:rPr>
                <w:sz w:val="20"/>
                <w:szCs w:val="20"/>
                <w:color w:val="auto"/>
              </w:rPr>
            </w:pPr>
            <w:r>
              <w:rPr>
                <w:rFonts w:ascii="Arial" w:cs="Arial" w:eastAsia="Arial" w:hAnsi="Arial"/>
                <w:sz w:val="14"/>
                <w:szCs w:val="14"/>
                <w:b w:val="1"/>
                <w:bCs w:val="1"/>
                <w:color w:val="auto"/>
              </w:rPr>
              <w:t>Total % change in Net sales</w:t>
            </w:r>
          </w:p>
        </w:tc>
        <w:tc>
          <w:tcPr>
            <w:tcW w:w="4000" w:type="dxa"/>
            <w:vAlign w:val="bottom"/>
            <w:tcBorders>
              <w:bottom w:val="single" w:sz="8" w:color="D7282F"/>
            </w:tcBorders>
          </w:tcPr>
          <w:p>
            <w:pPr>
              <w:jc w:val="center"/>
              <w:ind w:left="1848"/>
              <w:spacing w:after="0"/>
              <w:rPr>
                <w:sz w:val="20"/>
                <w:szCs w:val="20"/>
                <w:color w:val="auto"/>
              </w:rPr>
            </w:pPr>
            <w:r>
              <w:rPr>
                <w:rFonts w:ascii="Arial" w:cs="Arial" w:eastAsia="Arial" w:hAnsi="Arial"/>
                <w:sz w:val="14"/>
                <w:szCs w:val="14"/>
                <w:b w:val="1"/>
                <w:bCs w:val="1"/>
                <w:color w:val="auto"/>
                <w:w w:val="98"/>
              </w:rPr>
              <w:t>7%</w:t>
            </w:r>
          </w:p>
        </w:tc>
        <w:tc>
          <w:tcPr>
            <w:tcW w:w="2400" w:type="dxa"/>
            <w:vAlign w:val="bottom"/>
            <w:tcBorders>
              <w:bottom w:val="single" w:sz="8" w:color="D7282F"/>
            </w:tcBorders>
          </w:tcPr>
          <w:p>
            <w:pPr>
              <w:jc w:val="center"/>
              <w:ind w:left="48"/>
              <w:spacing w:after="0"/>
              <w:rPr>
                <w:sz w:val="20"/>
                <w:szCs w:val="20"/>
                <w:color w:val="auto"/>
              </w:rPr>
            </w:pPr>
            <w:r>
              <w:rPr>
                <w:rFonts w:ascii="Arial" w:cs="Arial" w:eastAsia="Arial" w:hAnsi="Arial"/>
                <w:sz w:val="14"/>
                <w:szCs w:val="14"/>
                <w:b w:val="1"/>
                <w:bCs w:val="1"/>
                <w:color w:val="auto"/>
                <w:w w:val="98"/>
              </w:rPr>
              <w:t>8%</w:t>
            </w:r>
          </w:p>
        </w:tc>
      </w:tr>
    </w:tbl>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 discussion of Net sales by reportable business segment can be found in the </w:t>
      </w:r>
      <w:r>
        <w:rPr>
          <w:rFonts w:ascii="Arial" w:cs="Arial" w:eastAsia="Arial" w:hAnsi="Arial"/>
          <w:sz w:val="16"/>
          <w:szCs w:val="16"/>
          <w:u w:val="single" w:color="auto"/>
          <w:color w:val="0000FF"/>
        </w:rPr>
        <w:t>Review of Business Segments</w:t>
      </w:r>
      <w:r>
        <w:rPr>
          <w:rFonts w:ascii="Arial" w:cs="Arial" w:eastAsia="Arial" w:hAnsi="Arial"/>
          <w:sz w:val="16"/>
          <w:szCs w:val="16"/>
          <w:color w:val="auto"/>
        </w:rPr>
        <w:t xml:space="preserve"> section of this Management's Discussion and Analysis.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2025 compared with Q3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 sales increased due to the following:</w:t>
      </w:r>
    </w:p>
    <w:p>
      <w:pPr>
        <w:spacing w:after="0" w:line="111" w:lineRule="exact"/>
        <w:rPr>
          <w:sz w:val="20"/>
          <w:szCs w:val="20"/>
          <w:color w:val="auto"/>
        </w:rPr>
      </w:pPr>
    </w:p>
    <w:p>
      <w:pPr>
        <w:ind w:left="200" w:hanging="192"/>
        <w:spacing w:after="0"/>
        <w:tabs>
          <w:tab w:leader="none" w:pos="200" w:val="left"/>
        </w:tabs>
        <w:numPr>
          <w:ilvl w:val="0"/>
          <w:numId w:val="41"/>
        </w:numPr>
        <w:rPr>
          <w:rFonts w:ascii="Arial" w:cs="Arial" w:eastAsia="Arial" w:hAnsi="Arial"/>
          <w:sz w:val="16"/>
          <w:szCs w:val="16"/>
          <w:color w:val="D7282F"/>
        </w:rPr>
      </w:pPr>
      <w:r>
        <w:rPr>
          <w:rFonts w:ascii="Arial" w:cs="Arial" w:eastAsia="Arial" w:hAnsi="Arial"/>
          <w:sz w:val="16"/>
          <w:szCs w:val="16"/>
          <w:color w:val="auto"/>
        </w:rPr>
        <w:t>Increased pricing and price adjustments to offset inflation,</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41"/>
        </w:numPr>
        <w:rPr>
          <w:rFonts w:ascii="Arial" w:cs="Arial" w:eastAsia="Arial" w:hAnsi="Arial"/>
          <w:sz w:val="16"/>
          <w:szCs w:val="16"/>
          <w:color w:val="D7282F"/>
        </w:rPr>
      </w:pPr>
      <w:r>
        <w:rPr>
          <w:rFonts w:ascii="Arial" w:cs="Arial" w:eastAsia="Arial" w:hAnsi="Arial"/>
          <w:sz w:val="16"/>
          <w:szCs w:val="16"/>
          <w:color w:val="auto"/>
        </w:rPr>
        <w:t>Higher sales volumes, and</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41"/>
        </w:numPr>
        <w:rPr>
          <w:rFonts w:ascii="Arial" w:cs="Arial" w:eastAsia="Arial" w:hAnsi="Arial"/>
          <w:sz w:val="16"/>
          <w:szCs w:val="16"/>
          <w:color w:val="D7282F"/>
        </w:rPr>
      </w:pPr>
      <w:r>
        <w:rPr>
          <w:rFonts w:ascii="Arial" w:cs="Arial" w:eastAsia="Arial" w:hAnsi="Arial"/>
          <w:sz w:val="16"/>
          <w:szCs w:val="16"/>
          <w:color w:val="auto"/>
        </w:rPr>
        <w:t>Favorable impact of foreign currency translation, driven by the weakening of the U.S. dollar against the euro.</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2025 compared with YTD 2024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Net sales increased due to the following:</w:t>
      </w:r>
    </w:p>
    <w:p>
      <w:pPr>
        <w:spacing w:after="0" w:line="97" w:lineRule="exact"/>
        <w:rPr>
          <w:sz w:val="20"/>
          <w:szCs w:val="20"/>
          <w:color w:val="auto"/>
        </w:rPr>
      </w:pPr>
    </w:p>
    <w:p>
      <w:pPr>
        <w:ind w:left="200" w:hanging="192"/>
        <w:spacing w:after="0"/>
        <w:tabs>
          <w:tab w:leader="none" w:pos="200" w:val="left"/>
        </w:tabs>
        <w:numPr>
          <w:ilvl w:val="0"/>
          <w:numId w:val="42"/>
        </w:numPr>
        <w:rPr>
          <w:rFonts w:ascii="Arial" w:cs="Arial" w:eastAsia="Arial" w:hAnsi="Arial"/>
          <w:sz w:val="16"/>
          <w:szCs w:val="16"/>
          <w:color w:val="D7282F"/>
        </w:rPr>
      </w:pPr>
      <w:r>
        <w:rPr>
          <w:rFonts w:ascii="Arial" w:cs="Arial" w:eastAsia="Arial" w:hAnsi="Arial"/>
          <w:sz w:val="16"/>
          <w:szCs w:val="16"/>
          <w:color w:val="auto"/>
        </w:rPr>
        <w:t>Incremental sales from recent acquisitions,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42"/>
        </w:numPr>
        <w:rPr>
          <w:rFonts w:ascii="Arial" w:cs="Arial" w:eastAsia="Arial" w:hAnsi="Arial"/>
          <w:sz w:val="16"/>
          <w:szCs w:val="16"/>
          <w:color w:val="D7282F"/>
        </w:rPr>
      </w:pPr>
      <w:r>
        <w:rPr>
          <w:rFonts w:ascii="Arial" w:cs="Arial" w:eastAsia="Arial" w:hAnsi="Arial"/>
          <w:sz w:val="16"/>
          <w:szCs w:val="16"/>
          <w:color w:val="auto"/>
        </w:rPr>
        <w:t>Increased pricing and price adjustments to offset inflation,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42"/>
        </w:numPr>
        <w:rPr>
          <w:rFonts w:ascii="Arial" w:cs="Arial" w:eastAsia="Arial" w:hAnsi="Arial"/>
          <w:sz w:val="16"/>
          <w:szCs w:val="16"/>
          <w:color w:val="D7282F"/>
        </w:rPr>
      </w:pPr>
      <w:r>
        <w:rPr>
          <w:rFonts w:ascii="Arial" w:cs="Arial" w:eastAsia="Arial" w:hAnsi="Arial"/>
          <w:sz w:val="16"/>
          <w:szCs w:val="16"/>
          <w:color w:val="auto"/>
        </w:rPr>
        <w:t>Higher sales volumes.</w:t>
      </w:r>
    </w:p>
    <w:p>
      <w:pPr>
        <w:spacing w:after="0" w:line="200" w:lineRule="exact"/>
        <w:rPr>
          <w:sz w:val="20"/>
          <w:szCs w:val="20"/>
          <w:color w:val="auto"/>
        </w:rPr>
      </w:pPr>
    </w:p>
    <w:p>
      <w:pPr>
        <w:spacing w:after="0" w:line="212" w:lineRule="exact"/>
        <w:rPr>
          <w:sz w:val="20"/>
          <w:szCs w:val="20"/>
          <w:color w:val="auto"/>
        </w:rPr>
      </w:pPr>
    </w:p>
    <w:p>
      <w:pPr>
        <w:ind w:left="400" w:hanging="392"/>
        <w:spacing w:after="0"/>
        <w:tabs>
          <w:tab w:leader="none" w:pos="400" w:val="left"/>
        </w:tabs>
        <w:numPr>
          <w:ilvl w:val="0"/>
          <w:numId w:val="4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Products and Services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80645</wp:posOffset>
            </wp:positionV>
            <wp:extent cx="5572125" cy="21431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721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2025 compared with Q3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products and services sold increased due to the following:</w:t>
      </w:r>
    </w:p>
    <w:p>
      <w:pPr>
        <w:spacing w:after="0" w:line="111" w:lineRule="exact"/>
        <w:rPr>
          <w:sz w:val="20"/>
          <w:szCs w:val="20"/>
          <w:color w:val="auto"/>
        </w:rPr>
      </w:pPr>
    </w:p>
    <w:p>
      <w:pPr>
        <w:ind w:left="200" w:hanging="192"/>
        <w:spacing w:after="0"/>
        <w:tabs>
          <w:tab w:leader="none" w:pos="200" w:val="left"/>
        </w:tabs>
        <w:numPr>
          <w:ilvl w:val="0"/>
          <w:numId w:val="44"/>
        </w:numPr>
        <w:rPr>
          <w:rFonts w:ascii="Arial" w:cs="Arial" w:eastAsia="Arial" w:hAnsi="Arial"/>
          <w:sz w:val="16"/>
          <w:szCs w:val="16"/>
          <w:color w:val="D7282F"/>
        </w:rPr>
      </w:pPr>
      <w:r>
        <w:rPr>
          <w:rFonts w:ascii="Arial" w:cs="Arial" w:eastAsia="Arial" w:hAnsi="Arial"/>
          <w:sz w:val="16"/>
          <w:szCs w:val="16"/>
          <w:color w:val="auto"/>
        </w:rPr>
        <w:t>Incremental costs from recent acquisitions of approximately $0.2 billion or 3%,</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44"/>
        </w:numPr>
        <w:rPr>
          <w:rFonts w:ascii="Arial" w:cs="Arial" w:eastAsia="Arial" w:hAnsi="Arial"/>
          <w:sz w:val="16"/>
          <w:szCs w:val="16"/>
          <w:color w:val="D7282F"/>
        </w:rPr>
      </w:pPr>
      <w:r>
        <w:rPr>
          <w:rFonts w:ascii="Arial" w:cs="Arial" w:eastAsia="Arial" w:hAnsi="Arial"/>
          <w:sz w:val="16"/>
          <w:szCs w:val="16"/>
          <w:color w:val="auto"/>
        </w:rPr>
        <w:t>Adjustment to estimated future environmental liabilities of approximately $0.2 billion or 3%,</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44"/>
        </w:numPr>
        <w:rPr>
          <w:rFonts w:ascii="Arial" w:cs="Arial" w:eastAsia="Arial" w:hAnsi="Arial"/>
          <w:sz w:val="16"/>
          <w:szCs w:val="16"/>
          <w:color w:val="D7282F"/>
        </w:rPr>
      </w:pPr>
      <w:r>
        <w:rPr>
          <w:rFonts w:ascii="Arial" w:cs="Arial" w:eastAsia="Arial" w:hAnsi="Arial"/>
          <w:sz w:val="16"/>
          <w:szCs w:val="16"/>
          <w:color w:val="auto"/>
        </w:rPr>
        <w:t>Higher direct and indirect material costs and higher labor costs of approximately $0.2 billion or 3%,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44"/>
        </w:numPr>
        <w:rPr>
          <w:rFonts w:ascii="Arial" w:cs="Arial" w:eastAsia="Arial" w:hAnsi="Arial"/>
          <w:sz w:val="16"/>
          <w:szCs w:val="16"/>
          <w:color w:val="D7282F"/>
        </w:rPr>
      </w:pPr>
      <w:r>
        <w:rPr>
          <w:rFonts w:ascii="Arial" w:cs="Arial" w:eastAsia="Arial" w:hAnsi="Arial"/>
          <w:sz w:val="16"/>
          <w:szCs w:val="16"/>
          <w:color w:val="auto"/>
        </w:rPr>
        <w:t>Higher sales volumes of approximately $0.2 billion or 3%.</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2025 compared with YTD 2024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products and services sold increased due to the following:</w:t>
      </w:r>
    </w:p>
    <w:p>
      <w:pPr>
        <w:spacing w:after="0" w:line="97" w:lineRule="exact"/>
        <w:rPr>
          <w:sz w:val="20"/>
          <w:szCs w:val="20"/>
          <w:color w:val="auto"/>
        </w:rPr>
      </w:pPr>
    </w:p>
    <w:p>
      <w:pPr>
        <w:ind w:left="200" w:hanging="192"/>
        <w:spacing w:after="0"/>
        <w:tabs>
          <w:tab w:leader="none" w:pos="200" w:val="left"/>
        </w:tabs>
        <w:numPr>
          <w:ilvl w:val="0"/>
          <w:numId w:val="45"/>
        </w:numPr>
        <w:rPr>
          <w:rFonts w:ascii="Arial" w:cs="Arial" w:eastAsia="Arial" w:hAnsi="Arial"/>
          <w:sz w:val="16"/>
          <w:szCs w:val="16"/>
          <w:color w:val="D7282F"/>
        </w:rPr>
      </w:pPr>
      <w:r>
        <w:rPr>
          <w:rFonts w:ascii="Arial" w:cs="Arial" w:eastAsia="Arial" w:hAnsi="Arial"/>
          <w:sz w:val="16"/>
          <w:szCs w:val="16"/>
          <w:color w:val="auto"/>
        </w:rPr>
        <w:t>Incremental costs from recent acquisitions of approximately $0.8 billion or 5%,</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45"/>
        </w:numPr>
        <w:rPr>
          <w:rFonts w:ascii="Arial" w:cs="Arial" w:eastAsia="Arial" w:hAnsi="Arial"/>
          <w:sz w:val="16"/>
          <w:szCs w:val="16"/>
          <w:color w:val="D7282F"/>
        </w:rPr>
      </w:pPr>
      <w:r>
        <w:rPr>
          <w:rFonts w:ascii="Arial" w:cs="Arial" w:eastAsia="Arial" w:hAnsi="Arial"/>
          <w:sz w:val="16"/>
          <w:szCs w:val="16"/>
          <w:color w:val="auto"/>
        </w:rPr>
        <w:t>Higher direct and indirect material costs and higher labor costs of approximately $0.5 billion or 3%,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45"/>
        </w:numPr>
        <w:rPr>
          <w:rFonts w:ascii="Arial" w:cs="Arial" w:eastAsia="Arial" w:hAnsi="Arial"/>
          <w:sz w:val="16"/>
          <w:szCs w:val="16"/>
          <w:color w:val="D7282F"/>
        </w:rPr>
      </w:pPr>
      <w:r>
        <w:rPr>
          <w:rFonts w:ascii="Arial" w:cs="Arial" w:eastAsia="Arial" w:hAnsi="Arial"/>
          <w:sz w:val="16"/>
          <w:szCs w:val="16"/>
          <w:color w:val="auto"/>
        </w:rPr>
        <w:t>Higher sales volumes of approximately $0.4 billion or 2%.</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80645</wp:posOffset>
            </wp:positionV>
            <wp:extent cx="5957570" cy="23145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5757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2025 compared with Q3 2024</w:t>
      </w:r>
    </w:p>
    <w:p>
      <w:pPr>
        <w:spacing w:after="0" w:line="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Gross margin decreased by approximately $0.2 billion and gross margin percentage decreased 440 basis points to 34.1% compared to 38.5% for the same period of 2024.</w:t>
      </w:r>
    </w:p>
    <w:p>
      <w:pPr>
        <w:sectPr>
          <w:pgSz w:w="11900" w:h="16838" w:orient="portrait"/>
          <w:cols w:equalWidth="0" w:num="1">
            <w:col w:w="11220"/>
          </w:cols>
          <w:pgMar w:left="320" w:top="122" w:right="359" w:bottom="1440" w:gutter="0" w:footer="0" w:header="0"/>
        </w:sectPr>
      </w:pPr>
    </w:p>
    <w:p>
      <w:pPr>
        <w:spacing w:after="0" w:line="389" w:lineRule="exact"/>
        <w:rPr>
          <w:sz w:val="20"/>
          <w:szCs w:val="20"/>
          <w:color w:val="auto"/>
        </w:rPr>
      </w:pPr>
    </w:p>
    <w:p>
      <w:pPr>
        <w:ind w:left="400" w:hanging="392"/>
        <w:spacing w:after="0"/>
        <w:tabs>
          <w:tab w:leader="none" w:pos="400" w:val="left"/>
        </w:tabs>
        <w:numPr>
          <w:ilvl w:val="0"/>
          <w:numId w:val="4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2025 compared with YTD 2024</w:t>
      </w:r>
    </w:p>
    <w:p>
      <w:pPr>
        <w:spacing w:after="0" w:line="2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Gross margin increased by approximately $0.4 billion and gross margin percentage decreased 160 basis points to 37.1% compared to 38.7% for the same period of 2024.</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89535</wp:posOffset>
            </wp:positionV>
            <wp:extent cx="5957570" cy="23145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5757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2025 compared with Q3 2024</w:t>
      </w:r>
    </w:p>
    <w:p>
      <w:pPr>
        <w:spacing w:after="0" w:line="3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Research and development expenses increased as a percentage of net sales due to increased investment in new product development in our Aerospace Technologies business.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2025 compared with YTD 2024</w:t>
      </w:r>
    </w:p>
    <w:p>
      <w:pPr>
        <w:spacing w:after="0" w:line="3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Research and development expenses increased as a percentage of net sales due to increased investment in new product development in our Aerospace Technologies business.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A summary of our research and development costs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10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760" w:type="dxa"/>
            <w:vAlign w:val="bottom"/>
            <w:tcBorders>
              <w:top w:val="single" w:sz="8" w:color="D7282F"/>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Company funded research and development expenses</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497</w:t>
            </w:r>
          </w:p>
        </w:tc>
        <w:tc>
          <w:tcPr>
            <w:tcW w:w="3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368</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1,417</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1,110</w:t>
            </w:r>
          </w:p>
        </w:tc>
      </w:tr>
      <w:tr>
        <w:trPr>
          <w:trHeight w:val="200"/>
        </w:trPr>
        <w:tc>
          <w:tcPr>
            <w:tcW w:w="7100" w:type="dxa"/>
            <w:vAlign w:val="bottom"/>
            <w:tcBorders>
              <w:bottom w:val="single" w:sz="8" w:color="D7282F"/>
            </w:tcBorders>
          </w:tcPr>
          <w:p>
            <w:pPr>
              <w:ind w:left="20"/>
              <w:spacing w:after="0" w:line="200" w:lineRule="exact"/>
              <w:rPr>
                <w:sz w:val="20"/>
                <w:szCs w:val="20"/>
                <w:color w:val="auto"/>
              </w:rPr>
            </w:pPr>
            <w:r>
              <w:rPr>
                <w:rFonts w:ascii="Arial" w:cs="Arial" w:eastAsia="Arial" w:hAnsi="Arial"/>
                <w:sz w:val="14"/>
                <w:szCs w:val="14"/>
                <w:color w:val="auto"/>
              </w:rPr>
              <w:t>Customer-sponsored research and development</w:t>
            </w:r>
            <w:r>
              <w:rPr>
                <w:rFonts w:ascii="Arial" w:cs="Arial" w:eastAsia="Arial" w:hAnsi="Arial"/>
                <w:sz w:val="18"/>
                <w:szCs w:val="18"/>
                <w:color w:val="auto"/>
                <w:vertAlign w:val="superscript"/>
              </w:rPr>
              <w:t>1</w:t>
            </w:r>
          </w:p>
        </w:tc>
        <w:tc>
          <w:tcPr>
            <w:tcW w:w="18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270</w:t>
            </w:r>
          </w:p>
        </w:tc>
        <w:tc>
          <w:tcPr>
            <w:tcW w:w="3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267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797</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817</w:t>
            </w:r>
          </w:p>
        </w:tc>
      </w:tr>
      <w:tr>
        <w:trPr>
          <w:trHeight w:val="195"/>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research and development costs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767</w:t>
            </w:r>
          </w:p>
        </w:tc>
        <w:tc>
          <w:tcPr>
            <w:tcW w:w="3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635</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2,214</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1,927</w:t>
            </w:r>
          </w:p>
        </w:tc>
      </w:tr>
    </w:tbl>
    <w:p>
      <w:pPr>
        <w:spacing w:after="0" w:line="131" w:lineRule="exact"/>
        <w:rPr>
          <w:sz w:val="20"/>
          <w:szCs w:val="20"/>
          <w:color w:val="auto"/>
        </w:rPr>
      </w:pPr>
    </w:p>
    <w:p>
      <w:pPr>
        <w:ind w:left="360" w:right="60" w:hanging="334"/>
        <w:spacing w:after="0" w:line="264" w:lineRule="auto"/>
        <w:tabs>
          <w:tab w:leader="none" w:pos="3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Includes deferred customer funded nonrecurring engineering and development activities and expenditures on customer programs with a significant engineering performance obligation, included in Cost of products and services sold in the Consolidated Statement of Operations.</w:t>
      </w:r>
    </w:p>
    <w:p>
      <w:pPr>
        <w:spacing w:after="0" w:line="200" w:lineRule="exact"/>
        <w:rPr>
          <w:sz w:val="20"/>
          <w:szCs w:val="20"/>
          <w:color w:val="auto"/>
        </w:rPr>
      </w:pPr>
    </w:p>
    <w:p>
      <w:pPr>
        <w:spacing w:after="0" w:line="327" w:lineRule="exact"/>
        <w:rPr>
          <w:sz w:val="20"/>
          <w:szCs w:val="20"/>
          <w:color w:val="auto"/>
        </w:rPr>
      </w:pPr>
    </w:p>
    <w:p>
      <w:pPr>
        <w:ind w:left="400" w:hanging="392"/>
        <w:spacing w:after="0"/>
        <w:tabs>
          <w:tab w:leader="none" w:pos="400" w:val="left"/>
        </w:tabs>
        <w:numPr>
          <w:ilvl w:val="0"/>
          <w:numId w:val="4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80645</wp:posOffset>
            </wp:positionV>
            <wp:extent cx="5957570" cy="23145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5757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2025 compared with Q3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decreased due to higher productivity.</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2025 compared to YTD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were flat compared to the same period in 2024.</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Assets Held for Sale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1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100" w:type="dxa"/>
            <w:vAlign w:val="bottom"/>
          </w:tcPr>
          <w:p>
            <w:pPr>
              <w:spacing w:after="0"/>
              <w:rPr>
                <w:sz w:val="16"/>
                <w:szCs w:val="16"/>
                <w:color w:val="auto"/>
              </w:rPr>
            </w:pPr>
          </w:p>
        </w:tc>
        <w:tc>
          <w:tcPr>
            <w:tcW w:w="2180" w:type="dxa"/>
            <w:vAlign w:val="bottom"/>
            <w:gridSpan w:val="5"/>
          </w:tcPr>
          <w:p>
            <w:pPr>
              <w:ind w:left="4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100" w:type="dxa"/>
            <w:vAlign w:val="bottom"/>
            <w:tcBorders>
              <w:bottom w:val="single" w:sz="8" w:color="D7282F"/>
            </w:tcBorders>
          </w:tcPr>
          <w:p>
            <w:pPr>
              <w:spacing w:after="0"/>
              <w:rPr>
                <w:sz w:val="16"/>
                <w:szCs w:val="16"/>
                <w:color w:val="auto"/>
              </w:rPr>
            </w:pPr>
          </w:p>
        </w:tc>
        <w:tc>
          <w:tcPr>
            <w:tcW w:w="620" w:type="dxa"/>
            <w:vAlign w:val="bottom"/>
            <w:tcBorders>
              <w:top w:val="single" w:sz="8" w:color="D7282F"/>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top w:val="single" w:sz="8" w:color="D7282F"/>
              <w:bottom w:val="single" w:sz="8" w:color="D7282F"/>
            </w:tcBorders>
          </w:tcPr>
          <w:p>
            <w:pPr>
              <w:spacing w:after="0"/>
              <w:rPr>
                <w:sz w:val="16"/>
                <w:szCs w:val="16"/>
                <w:color w:val="auto"/>
              </w:rPr>
            </w:pPr>
          </w:p>
        </w:tc>
        <w:tc>
          <w:tcPr>
            <w:tcW w:w="34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3"/>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Impairment of assets held for sale</w:t>
            </w:r>
          </w:p>
        </w:tc>
        <w:tc>
          <w:tcPr>
            <w:tcW w:w="62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125</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15</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125</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2025 compared with Q3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 impairment charge was recorded on assets held for sale related to the PPE business during the three months ended September 30, 2024.</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2025 compared to YTD 2024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An impairment charge was recorded on assets held for sale related to the PPE business during the nine months ended September 30, 2025 and 2024.</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Expense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10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800" w:type="dxa"/>
            <w:vAlign w:val="bottom"/>
            <w:tcBorders>
              <w:top w:val="single" w:sz="8" w:color="D7282F"/>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3"/>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(income) expense</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7282F"/>
            </w:tcBorders>
          </w:tcPr>
          <w:p>
            <w:pPr>
              <w:ind w:left="320"/>
              <w:spacing w:after="0"/>
              <w:rPr>
                <w:sz w:val="20"/>
                <w:szCs w:val="20"/>
                <w:color w:val="auto"/>
              </w:rPr>
            </w:pPr>
            <w:r>
              <w:rPr>
                <w:rFonts w:ascii="Arial" w:cs="Arial" w:eastAsia="Arial" w:hAnsi="Arial"/>
                <w:sz w:val="14"/>
                <w:szCs w:val="14"/>
                <w:color w:val="auto"/>
              </w:rPr>
              <w:t>(822)</w:t>
            </w:r>
          </w:p>
        </w:tc>
        <w:tc>
          <w:tcPr>
            <w:tcW w:w="3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(263)</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(1,109)</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(740)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2025 compared with Q3 2024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Other income increased due to the following:</w:t>
      </w:r>
    </w:p>
    <w:p>
      <w:pPr>
        <w:spacing w:after="0" w:line="97" w:lineRule="exact"/>
        <w:rPr>
          <w:sz w:val="20"/>
          <w:szCs w:val="20"/>
          <w:color w:val="auto"/>
        </w:rPr>
      </w:pPr>
    </w:p>
    <w:p>
      <w:pPr>
        <w:ind w:left="200" w:hanging="192"/>
        <w:spacing w:after="0"/>
        <w:tabs>
          <w:tab w:leader="none" w:pos="200" w:val="left"/>
        </w:tabs>
        <w:numPr>
          <w:ilvl w:val="0"/>
          <w:numId w:val="49"/>
        </w:numPr>
        <w:rPr>
          <w:rFonts w:ascii="Arial" w:cs="Arial" w:eastAsia="Arial" w:hAnsi="Arial"/>
          <w:sz w:val="16"/>
          <w:szCs w:val="16"/>
          <w:b w:val="1"/>
          <w:bCs w:val="1"/>
          <w:color w:val="D7282F"/>
        </w:rPr>
      </w:pPr>
      <w:r>
        <w:rPr>
          <w:rFonts w:ascii="Arial" w:cs="Arial" w:eastAsia="Arial" w:hAnsi="Arial"/>
          <w:sz w:val="16"/>
          <w:szCs w:val="16"/>
          <w:color w:val="auto"/>
        </w:rPr>
        <w:t>Gain recognized on Resideo termination agreement of approximately $0.8 billion,</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49"/>
        </w:numPr>
        <w:rPr>
          <w:rFonts w:ascii="Arial" w:cs="Arial" w:eastAsia="Arial" w:hAnsi="Arial"/>
          <w:sz w:val="16"/>
          <w:szCs w:val="16"/>
          <w:b w:val="1"/>
          <w:bCs w:val="1"/>
          <w:color w:val="D7282F"/>
        </w:rPr>
      </w:pPr>
      <w:r>
        <w:rPr>
          <w:rFonts w:ascii="Arial" w:cs="Arial" w:eastAsia="Arial" w:hAnsi="Arial"/>
          <w:sz w:val="16"/>
          <w:szCs w:val="16"/>
          <w:color w:val="auto"/>
        </w:rPr>
        <w:t>Partially offset by higher divestiture-related costs of approximately $0.2 billion.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2025 compared to YTD 2024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Other income increased due to the following:</w:t>
      </w:r>
    </w:p>
    <w:p>
      <w:pPr>
        <w:spacing w:after="0" w:line="97" w:lineRule="exact"/>
        <w:rPr>
          <w:sz w:val="20"/>
          <w:szCs w:val="20"/>
          <w:color w:val="auto"/>
        </w:rPr>
      </w:pPr>
    </w:p>
    <w:p>
      <w:pPr>
        <w:ind w:left="200" w:hanging="192"/>
        <w:spacing w:after="0"/>
        <w:tabs>
          <w:tab w:leader="none" w:pos="200" w:val="left"/>
        </w:tabs>
        <w:numPr>
          <w:ilvl w:val="0"/>
          <w:numId w:val="50"/>
        </w:numPr>
        <w:rPr>
          <w:rFonts w:ascii="Arial" w:cs="Arial" w:eastAsia="Arial" w:hAnsi="Arial"/>
          <w:sz w:val="16"/>
          <w:szCs w:val="16"/>
          <w:b w:val="1"/>
          <w:bCs w:val="1"/>
          <w:color w:val="D7282F"/>
        </w:rPr>
      </w:pPr>
      <w:r>
        <w:rPr>
          <w:rFonts w:ascii="Arial" w:cs="Arial" w:eastAsia="Arial" w:hAnsi="Arial"/>
          <w:sz w:val="16"/>
          <w:szCs w:val="16"/>
          <w:color w:val="auto"/>
        </w:rPr>
        <w:t>Gain recognized on Resideo termination agreement of approximately $0.8 billion,</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50"/>
        </w:numPr>
        <w:rPr>
          <w:rFonts w:ascii="Arial" w:cs="Arial" w:eastAsia="Arial" w:hAnsi="Arial"/>
          <w:sz w:val="16"/>
          <w:szCs w:val="16"/>
          <w:b w:val="1"/>
          <w:bCs w:val="1"/>
          <w:color w:val="D7282F"/>
        </w:rPr>
      </w:pPr>
      <w:r>
        <w:rPr>
          <w:rFonts w:ascii="Arial" w:cs="Arial" w:eastAsia="Arial" w:hAnsi="Arial"/>
          <w:sz w:val="16"/>
          <w:szCs w:val="16"/>
          <w:color w:val="auto"/>
        </w:rPr>
        <w:t>Partially offset by higher divestiture-related costs of approximately $0.4 billion.</w:t>
      </w:r>
    </w:p>
    <w:p>
      <w:pPr>
        <w:spacing w:after="0" w:line="200" w:lineRule="exact"/>
        <w:rPr>
          <w:sz w:val="20"/>
          <w:szCs w:val="20"/>
          <w:color w:val="auto"/>
        </w:rPr>
      </w:pPr>
    </w:p>
    <w:p>
      <w:pPr>
        <w:spacing w:after="0" w:line="212" w:lineRule="exact"/>
        <w:rPr>
          <w:sz w:val="20"/>
          <w:szCs w:val="20"/>
          <w:color w:val="auto"/>
        </w:rPr>
      </w:pPr>
    </w:p>
    <w:p>
      <w:pPr>
        <w:ind w:left="400" w:hanging="392"/>
        <w:spacing w:after="0"/>
        <w:tabs>
          <w:tab w:leader="none" w:pos="400" w:val="left"/>
        </w:tabs>
        <w:numPr>
          <w:ilvl w:val="0"/>
          <w:numId w:val="51"/>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and Other Financial Charges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78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710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760" w:type="dxa"/>
            <w:vAlign w:val="bottom"/>
            <w:tcBorders>
              <w:top w:val="single" w:sz="8" w:color="D7282F"/>
              <w:bottom w:val="single" w:sz="8" w:color="D7282F"/>
            </w:tcBorders>
          </w:tcPr>
          <w:p>
            <w:pPr>
              <w:ind w:left="80"/>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16"/>
                <w:szCs w:val="16"/>
                <w:color w:val="auto"/>
              </w:rPr>
            </w:pPr>
          </w:p>
        </w:tc>
        <w:tc>
          <w:tcPr>
            <w:tcW w:w="180" w:type="dxa"/>
            <w:vAlign w:val="bottom"/>
            <w:tcBorders>
              <w:top w:val="single" w:sz="8" w:color="D7282F"/>
              <w:bottom w:val="single" w:sz="8" w:color="D7282F"/>
            </w:tcBorders>
          </w:tcPr>
          <w:p>
            <w:pPr>
              <w:spacing w:after="0"/>
              <w:rPr>
                <w:sz w:val="16"/>
                <w:szCs w:val="16"/>
                <w:color w:val="auto"/>
              </w:rPr>
            </w:pPr>
          </w:p>
        </w:tc>
        <w:tc>
          <w:tcPr>
            <w:tcW w:w="780" w:type="dxa"/>
            <w:vAlign w:val="bottom"/>
            <w:tcBorders>
              <w:top w:val="single" w:sz="8" w:color="D7282F"/>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top w:val="single" w:sz="8" w:color="D7282F"/>
              <w:bottom w:val="single" w:sz="8" w:color="D7282F"/>
            </w:tcBorders>
          </w:tcPr>
          <w:p>
            <w:pPr>
              <w:spacing w:after="0"/>
              <w:rPr>
                <w:sz w:val="16"/>
                <w:szCs w:val="16"/>
                <w:color w:val="auto"/>
              </w:rPr>
            </w:pPr>
          </w:p>
        </w:tc>
        <w:tc>
          <w:tcPr>
            <w:tcW w:w="680" w:type="dxa"/>
            <w:vAlign w:val="bottom"/>
            <w:tcBorders>
              <w:top w:val="single" w:sz="8" w:color="D7282F"/>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3"/>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Interest and other financial charges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354</w:t>
            </w:r>
          </w:p>
        </w:tc>
        <w:tc>
          <w:tcPr>
            <w:tcW w:w="3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297</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970</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767</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2025 compared with Q3 2024</w:t>
      </w:r>
    </w:p>
    <w:p>
      <w:pPr>
        <w:spacing w:after="0" w:line="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Interest and other financial charges increased due to increased debt funding to support acquisitions and higher interest rates on long-term debt issuances in August 2024.</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2025 compared to YTD 2024</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Interest and other financial charges increased due to increased debt funding to support acquisitions and higher interest rates on long-term debt issuances in August 2024.</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89535</wp:posOffset>
            </wp:positionV>
            <wp:extent cx="5949315" cy="23145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4931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2025 compared with Q3 2024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decreased 610 basis-points due to the following:</w:t>
      </w:r>
    </w:p>
    <w:p>
      <w:pPr>
        <w:spacing w:after="0" w:line="97" w:lineRule="exact"/>
        <w:rPr>
          <w:sz w:val="20"/>
          <w:szCs w:val="20"/>
          <w:color w:val="auto"/>
        </w:rPr>
      </w:pPr>
    </w:p>
    <w:p>
      <w:pPr>
        <w:ind w:left="200" w:hanging="147"/>
        <w:spacing w:after="0"/>
        <w:tabs>
          <w:tab w:leader="none" w:pos="200" w:val="left"/>
        </w:tabs>
        <w:numPr>
          <w:ilvl w:val="0"/>
          <w:numId w:val="52"/>
        </w:numPr>
        <w:rPr>
          <w:rFonts w:ascii="Arial" w:cs="Arial" w:eastAsia="Arial" w:hAnsi="Arial"/>
          <w:sz w:val="16"/>
          <w:szCs w:val="16"/>
          <w:color w:val="D7282F"/>
        </w:rPr>
      </w:pPr>
      <w:r>
        <w:rPr>
          <w:rFonts w:ascii="Arial" w:cs="Arial" w:eastAsia="Arial" w:hAnsi="Arial"/>
          <w:sz w:val="16"/>
          <w:szCs w:val="16"/>
          <w:color w:val="auto"/>
        </w:rPr>
        <w:t>Nontaxable return of basis on the Resideo termination agreement of 860 basis-points and</w:t>
      </w:r>
    </w:p>
    <w:p>
      <w:pPr>
        <w:spacing w:after="0" w:line="86" w:lineRule="exact"/>
        <w:rPr>
          <w:rFonts w:ascii="Arial" w:cs="Arial" w:eastAsia="Arial" w:hAnsi="Arial"/>
          <w:sz w:val="16"/>
          <w:szCs w:val="16"/>
          <w:color w:val="D7282F"/>
        </w:rPr>
      </w:pPr>
    </w:p>
    <w:p>
      <w:pPr>
        <w:ind w:left="200" w:hanging="147"/>
        <w:spacing w:after="0"/>
        <w:tabs>
          <w:tab w:leader="none" w:pos="200" w:val="left"/>
        </w:tabs>
        <w:numPr>
          <w:ilvl w:val="0"/>
          <w:numId w:val="52"/>
        </w:numPr>
        <w:rPr>
          <w:rFonts w:ascii="Arial" w:cs="Arial" w:eastAsia="Arial" w:hAnsi="Arial"/>
          <w:sz w:val="16"/>
          <w:szCs w:val="16"/>
          <w:color w:val="D7282F"/>
        </w:rPr>
      </w:pPr>
      <w:r>
        <w:rPr>
          <w:rFonts w:ascii="Arial" w:cs="Arial" w:eastAsia="Arial" w:hAnsi="Arial"/>
          <w:sz w:val="16"/>
          <w:szCs w:val="16"/>
          <w:color w:val="auto"/>
        </w:rPr>
        <w:t>Changes in estimate on prior tax positions of 760 basis-points,</w:t>
      </w:r>
    </w:p>
    <w:p>
      <w:pPr>
        <w:spacing w:after="0" w:line="86" w:lineRule="exact"/>
        <w:rPr>
          <w:rFonts w:ascii="Arial" w:cs="Arial" w:eastAsia="Arial" w:hAnsi="Arial"/>
          <w:sz w:val="16"/>
          <w:szCs w:val="16"/>
          <w:color w:val="D7282F"/>
        </w:rPr>
      </w:pPr>
    </w:p>
    <w:p>
      <w:pPr>
        <w:ind w:left="200" w:hanging="147"/>
        <w:spacing w:after="0"/>
        <w:tabs>
          <w:tab w:leader="none" w:pos="200" w:val="left"/>
        </w:tabs>
        <w:numPr>
          <w:ilvl w:val="0"/>
          <w:numId w:val="52"/>
        </w:numPr>
        <w:rPr>
          <w:rFonts w:ascii="Arial" w:cs="Arial" w:eastAsia="Arial" w:hAnsi="Arial"/>
          <w:sz w:val="16"/>
          <w:szCs w:val="16"/>
          <w:color w:val="D7282F"/>
        </w:rPr>
      </w:pPr>
      <w:r>
        <w:rPr>
          <w:rFonts w:ascii="Arial" w:cs="Arial" w:eastAsia="Arial" w:hAnsi="Arial"/>
          <w:sz w:val="16"/>
          <w:szCs w:val="16"/>
          <w:color w:val="auto"/>
        </w:rPr>
        <w:t>Partially offset by frictional tax costs on separations of 640 basis-points and</w:t>
      </w:r>
    </w:p>
    <w:p>
      <w:pPr>
        <w:spacing w:after="0" w:line="72" w:lineRule="exact"/>
        <w:rPr>
          <w:rFonts w:ascii="Arial" w:cs="Arial" w:eastAsia="Arial" w:hAnsi="Arial"/>
          <w:sz w:val="16"/>
          <w:szCs w:val="16"/>
          <w:color w:val="D7282F"/>
        </w:rPr>
      </w:pPr>
    </w:p>
    <w:p>
      <w:pPr>
        <w:ind w:left="200" w:hanging="147"/>
        <w:spacing w:after="0"/>
        <w:tabs>
          <w:tab w:leader="none" w:pos="200" w:val="left"/>
        </w:tabs>
        <w:numPr>
          <w:ilvl w:val="0"/>
          <w:numId w:val="52"/>
        </w:numPr>
        <w:rPr>
          <w:rFonts w:ascii="Arial" w:cs="Arial" w:eastAsia="Arial" w:hAnsi="Arial"/>
          <w:sz w:val="16"/>
          <w:szCs w:val="16"/>
          <w:color w:val="D7282F"/>
        </w:rPr>
      </w:pPr>
      <w:r>
        <w:rPr>
          <w:rFonts w:ascii="Arial" w:cs="Arial" w:eastAsia="Arial" w:hAnsi="Arial"/>
          <w:sz w:val="16"/>
          <w:szCs w:val="16"/>
          <w:color w:val="auto"/>
        </w:rPr>
        <w:t>Incremental tax expense for tax reserve activities of 410 basis-points.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2025 compared with YTD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decreased 340 basis-points due to the following:</w:t>
      </w:r>
    </w:p>
    <w:p>
      <w:pPr>
        <w:spacing w:after="0" w:line="111" w:lineRule="exact"/>
        <w:rPr>
          <w:sz w:val="20"/>
          <w:szCs w:val="20"/>
          <w:color w:val="auto"/>
        </w:rPr>
      </w:pPr>
    </w:p>
    <w:p>
      <w:pPr>
        <w:ind w:left="200" w:hanging="192"/>
        <w:spacing w:after="0"/>
        <w:tabs>
          <w:tab w:leader="none" w:pos="200" w:val="left"/>
        </w:tabs>
        <w:numPr>
          <w:ilvl w:val="0"/>
          <w:numId w:val="53"/>
        </w:numPr>
        <w:rPr>
          <w:rFonts w:ascii="Arial" w:cs="Arial" w:eastAsia="Arial" w:hAnsi="Arial"/>
          <w:sz w:val="16"/>
          <w:szCs w:val="16"/>
          <w:color w:val="D7282F"/>
        </w:rPr>
      </w:pPr>
      <w:r>
        <w:rPr>
          <w:rFonts w:ascii="Arial" w:cs="Arial" w:eastAsia="Arial" w:hAnsi="Arial"/>
          <w:sz w:val="16"/>
          <w:szCs w:val="16"/>
          <w:color w:val="auto"/>
        </w:rPr>
        <w:t>Nontaxable return of basis on the Resideo termination agreement of 320 basis-points and</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53"/>
        </w:numPr>
        <w:rPr>
          <w:rFonts w:ascii="Arial" w:cs="Arial" w:eastAsia="Arial" w:hAnsi="Arial"/>
          <w:sz w:val="16"/>
          <w:szCs w:val="16"/>
          <w:color w:val="D7282F"/>
        </w:rPr>
      </w:pPr>
      <w:r>
        <w:rPr>
          <w:rFonts w:ascii="Arial" w:cs="Arial" w:eastAsia="Arial" w:hAnsi="Arial"/>
          <w:sz w:val="16"/>
          <w:szCs w:val="16"/>
          <w:color w:val="auto"/>
        </w:rPr>
        <w:t>Changes in estimate on prior tax positions of 280 basis-points,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53"/>
        </w:numPr>
        <w:rPr>
          <w:rFonts w:ascii="Arial" w:cs="Arial" w:eastAsia="Arial" w:hAnsi="Arial"/>
          <w:sz w:val="16"/>
          <w:szCs w:val="16"/>
          <w:color w:val="D7282F"/>
        </w:rPr>
      </w:pPr>
      <w:r>
        <w:rPr>
          <w:rFonts w:ascii="Arial" w:cs="Arial" w:eastAsia="Arial" w:hAnsi="Arial"/>
          <w:sz w:val="16"/>
          <w:szCs w:val="16"/>
          <w:color w:val="auto"/>
        </w:rPr>
        <w:t>Partially offset by frictional tax costs on separations of 270 basis-points.</w:t>
      </w:r>
    </w:p>
    <w:p>
      <w:pPr>
        <w:spacing w:after="0" w:line="200" w:lineRule="exact"/>
        <w:rPr>
          <w:sz w:val="20"/>
          <w:szCs w:val="20"/>
          <w:color w:val="auto"/>
        </w:rPr>
      </w:pPr>
    </w:p>
    <w:p>
      <w:pPr>
        <w:spacing w:after="0" w:line="225" w:lineRule="exact"/>
        <w:rPr>
          <w:sz w:val="20"/>
          <w:szCs w:val="20"/>
          <w:color w:val="auto"/>
        </w:rPr>
      </w:pPr>
    </w:p>
    <w:p>
      <w:pPr>
        <w:ind w:left="400" w:hanging="392"/>
        <w:spacing w:after="0"/>
        <w:tabs>
          <w:tab w:leader="none" w:pos="400" w:val="left"/>
        </w:tabs>
        <w:numPr>
          <w:ilvl w:val="0"/>
          <w:numId w:val="5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Attributable to Honeywell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80645</wp:posOffset>
            </wp:positionV>
            <wp:extent cx="5957570" cy="2314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5757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2025 compared to Q3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of common stock–assuming dilution increased due to the following:</w:t>
      </w:r>
    </w:p>
    <w:p>
      <w:pPr>
        <w:spacing w:after="0" w:line="111" w:lineRule="exact"/>
        <w:rPr>
          <w:sz w:val="20"/>
          <w:szCs w:val="20"/>
          <w:color w:val="auto"/>
        </w:rPr>
      </w:pPr>
    </w:p>
    <w:p>
      <w:pPr>
        <w:ind w:left="200" w:hanging="192"/>
        <w:spacing w:after="0"/>
        <w:tabs>
          <w:tab w:leader="none" w:pos="200" w:val="left"/>
        </w:tabs>
        <w:numPr>
          <w:ilvl w:val="0"/>
          <w:numId w:val="55"/>
        </w:numPr>
        <w:rPr>
          <w:rFonts w:ascii="Arial" w:cs="Arial" w:eastAsia="Arial" w:hAnsi="Arial"/>
          <w:sz w:val="16"/>
          <w:szCs w:val="16"/>
          <w:color w:val="D7282F"/>
        </w:rPr>
      </w:pPr>
      <w:r>
        <w:rPr>
          <w:rFonts w:ascii="Arial" w:cs="Arial" w:eastAsia="Arial" w:hAnsi="Arial"/>
          <w:sz w:val="16"/>
          <w:szCs w:val="16"/>
          <w:color w:val="auto"/>
        </w:rPr>
        <w:t>Gain recognized on Resideo termination agreement ($1.23 after tax)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55"/>
        </w:numPr>
        <w:rPr>
          <w:rFonts w:ascii="Arial" w:cs="Arial" w:eastAsia="Arial" w:hAnsi="Arial"/>
          <w:sz w:val="16"/>
          <w:szCs w:val="16"/>
          <w:color w:val="D7282F"/>
        </w:rPr>
      </w:pPr>
      <w:r>
        <w:rPr>
          <w:rFonts w:ascii="Arial" w:cs="Arial" w:eastAsia="Arial" w:hAnsi="Arial"/>
          <w:sz w:val="16"/>
          <w:szCs w:val="16"/>
          <w:color w:val="auto"/>
        </w:rPr>
        <w:t>Lower impairment charges on assets held for sale ($0.19 after tax),</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55"/>
        </w:numPr>
        <w:rPr>
          <w:rFonts w:ascii="Arial" w:cs="Arial" w:eastAsia="Arial" w:hAnsi="Arial"/>
          <w:sz w:val="16"/>
          <w:szCs w:val="16"/>
          <w:color w:val="D7282F"/>
        </w:rPr>
      </w:pPr>
      <w:r>
        <w:rPr>
          <w:rFonts w:ascii="Arial" w:cs="Arial" w:eastAsia="Arial" w:hAnsi="Arial"/>
          <w:sz w:val="16"/>
          <w:szCs w:val="16"/>
          <w:color w:val="auto"/>
        </w:rPr>
        <w:t>Partially offset by higher divestiture-related costs ($0.53 after tax)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55"/>
        </w:numPr>
        <w:rPr>
          <w:rFonts w:ascii="Arial" w:cs="Arial" w:eastAsia="Arial" w:hAnsi="Arial"/>
          <w:sz w:val="16"/>
          <w:szCs w:val="16"/>
          <w:color w:val="D7282F"/>
        </w:rPr>
      </w:pPr>
      <w:r>
        <w:rPr>
          <w:rFonts w:ascii="Arial" w:cs="Arial" w:eastAsia="Arial" w:hAnsi="Arial"/>
          <w:sz w:val="16"/>
          <w:szCs w:val="16"/>
          <w:color w:val="auto"/>
        </w:rPr>
        <w:t>Adjustment to estimated future environmental liabilities ($0.25 after tax).</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2025 compared with YTD 2024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of common stock–assuming dilution increased due to the following:</w:t>
      </w:r>
    </w:p>
    <w:p>
      <w:pPr>
        <w:spacing w:after="0" w:line="97" w:lineRule="exact"/>
        <w:rPr>
          <w:sz w:val="20"/>
          <w:szCs w:val="20"/>
          <w:color w:val="auto"/>
        </w:rPr>
      </w:pPr>
    </w:p>
    <w:p>
      <w:pPr>
        <w:ind w:left="200" w:hanging="192"/>
        <w:spacing w:after="0"/>
        <w:tabs>
          <w:tab w:leader="none" w:pos="200" w:val="left"/>
        </w:tabs>
        <w:numPr>
          <w:ilvl w:val="0"/>
          <w:numId w:val="56"/>
        </w:numPr>
        <w:rPr>
          <w:rFonts w:ascii="Arial" w:cs="Arial" w:eastAsia="Arial" w:hAnsi="Arial"/>
          <w:sz w:val="16"/>
          <w:szCs w:val="16"/>
          <w:color w:val="D7282F"/>
        </w:rPr>
      </w:pPr>
      <w:r>
        <w:rPr>
          <w:rFonts w:ascii="Arial" w:cs="Arial" w:eastAsia="Arial" w:hAnsi="Arial"/>
          <w:sz w:val="16"/>
          <w:szCs w:val="16"/>
          <w:color w:val="auto"/>
        </w:rPr>
        <w:t>Gain recognized on Resideo termination agreement ($1.22 after tax)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56"/>
        </w:numPr>
        <w:rPr>
          <w:rFonts w:ascii="Arial" w:cs="Arial" w:eastAsia="Arial" w:hAnsi="Arial"/>
          <w:sz w:val="16"/>
          <w:szCs w:val="16"/>
          <w:color w:val="D7282F"/>
        </w:rPr>
      </w:pPr>
      <w:r>
        <w:rPr>
          <w:rFonts w:ascii="Arial" w:cs="Arial" w:eastAsia="Arial" w:hAnsi="Arial"/>
          <w:sz w:val="16"/>
          <w:szCs w:val="16"/>
          <w:color w:val="auto"/>
        </w:rPr>
        <w:t>Higher segment profit ($0.53 after tax),</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56"/>
        </w:numPr>
        <w:rPr>
          <w:rFonts w:ascii="Arial" w:cs="Arial" w:eastAsia="Arial" w:hAnsi="Arial"/>
          <w:sz w:val="16"/>
          <w:szCs w:val="16"/>
          <w:color w:val="D7282F"/>
        </w:rPr>
      </w:pPr>
      <w:r>
        <w:rPr>
          <w:rFonts w:ascii="Arial" w:cs="Arial" w:eastAsia="Arial" w:hAnsi="Arial"/>
          <w:sz w:val="16"/>
          <w:szCs w:val="16"/>
          <w:color w:val="auto"/>
        </w:rPr>
        <w:t>Partially offset by higher divestiture-related costs ($0.70 after tax) and</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56"/>
        </w:numPr>
        <w:rPr>
          <w:rFonts w:ascii="Arial" w:cs="Arial" w:eastAsia="Arial" w:hAnsi="Arial"/>
          <w:sz w:val="16"/>
          <w:szCs w:val="16"/>
          <w:color w:val="D7282F"/>
        </w:rPr>
      </w:pPr>
      <w:r>
        <w:rPr>
          <w:rFonts w:ascii="Arial" w:cs="Arial" w:eastAsia="Arial" w:hAnsi="Arial"/>
          <w:sz w:val="16"/>
          <w:szCs w:val="16"/>
          <w:color w:val="auto"/>
        </w:rPr>
        <w:t>Adjustment to estimated future environmental liabilities ($0.25 after tax).</w:t>
      </w:r>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color w:val="D7282F"/>
        </w:rPr>
        <w:t>BACKLOG</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Our backlog of orders increased 14% to $39.1 billion, as of September 30, 2025, compared to September 30, 2024. Backlog represents the estimated remaining value of work to be performed or products to be shipped under firm contracts. Backlog is equal to our remaining performance obligations under the contracts that meet the guidance on revenue from contracts with customers as discussed in Note 4 </w:t>
      </w:r>
      <w:r>
        <w:rPr>
          <w:rFonts w:ascii="Arial" w:cs="Arial" w:eastAsia="Arial" w:hAnsi="Arial"/>
          <w:sz w:val="16"/>
          <w:szCs w:val="16"/>
          <w:u w:val="single" w:color="auto"/>
          <w:color w:val="0000FF"/>
        </w:rPr>
        <w:t>Revenue Recognition and Contracts with Customers</w:t>
      </w:r>
      <w:r>
        <w:rPr>
          <w:rFonts w:ascii="Arial" w:cs="Arial" w:eastAsia="Arial" w:hAnsi="Arial"/>
          <w:sz w:val="16"/>
          <w:szCs w:val="16"/>
          <w:color w:val="auto"/>
        </w:rPr>
        <w:t xml:space="preserve"> of Notes to Consolidated Financial Statements. Our backlog by reportable business segment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760" w:type="dxa"/>
            <w:vAlign w:val="bottom"/>
          </w:tcPr>
          <w:p>
            <w:pPr>
              <w:jc w:val="right"/>
              <w:ind w:right="228"/>
              <w:spacing w:after="0"/>
              <w:rPr>
                <w:sz w:val="20"/>
                <w:szCs w:val="20"/>
                <w:color w:val="auto"/>
              </w:rPr>
            </w:pPr>
            <w:r>
              <w:rPr>
                <w:rFonts w:ascii="Arial" w:cs="Arial" w:eastAsia="Arial" w:hAnsi="Arial"/>
                <w:sz w:val="14"/>
                <w:szCs w:val="14"/>
                <w:b w:val="1"/>
                <w:bCs w:val="1"/>
                <w:color w:val="auto"/>
              </w:rPr>
              <w:t>September 30, 2025</w:t>
            </w:r>
          </w:p>
        </w:tc>
      </w:tr>
      <w:tr>
        <w:trPr>
          <w:trHeight w:val="56"/>
        </w:trPr>
        <w:tc>
          <w:tcPr>
            <w:tcW w:w="5800" w:type="dxa"/>
            <w:vAlign w:val="bottom"/>
            <w:tcBorders>
              <w:bottom w:val="single" w:sz="8" w:color="D7282F"/>
            </w:tcBorders>
          </w:tcPr>
          <w:p>
            <w:pPr>
              <w:spacing w:after="0"/>
              <w:rPr>
                <w:sz w:val="4"/>
                <w:szCs w:val="4"/>
                <w:color w:val="auto"/>
              </w:rPr>
            </w:pPr>
          </w:p>
        </w:tc>
        <w:tc>
          <w:tcPr>
            <w:tcW w:w="3680" w:type="dxa"/>
            <w:vAlign w:val="bottom"/>
            <w:tcBorders>
              <w:bottom w:val="single" w:sz="8" w:color="D7282F"/>
            </w:tcBorders>
          </w:tcPr>
          <w:p>
            <w:pPr>
              <w:spacing w:after="0"/>
              <w:rPr>
                <w:sz w:val="4"/>
                <w:szCs w:val="4"/>
                <w:color w:val="auto"/>
              </w:rPr>
            </w:pPr>
          </w:p>
        </w:tc>
        <w:tc>
          <w:tcPr>
            <w:tcW w:w="1760" w:type="dxa"/>
            <w:vAlign w:val="bottom"/>
            <w:tcBorders>
              <w:bottom w:val="single" w:sz="8" w:color="D7282F"/>
            </w:tcBorders>
          </w:tcPr>
          <w:p>
            <w:pPr>
              <w:spacing w:after="0"/>
              <w:rPr>
                <w:sz w:val="4"/>
                <w:szCs w:val="4"/>
                <w:color w:val="auto"/>
              </w:rPr>
            </w:pPr>
          </w:p>
        </w:tc>
      </w:tr>
      <w:tr>
        <w:trPr>
          <w:trHeight w:val="192"/>
        </w:trPr>
        <w:tc>
          <w:tcPr>
            <w:tcW w:w="58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Aerospace Technologies</w:t>
            </w:r>
          </w:p>
        </w:tc>
        <w:tc>
          <w:tcPr>
            <w:tcW w:w="368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17,503</w:t>
            </w:r>
          </w:p>
        </w:tc>
      </w:tr>
      <w:tr>
        <w:trPr>
          <w:trHeight w:val="196"/>
        </w:trPr>
        <w:tc>
          <w:tcPr>
            <w:tcW w:w="58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Industrial Automation</w:t>
            </w:r>
          </w:p>
        </w:tc>
        <w:tc>
          <w:tcPr>
            <w:tcW w:w="3680" w:type="dxa"/>
            <w:vAlign w:val="bottom"/>
            <w:tcBorders>
              <w:bottom w:val="single" w:sz="8" w:color="61656A"/>
            </w:tcBorders>
          </w:tcPr>
          <w:p>
            <w:pPr>
              <w:spacing w:after="0"/>
              <w:rPr>
                <w:sz w:val="17"/>
                <w:szCs w:val="17"/>
                <w:color w:val="auto"/>
              </w:rPr>
            </w:pPr>
          </w:p>
        </w:tc>
        <w:tc>
          <w:tcPr>
            <w:tcW w:w="1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5,435</w:t>
            </w:r>
          </w:p>
        </w:tc>
      </w:tr>
      <w:tr>
        <w:trPr>
          <w:trHeight w:val="196"/>
        </w:trPr>
        <w:tc>
          <w:tcPr>
            <w:tcW w:w="58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Building Automation</w:t>
            </w:r>
          </w:p>
        </w:tc>
        <w:tc>
          <w:tcPr>
            <w:tcW w:w="3680" w:type="dxa"/>
            <w:vAlign w:val="bottom"/>
            <w:tcBorders>
              <w:bottom w:val="single" w:sz="8" w:color="61656A"/>
            </w:tcBorders>
          </w:tcPr>
          <w:p>
            <w:pPr>
              <w:spacing w:after="0"/>
              <w:rPr>
                <w:sz w:val="17"/>
                <w:szCs w:val="17"/>
                <w:color w:val="auto"/>
              </w:rPr>
            </w:pPr>
          </w:p>
        </w:tc>
        <w:tc>
          <w:tcPr>
            <w:tcW w:w="1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9,050</w:t>
            </w:r>
          </w:p>
        </w:tc>
      </w:tr>
      <w:tr>
        <w:trPr>
          <w:trHeight w:val="196"/>
        </w:trPr>
        <w:tc>
          <w:tcPr>
            <w:tcW w:w="58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Energy and Sustainability Solutions</w:t>
            </w:r>
          </w:p>
        </w:tc>
        <w:tc>
          <w:tcPr>
            <w:tcW w:w="3680" w:type="dxa"/>
            <w:vAlign w:val="bottom"/>
            <w:tcBorders>
              <w:bottom w:val="single" w:sz="8" w:color="61656A"/>
            </w:tcBorders>
          </w:tcPr>
          <w:p>
            <w:pPr>
              <w:spacing w:after="0"/>
              <w:rPr>
                <w:sz w:val="17"/>
                <w:szCs w:val="17"/>
                <w:color w:val="auto"/>
              </w:rPr>
            </w:pPr>
          </w:p>
        </w:tc>
        <w:tc>
          <w:tcPr>
            <w:tcW w:w="17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7,078</w:t>
            </w:r>
          </w:p>
        </w:tc>
      </w:tr>
      <w:tr>
        <w:trPr>
          <w:trHeight w:val="200"/>
        </w:trPr>
        <w:tc>
          <w:tcPr>
            <w:tcW w:w="5800" w:type="dxa"/>
            <w:vAlign w:val="bottom"/>
            <w:tcBorders>
              <w:bottom w:val="single" w:sz="8" w:color="D7282F"/>
            </w:tcBorders>
          </w:tcPr>
          <w:p>
            <w:pPr>
              <w:ind w:left="20"/>
              <w:spacing w:after="0" w:line="200" w:lineRule="exact"/>
              <w:rPr>
                <w:sz w:val="20"/>
                <w:szCs w:val="20"/>
                <w:color w:val="auto"/>
              </w:rPr>
            </w:pPr>
            <w:r>
              <w:rPr>
                <w:rFonts w:ascii="Arial" w:cs="Arial" w:eastAsia="Arial" w:hAnsi="Arial"/>
                <w:sz w:val="14"/>
                <w:szCs w:val="14"/>
                <w:color w:val="auto"/>
              </w:rPr>
              <w:t>Corporate and All Other</w:t>
            </w:r>
            <w:r>
              <w:rPr>
                <w:rFonts w:ascii="Arial" w:cs="Arial" w:eastAsia="Arial" w:hAnsi="Arial"/>
                <w:sz w:val="18"/>
                <w:szCs w:val="18"/>
                <w:color w:val="auto"/>
                <w:vertAlign w:val="superscript"/>
              </w:rPr>
              <w:t>1</w:t>
            </w:r>
          </w:p>
        </w:tc>
        <w:tc>
          <w:tcPr>
            <w:tcW w:w="3680" w:type="dxa"/>
            <w:vAlign w:val="bottom"/>
            <w:tcBorders>
              <w:bottom w:val="single" w:sz="8" w:color="D7282F"/>
            </w:tcBorders>
          </w:tcPr>
          <w:p>
            <w:pPr>
              <w:spacing w:after="0"/>
              <w:rPr>
                <w:sz w:val="17"/>
                <w:szCs w:val="17"/>
                <w:color w:val="auto"/>
              </w:rPr>
            </w:pPr>
          </w:p>
        </w:tc>
        <w:tc>
          <w:tcPr>
            <w:tcW w:w="1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w:t>
            </w:r>
          </w:p>
        </w:tc>
      </w:tr>
      <w:tr>
        <w:trPr>
          <w:trHeight w:val="195"/>
        </w:trPr>
        <w:tc>
          <w:tcPr>
            <w:tcW w:w="58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backlog</w:t>
            </w:r>
          </w:p>
        </w:tc>
        <w:tc>
          <w:tcPr>
            <w:tcW w:w="368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39,087</w:t>
            </w:r>
          </w:p>
        </w:tc>
      </w:tr>
    </w:tbl>
    <w:p>
      <w:pPr>
        <w:spacing w:after="0" w:line="198" w:lineRule="exact"/>
        <w:rPr>
          <w:sz w:val="20"/>
          <w:szCs w:val="20"/>
          <w:color w:val="auto"/>
        </w:rPr>
      </w:pPr>
    </w:p>
    <w:p>
      <w:pPr>
        <w:ind w:left="480" w:hanging="344"/>
        <w:spacing w:after="0"/>
        <w:tabs>
          <w:tab w:leader="none" w:pos="4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backlog within Corporate and All Other relates to the Quantinuum business.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 w:hanging="392"/>
        <w:spacing w:after="0"/>
        <w:tabs>
          <w:tab w:leader="none" w:pos="400" w:val="left"/>
        </w:tabs>
        <w:numPr>
          <w:ilvl w:val="0"/>
          <w:numId w:val="5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REVIEW OF BUSINESS SEGMENTS</w:t>
      </w:r>
    </w:p>
    <w:p>
      <w:pPr>
        <w:spacing w:after="0" w:line="3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globally manage our business operations through four reportable business segments: Aerospace Technologies, Industrial Automation, Building Automation, and Energy and Sustainability Solutions.</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AEROSPACE TECHNOLOGIES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89535</wp:posOffset>
            </wp:positionV>
            <wp:extent cx="5915025" cy="23145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1502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6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tcPr>
          <w:p>
            <w:pPr>
              <w:spacing w:after="0"/>
              <w:rPr>
                <w:sz w:val="16"/>
                <w:szCs w:val="16"/>
                <w:color w:val="auto"/>
              </w:rPr>
            </w:pPr>
          </w:p>
        </w:tc>
        <w:tc>
          <w:tcPr>
            <w:tcW w:w="1440" w:type="dxa"/>
            <w:vAlign w:val="bottom"/>
            <w:tcBorders>
              <w:bottom w:val="single" w:sz="8" w:color="D7282F"/>
            </w:tcBorders>
            <w:gridSpan w:val="2"/>
          </w:tcPr>
          <w:p>
            <w:pPr>
              <w:jc w:val="right"/>
              <w:ind w:right="148"/>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1420" w:type="dxa"/>
            <w:vAlign w:val="bottom"/>
            <w:tcBorders>
              <w:bottom w:val="single" w:sz="8" w:color="D7282F"/>
            </w:tcBorders>
            <w:gridSpan w:val="2"/>
          </w:tcPr>
          <w:p>
            <w:pPr>
              <w:jc w:val="right"/>
              <w:ind w:right="148"/>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2025</w:t>
            </w:r>
          </w:p>
        </w:tc>
        <w:tc>
          <w:tcPr>
            <w:tcW w:w="440" w:type="dxa"/>
            <w:vAlign w:val="bottom"/>
          </w:tcPr>
          <w:p>
            <w:pPr>
              <w:spacing w:after="0"/>
              <w:rPr>
                <w:sz w:val="12"/>
                <w:szCs w:val="12"/>
                <w:color w:val="auto"/>
              </w:rPr>
            </w:pPr>
          </w:p>
        </w:tc>
        <w:tc>
          <w:tcPr>
            <w:tcW w:w="100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2024</w:t>
            </w:r>
          </w:p>
        </w:tc>
        <w:tc>
          <w:tcPr>
            <w:tcW w:w="72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2025</w:t>
            </w:r>
          </w:p>
        </w:tc>
        <w:tc>
          <w:tcPr>
            <w:tcW w:w="440" w:type="dxa"/>
            <w:vAlign w:val="bottom"/>
          </w:tcPr>
          <w:p>
            <w:pPr>
              <w:spacing w:after="0"/>
              <w:rPr>
                <w:sz w:val="12"/>
                <w:szCs w:val="12"/>
                <w:color w:val="auto"/>
              </w:rPr>
            </w:pPr>
          </w:p>
        </w:tc>
        <w:tc>
          <w:tcPr>
            <w:tcW w:w="98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2024</w:t>
            </w:r>
          </w:p>
        </w:tc>
        <w:tc>
          <w:tcPr>
            <w:tcW w:w="74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526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vMerge w:val="continue"/>
          </w:tcPr>
          <w:p>
            <w:pPr>
              <w:spacing w:after="0"/>
              <w:rPr>
                <w:sz w:val="16"/>
                <w:szCs w:val="16"/>
                <w:color w:val="auto"/>
              </w:rPr>
            </w:pPr>
          </w:p>
        </w:tc>
        <w:tc>
          <w:tcPr>
            <w:tcW w:w="440" w:type="dxa"/>
            <w:vAlign w:val="bottom"/>
            <w:tcBorders>
              <w:bottom w:val="single" w:sz="8" w:color="D7282F"/>
            </w:tcBorders>
          </w:tcPr>
          <w:p>
            <w:pPr>
              <w:spacing w:after="0"/>
              <w:rPr>
                <w:sz w:val="16"/>
                <w:szCs w:val="16"/>
                <w:color w:val="auto"/>
              </w:rPr>
            </w:pPr>
          </w:p>
        </w:tc>
        <w:tc>
          <w:tcPr>
            <w:tcW w:w="1000" w:type="dxa"/>
            <w:vAlign w:val="bottom"/>
            <w:tcBorders>
              <w:bottom w:val="single" w:sz="8" w:color="D7282F"/>
            </w:tcBorders>
            <w:vMerge w:val="continue"/>
          </w:tcPr>
          <w:p>
            <w:pPr>
              <w:spacing w:after="0"/>
              <w:rPr>
                <w:sz w:val="16"/>
                <w:szCs w:val="16"/>
                <w:color w:val="auto"/>
              </w:rPr>
            </w:pPr>
          </w:p>
        </w:tc>
        <w:tc>
          <w:tcPr>
            <w:tcW w:w="960" w:type="dxa"/>
            <w:vAlign w:val="bottom"/>
            <w:tcBorders>
              <w:bottom w:val="single" w:sz="8" w:color="D7282F"/>
            </w:tcBorders>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vMerge w:val="continue"/>
          </w:tcPr>
          <w:p>
            <w:pPr>
              <w:spacing w:after="0"/>
              <w:rPr>
                <w:sz w:val="16"/>
                <w:szCs w:val="16"/>
                <w:color w:val="auto"/>
              </w:rPr>
            </w:pPr>
          </w:p>
        </w:tc>
        <w:tc>
          <w:tcPr>
            <w:tcW w:w="44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vMerge w:val="continue"/>
          </w:tcPr>
          <w:p>
            <w:pPr>
              <w:spacing w:after="0"/>
              <w:rPr>
                <w:sz w:val="16"/>
                <w:szCs w:val="16"/>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4,511</w:t>
            </w:r>
          </w:p>
        </w:tc>
        <w:tc>
          <w:tcPr>
            <w:tcW w:w="4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61656A"/>
            </w:tcBorders>
          </w:tcPr>
          <w:p>
            <w:pPr>
              <w:jc w:val="right"/>
              <w:ind w:right="388"/>
              <w:spacing w:after="0"/>
              <w:rPr>
                <w:sz w:val="20"/>
                <w:szCs w:val="20"/>
                <w:color w:val="auto"/>
              </w:rPr>
            </w:pPr>
            <w:r>
              <w:rPr>
                <w:rFonts w:ascii="Arial" w:cs="Arial" w:eastAsia="Arial" w:hAnsi="Arial"/>
                <w:sz w:val="14"/>
                <w:szCs w:val="14"/>
                <w:color w:val="auto"/>
              </w:rPr>
              <w:t>3,912</w:t>
            </w:r>
          </w:p>
        </w:tc>
        <w:tc>
          <w:tcPr>
            <w:tcW w:w="7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15 %</w:t>
            </w:r>
          </w:p>
        </w:tc>
        <w:tc>
          <w:tcPr>
            <w:tcW w:w="24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12,990</w:t>
            </w:r>
          </w:p>
        </w:tc>
        <w:tc>
          <w:tcPr>
            <w:tcW w:w="44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11,472</w:t>
            </w: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spacing w:after="0"/>
              <w:rPr>
                <w:sz w:val="17"/>
                <w:szCs w:val="17"/>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2,844</w:t>
            </w:r>
          </w:p>
        </w:tc>
        <w:tc>
          <w:tcPr>
            <w:tcW w:w="44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jc w:val="right"/>
              <w:ind w:right="388"/>
              <w:spacing w:after="0"/>
              <w:rPr>
                <w:sz w:val="20"/>
                <w:szCs w:val="20"/>
                <w:color w:val="auto"/>
              </w:rPr>
            </w:pPr>
            <w:r>
              <w:rPr>
                <w:rFonts w:ascii="Arial" w:cs="Arial" w:eastAsia="Arial" w:hAnsi="Arial"/>
                <w:sz w:val="14"/>
                <w:szCs w:val="14"/>
                <w:color w:val="auto"/>
              </w:rPr>
              <w:t>2,446</w:t>
            </w:r>
          </w:p>
        </w:tc>
        <w:tc>
          <w:tcPr>
            <w:tcW w:w="7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8,154</w:t>
            </w:r>
          </w:p>
        </w:tc>
        <w:tc>
          <w:tcPr>
            <w:tcW w:w="44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7,081</w:t>
            </w:r>
          </w:p>
        </w:tc>
        <w:tc>
          <w:tcPr>
            <w:tcW w:w="7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6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489</w:t>
            </w:r>
          </w:p>
        </w:tc>
        <w:tc>
          <w:tcPr>
            <w:tcW w:w="44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384</w:t>
            </w:r>
          </w:p>
        </w:tc>
        <w:tc>
          <w:tcPr>
            <w:tcW w:w="72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1,461</w:t>
            </w:r>
          </w:p>
        </w:tc>
        <w:tc>
          <w:tcPr>
            <w:tcW w:w="44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1,214</w:t>
            </w:r>
          </w:p>
        </w:tc>
        <w:tc>
          <w:tcPr>
            <w:tcW w:w="7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1,178</w:t>
            </w:r>
          </w:p>
        </w:tc>
        <w:tc>
          <w:tcPr>
            <w:tcW w:w="4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1,082</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9 %</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3,375</w:t>
            </w:r>
          </w:p>
        </w:tc>
        <w:tc>
          <w:tcPr>
            <w:tcW w:w="4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3,177</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6 %</w:t>
            </w:r>
          </w:p>
        </w:tc>
        <w:tc>
          <w:tcPr>
            <w:tcW w:w="0" w:type="dxa"/>
            <w:vAlign w:val="bottom"/>
          </w:tcPr>
          <w:p>
            <w:pPr>
              <w:spacing w:after="0"/>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1160" w:type="dxa"/>
            <w:vAlign w:val="bottom"/>
            <w:tcBorders>
              <w:bottom w:val="single" w:sz="8" w:color="D7282F"/>
            </w:tcBorders>
          </w:tcPr>
          <w:p>
            <w:pPr>
              <w:spacing w:after="0"/>
              <w:rPr>
                <w:sz w:val="17"/>
                <w:szCs w:val="17"/>
                <w:color w:val="auto"/>
              </w:rPr>
            </w:pPr>
          </w:p>
        </w:tc>
        <w:tc>
          <w:tcPr>
            <w:tcW w:w="2380" w:type="dxa"/>
            <w:vAlign w:val="bottom"/>
            <w:tcBorders>
              <w:bottom w:val="single" w:sz="8" w:color="D7282F"/>
            </w:tcBorders>
            <w:gridSpan w:val="3"/>
          </w:tcPr>
          <w:p>
            <w:pPr>
              <w:jc w:val="right"/>
              <w:ind w:right="728"/>
              <w:spacing w:after="0"/>
              <w:rPr>
                <w:sz w:val="20"/>
                <w:szCs w:val="20"/>
                <w:color w:val="auto"/>
              </w:rPr>
            </w:pPr>
            <w:r>
              <w:rPr>
                <w:rFonts w:ascii="Arial" w:cs="Arial" w:eastAsia="Arial" w:hAnsi="Arial"/>
                <w:sz w:val="14"/>
                <w:szCs w:val="14"/>
                <w:b w:val="1"/>
                <w:bCs w:val="1"/>
                <w:color w:val="auto"/>
              </w:rPr>
              <w:t>2025 vs. 2024</w:t>
            </w:r>
          </w:p>
        </w:tc>
        <w:tc>
          <w:tcPr>
            <w:tcW w:w="10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680" w:type="dxa"/>
            <w:vAlign w:val="bottom"/>
          </w:tcPr>
          <w:p>
            <w:pPr>
              <w:spacing w:after="0"/>
              <w:rPr>
                <w:sz w:val="12"/>
                <w:szCs w:val="12"/>
                <w:color w:val="auto"/>
              </w:rPr>
            </w:pPr>
          </w:p>
        </w:tc>
        <w:tc>
          <w:tcPr>
            <w:tcW w:w="2380" w:type="dxa"/>
            <w:vAlign w:val="bottom"/>
            <w:gridSpan w:val="3"/>
          </w:tcPr>
          <w:p>
            <w:pPr>
              <w:ind w:left="360"/>
              <w:spacing w:after="0" w:line="147" w:lineRule="exact"/>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2"/>
          </w:tcPr>
          <w:p>
            <w:pPr>
              <w:jc w:val="right"/>
              <w:ind w:right="348"/>
              <w:spacing w:after="0" w:line="147"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6680" w:type="dxa"/>
            <w:vAlign w:val="bottom"/>
          </w:tcPr>
          <w:p>
            <w:pPr>
              <w:spacing w:after="0"/>
              <w:rPr>
                <w:sz w:val="16"/>
                <w:szCs w:val="16"/>
                <w:color w:val="auto"/>
              </w:rPr>
            </w:pPr>
          </w:p>
        </w:tc>
        <w:tc>
          <w:tcPr>
            <w:tcW w:w="2160" w:type="dxa"/>
            <w:vAlign w:val="bottom"/>
            <w:tcBorders>
              <w:bottom w:val="single" w:sz="8" w:color="D7282F"/>
            </w:tcBorders>
            <w:gridSpan w:val="2"/>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2180" w:type="dxa"/>
            <w:vAlign w:val="bottom"/>
            <w:tcBorders>
              <w:bottom w:val="single" w:sz="8" w:color="D7282F"/>
            </w:tcBorders>
            <w:gridSpan w:val="2"/>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6"/>
        </w:trPr>
        <w:tc>
          <w:tcPr>
            <w:tcW w:w="6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60" w:type="dxa"/>
            <w:vAlign w:val="bottom"/>
          </w:tcPr>
          <w:p>
            <w:pPr>
              <w:jc w:val="right"/>
              <w:ind w:right="488"/>
              <w:spacing w:after="0" w:line="147" w:lineRule="exact"/>
              <w:rPr>
                <w:sz w:val="20"/>
                <w:szCs w:val="20"/>
                <w:color w:val="auto"/>
              </w:rPr>
            </w:pPr>
            <w:r>
              <w:rPr>
                <w:rFonts w:ascii="Arial" w:cs="Arial" w:eastAsia="Arial" w:hAnsi="Arial"/>
                <w:sz w:val="14"/>
                <w:szCs w:val="14"/>
                <w:b w:val="1"/>
                <w:bCs w:val="1"/>
                <w:color w:val="auto"/>
              </w:rPr>
              <w:t>Net</w:t>
            </w:r>
          </w:p>
        </w:tc>
        <w:tc>
          <w:tcPr>
            <w:tcW w:w="122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Segment</w:t>
            </w:r>
          </w:p>
        </w:tc>
        <w:tc>
          <w:tcPr>
            <w:tcW w:w="1160" w:type="dxa"/>
            <w:vAlign w:val="bottom"/>
          </w:tcPr>
          <w:p>
            <w:pPr>
              <w:jc w:val="right"/>
              <w:ind w:right="488"/>
              <w:spacing w:after="0" w:line="147" w:lineRule="exact"/>
              <w:rPr>
                <w:sz w:val="20"/>
                <w:szCs w:val="20"/>
                <w:color w:val="auto"/>
              </w:rPr>
            </w:pPr>
            <w:r>
              <w:rPr>
                <w:rFonts w:ascii="Arial" w:cs="Arial" w:eastAsia="Arial" w:hAnsi="Arial"/>
                <w:sz w:val="14"/>
                <w:szCs w:val="14"/>
                <w:b w:val="1"/>
                <w:bCs w:val="1"/>
                <w:color w:val="auto"/>
              </w:rPr>
              <w:t>Net</w:t>
            </w:r>
          </w:p>
        </w:tc>
        <w:tc>
          <w:tcPr>
            <w:tcW w:w="1020" w:type="dxa"/>
            <w:vAlign w:val="bottom"/>
          </w:tcPr>
          <w:p>
            <w:pPr>
              <w:jc w:val="right"/>
              <w:ind w:right="108"/>
              <w:spacing w:after="0" w:line="147"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6680" w:type="dxa"/>
            <w:vAlign w:val="bottom"/>
            <w:tcBorders>
              <w:bottom w:val="single" w:sz="8" w:color="D7282F"/>
            </w:tcBorders>
            <w:vMerge w:val="continue"/>
          </w:tcPr>
          <w:p>
            <w:pPr>
              <w:spacing w:after="0"/>
              <w:rPr>
                <w:sz w:val="16"/>
                <w:szCs w:val="16"/>
                <w:color w:val="auto"/>
              </w:rPr>
            </w:pPr>
          </w:p>
        </w:tc>
        <w:tc>
          <w:tcPr>
            <w:tcW w:w="116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Sales</w:t>
            </w:r>
          </w:p>
        </w:tc>
        <w:tc>
          <w:tcPr>
            <w:tcW w:w="1220" w:type="dxa"/>
            <w:vAlign w:val="bottom"/>
            <w:tcBorders>
              <w:bottom w:val="single" w:sz="8" w:color="D7282F"/>
            </w:tcBorders>
            <w:gridSpan w:val="2"/>
          </w:tcPr>
          <w:p>
            <w:pPr>
              <w:jc w:val="center"/>
              <w:ind w:right="200"/>
              <w:spacing w:after="0"/>
              <w:rPr>
                <w:sz w:val="20"/>
                <w:szCs w:val="20"/>
                <w:color w:val="auto"/>
              </w:rPr>
            </w:pPr>
            <w:r>
              <w:rPr>
                <w:rFonts w:ascii="Arial" w:cs="Arial" w:eastAsia="Arial" w:hAnsi="Arial"/>
                <w:sz w:val="14"/>
                <w:szCs w:val="14"/>
                <w:b w:val="1"/>
                <w:bCs w:val="1"/>
                <w:color w:val="auto"/>
              </w:rPr>
              <w:t>Profit</w:t>
            </w:r>
          </w:p>
        </w:tc>
        <w:tc>
          <w:tcPr>
            <w:tcW w:w="116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Sales</w:t>
            </w:r>
          </w:p>
        </w:tc>
        <w:tc>
          <w:tcPr>
            <w:tcW w:w="102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6"/>
        </w:trPr>
        <w:tc>
          <w:tcPr>
            <w:tcW w:w="668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Organic</w:t>
            </w:r>
            <w:r>
              <w:rPr>
                <w:rFonts w:ascii="Arial" w:cs="Arial" w:eastAsia="Arial" w:hAnsi="Arial"/>
                <w:sz w:val="18"/>
                <w:szCs w:val="18"/>
                <w:color w:val="auto"/>
                <w:vertAlign w:val="superscript"/>
              </w:rPr>
              <w:t>1</w:t>
            </w:r>
          </w:p>
        </w:tc>
        <w:tc>
          <w:tcPr>
            <w:tcW w:w="116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12 %</w:t>
            </w: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9 %</w:t>
            </w:r>
          </w:p>
        </w:tc>
        <w:tc>
          <w:tcPr>
            <w:tcW w:w="220" w:type="dxa"/>
            <w:vAlign w:val="bottom"/>
            <w:tcBorders>
              <w:bottom w:val="single" w:sz="8" w:color="61656A"/>
            </w:tcBorders>
          </w:tcPr>
          <w:p>
            <w:pPr>
              <w:spacing w:after="0"/>
              <w:rPr>
                <w:sz w:val="17"/>
                <w:szCs w:val="17"/>
                <w:color w:val="auto"/>
              </w:rPr>
            </w:pPr>
          </w:p>
        </w:tc>
        <w:tc>
          <w:tcPr>
            <w:tcW w:w="116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9 %</w:t>
            </w: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92"/>
        </w:trPr>
        <w:tc>
          <w:tcPr>
            <w:tcW w:w="66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16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 %</w:t>
            </w:r>
          </w:p>
        </w:tc>
        <w:tc>
          <w:tcPr>
            <w:tcW w:w="1220" w:type="dxa"/>
            <w:vAlign w:val="bottom"/>
            <w:tcBorders>
              <w:bottom w:val="single" w:sz="8" w:color="61656A"/>
            </w:tcBorders>
            <w:gridSpan w:val="2"/>
          </w:tcPr>
          <w:p>
            <w:pPr>
              <w:jc w:val="right"/>
              <w:ind w:right="240"/>
              <w:spacing w:after="0"/>
              <w:rPr>
                <w:sz w:val="20"/>
                <w:szCs w:val="20"/>
                <w:color w:val="auto"/>
              </w:rPr>
            </w:pPr>
            <w:r>
              <w:rPr>
                <w:rFonts w:ascii="Arial" w:cs="Arial" w:eastAsia="Arial" w:hAnsi="Arial"/>
                <w:sz w:val="14"/>
                <w:szCs w:val="14"/>
                <w:color w:val="auto"/>
              </w:rPr>
              <w:t>— %</w:t>
            </w:r>
          </w:p>
        </w:tc>
        <w:tc>
          <w:tcPr>
            <w:tcW w:w="116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 %</w:t>
            </w: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66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11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3 %</w:t>
            </w:r>
          </w:p>
        </w:tc>
        <w:tc>
          <w:tcPr>
            <w:tcW w:w="1220" w:type="dxa"/>
            <w:vAlign w:val="bottom"/>
            <w:tcBorders>
              <w:bottom w:val="single" w:sz="8" w:color="D7282F"/>
            </w:tcBorders>
            <w:gridSpan w:val="2"/>
          </w:tcPr>
          <w:p>
            <w:pPr>
              <w:jc w:val="right"/>
              <w:ind w:right="240"/>
              <w:spacing w:after="0"/>
              <w:rPr>
                <w:sz w:val="20"/>
                <w:szCs w:val="20"/>
                <w:color w:val="auto"/>
              </w:rPr>
            </w:pPr>
            <w:r>
              <w:rPr>
                <w:rFonts w:ascii="Arial" w:cs="Arial" w:eastAsia="Arial" w:hAnsi="Arial"/>
                <w:sz w:val="14"/>
                <w:szCs w:val="14"/>
                <w:color w:val="auto"/>
              </w:rPr>
              <w:t>— %</w:t>
            </w:r>
          </w:p>
        </w:tc>
        <w:tc>
          <w:tcPr>
            <w:tcW w:w="11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4 %</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9"/>
        </w:trPr>
        <w:tc>
          <w:tcPr>
            <w:tcW w:w="66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11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15 %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9 %</w:t>
            </w:r>
          </w:p>
        </w:tc>
        <w:tc>
          <w:tcPr>
            <w:tcW w:w="22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13 %</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80" w:right="40" w:hanging="344"/>
        <w:spacing w:after="0" w:line="189" w:lineRule="auto"/>
        <w:tabs>
          <w:tab w:leader="none" w:pos="480" w:val="left"/>
        </w:tabs>
        <w:numPr>
          <w:ilvl w:val="0"/>
          <w:numId w:val="59"/>
        </w:numPr>
        <w:rPr>
          <w:rFonts w:ascii="Arial" w:cs="Arial" w:eastAsia="Arial" w:hAnsi="Arial"/>
          <w:sz w:val="25"/>
          <w:szCs w:val="25"/>
          <w:color w:val="auto"/>
          <w:vertAlign w:val="superscript"/>
        </w:rPr>
      </w:pPr>
      <w:r>
        <w:rPr>
          <w:rFonts w:ascii="Arial" w:cs="Arial" w:eastAsia="Arial" w:hAnsi="Arial"/>
          <w:sz w:val="13"/>
          <w:szCs w:val="13"/>
          <w:color w:val="auto"/>
        </w:rPr>
        <w:t>Organic sales % change, presented for all of our reportable business segments, is defined as the change in Net sales, excluding the impact on sales from foreign currency translation and acquisitions, net of divestitures, for the first 12 months following the transaction date. We believe this non-GAAP measure is useful to investors and management in understanding the ongoing operations and analysis of ongoing operating trends.</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2025 compared to Q3 2024</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Sales increased $599 million due to higher organic sales of $327 million in Commercial Aviation Aftermarket and higher organic sales of $147 million in Defense and Space, both driven by higher sales volumes due to increased demand and shipments. Additionally, the acquisitions of CAES and Civitanavi Systems contributed $108 million of inorganic sales in the three months ended September 30, 2025. Beginning September 2025, the results of CAES and Civitanavi Systems are considered organic following the first 12 months after the transaction date.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00" w:hanging="392"/>
        <w:spacing w:after="0"/>
        <w:tabs>
          <w:tab w:leader="none" w:pos="400" w:val="left"/>
        </w:tabs>
        <w:numPr>
          <w:ilvl w:val="0"/>
          <w:numId w:val="6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
        <w:spacing w:after="0" w:line="336" w:lineRule="auto"/>
        <w:rPr>
          <w:sz w:val="20"/>
          <w:szCs w:val="20"/>
          <w:color w:val="auto"/>
        </w:rPr>
      </w:pPr>
      <w:r>
        <w:rPr>
          <w:rFonts w:ascii="Arial" w:cs="Arial" w:eastAsia="Arial" w:hAnsi="Arial"/>
          <w:sz w:val="16"/>
          <w:szCs w:val="16"/>
          <w:color w:val="auto"/>
        </w:rPr>
        <w:t xml:space="preserve">Segment profit increased $96 million and segment margin percentage decreased 160 basis points to 26.1% compared to 27.7% for the same period of 2024. </w:t>
      </w:r>
      <w:r>
        <w:rPr>
          <w:rFonts w:ascii="Arial" w:cs="Arial" w:eastAsia="Arial" w:hAnsi="Arial"/>
          <w:sz w:val="16"/>
          <w:szCs w:val="16"/>
          <w:b w:val="1"/>
          <w:bCs w:val="1"/>
          <w:color w:val="auto"/>
        </w:rPr>
        <w:t>YTD 2025 compared to YTD 2024</w:t>
      </w:r>
    </w:p>
    <w:p>
      <w:pPr>
        <w:jc w:val="both"/>
        <w:spacing w:after="0" w:line="264" w:lineRule="auto"/>
        <w:rPr>
          <w:sz w:val="20"/>
          <w:szCs w:val="20"/>
          <w:color w:val="auto"/>
        </w:rPr>
      </w:pPr>
      <w:r>
        <w:rPr>
          <w:rFonts w:ascii="Arial" w:cs="Arial" w:eastAsia="Arial" w:hAnsi="Arial"/>
          <w:sz w:val="16"/>
          <w:szCs w:val="16"/>
          <w:color w:val="auto"/>
        </w:rPr>
        <w:t>Sales increased $1,518 million due to higher organic sales of $688 million in Commercial Aviation Aftermarket and higher organic sales of $462 million in Defense and Space, both driven by higher sales volumes due to increased demand and shipments. Additionally, the acquisitions of CAES and Civitanavi Systems contributed $485 million of inorganic sales in the nine months ended September 30, 2025.</w:t>
      </w:r>
    </w:p>
    <w:p>
      <w:pPr>
        <w:spacing w:after="0" w:line="6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Segment profit increased $198 million and segment margin percentage decreased 170 basis points to 26.0% compared to 27.7% for the same period of 2024.</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On February 6, 2025, the Company announced its intention to separate its Automation and Aerospace Technologies businesses into independent, 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publicly traded companies, which is expected to be completed in the second half of 2026.</w:t>
      </w:r>
    </w:p>
    <w:p>
      <w:pPr>
        <w:spacing w:after="0" w:line="268" w:lineRule="exact"/>
        <w:rPr>
          <w:sz w:val="20"/>
          <w:szCs w:val="20"/>
          <w:color w:val="auto"/>
        </w:rPr>
      </w:pPr>
    </w:p>
    <w:p>
      <w:pPr>
        <w:spacing w:after="0"/>
        <w:rPr>
          <w:sz w:val="20"/>
          <w:szCs w:val="20"/>
          <w:color w:val="auto"/>
        </w:rPr>
      </w:pPr>
      <w:r>
        <w:rPr>
          <w:rFonts w:ascii="Arial" w:cs="Arial" w:eastAsia="Arial" w:hAnsi="Arial"/>
          <w:sz w:val="29"/>
          <w:szCs w:val="29"/>
          <w:color w:val="D7282F"/>
        </w:rPr>
        <w:t>INDUSTRIAL AUTOMATION</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89535</wp:posOffset>
            </wp:positionV>
            <wp:extent cx="5915025" cy="23145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1502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40" w:type="dxa"/>
            <w:vAlign w:val="bottom"/>
            <w:gridSpan w:val="3"/>
          </w:tcPr>
          <w:p>
            <w:pPr>
              <w:jc w:val="center"/>
              <w:ind w:right="6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1620" w:type="dxa"/>
            <w:vAlign w:val="bottom"/>
            <w:tcBorders>
              <w:bottom w:val="single" w:sz="8" w:color="D7282F"/>
            </w:tcBorders>
            <w:gridSpan w:val="4"/>
          </w:tcPr>
          <w:p>
            <w:pPr>
              <w:jc w:val="right"/>
              <w:ind w:right="348"/>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4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gridSpan w:val="2"/>
          </w:tcPr>
          <w:p>
            <w:pPr>
              <w:jc w:val="center"/>
              <w:ind w:left="68"/>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2025</w:t>
            </w:r>
          </w:p>
        </w:tc>
        <w:tc>
          <w:tcPr>
            <w:tcW w:w="420" w:type="dxa"/>
            <w:vAlign w:val="bottom"/>
          </w:tcPr>
          <w:p>
            <w:pPr>
              <w:spacing w:after="0"/>
              <w:rPr>
                <w:sz w:val="12"/>
                <w:szCs w:val="12"/>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2024</w:t>
            </w:r>
          </w:p>
        </w:tc>
        <w:tc>
          <w:tcPr>
            <w:tcW w:w="660" w:type="dxa"/>
            <w:vAlign w:val="bottom"/>
          </w:tcPr>
          <w:p>
            <w:pPr>
              <w:spacing w:after="0"/>
              <w:rPr>
                <w:sz w:val="12"/>
                <w:szCs w:val="12"/>
                <w:color w:val="auto"/>
              </w:rPr>
            </w:pPr>
          </w:p>
        </w:tc>
        <w:tc>
          <w:tcPr>
            <w:tcW w:w="52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w w:val="96"/>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2024</w:t>
            </w:r>
          </w:p>
        </w:tc>
        <w:tc>
          <w:tcPr>
            <w:tcW w:w="86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528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vMerge w:val="continue"/>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gridSpan w:val="2"/>
            <w:vMerge w:val="continue"/>
          </w:tcPr>
          <w:p>
            <w:pPr>
              <w:spacing w:after="0"/>
              <w:rPr>
                <w:sz w:val="16"/>
                <w:szCs w:val="16"/>
                <w:color w:val="auto"/>
              </w:rPr>
            </w:pPr>
          </w:p>
        </w:tc>
        <w:tc>
          <w:tcPr>
            <w:tcW w:w="1180" w:type="dxa"/>
            <w:vAlign w:val="bottom"/>
            <w:tcBorders>
              <w:bottom w:val="single" w:sz="8" w:color="D7282F"/>
            </w:tcBorders>
            <w:gridSpan w:val="2"/>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gridSpan w:val="2"/>
            <w:vMerge w:val="continue"/>
          </w:tcPr>
          <w:p>
            <w:pPr>
              <w:spacing w:after="0"/>
              <w:rPr>
                <w:sz w:val="16"/>
                <w:szCs w:val="16"/>
                <w:color w:val="auto"/>
              </w:rPr>
            </w:pPr>
          </w:p>
        </w:tc>
        <w:tc>
          <w:tcPr>
            <w:tcW w:w="4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vMerge w:val="continue"/>
          </w:tcPr>
          <w:p>
            <w:pPr>
              <w:spacing w:after="0"/>
              <w:rPr>
                <w:sz w:val="16"/>
                <w:szCs w:val="16"/>
                <w:color w:val="auto"/>
              </w:rPr>
            </w:pPr>
          </w:p>
        </w:tc>
        <w:tc>
          <w:tcPr>
            <w:tcW w:w="8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2,274</w:t>
            </w:r>
          </w:p>
        </w:tc>
        <w:tc>
          <w:tcPr>
            <w:tcW w:w="4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2,501</w:t>
            </w:r>
          </w:p>
        </w:tc>
        <w:tc>
          <w:tcPr>
            <w:tcW w:w="660" w:type="dxa"/>
            <w:vAlign w:val="bottom"/>
            <w:tcBorders>
              <w:bottom w:val="single" w:sz="8" w:color="61656A"/>
            </w:tcBorders>
          </w:tcPr>
          <w:p>
            <w:pPr>
              <w:spacing w:after="0"/>
              <w:rPr>
                <w:sz w:val="16"/>
                <w:szCs w:val="16"/>
                <w:color w:val="auto"/>
              </w:rPr>
            </w:pPr>
          </w:p>
        </w:tc>
        <w:tc>
          <w:tcPr>
            <w:tcW w:w="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w:t>
            </w:r>
          </w:p>
        </w:tc>
        <w:tc>
          <w:tcPr>
            <w:tcW w:w="3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gridSpan w:val="3"/>
          </w:tcPr>
          <w:p>
            <w:pPr>
              <w:jc w:val="right"/>
              <w:ind w:right="40"/>
              <w:spacing w:after="0"/>
              <w:rPr>
                <w:sz w:val="20"/>
                <w:szCs w:val="20"/>
                <w:color w:val="auto"/>
              </w:rPr>
            </w:pPr>
            <w:r>
              <w:rPr>
                <w:rFonts w:ascii="Arial" w:cs="Arial" w:eastAsia="Arial" w:hAnsi="Arial"/>
                <w:sz w:val="14"/>
                <w:szCs w:val="14"/>
                <w:color w:val="auto"/>
              </w:rPr>
              <w:t>7,032</w:t>
            </w: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61656A"/>
            </w:tcBorders>
          </w:tcPr>
          <w:p>
            <w:pPr>
              <w:ind w:left="220"/>
              <w:spacing w:after="0"/>
              <w:rPr>
                <w:sz w:val="20"/>
                <w:szCs w:val="20"/>
                <w:color w:val="auto"/>
              </w:rPr>
            </w:pPr>
            <w:r>
              <w:rPr>
                <w:rFonts w:ascii="Arial" w:cs="Arial" w:eastAsia="Arial" w:hAnsi="Arial"/>
                <w:sz w:val="14"/>
                <w:szCs w:val="14"/>
                <w:color w:val="auto"/>
              </w:rPr>
              <w:t>7,485</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1,345</w:t>
            </w:r>
          </w:p>
        </w:tc>
        <w:tc>
          <w:tcPr>
            <w:tcW w:w="420" w:type="dxa"/>
            <w:vAlign w:val="bottom"/>
            <w:tcBorders>
              <w:bottom w:val="single" w:sz="8" w:color="61656A"/>
            </w:tcBorders>
          </w:tcPr>
          <w:p>
            <w:pPr>
              <w:spacing w:after="0"/>
              <w:rPr>
                <w:sz w:val="17"/>
                <w:szCs w:val="17"/>
                <w:color w:val="auto"/>
              </w:rPr>
            </w:pPr>
          </w:p>
        </w:tc>
        <w:tc>
          <w:tcPr>
            <w:tcW w:w="5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1,461</w:t>
            </w:r>
          </w:p>
        </w:tc>
        <w:tc>
          <w:tcPr>
            <w:tcW w:w="660" w:type="dxa"/>
            <w:vAlign w:val="bottom"/>
            <w:tcBorders>
              <w:bottom w:val="single" w:sz="8" w:color="61656A"/>
            </w:tcBorders>
          </w:tcPr>
          <w:p>
            <w:pPr>
              <w:spacing w:after="0"/>
              <w:rPr>
                <w:sz w:val="17"/>
                <w:szCs w:val="17"/>
                <w:color w:val="auto"/>
              </w:rPr>
            </w:pPr>
          </w:p>
        </w:tc>
        <w:tc>
          <w:tcPr>
            <w:tcW w:w="5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gridSpan w:val="3"/>
          </w:tcPr>
          <w:p>
            <w:pPr>
              <w:jc w:val="right"/>
              <w:ind w:right="40"/>
              <w:spacing w:after="0"/>
              <w:rPr>
                <w:sz w:val="20"/>
                <w:szCs w:val="20"/>
                <w:color w:val="auto"/>
              </w:rPr>
            </w:pPr>
            <w:r>
              <w:rPr>
                <w:rFonts w:ascii="Arial" w:cs="Arial" w:eastAsia="Arial" w:hAnsi="Arial"/>
                <w:sz w:val="14"/>
                <w:szCs w:val="14"/>
                <w:color w:val="auto"/>
              </w:rPr>
              <w:t>4,105</w:t>
            </w:r>
          </w:p>
        </w:tc>
        <w:tc>
          <w:tcPr>
            <w:tcW w:w="38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ind w:left="220"/>
              <w:spacing w:after="0"/>
              <w:rPr>
                <w:sz w:val="20"/>
                <w:szCs w:val="20"/>
                <w:color w:val="auto"/>
              </w:rPr>
            </w:pPr>
            <w:r>
              <w:rPr>
                <w:rFonts w:ascii="Arial" w:cs="Arial" w:eastAsia="Arial" w:hAnsi="Arial"/>
                <w:sz w:val="14"/>
                <w:szCs w:val="14"/>
                <w:color w:val="auto"/>
              </w:rPr>
              <w:t>4,358</w:t>
            </w:r>
          </w:p>
        </w:tc>
        <w:tc>
          <w:tcPr>
            <w:tcW w:w="86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501</w:t>
            </w:r>
          </w:p>
        </w:tc>
        <w:tc>
          <w:tcPr>
            <w:tcW w:w="42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color w:val="auto"/>
              </w:rPr>
              <w:t>532</w:t>
            </w:r>
          </w:p>
        </w:tc>
        <w:tc>
          <w:tcPr>
            <w:tcW w:w="66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gridSpan w:val="3"/>
          </w:tcPr>
          <w:p>
            <w:pPr>
              <w:jc w:val="right"/>
              <w:ind w:right="40"/>
              <w:spacing w:after="0"/>
              <w:rPr>
                <w:sz w:val="20"/>
                <w:szCs w:val="20"/>
                <w:color w:val="auto"/>
              </w:rPr>
            </w:pPr>
            <w:r>
              <w:rPr>
                <w:rFonts w:ascii="Arial" w:cs="Arial" w:eastAsia="Arial" w:hAnsi="Arial"/>
                <w:sz w:val="14"/>
                <w:szCs w:val="14"/>
                <w:color w:val="auto"/>
              </w:rPr>
              <w:t>1,619</w:t>
            </w:r>
          </w:p>
        </w:tc>
        <w:tc>
          <w:tcPr>
            <w:tcW w:w="3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1,668</w:t>
            </w:r>
          </w:p>
        </w:tc>
        <w:tc>
          <w:tcPr>
            <w:tcW w:w="86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428</w:t>
            </w:r>
          </w:p>
        </w:tc>
        <w:tc>
          <w:tcPr>
            <w:tcW w:w="4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508</w:t>
            </w:r>
          </w:p>
        </w:tc>
        <w:tc>
          <w:tcPr>
            <w:tcW w:w="660" w:type="dxa"/>
            <w:vAlign w:val="bottom"/>
            <w:tcBorders>
              <w:bottom w:val="single" w:sz="8" w:color="D7282F"/>
            </w:tcBorders>
          </w:tcPr>
          <w:p>
            <w:pPr>
              <w:spacing w:after="0"/>
              <w:rPr>
                <w:sz w:val="17"/>
                <w:szCs w:val="17"/>
                <w:color w:val="auto"/>
              </w:rPr>
            </w:pP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w:t>
            </w:r>
          </w:p>
        </w:tc>
        <w:tc>
          <w:tcPr>
            <w:tcW w:w="3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gridSpan w:val="3"/>
          </w:tcPr>
          <w:p>
            <w:pPr>
              <w:jc w:val="right"/>
              <w:ind w:right="40"/>
              <w:spacing w:after="0"/>
              <w:rPr>
                <w:sz w:val="20"/>
                <w:szCs w:val="20"/>
                <w:color w:val="auto"/>
              </w:rPr>
            </w:pPr>
            <w:r>
              <w:rPr>
                <w:rFonts w:ascii="Arial" w:cs="Arial" w:eastAsia="Arial" w:hAnsi="Arial"/>
                <w:sz w:val="14"/>
                <w:szCs w:val="14"/>
                <w:b w:val="1"/>
                <w:bCs w:val="1"/>
                <w:color w:val="auto"/>
              </w:rPr>
              <w:t>1,308</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1,459</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426"/>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D7282F"/>
            </w:tcBorders>
          </w:tcPr>
          <w:p>
            <w:pPr>
              <w:spacing w:after="0"/>
              <w:rPr>
                <w:sz w:val="24"/>
                <w:szCs w:val="24"/>
                <w:color w:val="auto"/>
              </w:rPr>
            </w:pPr>
          </w:p>
        </w:tc>
        <w:tc>
          <w:tcPr>
            <w:tcW w:w="660" w:type="dxa"/>
            <w:vAlign w:val="bottom"/>
            <w:tcBorders>
              <w:bottom w:val="single" w:sz="8" w:color="D7282F"/>
            </w:tcBorders>
          </w:tcPr>
          <w:p>
            <w:pPr>
              <w:spacing w:after="0"/>
              <w:rPr>
                <w:sz w:val="24"/>
                <w:szCs w:val="24"/>
                <w:color w:val="auto"/>
              </w:rPr>
            </w:pPr>
          </w:p>
        </w:tc>
        <w:tc>
          <w:tcPr>
            <w:tcW w:w="52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00" w:type="dxa"/>
            <w:vAlign w:val="bottom"/>
            <w:tcBorders>
              <w:bottom w:val="single" w:sz="8" w:color="D7282F"/>
            </w:tcBorders>
          </w:tcPr>
          <w:p>
            <w:pPr>
              <w:spacing w:after="0"/>
              <w:rPr>
                <w:sz w:val="24"/>
                <w:szCs w:val="24"/>
                <w:color w:val="auto"/>
              </w:rPr>
            </w:pPr>
          </w:p>
        </w:tc>
        <w:tc>
          <w:tcPr>
            <w:tcW w:w="1000" w:type="dxa"/>
            <w:vAlign w:val="bottom"/>
            <w:tcBorders>
              <w:bottom w:val="single" w:sz="8" w:color="D7282F"/>
            </w:tcBorders>
            <w:gridSpan w:val="4"/>
          </w:tcPr>
          <w:p>
            <w:pPr>
              <w:jc w:val="right"/>
              <w:spacing w:after="0"/>
              <w:rPr>
                <w:sz w:val="20"/>
                <w:szCs w:val="20"/>
                <w:color w:val="auto"/>
              </w:rPr>
            </w:pPr>
            <w:r>
              <w:rPr>
                <w:rFonts w:ascii="Arial" w:cs="Arial" w:eastAsia="Arial" w:hAnsi="Arial"/>
                <w:sz w:val="14"/>
                <w:szCs w:val="14"/>
                <w:b w:val="1"/>
                <w:bCs w:val="1"/>
                <w:color w:val="auto"/>
              </w:rPr>
              <w:t>2025 vs. 2024</w:t>
            </w:r>
          </w:p>
        </w:tc>
        <w:tc>
          <w:tcPr>
            <w:tcW w:w="900" w:type="dxa"/>
            <w:vAlign w:val="bottom"/>
            <w:tcBorders>
              <w:bottom w:val="single" w:sz="8" w:color="D7282F"/>
            </w:tcBorders>
          </w:tcPr>
          <w:p>
            <w:pPr>
              <w:spacing w:after="0"/>
              <w:rPr>
                <w:sz w:val="24"/>
                <w:szCs w:val="24"/>
                <w:color w:val="auto"/>
              </w:rPr>
            </w:pPr>
          </w:p>
        </w:tc>
        <w:tc>
          <w:tcPr>
            <w:tcW w:w="86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4"/>
          </w:tcPr>
          <w:p>
            <w:pPr>
              <w:ind w:left="80"/>
              <w:spacing w:after="0" w:line="147" w:lineRule="exact"/>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60" w:type="dxa"/>
            <w:vAlign w:val="bottom"/>
            <w:gridSpan w:val="2"/>
          </w:tcPr>
          <w:p>
            <w:pPr>
              <w:jc w:val="right"/>
              <w:ind w:right="348"/>
              <w:spacing w:after="0" w:line="147"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1520" w:type="dxa"/>
            <w:vAlign w:val="bottom"/>
            <w:tcBorders>
              <w:bottom w:val="single" w:sz="8" w:color="D7282F"/>
            </w:tcBorders>
            <w:gridSpan w:val="4"/>
          </w:tcPr>
          <w:p>
            <w:pPr>
              <w:ind w:left="300"/>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1760" w:type="dxa"/>
            <w:vAlign w:val="bottom"/>
            <w:tcBorders>
              <w:bottom w:val="single" w:sz="8" w:color="D7282F"/>
            </w:tcBorders>
            <w:gridSpan w:val="2"/>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6"/>
        </w:trPr>
        <w:tc>
          <w:tcPr>
            <w:tcW w:w="5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ind w:left="80"/>
              <w:spacing w:after="0" w:line="147" w:lineRule="exact"/>
              <w:rPr>
                <w:sz w:val="20"/>
                <w:szCs w:val="20"/>
                <w:color w:val="auto"/>
              </w:rPr>
            </w:pPr>
            <w:r>
              <w:rPr>
                <w:rFonts w:ascii="Arial" w:cs="Arial" w:eastAsia="Arial" w:hAnsi="Arial"/>
                <w:sz w:val="14"/>
                <w:szCs w:val="14"/>
                <w:b w:val="1"/>
                <w:bCs w:val="1"/>
                <w:color w:val="auto"/>
              </w:rPr>
              <w:t>Net</w:t>
            </w:r>
          </w:p>
        </w:tc>
        <w:tc>
          <w:tcPr>
            <w:tcW w:w="1480" w:type="dxa"/>
            <w:vAlign w:val="bottom"/>
            <w:gridSpan w:val="6"/>
          </w:tcPr>
          <w:p>
            <w:pPr>
              <w:jc w:val="right"/>
              <w:ind w:right="440"/>
              <w:spacing w:after="0" w:line="147" w:lineRule="exact"/>
              <w:rPr>
                <w:sz w:val="20"/>
                <w:szCs w:val="20"/>
                <w:color w:val="auto"/>
              </w:rPr>
            </w:pPr>
            <w:r>
              <w:rPr>
                <w:rFonts w:ascii="Arial" w:cs="Arial" w:eastAsia="Arial" w:hAnsi="Arial"/>
                <w:sz w:val="14"/>
                <w:szCs w:val="14"/>
                <w:b w:val="1"/>
                <w:bCs w:val="1"/>
                <w:color w:val="auto"/>
              </w:rPr>
              <w:t>Segment</w:t>
            </w:r>
          </w:p>
        </w:tc>
        <w:tc>
          <w:tcPr>
            <w:tcW w:w="1280" w:type="dxa"/>
            <w:vAlign w:val="bottom"/>
            <w:gridSpan w:val="2"/>
          </w:tcPr>
          <w:p>
            <w:pPr>
              <w:jc w:val="center"/>
              <w:ind w:right="308"/>
              <w:spacing w:after="0" w:line="147" w:lineRule="exact"/>
              <w:rPr>
                <w:sz w:val="20"/>
                <w:szCs w:val="20"/>
                <w:color w:val="auto"/>
              </w:rPr>
            </w:pPr>
            <w:r>
              <w:rPr>
                <w:rFonts w:ascii="Arial" w:cs="Arial" w:eastAsia="Arial" w:hAnsi="Arial"/>
                <w:sz w:val="14"/>
                <w:szCs w:val="14"/>
                <w:b w:val="1"/>
                <w:bCs w:val="1"/>
                <w:color w:val="auto"/>
                <w:w w:val="97"/>
              </w:rPr>
              <w:t>Net</w:t>
            </w:r>
          </w:p>
        </w:tc>
        <w:tc>
          <w:tcPr>
            <w:tcW w:w="860" w:type="dxa"/>
            <w:vAlign w:val="bottom"/>
          </w:tcPr>
          <w:p>
            <w:pPr>
              <w:jc w:val="right"/>
              <w:ind w:right="108"/>
              <w:spacing w:after="0" w:line="147"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5280" w:type="dxa"/>
            <w:vAlign w:val="bottom"/>
            <w:tcBorders>
              <w:bottom w:val="single" w:sz="8" w:color="D7282F"/>
            </w:tcBorders>
            <w:vMerge w:val="continue"/>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w w:val="98"/>
              </w:rPr>
              <w:t>Sales</w:t>
            </w:r>
          </w:p>
        </w:tc>
        <w:tc>
          <w:tcPr>
            <w:tcW w:w="5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gridSpan w:val="5"/>
          </w:tcPr>
          <w:p>
            <w:pPr>
              <w:jc w:val="right"/>
              <w:ind w:right="560"/>
              <w:spacing w:after="0"/>
              <w:rPr>
                <w:sz w:val="20"/>
                <w:szCs w:val="20"/>
                <w:color w:val="auto"/>
              </w:rPr>
            </w:pPr>
            <w:r>
              <w:rPr>
                <w:rFonts w:ascii="Arial" w:cs="Arial" w:eastAsia="Arial" w:hAnsi="Arial"/>
                <w:sz w:val="14"/>
                <w:szCs w:val="14"/>
                <w:b w:val="1"/>
                <w:bCs w:val="1"/>
                <w:color w:val="auto"/>
              </w:rPr>
              <w:t>Profit</w:t>
            </w:r>
          </w:p>
        </w:tc>
        <w:tc>
          <w:tcPr>
            <w:tcW w:w="1280" w:type="dxa"/>
            <w:vAlign w:val="bottom"/>
            <w:tcBorders>
              <w:bottom w:val="single" w:sz="8" w:color="D7282F"/>
            </w:tcBorders>
            <w:gridSpan w:val="2"/>
          </w:tcPr>
          <w:p>
            <w:pPr>
              <w:jc w:val="center"/>
              <w:ind w:right="308"/>
              <w:spacing w:after="0"/>
              <w:rPr>
                <w:sz w:val="20"/>
                <w:szCs w:val="20"/>
                <w:color w:val="auto"/>
              </w:rPr>
            </w:pPr>
            <w:r>
              <w:rPr>
                <w:rFonts w:ascii="Arial" w:cs="Arial" w:eastAsia="Arial" w:hAnsi="Arial"/>
                <w:sz w:val="14"/>
                <w:szCs w:val="14"/>
                <w:b w:val="1"/>
                <w:bCs w:val="1"/>
                <w:color w:val="auto"/>
              </w:rPr>
              <w:t>Sales</w:t>
            </w:r>
          </w:p>
        </w:tc>
        <w:tc>
          <w:tcPr>
            <w:tcW w:w="86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Organic</w:t>
            </w:r>
          </w:p>
        </w:tc>
        <w:tc>
          <w:tcPr>
            <w:tcW w:w="160" w:type="dxa"/>
            <w:vAlign w:val="bottom"/>
            <w:tcBorders>
              <w:bottom w:val="single" w:sz="8" w:color="61656A"/>
            </w:tcBorders>
          </w:tcPr>
          <w:p>
            <w:pPr>
              <w:spacing w:after="0"/>
              <w:rPr>
                <w:sz w:val="16"/>
                <w:szCs w:val="16"/>
                <w:color w:val="auto"/>
              </w:rPr>
            </w:pPr>
          </w:p>
        </w:tc>
        <w:tc>
          <w:tcPr>
            <w:tcW w:w="560" w:type="dxa"/>
            <w:vAlign w:val="bottom"/>
            <w:tcBorders>
              <w:bottom w:val="single" w:sz="8" w:color="61656A"/>
            </w:tcBorders>
          </w:tcPr>
          <w:p>
            <w:pPr>
              <w:spacing w:after="0"/>
              <w:rPr>
                <w:sz w:val="16"/>
                <w:szCs w:val="16"/>
                <w:color w:val="auto"/>
              </w:rPr>
            </w:pPr>
          </w:p>
        </w:tc>
        <w:tc>
          <w:tcPr>
            <w:tcW w:w="42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1 %</w:t>
            </w:r>
          </w:p>
        </w:tc>
        <w:tc>
          <w:tcPr>
            <w:tcW w:w="52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gridSpan w:val="3"/>
          </w:tcPr>
          <w:p>
            <w:pPr>
              <w:jc w:val="right"/>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61656A"/>
            </w:tcBorders>
          </w:tcPr>
          <w:p>
            <w:pPr>
              <w:spacing w:after="0"/>
              <w:rPr>
                <w:sz w:val="16"/>
                <w:szCs w:val="16"/>
                <w:color w:val="auto"/>
              </w:rPr>
            </w:pPr>
          </w:p>
        </w:tc>
        <w:tc>
          <w:tcPr>
            <w:tcW w:w="4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ind w:left="220"/>
              <w:spacing w:after="0"/>
              <w:rPr>
                <w:sz w:val="20"/>
                <w:szCs w:val="20"/>
                <w:color w:val="auto"/>
              </w:rPr>
            </w:pPr>
            <w:r>
              <w:rPr>
                <w:rFonts w:ascii="Arial" w:cs="Arial" w:eastAsia="Arial" w:hAnsi="Arial"/>
                <w:sz w:val="14"/>
                <w:szCs w:val="14"/>
                <w:color w:val="auto"/>
              </w:rPr>
              <w:t>(1)%</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1 %</w:t>
            </w:r>
          </w:p>
        </w:tc>
        <w:tc>
          <w:tcPr>
            <w:tcW w:w="5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1 %</w:t>
            </w:r>
          </w:p>
        </w:tc>
        <w:tc>
          <w:tcPr>
            <w:tcW w:w="220" w:type="dxa"/>
            <w:vAlign w:val="bottom"/>
            <w:tcBorders>
              <w:bottom w:val="single" w:sz="8" w:color="61656A"/>
            </w:tcBorders>
          </w:tcPr>
          <w:p>
            <w:pPr>
              <w:spacing w:after="0"/>
              <w:rPr>
                <w:sz w:val="17"/>
                <w:szCs w:val="17"/>
                <w:color w:val="auto"/>
              </w:rPr>
            </w:pPr>
          </w:p>
        </w:tc>
        <w:tc>
          <w:tcPr>
            <w:tcW w:w="4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ind w:left="220"/>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w:t>
            </w:r>
          </w:p>
        </w:tc>
        <w:tc>
          <w:tcPr>
            <w:tcW w:w="52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D7282F"/>
            </w:tcBorders>
          </w:tcPr>
          <w:p>
            <w:pPr>
              <w:spacing w:after="0"/>
              <w:rPr>
                <w:sz w:val="17"/>
                <w:szCs w:val="17"/>
                <w:color w:val="auto"/>
              </w:rPr>
            </w:pPr>
          </w:p>
        </w:tc>
        <w:tc>
          <w:tcPr>
            <w:tcW w:w="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ind w:left="220"/>
              <w:spacing w:after="0"/>
              <w:rPr>
                <w:sz w:val="20"/>
                <w:szCs w:val="20"/>
                <w:color w:val="auto"/>
              </w:rPr>
            </w:pPr>
            <w:r>
              <w:rPr>
                <w:rFonts w:ascii="Arial" w:cs="Arial" w:eastAsia="Arial" w:hAnsi="Arial"/>
                <w:sz w:val="14"/>
                <w:szCs w:val="14"/>
                <w:color w:val="auto"/>
              </w:rPr>
              <w:t>(5)%</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9"/>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w:t>
            </w:r>
          </w:p>
        </w:tc>
        <w:tc>
          <w:tcPr>
            <w:tcW w:w="52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b w:val="1"/>
                <w:bCs w:val="1"/>
                <w:color w:val="auto"/>
              </w:rPr>
              <w:t>(16)%</w:t>
            </w:r>
          </w:p>
        </w:tc>
        <w:tc>
          <w:tcPr>
            <w:tcW w:w="220" w:type="dxa"/>
            <w:vAlign w:val="bottom"/>
            <w:tcBorders>
              <w:bottom w:val="single" w:sz="8" w:color="D7282F"/>
            </w:tcBorders>
          </w:tcPr>
          <w:p>
            <w:pPr>
              <w:spacing w:after="0"/>
              <w:rPr>
                <w:sz w:val="17"/>
                <w:szCs w:val="17"/>
                <w:color w:val="auto"/>
              </w:rPr>
            </w:pPr>
          </w:p>
        </w:tc>
        <w:tc>
          <w:tcPr>
            <w:tcW w:w="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(6)%</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47</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2025 compared to Q3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Sales decreased $227 million due to a decline of $264 million resulting from the sale of our PPE business on May 21, 2025.</w:t>
      </w:r>
    </w:p>
    <w:p>
      <w:pPr>
        <w:spacing w:after="0" w:line="111"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Segment profit decreased $80 million and segment margin percentage decreased 150 basis points to 18.8% compared to 20.3% for the same period in 2024.</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2025 compared to YTD 2024</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Sales decreased $453 million due to a decline of $405 million resulting from the sale of our PPE business on May 21, 2025 and lower organic sales of $78 million in Productivity Solutions and Services driven by a decrease in license and settlement payments.</w:t>
      </w:r>
    </w:p>
    <w:p>
      <w:pPr>
        <w:spacing w:after="0" w:line="77"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During the second quarter of 2022, our Productivity Solutions and Services business entered into a license and settlement agreement (the Agreement). Under the Agreement, we received $360 million, paid in equal quarterly installments over eight quarters, beginning with the second quarter of 2022 and ending with the first quarter of 2024. The Agreement provides each party a license to its existing patent portfolio for use by the other party's existing products and resolved the patent-related litigation between the parties.</w:t>
      </w:r>
    </w:p>
    <w:p>
      <w:pPr>
        <w:spacing w:after="0" w:line="65" w:lineRule="exact"/>
        <w:rPr>
          <w:sz w:val="20"/>
          <w:szCs w:val="20"/>
          <w:color w:val="auto"/>
        </w:rPr>
      </w:pPr>
    </w:p>
    <w:p>
      <w:pPr>
        <w:jc w:val="both"/>
        <w:ind w:right="20"/>
        <w:spacing w:after="0" w:line="272" w:lineRule="auto"/>
        <w:rPr>
          <w:sz w:val="20"/>
          <w:szCs w:val="20"/>
          <w:color w:val="auto"/>
        </w:rPr>
      </w:pPr>
      <w:r>
        <w:rPr>
          <w:rFonts w:ascii="Arial" w:cs="Arial" w:eastAsia="Arial" w:hAnsi="Arial"/>
          <w:sz w:val="16"/>
          <w:szCs w:val="16"/>
          <w:color w:val="auto"/>
        </w:rPr>
        <w:t>Segment profit decreased $151 million and segment margin percentage decreased 90 basis points to 18.6% compared to 19.5% for the same period in 2024.</w:t>
      </w:r>
    </w:p>
    <w:p>
      <w:pPr>
        <w:spacing w:after="0" w:line="2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July 8, 2025, the Company announced it is evaluating strategic alternatives for its Productivity Solutions and Services and Warehouse and Workflow Solutions businesses.</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BUILDING AUTOMATION</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80645</wp:posOffset>
            </wp:positionV>
            <wp:extent cx="5915025" cy="23145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1502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1440" w:type="dxa"/>
            <w:vAlign w:val="bottom"/>
            <w:tcBorders>
              <w:bottom w:val="single" w:sz="8" w:color="D7282F"/>
            </w:tcBorders>
            <w:gridSpan w:val="2"/>
          </w:tcPr>
          <w:p>
            <w:pPr>
              <w:jc w:val="right"/>
              <w:ind w:right="168"/>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gridSpan w:val="2"/>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2025</w:t>
            </w:r>
          </w:p>
        </w:tc>
        <w:tc>
          <w:tcPr>
            <w:tcW w:w="420" w:type="dxa"/>
            <w:vAlign w:val="bottom"/>
          </w:tcPr>
          <w:p>
            <w:pPr>
              <w:spacing w:after="0"/>
              <w:rPr>
                <w:sz w:val="12"/>
                <w:szCs w:val="12"/>
                <w:color w:val="auto"/>
              </w:rPr>
            </w:pPr>
          </w:p>
        </w:tc>
        <w:tc>
          <w:tcPr>
            <w:tcW w:w="102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2024</w:t>
            </w:r>
          </w:p>
        </w:tc>
        <w:tc>
          <w:tcPr>
            <w:tcW w:w="70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2025</w:t>
            </w:r>
          </w:p>
        </w:tc>
        <w:tc>
          <w:tcPr>
            <w:tcW w:w="420" w:type="dxa"/>
            <w:vAlign w:val="bottom"/>
          </w:tcPr>
          <w:p>
            <w:pPr>
              <w:spacing w:after="0"/>
              <w:rPr>
                <w:sz w:val="12"/>
                <w:szCs w:val="12"/>
                <w:color w:val="auto"/>
              </w:rPr>
            </w:pPr>
          </w:p>
        </w:tc>
        <w:tc>
          <w:tcPr>
            <w:tcW w:w="98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2024</w:t>
            </w:r>
          </w:p>
        </w:tc>
        <w:tc>
          <w:tcPr>
            <w:tcW w:w="74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vMerge w:val="continue"/>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vMerge w:val="continue"/>
          </w:tcPr>
          <w:p>
            <w:pPr>
              <w:spacing w:after="0"/>
              <w:rPr>
                <w:sz w:val="16"/>
                <w:szCs w:val="16"/>
                <w:color w:val="auto"/>
              </w:rPr>
            </w:pPr>
          </w:p>
        </w:tc>
        <w:tc>
          <w:tcPr>
            <w:tcW w:w="940" w:type="dxa"/>
            <w:vAlign w:val="bottom"/>
            <w:tcBorders>
              <w:bottom w:val="single" w:sz="8" w:color="D7282F"/>
            </w:tcBorders>
            <w:gridSpan w:val="2"/>
          </w:tcPr>
          <w:p>
            <w:pPr>
              <w:spacing w:after="0"/>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vMerge w:val="continue"/>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vMerge w:val="continue"/>
          </w:tcPr>
          <w:p>
            <w:pPr>
              <w:spacing w:after="0"/>
              <w:rPr>
                <w:sz w:val="16"/>
                <w:szCs w:val="16"/>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1,878</w:t>
            </w:r>
          </w:p>
        </w:tc>
        <w:tc>
          <w:tcPr>
            <w:tcW w:w="4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61656A"/>
            </w:tcBorders>
          </w:tcPr>
          <w:p>
            <w:pPr>
              <w:jc w:val="right"/>
              <w:ind w:right="408"/>
              <w:spacing w:after="0"/>
              <w:rPr>
                <w:sz w:val="20"/>
                <w:szCs w:val="20"/>
                <w:color w:val="auto"/>
              </w:rPr>
            </w:pPr>
            <w:r>
              <w:rPr>
                <w:rFonts w:ascii="Arial" w:cs="Arial" w:eastAsia="Arial" w:hAnsi="Arial"/>
                <w:sz w:val="14"/>
                <w:szCs w:val="14"/>
                <w:color w:val="auto"/>
              </w:rPr>
              <w:t>1,745</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8 %</w:t>
            </w:r>
          </w:p>
        </w:tc>
        <w:tc>
          <w:tcPr>
            <w:tcW w:w="24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5,396</w:t>
            </w:r>
          </w:p>
        </w:tc>
        <w:tc>
          <w:tcPr>
            <w:tcW w:w="4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4,742</w:t>
            </w: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990</w:t>
            </w:r>
          </w:p>
        </w:tc>
        <w:tc>
          <w:tcPr>
            <w:tcW w:w="4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408"/>
              <w:spacing w:after="0"/>
              <w:rPr>
                <w:sz w:val="20"/>
                <w:szCs w:val="20"/>
                <w:color w:val="auto"/>
              </w:rPr>
            </w:pPr>
            <w:r>
              <w:rPr>
                <w:rFonts w:ascii="Arial" w:cs="Arial" w:eastAsia="Arial" w:hAnsi="Arial"/>
                <w:sz w:val="14"/>
                <w:szCs w:val="14"/>
                <w:color w:val="auto"/>
              </w:rPr>
              <w:t>926</w:t>
            </w:r>
          </w:p>
        </w:tc>
        <w:tc>
          <w:tcPr>
            <w:tcW w:w="7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2,802</w:t>
            </w:r>
          </w:p>
        </w:tc>
        <w:tc>
          <w:tcPr>
            <w:tcW w:w="42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2,534</w:t>
            </w:r>
          </w:p>
        </w:tc>
        <w:tc>
          <w:tcPr>
            <w:tcW w:w="7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386</w:t>
            </w:r>
          </w:p>
        </w:tc>
        <w:tc>
          <w:tcPr>
            <w:tcW w:w="42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color w:val="auto"/>
              </w:rPr>
              <w:t>367</w:t>
            </w:r>
          </w:p>
        </w:tc>
        <w:tc>
          <w:tcPr>
            <w:tcW w:w="70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1,173</w:t>
            </w:r>
          </w:p>
        </w:tc>
        <w:tc>
          <w:tcPr>
            <w:tcW w:w="42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1,009</w:t>
            </w:r>
          </w:p>
        </w:tc>
        <w:tc>
          <w:tcPr>
            <w:tcW w:w="7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502</w:t>
            </w:r>
          </w:p>
        </w:tc>
        <w:tc>
          <w:tcPr>
            <w:tcW w:w="4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452</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11 %</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1,421</w:t>
            </w:r>
          </w:p>
        </w:tc>
        <w:tc>
          <w:tcPr>
            <w:tcW w:w="4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1,199</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48</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1160" w:type="dxa"/>
            <w:vAlign w:val="bottom"/>
            <w:tcBorders>
              <w:bottom w:val="single" w:sz="8" w:color="D7282F"/>
            </w:tcBorders>
          </w:tcPr>
          <w:p>
            <w:pPr>
              <w:spacing w:after="0"/>
              <w:rPr>
                <w:sz w:val="17"/>
                <w:szCs w:val="17"/>
                <w:color w:val="auto"/>
              </w:rPr>
            </w:pPr>
          </w:p>
        </w:tc>
        <w:tc>
          <w:tcPr>
            <w:tcW w:w="2380" w:type="dxa"/>
            <w:vAlign w:val="bottom"/>
            <w:tcBorders>
              <w:bottom w:val="single" w:sz="8" w:color="D7282F"/>
            </w:tcBorders>
            <w:gridSpan w:val="3"/>
          </w:tcPr>
          <w:p>
            <w:pPr>
              <w:jc w:val="right"/>
              <w:ind w:right="728"/>
              <w:spacing w:after="0"/>
              <w:rPr>
                <w:sz w:val="20"/>
                <w:szCs w:val="20"/>
                <w:color w:val="auto"/>
              </w:rPr>
            </w:pPr>
            <w:r>
              <w:rPr>
                <w:rFonts w:ascii="Arial" w:cs="Arial" w:eastAsia="Arial" w:hAnsi="Arial"/>
                <w:sz w:val="14"/>
                <w:szCs w:val="14"/>
                <w:b w:val="1"/>
                <w:bCs w:val="1"/>
                <w:color w:val="auto"/>
              </w:rPr>
              <w:t>2025 vs. 2024</w:t>
            </w:r>
          </w:p>
        </w:tc>
        <w:tc>
          <w:tcPr>
            <w:tcW w:w="10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680" w:type="dxa"/>
            <w:vAlign w:val="bottom"/>
          </w:tcPr>
          <w:p>
            <w:pPr>
              <w:spacing w:after="0"/>
              <w:rPr>
                <w:sz w:val="12"/>
                <w:szCs w:val="12"/>
                <w:color w:val="auto"/>
              </w:rPr>
            </w:pPr>
          </w:p>
        </w:tc>
        <w:tc>
          <w:tcPr>
            <w:tcW w:w="2380" w:type="dxa"/>
            <w:vAlign w:val="bottom"/>
            <w:gridSpan w:val="3"/>
          </w:tcPr>
          <w:p>
            <w:pPr>
              <w:ind w:left="360"/>
              <w:spacing w:after="0" w:line="147" w:lineRule="exact"/>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2"/>
          </w:tcPr>
          <w:p>
            <w:pPr>
              <w:jc w:val="right"/>
              <w:ind w:right="348"/>
              <w:spacing w:after="0" w:line="147"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6680" w:type="dxa"/>
            <w:vAlign w:val="bottom"/>
          </w:tcPr>
          <w:p>
            <w:pPr>
              <w:spacing w:after="0"/>
              <w:rPr>
                <w:sz w:val="16"/>
                <w:szCs w:val="16"/>
                <w:color w:val="auto"/>
              </w:rPr>
            </w:pPr>
          </w:p>
        </w:tc>
        <w:tc>
          <w:tcPr>
            <w:tcW w:w="2160" w:type="dxa"/>
            <w:vAlign w:val="bottom"/>
            <w:tcBorders>
              <w:bottom w:val="single" w:sz="8" w:color="D7282F"/>
            </w:tcBorders>
            <w:gridSpan w:val="2"/>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2180" w:type="dxa"/>
            <w:vAlign w:val="bottom"/>
            <w:tcBorders>
              <w:bottom w:val="single" w:sz="8" w:color="D7282F"/>
            </w:tcBorders>
            <w:gridSpan w:val="2"/>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6"/>
        </w:trPr>
        <w:tc>
          <w:tcPr>
            <w:tcW w:w="6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60" w:type="dxa"/>
            <w:vAlign w:val="bottom"/>
          </w:tcPr>
          <w:p>
            <w:pPr>
              <w:jc w:val="right"/>
              <w:ind w:right="488"/>
              <w:spacing w:after="0" w:line="147" w:lineRule="exact"/>
              <w:rPr>
                <w:sz w:val="20"/>
                <w:szCs w:val="20"/>
                <w:color w:val="auto"/>
              </w:rPr>
            </w:pPr>
            <w:r>
              <w:rPr>
                <w:rFonts w:ascii="Arial" w:cs="Arial" w:eastAsia="Arial" w:hAnsi="Arial"/>
                <w:sz w:val="14"/>
                <w:szCs w:val="14"/>
                <w:b w:val="1"/>
                <w:bCs w:val="1"/>
                <w:color w:val="auto"/>
              </w:rPr>
              <w:t>Net</w:t>
            </w:r>
          </w:p>
        </w:tc>
        <w:tc>
          <w:tcPr>
            <w:tcW w:w="122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Segment</w:t>
            </w:r>
          </w:p>
        </w:tc>
        <w:tc>
          <w:tcPr>
            <w:tcW w:w="1160" w:type="dxa"/>
            <w:vAlign w:val="bottom"/>
          </w:tcPr>
          <w:p>
            <w:pPr>
              <w:jc w:val="right"/>
              <w:ind w:right="488"/>
              <w:spacing w:after="0" w:line="147" w:lineRule="exact"/>
              <w:rPr>
                <w:sz w:val="20"/>
                <w:szCs w:val="20"/>
                <w:color w:val="auto"/>
              </w:rPr>
            </w:pPr>
            <w:r>
              <w:rPr>
                <w:rFonts w:ascii="Arial" w:cs="Arial" w:eastAsia="Arial" w:hAnsi="Arial"/>
                <w:sz w:val="14"/>
                <w:szCs w:val="14"/>
                <w:b w:val="1"/>
                <w:bCs w:val="1"/>
                <w:color w:val="auto"/>
              </w:rPr>
              <w:t>Net</w:t>
            </w:r>
          </w:p>
        </w:tc>
        <w:tc>
          <w:tcPr>
            <w:tcW w:w="1020" w:type="dxa"/>
            <w:vAlign w:val="bottom"/>
          </w:tcPr>
          <w:p>
            <w:pPr>
              <w:jc w:val="right"/>
              <w:ind w:right="108"/>
              <w:spacing w:after="0" w:line="147"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6680" w:type="dxa"/>
            <w:vAlign w:val="bottom"/>
            <w:tcBorders>
              <w:bottom w:val="single" w:sz="8" w:color="D7282F"/>
            </w:tcBorders>
            <w:vMerge w:val="continue"/>
          </w:tcPr>
          <w:p>
            <w:pPr>
              <w:spacing w:after="0"/>
              <w:rPr>
                <w:sz w:val="16"/>
                <w:szCs w:val="16"/>
                <w:color w:val="auto"/>
              </w:rPr>
            </w:pPr>
          </w:p>
        </w:tc>
        <w:tc>
          <w:tcPr>
            <w:tcW w:w="116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Sales</w:t>
            </w:r>
          </w:p>
        </w:tc>
        <w:tc>
          <w:tcPr>
            <w:tcW w:w="1220" w:type="dxa"/>
            <w:vAlign w:val="bottom"/>
            <w:tcBorders>
              <w:bottom w:val="single" w:sz="8" w:color="D7282F"/>
            </w:tcBorders>
            <w:gridSpan w:val="2"/>
          </w:tcPr>
          <w:p>
            <w:pPr>
              <w:jc w:val="center"/>
              <w:ind w:right="200"/>
              <w:spacing w:after="0"/>
              <w:rPr>
                <w:sz w:val="20"/>
                <w:szCs w:val="20"/>
                <w:color w:val="auto"/>
              </w:rPr>
            </w:pPr>
            <w:r>
              <w:rPr>
                <w:rFonts w:ascii="Arial" w:cs="Arial" w:eastAsia="Arial" w:hAnsi="Arial"/>
                <w:sz w:val="14"/>
                <w:szCs w:val="14"/>
                <w:b w:val="1"/>
                <w:bCs w:val="1"/>
                <w:color w:val="auto"/>
              </w:rPr>
              <w:t>Profit</w:t>
            </w:r>
          </w:p>
        </w:tc>
        <w:tc>
          <w:tcPr>
            <w:tcW w:w="116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Sales</w:t>
            </w:r>
          </w:p>
        </w:tc>
        <w:tc>
          <w:tcPr>
            <w:tcW w:w="102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2"/>
        </w:trPr>
        <w:tc>
          <w:tcPr>
            <w:tcW w:w="66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Organic</w:t>
            </w:r>
          </w:p>
        </w:tc>
        <w:tc>
          <w:tcPr>
            <w:tcW w:w="116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7 %</w:t>
            </w: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10 %</w:t>
            </w:r>
          </w:p>
        </w:tc>
        <w:tc>
          <w:tcPr>
            <w:tcW w:w="220" w:type="dxa"/>
            <w:vAlign w:val="bottom"/>
            <w:tcBorders>
              <w:bottom w:val="single" w:sz="8" w:color="61656A"/>
            </w:tcBorders>
          </w:tcPr>
          <w:p>
            <w:pPr>
              <w:spacing w:after="0"/>
              <w:rPr>
                <w:sz w:val="16"/>
                <w:szCs w:val="16"/>
                <w:color w:val="auto"/>
              </w:rPr>
            </w:pPr>
          </w:p>
        </w:tc>
        <w:tc>
          <w:tcPr>
            <w:tcW w:w="116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8 %</w:t>
            </w: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96"/>
        </w:trPr>
        <w:tc>
          <w:tcPr>
            <w:tcW w:w="66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16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1 %</w:t>
            </w: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1 %</w:t>
            </w:r>
          </w:p>
        </w:tc>
        <w:tc>
          <w:tcPr>
            <w:tcW w:w="220" w:type="dxa"/>
            <w:vAlign w:val="bottom"/>
            <w:tcBorders>
              <w:bottom w:val="single" w:sz="8" w:color="61656A"/>
            </w:tcBorders>
          </w:tcPr>
          <w:p>
            <w:pPr>
              <w:spacing w:after="0"/>
              <w:rPr>
                <w:sz w:val="17"/>
                <w:szCs w:val="17"/>
                <w:color w:val="auto"/>
              </w:rPr>
            </w:pPr>
          </w:p>
        </w:tc>
        <w:tc>
          <w:tcPr>
            <w:tcW w:w="116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 %</w:t>
            </w: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66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11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 %</w:t>
            </w:r>
          </w:p>
        </w:tc>
        <w:tc>
          <w:tcPr>
            <w:tcW w:w="1220" w:type="dxa"/>
            <w:vAlign w:val="bottom"/>
            <w:tcBorders>
              <w:bottom w:val="single" w:sz="8" w:color="D7282F"/>
            </w:tcBorders>
            <w:gridSpan w:val="2"/>
          </w:tcPr>
          <w:p>
            <w:pPr>
              <w:jc w:val="right"/>
              <w:ind w:right="240"/>
              <w:spacing w:after="0"/>
              <w:rPr>
                <w:sz w:val="20"/>
                <w:szCs w:val="20"/>
                <w:color w:val="auto"/>
              </w:rPr>
            </w:pPr>
            <w:r>
              <w:rPr>
                <w:rFonts w:ascii="Arial" w:cs="Arial" w:eastAsia="Arial" w:hAnsi="Arial"/>
                <w:sz w:val="14"/>
                <w:szCs w:val="14"/>
                <w:color w:val="auto"/>
              </w:rPr>
              <w:t>— %</w:t>
            </w:r>
          </w:p>
        </w:tc>
        <w:tc>
          <w:tcPr>
            <w:tcW w:w="11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6 %</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99"/>
        </w:trPr>
        <w:tc>
          <w:tcPr>
            <w:tcW w:w="66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11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8 %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11 %</w:t>
            </w:r>
          </w:p>
        </w:tc>
        <w:tc>
          <w:tcPr>
            <w:tcW w:w="22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14 %</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19 %</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2025 compared to Q3 2024</w:t>
      </w:r>
    </w:p>
    <w:p>
      <w:pPr>
        <w:spacing w:after="0" w:line="2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Sales increased $133 million due to higher organic sales of $68 million in Products and higher organic sales of $49 million in Building Solutions, both driven by higher demand.</w:t>
      </w:r>
    </w:p>
    <w:p>
      <w:pPr>
        <w:spacing w:after="0" w:line="77" w:lineRule="exact"/>
        <w:rPr>
          <w:sz w:val="20"/>
          <w:szCs w:val="20"/>
          <w:color w:val="auto"/>
        </w:rPr>
      </w:pPr>
    </w:p>
    <w:p>
      <w:pPr>
        <w:ind w:right="160"/>
        <w:spacing w:after="0" w:line="336" w:lineRule="auto"/>
        <w:rPr>
          <w:sz w:val="20"/>
          <w:szCs w:val="20"/>
          <w:color w:val="auto"/>
        </w:rPr>
      </w:pPr>
      <w:r>
        <w:rPr>
          <w:rFonts w:ascii="Arial" w:cs="Arial" w:eastAsia="Arial" w:hAnsi="Arial"/>
          <w:sz w:val="16"/>
          <w:szCs w:val="16"/>
          <w:color w:val="auto"/>
        </w:rPr>
        <w:t xml:space="preserve">Segment profit increased $50 million and segment margin percentage increased 80 basis points to 26.7% compared to 25.9% for the same period of 2024. </w:t>
      </w:r>
      <w:r>
        <w:rPr>
          <w:rFonts w:ascii="Arial" w:cs="Arial" w:eastAsia="Arial" w:hAnsi="Arial"/>
          <w:sz w:val="16"/>
          <w:szCs w:val="16"/>
          <w:b w:val="1"/>
          <w:bCs w:val="1"/>
          <w:color w:val="auto"/>
        </w:rPr>
        <w:t>YTD 2025 compared to YTD 2024</w:t>
      </w:r>
    </w:p>
    <w:p>
      <w:pPr>
        <w:jc w:val="both"/>
        <w:spacing w:after="0" w:line="256" w:lineRule="auto"/>
        <w:rPr>
          <w:sz w:val="20"/>
          <w:szCs w:val="20"/>
          <w:color w:val="auto"/>
        </w:rPr>
      </w:pPr>
      <w:r>
        <w:rPr>
          <w:rFonts w:ascii="Arial" w:cs="Arial" w:eastAsia="Arial" w:hAnsi="Arial"/>
          <w:sz w:val="16"/>
          <w:szCs w:val="16"/>
          <w:color w:val="auto"/>
        </w:rPr>
        <w:t>Sales increased $654 million due to higher organic sales of $203 million in Products and higher organic sales of $153 million in Building Solutions, both driven by higher demand. Additionally, the acquisition of Access Solutions contributed $302 million of inorganic sales in the nine months ended September 30, 2025. Beginning June 2025, the results of Access Solutions are considered organic following the first 12 months after the transaction date.</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Segment profit increased $222 million and segment margin percentage increased 100 basis points to 26.3% compared to 25.3% for the same period of 2024.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color w:val="D7282F"/>
        </w:rPr>
        <w:t>ENERGY AND SUSTAINABILITY SOLUTIONS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89535</wp:posOffset>
            </wp:positionV>
            <wp:extent cx="5915025" cy="23145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1502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1440" w:type="dxa"/>
            <w:vAlign w:val="bottom"/>
            <w:tcBorders>
              <w:bottom w:val="single" w:sz="8" w:color="D7282F"/>
            </w:tcBorders>
            <w:gridSpan w:val="2"/>
          </w:tcPr>
          <w:p>
            <w:pPr>
              <w:jc w:val="right"/>
              <w:ind w:right="168"/>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gridSpan w:val="2"/>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2025</w:t>
            </w:r>
          </w:p>
        </w:tc>
        <w:tc>
          <w:tcPr>
            <w:tcW w:w="420" w:type="dxa"/>
            <w:vAlign w:val="bottom"/>
          </w:tcPr>
          <w:p>
            <w:pPr>
              <w:spacing w:after="0"/>
              <w:rPr>
                <w:sz w:val="12"/>
                <w:szCs w:val="12"/>
                <w:color w:val="auto"/>
              </w:rPr>
            </w:pPr>
          </w:p>
        </w:tc>
        <w:tc>
          <w:tcPr>
            <w:tcW w:w="102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2024</w:t>
            </w:r>
          </w:p>
        </w:tc>
        <w:tc>
          <w:tcPr>
            <w:tcW w:w="70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2025</w:t>
            </w:r>
          </w:p>
        </w:tc>
        <w:tc>
          <w:tcPr>
            <w:tcW w:w="420" w:type="dxa"/>
            <w:vAlign w:val="bottom"/>
          </w:tcPr>
          <w:p>
            <w:pPr>
              <w:spacing w:after="0"/>
              <w:rPr>
                <w:sz w:val="12"/>
                <w:szCs w:val="12"/>
                <w:color w:val="auto"/>
              </w:rPr>
            </w:pPr>
          </w:p>
        </w:tc>
        <w:tc>
          <w:tcPr>
            <w:tcW w:w="98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2024</w:t>
            </w:r>
          </w:p>
        </w:tc>
        <w:tc>
          <w:tcPr>
            <w:tcW w:w="74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vMerge w:val="continue"/>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vMerge w:val="continue"/>
          </w:tcPr>
          <w:p>
            <w:pPr>
              <w:spacing w:after="0"/>
              <w:rPr>
                <w:sz w:val="16"/>
                <w:szCs w:val="16"/>
                <w:color w:val="auto"/>
              </w:rPr>
            </w:pPr>
          </w:p>
        </w:tc>
        <w:tc>
          <w:tcPr>
            <w:tcW w:w="940" w:type="dxa"/>
            <w:vAlign w:val="bottom"/>
            <w:tcBorders>
              <w:bottom w:val="single" w:sz="8" w:color="D7282F"/>
            </w:tcBorders>
            <w:gridSpan w:val="2"/>
          </w:tcPr>
          <w:p>
            <w:pPr>
              <w:spacing w:after="0"/>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vMerge w:val="continue"/>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vMerge w:val="continue"/>
          </w:tcPr>
          <w:p>
            <w:pPr>
              <w:spacing w:after="0"/>
              <w:rPr>
                <w:sz w:val="16"/>
                <w:szCs w:val="16"/>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1,742</w:t>
            </w:r>
          </w:p>
        </w:tc>
        <w:tc>
          <w:tcPr>
            <w:tcW w:w="4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61656A"/>
            </w:tcBorders>
          </w:tcPr>
          <w:p>
            <w:pPr>
              <w:jc w:val="right"/>
              <w:ind w:right="408"/>
              <w:spacing w:after="0"/>
              <w:rPr>
                <w:sz w:val="20"/>
                <w:szCs w:val="20"/>
                <w:color w:val="auto"/>
              </w:rPr>
            </w:pPr>
            <w:r>
              <w:rPr>
                <w:rFonts w:ascii="Arial" w:cs="Arial" w:eastAsia="Arial" w:hAnsi="Arial"/>
                <w:sz w:val="14"/>
                <w:szCs w:val="14"/>
                <w:color w:val="auto"/>
              </w:rPr>
              <w:t>1,563</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11 %</w:t>
            </w:r>
          </w:p>
        </w:tc>
        <w:tc>
          <w:tcPr>
            <w:tcW w:w="24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5,140</w:t>
            </w:r>
          </w:p>
        </w:tc>
        <w:tc>
          <w:tcPr>
            <w:tcW w:w="4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4,692</w:t>
            </w: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1,118</w:t>
            </w:r>
          </w:p>
        </w:tc>
        <w:tc>
          <w:tcPr>
            <w:tcW w:w="42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408"/>
              <w:spacing w:after="0"/>
              <w:rPr>
                <w:sz w:val="20"/>
                <w:szCs w:val="20"/>
                <w:color w:val="auto"/>
              </w:rPr>
            </w:pPr>
            <w:r>
              <w:rPr>
                <w:rFonts w:ascii="Arial" w:cs="Arial" w:eastAsia="Arial" w:hAnsi="Arial"/>
                <w:sz w:val="14"/>
                <w:szCs w:val="14"/>
                <w:color w:val="auto"/>
              </w:rPr>
              <w:t>957</w:t>
            </w:r>
          </w:p>
        </w:tc>
        <w:tc>
          <w:tcPr>
            <w:tcW w:w="7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3,248</w:t>
            </w:r>
          </w:p>
        </w:tc>
        <w:tc>
          <w:tcPr>
            <w:tcW w:w="42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2,952</w:t>
            </w:r>
          </w:p>
        </w:tc>
        <w:tc>
          <w:tcPr>
            <w:tcW w:w="7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197</w:t>
            </w:r>
          </w:p>
        </w:tc>
        <w:tc>
          <w:tcPr>
            <w:tcW w:w="42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color w:val="auto"/>
              </w:rPr>
              <w:t>223</w:t>
            </w:r>
          </w:p>
        </w:tc>
        <w:tc>
          <w:tcPr>
            <w:tcW w:w="70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676</w:t>
            </w:r>
          </w:p>
        </w:tc>
        <w:tc>
          <w:tcPr>
            <w:tcW w:w="42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649</w:t>
            </w:r>
          </w:p>
        </w:tc>
        <w:tc>
          <w:tcPr>
            <w:tcW w:w="7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427</w:t>
            </w:r>
          </w:p>
        </w:tc>
        <w:tc>
          <w:tcPr>
            <w:tcW w:w="4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383</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11 %</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1,216</w:t>
            </w:r>
          </w:p>
        </w:tc>
        <w:tc>
          <w:tcPr>
            <w:tcW w:w="4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1,091</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49</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1160" w:type="dxa"/>
            <w:vAlign w:val="bottom"/>
            <w:tcBorders>
              <w:bottom w:val="single" w:sz="8" w:color="D7282F"/>
            </w:tcBorders>
          </w:tcPr>
          <w:p>
            <w:pPr>
              <w:spacing w:after="0"/>
              <w:rPr>
                <w:sz w:val="17"/>
                <w:szCs w:val="17"/>
                <w:color w:val="auto"/>
              </w:rPr>
            </w:pPr>
          </w:p>
        </w:tc>
        <w:tc>
          <w:tcPr>
            <w:tcW w:w="2380" w:type="dxa"/>
            <w:vAlign w:val="bottom"/>
            <w:tcBorders>
              <w:bottom w:val="single" w:sz="8" w:color="D7282F"/>
            </w:tcBorders>
            <w:gridSpan w:val="3"/>
          </w:tcPr>
          <w:p>
            <w:pPr>
              <w:jc w:val="right"/>
              <w:ind w:right="728"/>
              <w:spacing w:after="0"/>
              <w:rPr>
                <w:sz w:val="20"/>
                <w:szCs w:val="20"/>
                <w:color w:val="auto"/>
              </w:rPr>
            </w:pPr>
            <w:r>
              <w:rPr>
                <w:rFonts w:ascii="Arial" w:cs="Arial" w:eastAsia="Arial" w:hAnsi="Arial"/>
                <w:sz w:val="14"/>
                <w:szCs w:val="14"/>
                <w:b w:val="1"/>
                <w:bCs w:val="1"/>
                <w:color w:val="auto"/>
              </w:rPr>
              <w:t>2025 vs. 2024</w:t>
            </w:r>
          </w:p>
        </w:tc>
        <w:tc>
          <w:tcPr>
            <w:tcW w:w="10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680" w:type="dxa"/>
            <w:vAlign w:val="bottom"/>
          </w:tcPr>
          <w:p>
            <w:pPr>
              <w:spacing w:after="0"/>
              <w:rPr>
                <w:sz w:val="12"/>
                <w:szCs w:val="12"/>
                <w:color w:val="auto"/>
              </w:rPr>
            </w:pPr>
          </w:p>
        </w:tc>
        <w:tc>
          <w:tcPr>
            <w:tcW w:w="2380" w:type="dxa"/>
            <w:vAlign w:val="bottom"/>
            <w:gridSpan w:val="3"/>
          </w:tcPr>
          <w:p>
            <w:pPr>
              <w:ind w:left="360"/>
              <w:spacing w:after="0" w:line="147" w:lineRule="exact"/>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2"/>
          </w:tcPr>
          <w:p>
            <w:pPr>
              <w:jc w:val="right"/>
              <w:ind w:right="348"/>
              <w:spacing w:after="0" w:line="147"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6680" w:type="dxa"/>
            <w:vAlign w:val="bottom"/>
          </w:tcPr>
          <w:p>
            <w:pPr>
              <w:spacing w:after="0"/>
              <w:rPr>
                <w:sz w:val="16"/>
                <w:szCs w:val="16"/>
                <w:color w:val="auto"/>
              </w:rPr>
            </w:pPr>
          </w:p>
        </w:tc>
        <w:tc>
          <w:tcPr>
            <w:tcW w:w="2160" w:type="dxa"/>
            <w:vAlign w:val="bottom"/>
            <w:tcBorders>
              <w:bottom w:val="single" w:sz="8" w:color="D7282F"/>
            </w:tcBorders>
            <w:gridSpan w:val="2"/>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2180" w:type="dxa"/>
            <w:vAlign w:val="bottom"/>
            <w:tcBorders>
              <w:bottom w:val="single" w:sz="8" w:color="D7282F"/>
            </w:tcBorders>
            <w:gridSpan w:val="2"/>
          </w:tcPr>
          <w:p>
            <w:pPr>
              <w:jc w:val="right"/>
              <w:ind w:right="5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6"/>
        </w:trPr>
        <w:tc>
          <w:tcPr>
            <w:tcW w:w="6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60" w:type="dxa"/>
            <w:vAlign w:val="bottom"/>
          </w:tcPr>
          <w:p>
            <w:pPr>
              <w:jc w:val="right"/>
              <w:ind w:right="488"/>
              <w:spacing w:after="0" w:line="147" w:lineRule="exact"/>
              <w:rPr>
                <w:sz w:val="20"/>
                <w:szCs w:val="20"/>
                <w:color w:val="auto"/>
              </w:rPr>
            </w:pPr>
            <w:r>
              <w:rPr>
                <w:rFonts w:ascii="Arial" w:cs="Arial" w:eastAsia="Arial" w:hAnsi="Arial"/>
                <w:sz w:val="14"/>
                <w:szCs w:val="14"/>
                <w:b w:val="1"/>
                <w:bCs w:val="1"/>
                <w:color w:val="auto"/>
              </w:rPr>
              <w:t>Net</w:t>
            </w:r>
          </w:p>
        </w:tc>
        <w:tc>
          <w:tcPr>
            <w:tcW w:w="122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Segment</w:t>
            </w:r>
          </w:p>
        </w:tc>
        <w:tc>
          <w:tcPr>
            <w:tcW w:w="1160" w:type="dxa"/>
            <w:vAlign w:val="bottom"/>
          </w:tcPr>
          <w:p>
            <w:pPr>
              <w:jc w:val="right"/>
              <w:ind w:right="488"/>
              <w:spacing w:after="0" w:line="147" w:lineRule="exact"/>
              <w:rPr>
                <w:sz w:val="20"/>
                <w:szCs w:val="20"/>
                <w:color w:val="auto"/>
              </w:rPr>
            </w:pPr>
            <w:r>
              <w:rPr>
                <w:rFonts w:ascii="Arial" w:cs="Arial" w:eastAsia="Arial" w:hAnsi="Arial"/>
                <w:sz w:val="14"/>
                <w:szCs w:val="14"/>
                <w:b w:val="1"/>
                <w:bCs w:val="1"/>
                <w:color w:val="auto"/>
              </w:rPr>
              <w:t>Net</w:t>
            </w:r>
          </w:p>
        </w:tc>
        <w:tc>
          <w:tcPr>
            <w:tcW w:w="1020" w:type="dxa"/>
            <w:vAlign w:val="bottom"/>
          </w:tcPr>
          <w:p>
            <w:pPr>
              <w:jc w:val="right"/>
              <w:ind w:right="108"/>
              <w:spacing w:after="0" w:line="147"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6680" w:type="dxa"/>
            <w:vAlign w:val="bottom"/>
            <w:tcBorders>
              <w:bottom w:val="single" w:sz="8" w:color="D7282F"/>
            </w:tcBorders>
            <w:vMerge w:val="continue"/>
          </w:tcPr>
          <w:p>
            <w:pPr>
              <w:spacing w:after="0"/>
              <w:rPr>
                <w:sz w:val="16"/>
                <w:szCs w:val="16"/>
                <w:color w:val="auto"/>
              </w:rPr>
            </w:pPr>
          </w:p>
        </w:tc>
        <w:tc>
          <w:tcPr>
            <w:tcW w:w="116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Sales</w:t>
            </w:r>
          </w:p>
        </w:tc>
        <w:tc>
          <w:tcPr>
            <w:tcW w:w="1220" w:type="dxa"/>
            <w:vAlign w:val="bottom"/>
            <w:tcBorders>
              <w:bottom w:val="single" w:sz="8" w:color="D7282F"/>
            </w:tcBorders>
            <w:gridSpan w:val="2"/>
          </w:tcPr>
          <w:p>
            <w:pPr>
              <w:jc w:val="center"/>
              <w:ind w:right="200"/>
              <w:spacing w:after="0"/>
              <w:rPr>
                <w:sz w:val="20"/>
                <w:szCs w:val="20"/>
                <w:color w:val="auto"/>
              </w:rPr>
            </w:pPr>
            <w:r>
              <w:rPr>
                <w:rFonts w:ascii="Arial" w:cs="Arial" w:eastAsia="Arial" w:hAnsi="Arial"/>
                <w:sz w:val="14"/>
                <w:szCs w:val="14"/>
                <w:b w:val="1"/>
                <w:bCs w:val="1"/>
                <w:color w:val="auto"/>
              </w:rPr>
              <w:t>Profit</w:t>
            </w:r>
          </w:p>
        </w:tc>
        <w:tc>
          <w:tcPr>
            <w:tcW w:w="116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Sales</w:t>
            </w:r>
          </w:p>
        </w:tc>
        <w:tc>
          <w:tcPr>
            <w:tcW w:w="102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2"/>
        </w:trPr>
        <w:tc>
          <w:tcPr>
            <w:tcW w:w="66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Organic</w:t>
            </w:r>
          </w:p>
        </w:tc>
        <w:tc>
          <w:tcPr>
            <w:tcW w:w="116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(2)%</w:t>
            </w: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w:t>
            </w:r>
          </w:p>
        </w:tc>
        <w:tc>
          <w:tcPr>
            <w:tcW w:w="220" w:type="dxa"/>
            <w:vAlign w:val="bottom"/>
            <w:tcBorders>
              <w:bottom w:val="single" w:sz="8" w:color="61656A"/>
            </w:tcBorders>
          </w:tcPr>
          <w:p>
            <w:pPr>
              <w:spacing w:after="0"/>
              <w:rPr>
                <w:sz w:val="16"/>
                <w:szCs w:val="16"/>
                <w:color w:val="auto"/>
              </w:rPr>
            </w:pPr>
          </w:p>
        </w:tc>
        <w:tc>
          <w:tcPr>
            <w:tcW w:w="116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1 %</w:t>
            </w: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6"/>
        </w:trPr>
        <w:tc>
          <w:tcPr>
            <w:tcW w:w="66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16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1 %</w:t>
            </w:r>
          </w:p>
        </w:tc>
        <w:tc>
          <w:tcPr>
            <w:tcW w:w="1220" w:type="dxa"/>
            <w:vAlign w:val="bottom"/>
            <w:tcBorders>
              <w:bottom w:val="single" w:sz="8" w:color="61656A"/>
            </w:tcBorders>
            <w:gridSpan w:val="2"/>
          </w:tcPr>
          <w:p>
            <w:pPr>
              <w:jc w:val="right"/>
              <w:ind w:right="240"/>
              <w:spacing w:after="0"/>
              <w:rPr>
                <w:sz w:val="20"/>
                <w:szCs w:val="20"/>
                <w:color w:val="auto"/>
              </w:rPr>
            </w:pPr>
            <w:r>
              <w:rPr>
                <w:rFonts w:ascii="Arial" w:cs="Arial" w:eastAsia="Arial" w:hAnsi="Arial"/>
                <w:sz w:val="14"/>
                <w:szCs w:val="14"/>
                <w:color w:val="auto"/>
              </w:rPr>
              <w:t>— %</w:t>
            </w:r>
          </w:p>
        </w:tc>
        <w:tc>
          <w:tcPr>
            <w:tcW w:w="116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1 %</w:t>
            </w:r>
          </w:p>
        </w:tc>
        <w:tc>
          <w:tcPr>
            <w:tcW w:w="10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66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11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12 %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19 %</w:t>
            </w:r>
          </w:p>
        </w:tc>
        <w:tc>
          <w:tcPr>
            <w:tcW w:w="22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8 %</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199"/>
        </w:trPr>
        <w:tc>
          <w:tcPr>
            <w:tcW w:w="66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11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11 %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11 %</w:t>
            </w:r>
          </w:p>
        </w:tc>
        <w:tc>
          <w:tcPr>
            <w:tcW w:w="22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10 %</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11 %</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Q3 2025 compared to Q3 2024</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Sales increased $179 million due to higher organic sales of $47 million in Advanced Materials driven by increased pricing in fluorine products, offset by lower organic sales of $85 million in UOP driven by lower sales volumes in refining catalyst shipments. Additionally, the acquisitions of Sundyne and LNG contributed $202 million of inorganic sales in the three months ended September 30, 2025.</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$44 million and segment margin percentage was flat at 24.5% compared to the same period of 2024.</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2025 compared to YTD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Sales increased $448 million driven by the acquisitions of LNG and Sundyne.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$125 million and segment margin percentage increased 40 basis points to 23.7% compared to 23.3% for the same period of 2024.</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October 1, 2025, the Company announced the anticipated spin-off its Advanced Materials business into Solstice Advanced Materials, an independent, U.S. publicly traded company, is expected to be completed on October 30, 2025.</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CORPORATE AND ALL OTHER</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Corporate and All Other primarily includes unallocated corporate costs, interest expense on holding-company debt, and the controlling majority-owned interest in Quantinuum. Corporate and All Other is not a separate reportable business segment as segment reporting criteria is not met. The Company continues to monitor the activities in Corporate and All Other to determine the need for further reportable business segment disaggregation.</w:t>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color w:val="D7282F"/>
        </w:rPr>
        <w:t>REPOSITIONING CHARGES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See Note 5 </w:t>
      </w:r>
      <w:r>
        <w:rPr>
          <w:rFonts w:ascii="Arial" w:cs="Arial" w:eastAsia="Arial" w:hAnsi="Arial"/>
          <w:sz w:val="16"/>
          <w:szCs w:val="16"/>
          <w:u w:val="single" w:color="auto"/>
          <w:color w:val="0000FF"/>
        </w:rPr>
        <w:t>Repositioning and Other (Gains) Charges</w:t>
      </w:r>
      <w:r>
        <w:rPr>
          <w:rFonts w:ascii="Arial" w:cs="Arial" w:eastAsia="Arial" w:hAnsi="Arial"/>
          <w:sz w:val="16"/>
          <w:szCs w:val="16"/>
          <w:color w:val="auto"/>
        </w:rPr>
        <w:t xml:space="preserve"> of Notes to Consolidated Financial Statements for a discussion of our repositioning actions and related charges incurred in the nine months ended September 30, 2025, and 2024. Cash spending related to our repositioning actions was $117 million in the nine months ended September 30, 2025, and was funded through operating cash flows.</w:t>
      </w:r>
    </w:p>
    <w:p>
      <w:pPr>
        <w:spacing w:after="0" w:line="200" w:lineRule="exact"/>
        <w:rPr>
          <w:sz w:val="20"/>
          <w:szCs w:val="20"/>
          <w:color w:val="auto"/>
        </w:rPr>
      </w:pPr>
    </w:p>
    <w:p>
      <w:pPr>
        <w:spacing w:after="0" w:line="216" w:lineRule="exact"/>
        <w:rPr>
          <w:sz w:val="20"/>
          <w:szCs w:val="20"/>
          <w:color w:val="auto"/>
        </w:rPr>
      </w:pPr>
    </w:p>
    <w:p>
      <w:pPr>
        <w:ind w:left="400" w:hanging="392"/>
        <w:spacing w:after="0"/>
        <w:tabs>
          <w:tab w:leader="none" w:pos="400" w:val="left"/>
        </w:tabs>
        <w:numPr>
          <w:ilvl w:val="0"/>
          <w:numId w:val="61"/>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LIQUIDITY AND CAPITAL RESOURCES</w:t>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in tables in millions)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leverage operating cash flows as the primary source of liquidity. Each of our businesses focuses on increasing operating cash flows through revenue growth, margin expansion, and improved working capital turnover. We also maintain other key sources of liquidity, including U.S. cash balances, and the ability to access non-U.S. cash balances, short-term debt from the commercial paper market, long-term borrowings, committed credit lines, and access to the public debt and equity markets.</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CASH</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September 30, 2025, and December 31, 2024, we held $13.4 billion and $11.0 billion, respectively, of cash and cash equivalents, including our short-term investments. We monitor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counterparty.</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September 30, 2025, we held $9.9 billion of the Company’s cash, cash equivalents, and short-term investments in non-U.S. subsidiaries. We do not have material amounts related to any jurisdiction subject to currency control restrictions that impact our ability to access and repatriate such amounts. Under current laws, we do not expect taxes on repatriation or restrictions on amounts held outside of the U.S. to have a material effect on our overall liquidity.</w:t>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color w:val="D7282F"/>
        </w:rPr>
        <w:t>CASH FLOW SUMMARY</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Our cash flows from operating, investing, and financing activities, as reflected in the Consolidated Statement of Cash Flows, are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Pr>
          <w:p>
            <w:pPr>
              <w:spacing w:after="0"/>
              <w:rPr>
                <w:sz w:val="17"/>
                <w:szCs w:val="17"/>
                <w:color w:val="auto"/>
              </w:rPr>
            </w:pPr>
          </w:p>
        </w:tc>
        <w:tc>
          <w:tcPr>
            <w:tcW w:w="200" w:type="dxa"/>
            <w:vAlign w:val="bottom"/>
            <w:tcBorders>
              <w:bottom w:val="single" w:sz="8" w:color="D7282F"/>
            </w:tcBorders>
          </w:tcPr>
          <w:p>
            <w:pPr>
              <w:spacing w:after="0"/>
              <w:rPr>
                <w:sz w:val="17"/>
                <w:szCs w:val="17"/>
                <w:color w:val="auto"/>
              </w:rPr>
            </w:pPr>
          </w:p>
        </w:tc>
        <w:tc>
          <w:tcPr>
            <w:tcW w:w="2860" w:type="dxa"/>
            <w:vAlign w:val="bottom"/>
            <w:tcBorders>
              <w:bottom w:val="single" w:sz="8" w:color="D7282F"/>
            </w:tcBorders>
            <w:gridSpan w:val="5"/>
          </w:tcPr>
          <w:p>
            <w:pPr>
              <w:jc w:val="right"/>
              <w:ind w:right="26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8180" w:type="dxa"/>
            <w:vAlign w:val="bottom"/>
            <w:tcBorders>
              <w:bottom w:val="single" w:sz="8" w:color="D7282F"/>
            </w:tcBorders>
          </w:tcPr>
          <w:p>
            <w:pPr>
              <w:spacing w:after="0"/>
              <w:rPr>
                <w:sz w:val="17"/>
                <w:szCs w:val="17"/>
                <w:color w:val="auto"/>
              </w:rPr>
            </w:pP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w w:val="99"/>
              </w:rPr>
              <w:t>Variance</w:t>
            </w:r>
          </w:p>
        </w:tc>
      </w:tr>
      <w:tr>
        <w:trPr>
          <w:trHeight w:val="196"/>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10,567</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7,925</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2,642</w:t>
            </w:r>
          </w:p>
        </w:tc>
      </w:tr>
      <w:tr>
        <w:trPr>
          <w:trHeight w:val="196"/>
        </w:trPr>
        <w:tc>
          <w:tcPr>
            <w:tcW w:w="81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r>
      <w:tr>
        <w:trPr>
          <w:trHeight w:val="193"/>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 attributable to Honeywell</w:t>
            </w:r>
          </w:p>
        </w:tc>
        <w:tc>
          <w:tcPr>
            <w:tcW w:w="20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4,844</w:t>
            </w:r>
          </w:p>
        </w:tc>
        <w:tc>
          <w:tcPr>
            <w:tcW w:w="30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4,420</w:t>
            </w:r>
          </w:p>
        </w:tc>
        <w:tc>
          <w:tcPr>
            <w:tcW w:w="2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424</w:t>
            </w:r>
          </w:p>
        </w:tc>
      </w:tr>
      <w:tr>
        <w:trPr>
          <w:trHeight w:val="196"/>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Noncash adjustments</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742</w:t>
            </w: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935</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(193)</w:t>
            </w:r>
          </w:p>
        </w:tc>
      </w:tr>
      <w:tr>
        <w:trPr>
          <w:trHeight w:val="196"/>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Changes in working capital</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(1,229)</w:t>
            </w: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(593)</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(636)</w:t>
            </w:r>
          </w:p>
        </w:tc>
      </w:tr>
      <w:tr>
        <w:trPr>
          <w:trHeight w:val="196"/>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Resideo indemnification and reimbursement agreement termination payment</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1,590</w:t>
            </w: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1,590</w:t>
            </w:r>
          </w:p>
        </w:tc>
      </w:tr>
      <w:tr>
        <w:trPr>
          <w:trHeight w:val="196"/>
        </w:trPr>
        <w:tc>
          <w:tcPr>
            <w:tcW w:w="81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operating activities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(743)</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(946)</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203</w:t>
            </w:r>
          </w:p>
        </w:tc>
      </w:tr>
      <w:tr>
        <w:trPr>
          <w:trHeight w:val="199"/>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5,204</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3,816</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1,388</w:t>
            </w:r>
          </w:p>
        </w:tc>
      </w:tr>
      <w:tr>
        <w:trPr>
          <w:trHeight w:val="193"/>
        </w:trPr>
        <w:tc>
          <w:tcPr>
            <w:tcW w:w="8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cash used for investing activities</w:t>
            </w:r>
          </w:p>
        </w:tc>
        <w:tc>
          <w:tcPr>
            <w:tcW w:w="20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(2,368)</w:t>
            </w:r>
          </w:p>
        </w:tc>
        <w:tc>
          <w:tcPr>
            <w:tcW w:w="30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(8,202)</w:t>
            </w:r>
          </w:p>
        </w:tc>
        <w:tc>
          <w:tcPr>
            <w:tcW w:w="2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5,834</w:t>
            </w:r>
          </w:p>
        </w:tc>
      </w:tr>
      <w:tr>
        <w:trPr>
          <w:trHeight w:val="196"/>
        </w:trPr>
        <w:tc>
          <w:tcPr>
            <w:tcW w:w="8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cash (used for) provided by financing activities</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(640)</w:t>
            </w: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7,058</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(7,698)</w:t>
            </w:r>
          </w:p>
        </w:tc>
      </w:tr>
      <w:tr>
        <w:trPr>
          <w:trHeight w:val="196"/>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167</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47</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120</w:t>
            </w:r>
          </w:p>
        </w:tc>
      </w:tr>
      <w:tr>
        <w:trPr>
          <w:trHeight w:val="199"/>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increase in cash and cash equivalents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2,363</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2,719</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(356)</w:t>
            </w:r>
          </w:p>
        </w:tc>
      </w:tr>
      <w:tr>
        <w:trPr>
          <w:trHeight w:val="196"/>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12,930</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10,644</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2,286</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Nine months ended September 30, 2025</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Net cash provided by operating activities was driven by the receipt of the Resideo indemnification and reimbursement agreement termination payment of $1,590 million, partially offset by changes in working capital driven by an increase in accounts receivable of $1,035 million due to timing of customer cash collections.</w:t>
      </w:r>
    </w:p>
    <w:p>
      <w:pPr>
        <w:spacing w:after="0" w:line="8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Net cash used for investing activities was driven by $2,200 million of cash paid for acquisitions, $928 million of capital expenditures, and $403 million of net payments from settlements of derivative contracts, partially offset by $1,157 million of proceeds from the sale of the PPE business.</w:t>
      </w:r>
    </w:p>
    <w:p>
      <w:pPr>
        <w:spacing w:after="0" w:line="6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Net cash used for financing activities was driven by $3,704 million of repurchases of common stock, $2,214 million of cash dividends paid, and $1,555 million of payments of long-term debt, partially offset by $4,035 million of long-term debt proceeds and $2,460 million of net proceeds from commercial paper.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 w:hanging="392"/>
        <w:spacing w:after="0"/>
        <w:tabs>
          <w:tab w:leader="none" w:pos="400" w:val="left"/>
        </w:tabs>
        <w:numPr>
          <w:ilvl w:val="0"/>
          <w:numId w:val="6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Nine months ended September 30, 2025 compared with nine months ended September 30, 2024</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Net cash provided by operating activities increased by $1,388 million, driven by the receipt of the Resideo indemnification and reimbursement agreement termination payment of $1,590 million and increase in Net income of $424 million, partially offset by an unfavorable impact of working capital driven by an increase in accounts receivable of $817 million due to timing of customer cash collections.</w:t>
      </w:r>
    </w:p>
    <w:p>
      <w:pPr>
        <w:spacing w:after="0" w:line="7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Net cash used for investing activities decreased by $5,834 million, driven by a $4,847 million decrease in cash paid for acquisitions and $1,157 million of proceeds from the sale of the PPE business.</w:t>
      </w:r>
    </w:p>
    <w:p>
      <w:pPr>
        <w:spacing w:after="0" w:line="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Net cash used for financing activities increased by $7,698 million, driven by a $6,372 million decrease in long-term debt proceeds and $2,504 million increase in repurchases common stock, partially offset by a $1,421 million increase in net proceeds from commercial paper.</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15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for further discussion of the Resideo indemnification and reimbursement agreement termination.</w:t>
      </w:r>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color w:val="D7282F"/>
        </w:rPr>
        <w:t>ASSESSMENT OF CURRENT LIQUIDITY AND CASH REQUIREMENTS</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Based on past performance and current expectations, we believe our operating cash flows will be sufficient to meet our future operating cash needs for at least the next twelve months. If necessary, our available cash, committed credit lines, and access to the public debt and equity markets provide additional sources of short-term and long-term liquidity to fund current operations, debt maturities, and future investment opportunities.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9 </w:t>
      </w:r>
      <w:r>
        <w:rPr>
          <w:rFonts w:ascii="Arial" w:cs="Arial" w:eastAsia="Arial" w:hAnsi="Arial"/>
          <w:sz w:val="16"/>
          <w:szCs w:val="16"/>
          <w:u w:val="single" w:color="auto"/>
          <w:color w:val="0000FF"/>
        </w:rPr>
        <w:t>Debt and Credit Agreements</w:t>
      </w:r>
      <w:r>
        <w:rPr>
          <w:rFonts w:ascii="Arial" w:cs="Arial" w:eastAsia="Arial" w:hAnsi="Arial"/>
          <w:sz w:val="16"/>
          <w:szCs w:val="16"/>
          <w:color w:val="auto"/>
        </w:rPr>
        <w:t xml:space="preserve"> of Notes to Consolidated Financial Statements for additional discussion of items impacting our liquidity.</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to normal operating cash requirements, our principal future cash requirements include funding capital expenditures, share repurchases, dividends, strategic acquisitions, and debt repayments. During the nine months ended September 30, 2025, we repurchased common stock of $3.7 billion. Refer to the section titled Liquidity and Capital Resources of our 2024 Form 10-K for a discussion of our expected capital expenditures, share repurchases, mergers and acquisitions activity, and dividends for 2025.</w:t>
      </w:r>
    </w:p>
    <w:p>
      <w:pPr>
        <w:spacing w:after="0" w:line="7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We continually assess the relative strength of each business in our portfolio as to strategic fit, market position, profit, and cash flow contribution in order to identify target investment and acquisition opportunities in order to upgrade our combined portfolio. We seek to identify acquisition candidates that will further our strategic plan and strengthen our existing core businesses. In the second quarter of 2025, we acquired Sundyne for total consideration of $2.2 billion, net of cash acquired, as well as announced our agreement to acquire Johnson Matthey's Catalyst Technologies business segment for £1.8 billion.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 On February 6, 2025, we announced our intention to separate the Automation and Aerospace Technologies businesses into independent, U.S. publicly traded companies, which is expected to be completed in the second half of 2026. On May 21, 2025, we completed the sale of our PPE business for $1.2 billion, net of cash transferred. On July 8, 2025, we announced we are evaluating strategic alternatives for our Productivity Solutions and Services and Warehouse and Workflow Solutions businesses within the Industrial Automation reportable business segment. On October 16, 2025, we announced the Board approved the spin-off of the Advanced Materials business into Solstice Advanced Materials, an independent, U.S. publicly traded company, which will be effective on October 30, 2025. See Note 3 </w:t>
      </w:r>
      <w:r>
        <w:rPr>
          <w:rFonts w:ascii="Arial" w:cs="Arial" w:eastAsia="Arial" w:hAnsi="Arial"/>
          <w:sz w:val="16"/>
          <w:szCs w:val="16"/>
          <w:u w:val="single" w:color="auto"/>
          <w:color w:val="0000FF"/>
        </w:rPr>
        <w:t>Acquisitions and Divestitures</w:t>
      </w:r>
      <w:r>
        <w:rPr>
          <w:rFonts w:ascii="Arial" w:cs="Arial" w:eastAsia="Arial" w:hAnsi="Arial"/>
          <w:sz w:val="16"/>
          <w:szCs w:val="16"/>
          <w:color w:val="000000"/>
        </w:rPr>
        <w:t>, Note 15</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Commitments and Contingencies</w:t>
      </w:r>
      <w:r>
        <w:rPr>
          <w:rFonts w:ascii="Arial" w:cs="Arial" w:eastAsia="Arial" w:hAnsi="Arial"/>
          <w:sz w:val="16"/>
          <w:szCs w:val="16"/>
          <w:color w:val="000000"/>
        </w:rPr>
        <w:t>, and Note 19</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Subsequent Events</w:t>
      </w:r>
      <w:r>
        <w:rPr>
          <w:rFonts w:ascii="Arial" w:cs="Arial" w:eastAsia="Arial" w:hAnsi="Arial"/>
          <w:sz w:val="16"/>
          <w:szCs w:val="16"/>
          <w:color w:val="0000FF"/>
        </w:rPr>
        <w:t xml:space="preserve"> </w:t>
      </w:r>
      <w:r>
        <w:rPr>
          <w:rFonts w:ascii="Arial" w:cs="Arial" w:eastAsia="Arial" w:hAnsi="Arial"/>
          <w:sz w:val="16"/>
          <w:szCs w:val="16"/>
          <w:color w:val="000000"/>
        </w:rPr>
        <w:t>of Notes to Consolidated Financial Statements for</w:t>
      </w:r>
      <w:r>
        <w:rPr>
          <w:rFonts w:ascii="Arial" w:cs="Arial" w:eastAsia="Arial" w:hAnsi="Arial"/>
          <w:sz w:val="16"/>
          <w:szCs w:val="16"/>
          <w:color w:val="0000FF"/>
        </w:rPr>
        <w:t xml:space="preserve"> </w:t>
      </w:r>
      <w:r>
        <w:rPr>
          <w:rFonts w:ascii="Arial" w:cs="Arial" w:eastAsia="Arial" w:hAnsi="Arial"/>
          <w:sz w:val="16"/>
          <w:szCs w:val="16"/>
          <w:color w:val="000000"/>
        </w:rPr>
        <w:t>additional discussion.</w:t>
      </w:r>
    </w:p>
    <w:p>
      <w:pPr>
        <w:spacing w:after="0" w:line="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continually seek opportunities to improve our liquidity and working capital efficiency, which includes the extension of payment terms with our suppliers and transfer of our trade receivables to unaffiliated financial institutions on a true sale basis. The impact of these programs is not material to our overall liquidity.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 w:hanging="392"/>
        <w:spacing w:after="0"/>
        <w:tabs>
          <w:tab w:leader="none" w:pos="400" w:val="left"/>
        </w:tabs>
        <w:numPr>
          <w:ilvl w:val="0"/>
          <w:numId w:val="6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BORROWINGS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leverage a variety of debt instruments to manage our overall borrowing costs. As of September 30, 2025, and December 31, 2024, our total borrowings were $37.0 billion and $31.1 billion, respectively.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Borders>
              <w:bottom w:val="single" w:sz="8" w:color="D7282F"/>
            </w:tcBorders>
          </w:tcPr>
          <w:p>
            <w:pPr>
              <w:spacing w:after="0"/>
              <w:rPr>
                <w:sz w:val="17"/>
                <w:szCs w:val="17"/>
                <w:color w:val="auto"/>
              </w:rPr>
            </w:pPr>
          </w:p>
        </w:tc>
        <w:tc>
          <w:tcPr>
            <w:tcW w:w="280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September 30, 2025</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2024</w:t>
            </w:r>
          </w:p>
        </w:tc>
      </w:tr>
      <w:tr>
        <w:trPr>
          <w:trHeight w:val="193"/>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Fixed rate notes</w:t>
            </w:r>
          </w:p>
        </w:tc>
        <w:tc>
          <w:tcPr>
            <w:tcW w:w="2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25,270</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25,853</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Commercial paper</w:t>
            </w:r>
          </w:p>
        </w:tc>
        <w:tc>
          <w:tcPr>
            <w:tcW w:w="280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6,873</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4,271</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Term loans</w:t>
            </w:r>
          </w:p>
        </w:tc>
        <w:tc>
          <w:tcPr>
            <w:tcW w:w="280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Variable rate notes</w:t>
            </w:r>
          </w:p>
        </w:tc>
        <w:tc>
          <w:tcPr>
            <w:tcW w:w="280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w:t>
            </w:r>
          </w:p>
        </w:tc>
        <w:tc>
          <w:tcPr>
            <w:tcW w:w="280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247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392</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Fair value of hedging instruments</w:t>
            </w:r>
          </w:p>
        </w:tc>
        <w:tc>
          <w:tcPr>
            <w:tcW w:w="280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(83)</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(136)</w:t>
            </w:r>
          </w:p>
        </w:tc>
      </w:tr>
      <w:tr>
        <w:trPr>
          <w:trHeight w:val="196"/>
        </w:trPr>
        <w:tc>
          <w:tcPr>
            <w:tcW w:w="48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Debt issuance costs</w:t>
            </w:r>
          </w:p>
        </w:tc>
        <w:tc>
          <w:tcPr>
            <w:tcW w:w="280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(292)</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(303)</w:t>
            </w:r>
          </w:p>
        </w:tc>
      </w:tr>
      <w:tr>
        <w:trPr>
          <w:trHeight w:val="199"/>
        </w:trPr>
        <w:tc>
          <w:tcPr>
            <w:tcW w:w="48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borrowings</w:t>
            </w:r>
          </w:p>
        </w:tc>
        <w:tc>
          <w:tcPr>
            <w:tcW w:w="2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37,037</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31,099</w:t>
            </w:r>
          </w:p>
        </w:tc>
      </w:tr>
    </w:tbl>
    <w:p>
      <w:pPr>
        <w:spacing w:after="0" w:line="17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A key source of liquidity is our ability to access the corporate bond markets. Through these markets, we issue a variety of long-term fixed rate notes to manage our overall funding costs.</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Another key source of liquidity is our ability to access the commercial paper market. Commercial paper notes are sold at a discount or premium and have a maturity of not more than 365 days from date of issuance. Borrowings under the commercial paper program are available for general corporate purposes as well as for financing acquisitions.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In addition, we have the following loan and revolving credit agreements:</w:t>
      </w:r>
    </w:p>
    <w:p>
      <w:pPr>
        <w:spacing w:after="0" w:line="127" w:lineRule="exact"/>
        <w:rPr>
          <w:sz w:val="20"/>
          <w:szCs w:val="20"/>
          <w:color w:val="auto"/>
        </w:rPr>
      </w:pPr>
    </w:p>
    <w:p>
      <w:pPr>
        <w:jc w:val="both"/>
        <w:ind w:left="200" w:hanging="192"/>
        <w:spacing w:after="0" w:line="260" w:lineRule="auto"/>
        <w:tabs>
          <w:tab w:leader="none" w:pos="197" w:val="left"/>
        </w:tabs>
        <w:numPr>
          <w:ilvl w:val="0"/>
          <w:numId w:val="64"/>
        </w:numPr>
        <w:rPr>
          <w:rFonts w:ascii="Arial" w:cs="Arial" w:eastAsia="Arial" w:hAnsi="Arial"/>
          <w:sz w:val="16"/>
          <w:szCs w:val="16"/>
          <w:color w:val="D7282F"/>
        </w:rPr>
      </w:pPr>
      <w:r>
        <w:rPr>
          <w:rFonts w:ascii="Arial" w:cs="Arial" w:eastAsia="Arial" w:hAnsi="Arial"/>
          <w:sz w:val="16"/>
          <w:szCs w:val="16"/>
          <w:color w:val="auto"/>
        </w:rPr>
        <w:t>A $6.0 billion Delayed Draw Term Loan Agreement (the Term Loan Agreement), dated as of May 7, 2025. The Term Loan Agreement is comprised of two tranches: (i) commitments to provide loans in an aggregate principal amount of up to $4.0 billion, which was fully drawn effective May 30, 2025, and (ii) commitments to provide loans in an aggregate amount of up to $2.0 billion, expiring on December 19, 2025. Amounts borrowed under the Term Loan Agreement are required to be paid no later than May 7, 2027, unless the Term Loan Agreement is terminated earlier pursuant to its terms. As of September 30, 2025, there were $4.0 billion of borrowings outstanding on the Term Loan Agreement.</w:t>
      </w:r>
    </w:p>
    <w:p>
      <w:pPr>
        <w:spacing w:after="0" w:line="42" w:lineRule="exact"/>
        <w:rPr>
          <w:rFonts w:ascii="Arial" w:cs="Arial" w:eastAsia="Arial" w:hAnsi="Arial"/>
          <w:sz w:val="16"/>
          <w:szCs w:val="16"/>
          <w:color w:val="D7282F"/>
        </w:rPr>
      </w:pPr>
    </w:p>
    <w:p>
      <w:pPr>
        <w:jc w:val="both"/>
        <w:ind w:left="200" w:hanging="192"/>
        <w:spacing w:after="0" w:line="261" w:lineRule="auto"/>
        <w:tabs>
          <w:tab w:leader="none" w:pos="197" w:val="left"/>
        </w:tabs>
        <w:numPr>
          <w:ilvl w:val="0"/>
          <w:numId w:val="64"/>
        </w:numPr>
        <w:rPr>
          <w:rFonts w:ascii="Arial" w:cs="Arial" w:eastAsia="Arial" w:hAnsi="Arial"/>
          <w:sz w:val="16"/>
          <w:szCs w:val="16"/>
          <w:color w:val="D7282F"/>
        </w:rPr>
      </w:pPr>
      <w:r>
        <w:rPr>
          <w:rFonts w:ascii="Arial" w:cs="Arial" w:eastAsia="Arial" w:hAnsi="Arial"/>
          <w:sz w:val="16"/>
          <w:szCs w:val="16"/>
          <w:color w:val="auto"/>
        </w:rPr>
        <w:t>A $3.0 billion 364-day credit agreement (the 364-Day Credit Agreement) with a syndicate of banks, dated as of March 17, 2025. Amounts borrowed under the 364-Day Credit Agreement are required to be repaid no later than March 16, 2026, unless (i) we elect to convert all then outstanding amounts into a term loan, upon which such amounts shall be repaid in full on March 16, 2027, or (ii) the 364-Day Credit Agreement is terminated earlier pursuant to its terms. The 364-Day Credit Agreement replaced the previously reported $1.5 billion 364-day credit agreement dated as of March 18, 2024, which was terminated in accordance with its terms effective March 17, 2025. As of September 30, 2025, there were no outstanding borrowings under our 364-Day Credit Agreement.</w:t>
      </w:r>
    </w:p>
    <w:p>
      <w:pPr>
        <w:spacing w:after="0" w:line="41" w:lineRule="exact"/>
        <w:rPr>
          <w:rFonts w:ascii="Arial" w:cs="Arial" w:eastAsia="Arial" w:hAnsi="Arial"/>
          <w:sz w:val="16"/>
          <w:szCs w:val="16"/>
          <w:color w:val="D7282F"/>
        </w:rPr>
      </w:pPr>
    </w:p>
    <w:p>
      <w:pPr>
        <w:jc w:val="both"/>
        <w:ind w:left="200" w:hanging="192"/>
        <w:spacing w:after="0" w:line="265" w:lineRule="auto"/>
        <w:tabs>
          <w:tab w:leader="none" w:pos="197" w:val="left"/>
        </w:tabs>
        <w:numPr>
          <w:ilvl w:val="0"/>
          <w:numId w:val="64"/>
        </w:numPr>
        <w:rPr>
          <w:rFonts w:ascii="Arial" w:cs="Arial" w:eastAsia="Arial" w:hAnsi="Arial"/>
          <w:sz w:val="16"/>
          <w:szCs w:val="16"/>
          <w:color w:val="D7282F"/>
        </w:rPr>
      </w:pPr>
      <w:r>
        <w:rPr>
          <w:rFonts w:ascii="Arial" w:cs="Arial" w:eastAsia="Arial" w:hAnsi="Arial"/>
          <w:sz w:val="16"/>
          <w:szCs w:val="16"/>
          <w:color w:val="auto"/>
        </w:rPr>
        <w:t>A $1.0 billion Fixed Rate Term Loan Credit Agreement (the Fixed Rate Term Loan Credit Agreement), dated as of August 12, 2024. Amounts borrowed under the Fixed Rate Term Loan Credit Agreement are required to be repaid no later than August 12, 2027, unless the Fixed Rate Term Loan Credit Agreement is terminated earlier pursuant to its terms. As of September 30, 2025, there were $1.0 billion of borrowings outstanding under the Fixed Rate Term Loan Credit Agreement.</w:t>
      </w:r>
    </w:p>
    <w:p>
      <w:pPr>
        <w:spacing w:after="0" w:line="37" w:lineRule="exact"/>
        <w:rPr>
          <w:rFonts w:ascii="Arial" w:cs="Arial" w:eastAsia="Arial" w:hAnsi="Arial"/>
          <w:sz w:val="16"/>
          <w:szCs w:val="16"/>
          <w:color w:val="D7282F"/>
        </w:rPr>
      </w:pPr>
    </w:p>
    <w:p>
      <w:pPr>
        <w:jc w:val="both"/>
        <w:ind w:left="200" w:hanging="192"/>
        <w:spacing w:after="0" w:line="266" w:lineRule="auto"/>
        <w:tabs>
          <w:tab w:leader="none" w:pos="197" w:val="left"/>
        </w:tabs>
        <w:numPr>
          <w:ilvl w:val="0"/>
          <w:numId w:val="64"/>
        </w:numPr>
        <w:rPr>
          <w:rFonts w:ascii="Arial" w:cs="Arial" w:eastAsia="Arial" w:hAnsi="Arial"/>
          <w:sz w:val="16"/>
          <w:szCs w:val="16"/>
          <w:color w:val="D7282F"/>
        </w:rPr>
      </w:pPr>
      <w:r>
        <w:rPr>
          <w:rFonts w:ascii="Arial" w:cs="Arial" w:eastAsia="Arial" w:hAnsi="Arial"/>
          <w:sz w:val="16"/>
          <w:szCs w:val="16"/>
          <w:color w:val="auto"/>
        </w:rPr>
        <w:t>A $4.0 billion five-year credit agreement (the Five-Year Credit Agreement) with a syndicate of banks, dated as of March 18, 2024. Commitments under the Five-Year Credit Agreement can be increased pursuant to the terms of the Five-Year Credit Agreement to an aggregate amount not to exceed $4.5 billion. As of September 30, 2025, there were no outstanding borrowings under our Five-Year Credit Agreement.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9 </w:t>
      </w:r>
      <w:r>
        <w:rPr>
          <w:rFonts w:ascii="Arial" w:cs="Arial" w:eastAsia="Arial" w:hAnsi="Arial"/>
          <w:sz w:val="16"/>
          <w:szCs w:val="16"/>
          <w:u w:val="single" w:color="auto"/>
          <w:color w:val="0000FF"/>
        </w:rPr>
        <w:t>Debt and Credit Agreements</w:t>
      </w:r>
      <w:r>
        <w:rPr>
          <w:rFonts w:ascii="Arial" w:cs="Arial" w:eastAsia="Arial" w:hAnsi="Arial"/>
          <w:sz w:val="16"/>
          <w:szCs w:val="16"/>
          <w:color w:val="auto"/>
        </w:rPr>
        <w:t xml:space="preserve"> of Notes to Consolidated Financial Statements for additional information regarding our debt instruments.</w:t>
      </w:r>
    </w:p>
    <w:p>
      <w:pPr>
        <w:spacing w:after="0" w:line="11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also maintain a current shelf registration statement filed with the SEC under which we may issue additional debt securities, common stock, and preferred stock that may be offered in one or more offerings on terms to be determined at the time of the offering. We anticipate that net proceeds of any offering would be used for general corporate purposes, including repayment of existing indebtedness, share repurchases, capital expenditures, and acquisitions.</w:t>
      </w:r>
    </w:p>
    <w:p>
      <w:pPr>
        <w:spacing w:after="0" w:line="395" w:lineRule="exact"/>
        <w:rPr>
          <w:sz w:val="20"/>
          <w:szCs w:val="20"/>
          <w:color w:val="auto"/>
        </w:rPr>
      </w:pPr>
    </w:p>
    <w:p>
      <w:pPr>
        <w:ind w:left="400" w:hanging="392"/>
        <w:spacing w:after="0"/>
        <w:tabs>
          <w:tab w:leader="none" w:pos="400" w:val="left"/>
        </w:tabs>
        <w:numPr>
          <w:ilvl w:val="0"/>
          <w:numId w:val="6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CREDIT RATINGS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ability to access the global debt capital markets and the related cost of these borrowings is affected by the strength of our credit rating and market conditions. Our credit ratings are periodically reviewed by the major independent debt-rating agencies. As of September 30, 2025, S&amp;P Global Inc. (S&amp;P), Fitch Ratings Inc. (Fitch), and Moody’s Investor Service (Moody's) have ratings on our debt set forth in the table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40" w:type="dxa"/>
            <w:vAlign w:val="bottom"/>
            <w:tcBorders>
              <w:bottom w:val="single" w:sz="8" w:color="D7282F"/>
            </w:tcBorders>
          </w:tcPr>
          <w:p>
            <w:pPr>
              <w:spacing w:after="0"/>
              <w:rPr>
                <w:sz w:val="17"/>
                <w:szCs w:val="17"/>
                <w:color w:val="auto"/>
              </w:rPr>
            </w:pPr>
          </w:p>
        </w:tc>
        <w:tc>
          <w:tcPr>
            <w:tcW w:w="4340" w:type="dxa"/>
            <w:vAlign w:val="bottom"/>
            <w:tcBorders>
              <w:bottom w:val="single" w:sz="8" w:color="D7282F"/>
            </w:tcBorders>
          </w:tcPr>
          <w:p>
            <w:pPr>
              <w:jc w:val="center"/>
              <w:ind w:left="2648"/>
              <w:spacing w:after="0"/>
              <w:rPr>
                <w:sz w:val="20"/>
                <w:szCs w:val="20"/>
                <w:color w:val="auto"/>
              </w:rPr>
            </w:pPr>
            <w:r>
              <w:rPr>
                <w:rFonts w:ascii="Arial" w:cs="Arial" w:eastAsia="Arial" w:hAnsi="Arial"/>
                <w:sz w:val="14"/>
                <w:szCs w:val="14"/>
                <w:b w:val="1"/>
                <w:bCs w:val="1"/>
                <w:color w:val="auto"/>
              </w:rPr>
              <w:t>S&amp;P</w:t>
            </w:r>
          </w:p>
        </w:tc>
        <w:tc>
          <w:tcPr>
            <w:tcW w:w="1740" w:type="dxa"/>
            <w:vAlign w:val="bottom"/>
            <w:tcBorders>
              <w:bottom w:val="single" w:sz="8" w:color="D7282F"/>
            </w:tcBorders>
          </w:tcPr>
          <w:p>
            <w:pPr>
              <w:jc w:val="center"/>
              <w:ind w:right="8"/>
              <w:spacing w:after="0"/>
              <w:rPr>
                <w:sz w:val="20"/>
                <w:szCs w:val="20"/>
                <w:color w:val="auto"/>
              </w:rPr>
            </w:pPr>
            <w:r>
              <w:rPr>
                <w:rFonts w:ascii="Arial" w:cs="Arial" w:eastAsia="Arial" w:hAnsi="Arial"/>
                <w:sz w:val="14"/>
                <w:szCs w:val="14"/>
                <w:b w:val="1"/>
                <w:bCs w:val="1"/>
                <w:color w:val="auto"/>
              </w:rPr>
              <w:t>Fitch</w:t>
            </w:r>
          </w:p>
        </w:tc>
        <w:tc>
          <w:tcPr>
            <w:tcW w:w="14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Moody's</w:t>
            </w:r>
          </w:p>
        </w:tc>
      </w:tr>
      <w:tr>
        <w:trPr>
          <w:trHeight w:val="193"/>
        </w:trPr>
        <w:tc>
          <w:tcPr>
            <w:tcW w:w="37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Outlook</w:t>
            </w:r>
          </w:p>
        </w:tc>
        <w:tc>
          <w:tcPr>
            <w:tcW w:w="4340" w:type="dxa"/>
            <w:vAlign w:val="bottom"/>
            <w:tcBorders>
              <w:bottom w:val="single" w:sz="8" w:color="61656A"/>
            </w:tcBorders>
          </w:tcPr>
          <w:p>
            <w:pPr>
              <w:jc w:val="center"/>
              <w:ind w:left="2648"/>
              <w:spacing w:after="0"/>
              <w:rPr>
                <w:sz w:val="20"/>
                <w:szCs w:val="20"/>
                <w:color w:val="auto"/>
              </w:rPr>
            </w:pPr>
            <w:r>
              <w:rPr>
                <w:rFonts w:ascii="Arial" w:cs="Arial" w:eastAsia="Arial" w:hAnsi="Arial"/>
                <w:sz w:val="14"/>
                <w:szCs w:val="14"/>
                <w:color w:val="auto"/>
              </w:rPr>
              <w:t>Watch Negative</w:t>
            </w:r>
          </w:p>
        </w:tc>
        <w:tc>
          <w:tcPr>
            <w:tcW w:w="1740" w:type="dxa"/>
            <w:vAlign w:val="bottom"/>
            <w:tcBorders>
              <w:bottom w:val="single" w:sz="8" w:color="61656A"/>
            </w:tcBorders>
          </w:tcPr>
          <w:p>
            <w:pPr>
              <w:jc w:val="center"/>
              <w:ind w:right="28"/>
              <w:spacing w:after="0"/>
              <w:rPr>
                <w:sz w:val="20"/>
                <w:szCs w:val="20"/>
                <w:color w:val="auto"/>
              </w:rPr>
            </w:pPr>
            <w:r>
              <w:rPr>
                <w:rFonts w:ascii="Arial" w:cs="Arial" w:eastAsia="Arial" w:hAnsi="Arial"/>
                <w:sz w:val="14"/>
                <w:szCs w:val="14"/>
                <w:color w:val="auto"/>
              </w:rPr>
              <w:t>Watch Negative</w:t>
            </w:r>
          </w:p>
        </w:tc>
        <w:tc>
          <w:tcPr>
            <w:tcW w:w="142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Stable</w:t>
            </w:r>
          </w:p>
        </w:tc>
      </w:tr>
      <w:tr>
        <w:trPr>
          <w:trHeight w:val="196"/>
        </w:trPr>
        <w:tc>
          <w:tcPr>
            <w:tcW w:w="37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Short-term</w:t>
            </w:r>
          </w:p>
        </w:tc>
        <w:tc>
          <w:tcPr>
            <w:tcW w:w="4340" w:type="dxa"/>
            <w:vAlign w:val="bottom"/>
            <w:tcBorders>
              <w:bottom w:val="single" w:sz="8" w:color="61656A"/>
            </w:tcBorders>
          </w:tcPr>
          <w:p>
            <w:pPr>
              <w:jc w:val="center"/>
              <w:ind w:left="2648"/>
              <w:spacing w:after="0"/>
              <w:rPr>
                <w:sz w:val="20"/>
                <w:szCs w:val="20"/>
                <w:color w:val="auto"/>
              </w:rPr>
            </w:pPr>
            <w:r>
              <w:rPr>
                <w:rFonts w:ascii="Arial" w:cs="Arial" w:eastAsia="Arial" w:hAnsi="Arial"/>
                <w:sz w:val="14"/>
                <w:szCs w:val="14"/>
                <w:color w:val="auto"/>
              </w:rPr>
              <w:t>A-1</w:t>
            </w:r>
          </w:p>
        </w:tc>
        <w:tc>
          <w:tcPr>
            <w:tcW w:w="1740" w:type="dxa"/>
            <w:vAlign w:val="bottom"/>
            <w:tcBorders>
              <w:bottom w:val="single" w:sz="8" w:color="61656A"/>
            </w:tcBorders>
          </w:tcPr>
          <w:p>
            <w:pPr>
              <w:jc w:val="center"/>
              <w:ind w:right="28"/>
              <w:spacing w:after="0"/>
              <w:rPr>
                <w:sz w:val="20"/>
                <w:szCs w:val="20"/>
                <w:color w:val="auto"/>
              </w:rPr>
            </w:pPr>
            <w:r>
              <w:rPr>
                <w:rFonts w:ascii="Arial" w:cs="Arial" w:eastAsia="Arial" w:hAnsi="Arial"/>
                <w:sz w:val="14"/>
                <w:szCs w:val="14"/>
                <w:color w:val="auto"/>
                <w:w w:val="97"/>
              </w:rPr>
              <w:t>F1</w:t>
            </w:r>
          </w:p>
        </w:tc>
        <w:tc>
          <w:tcPr>
            <w:tcW w:w="142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3"/>
              </w:rPr>
              <w:t>P1</w:t>
            </w:r>
          </w:p>
        </w:tc>
      </w:tr>
      <w:tr>
        <w:trPr>
          <w:trHeight w:val="196"/>
        </w:trPr>
        <w:tc>
          <w:tcPr>
            <w:tcW w:w="37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Long-term</w:t>
            </w:r>
          </w:p>
        </w:tc>
        <w:tc>
          <w:tcPr>
            <w:tcW w:w="4340" w:type="dxa"/>
            <w:vAlign w:val="bottom"/>
            <w:tcBorders>
              <w:bottom w:val="single" w:sz="8" w:color="D7282F"/>
            </w:tcBorders>
          </w:tcPr>
          <w:p>
            <w:pPr>
              <w:jc w:val="center"/>
              <w:ind w:left="2648"/>
              <w:spacing w:after="0"/>
              <w:rPr>
                <w:sz w:val="20"/>
                <w:szCs w:val="20"/>
                <w:color w:val="auto"/>
              </w:rPr>
            </w:pPr>
            <w:r>
              <w:rPr>
                <w:rFonts w:ascii="Arial" w:cs="Arial" w:eastAsia="Arial" w:hAnsi="Arial"/>
                <w:sz w:val="14"/>
                <w:szCs w:val="14"/>
                <w:color w:val="auto"/>
              </w:rPr>
              <w:t>A</w:t>
            </w:r>
          </w:p>
        </w:tc>
        <w:tc>
          <w:tcPr>
            <w:tcW w:w="1740" w:type="dxa"/>
            <w:vAlign w:val="bottom"/>
            <w:tcBorders>
              <w:bottom w:val="single" w:sz="8" w:color="D7282F"/>
            </w:tcBorders>
          </w:tcPr>
          <w:p>
            <w:pPr>
              <w:jc w:val="center"/>
              <w:ind w:right="8"/>
              <w:spacing w:after="0"/>
              <w:rPr>
                <w:sz w:val="20"/>
                <w:szCs w:val="20"/>
                <w:color w:val="auto"/>
              </w:rPr>
            </w:pPr>
            <w:r>
              <w:rPr>
                <w:rFonts w:ascii="Arial" w:cs="Arial" w:eastAsia="Arial" w:hAnsi="Arial"/>
                <w:sz w:val="14"/>
                <w:szCs w:val="14"/>
                <w:color w:val="auto"/>
              </w:rPr>
              <w:t>A</w:t>
            </w:r>
          </w:p>
        </w:tc>
        <w:tc>
          <w:tcPr>
            <w:tcW w:w="14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w w:val="93"/>
              </w:rPr>
              <w:t>A2</w:t>
            </w: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OTHER MATTERS</w:t>
      </w: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D7282F"/>
        </w:rPr>
        <w:t>LITIGATION</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See Note 15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of Notes to Consolidated Financial Statements for further discussion of environmental, asbestos, and other litigation matters.</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CRITICAL ACCOUNTING ESTIMATES</w:t>
      </w:r>
    </w:p>
    <w:p>
      <w:pPr>
        <w:spacing w:after="0" w:line="23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There have been no material changes to our Critical Accounting Estimates presented in our 2024 Annual Report on Form 10-K. For a discussion of the Company’s Critical Accounting Estimates, see the section titled Critical Accounting Estimates in our 2024 Annual Report on Form 10-K.</w:t>
      </w:r>
    </w:p>
    <w:p>
      <w:pPr>
        <w:spacing w:after="0" w:line="191" w:lineRule="exact"/>
        <w:rPr>
          <w:sz w:val="20"/>
          <w:szCs w:val="20"/>
          <w:color w:val="auto"/>
        </w:rPr>
      </w:pPr>
    </w:p>
    <w:p>
      <w:pPr>
        <w:spacing w:after="0"/>
        <w:rPr>
          <w:sz w:val="20"/>
          <w:szCs w:val="20"/>
          <w:color w:val="auto"/>
        </w:rPr>
      </w:pPr>
      <w:r>
        <w:rPr>
          <w:rFonts w:ascii="Arial" w:cs="Arial" w:eastAsia="Arial" w:hAnsi="Arial"/>
          <w:sz w:val="29"/>
          <w:szCs w:val="29"/>
          <w:color w:val="D7282F"/>
        </w:rPr>
        <w:t>RECENT ACCOUNTING PRONOUNCEMENTS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See Note 2 </w:t>
      </w:r>
      <w:r>
        <w:rPr>
          <w:rFonts w:ascii="Arial" w:cs="Arial" w:eastAsia="Arial" w:hAnsi="Arial"/>
          <w:sz w:val="16"/>
          <w:szCs w:val="16"/>
          <w:u w:val="single" w:color="auto"/>
          <w:color w:val="0000FF"/>
        </w:rPr>
        <w:t>Summary of Significant Accounting Policies</w:t>
      </w:r>
      <w:r>
        <w:rPr>
          <w:rFonts w:ascii="Arial" w:cs="Arial" w:eastAsia="Arial" w:hAnsi="Arial"/>
          <w:sz w:val="16"/>
          <w:szCs w:val="16"/>
          <w:color w:val="auto"/>
        </w:rPr>
        <w:t xml:space="preserve"> of Notes to Consolidated Financial Statements for a discussion of recent accounting pronouncements.</w:t>
      </w:r>
    </w:p>
    <w:p>
      <w:pPr>
        <w:spacing w:after="0" w:line="200" w:lineRule="exact"/>
        <w:rPr>
          <w:sz w:val="20"/>
          <w:szCs w:val="20"/>
          <w:color w:val="auto"/>
        </w:rPr>
      </w:pPr>
    </w:p>
    <w:p>
      <w:pPr>
        <w:spacing w:after="0" w:line="344" w:lineRule="exact"/>
        <w:rPr>
          <w:sz w:val="20"/>
          <w:szCs w:val="20"/>
          <w:color w:val="auto"/>
        </w:rPr>
      </w:pPr>
    </w:p>
    <w:p>
      <w:pPr>
        <w:ind w:right="1240"/>
        <w:spacing w:after="0" w:line="297" w:lineRule="auto"/>
        <w:rPr>
          <w:sz w:val="20"/>
          <w:szCs w:val="20"/>
          <w:color w:val="auto"/>
        </w:rPr>
      </w:pPr>
      <w:r>
        <w:rPr>
          <w:rFonts w:ascii="Arial" w:cs="Arial" w:eastAsia="Arial" w:hAnsi="Arial"/>
          <w:sz w:val="36"/>
          <w:szCs w:val="36"/>
          <w:b w:val="1"/>
          <w:bCs w:val="1"/>
          <w:color w:val="auto"/>
        </w:rPr>
        <w:t>ITEM 3. QUANTITATIVE AND QUALITATIVE DISCLOSURES ABOUT MARKET RISKS</w:t>
      </w:r>
    </w:p>
    <w:p>
      <w:pPr>
        <w:spacing w:after="0" w:line="201"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For a discussion of the Company’s quantitative and qualitative disclosures about market risks, see the section titled Quantitative and Qualitative Disclosures About Market Risks in our 2024 Annual Report on Form 10-K. As of September 30, 2025, there has been no material change in this information.</w:t>
      </w:r>
    </w:p>
    <w:p>
      <w:pPr>
        <w:spacing w:after="0" w:line="373" w:lineRule="exact"/>
        <w:rPr>
          <w:sz w:val="20"/>
          <w:szCs w:val="20"/>
          <w:color w:val="auto"/>
        </w:rPr>
      </w:pPr>
    </w:p>
    <w:p>
      <w:pPr>
        <w:ind w:left="400" w:hanging="392"/>
        <w:spacing w:after="0"/>
        <w:tabs>
          <w:tab w:leader="none" w:pos="400" w:val="left"/>
        </w:tabs>
        <w:numPr>
          <w:ilvl w:val="0"/>
          <w:numId w:val="6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4. CONTROLS AND PROCEDURES</w:t>
      </w:r>
    </w:p>
    <w:p>
      <w:pPr>
        <w:spacing w:after="0" w:line="37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Honeywell management, including the Chairman and Chief Executive Officer (CEO) and Chief Financial Officer (CFO), conducted an evaluation of the effectiveness of our disclosure controls and procedures (as defined in Rules 13a-15(e) or 15d-15(e) promulgated under the Securities Exchange Act of 1934, as amended (Exchange Act)) as of the end of the period covered by this Quarterly Report on Form 10-Q. Based upon that evaluation, the Chairman and CEO and the CFO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SEC's rules and forms, and that it is accumulated and communicated to our management, including our Chairman and CEO, our CFO, and our Controller, as appropriate, to allow timely decisions regarding required disclosure. There were no changes that materially affected, or are reasonably likely to materially affect, Honeywell’s internal control over financial reporting that occurred during the period covered by this Quarterly Report on Form 10-Q.</w:t>
      </w:r>
    </w:p>
    <w:p>
      <w:pPr>
        <w:spacing w:after="0" w:line="200" w:lineRule="exact"/>
        <w:rPr>
          <w:sz w:val="20"/>
          <w:szCs w:val="20"/>
          <w:color w:val="auto"/>
        </w:rPr>
      </w:pPr>
    </w:p>
    <w:p>
      <w:pPr>
        <w:spacing w:after="0" w:line="222" w:lineRule="exact"/>
        <w:rPr>
          <w:sz w:val="20"/>
          <w:szCs w:val="20"/>
          <w:color w:val="auto"/>
        </w:rPr>
      </w:pPr>
    </w:p>
    <w:p>
      <w:pPr>
        <w:ind w:left="400" w:hanging="392"/>
        <w:spacing w:after="0"/>
        <w:tabs>
          <w:tab w:leader="none" w:pos="400" w:val="left"/>
        </w:tabs>
        <w:numPr>
          <w:ilvl w:val="0"/>
          <w:numId w:val="6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PART II. OTHER INFORMATION</w:t>
      </w:r>
    </w:p>
    <w:p>
      <w:pPr>
        <w:spacing w:after="0" w:line="38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 LEGAL PROCEEDINGS</w:t>
      </w:r>
    </w:p>
    <w:p>
      <w:pPr>
        <w:spacing w:after="0" w:line="37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We are subject to a number of lawsuits, investigations, and claims (some of which involve substantial amounts) arising out of the conduct of our business. See a discussion of environmental, asbestos, and other litigation matters in Note 15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of Notes to Consolidated Financial Statements.</w:t>
      </w:r>
    </w:p>
    <w:p>
      <w:pPr>
        <w:spacing w:after="0" w:line="56"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There were no matters requiring disclosure pursuant to the requirement to disclose certain environmental matters involving potential monetary sanctions in excess of $300,000.</w:t>
      </w:r>
    </w:p>
    <w:p>
      <w:pPr>
        <w:spacing w:after="0" w:line="28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1A. RISK FACTORS</w:t>
      </w:r>
    </w:p>
    <w:p>
      <w:pPr>
        <w:spacing w:after="0" w:line="39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Other than as noted below, there have been no material changes to our Risk Factors presented in our 2024 Annual Report on Form 10-K under the section titled Risk Factors. For further discussion of our Risk Factors, refer to the section titled Risk Factors in our 2024 Annual Report on Form 10-K.</w:t>
      </w:r>
    </w:p>
    <w:p>
      <w:pPr>
        <w:spacing w:after="0" w:line="4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D7282F"/>
        </w:rPr>
        <w:t>The Company and each of our businesses is subject to unique industry and economic conditions that may adversely affect the markets and operating conditions of our customers, which in turn can affect demand for our products and services and our results of operations.</w:t>
      </w:r>
    </w:p>
    <w:p>
      <w:pPr>
        <w:spacing w:after="0" w:line="5" w:lineRule="exact"/>
        <w:rPr>
          <w:sz w:val="20"/>
          <w:szCs w:val="20"/>
          <w:color w:val="auto"/>
        </w:rPr>
      </w:pPr>
    </w:p>
    <w:p>
      <w:pPr>
        <w:jc w:val="both"/>
        <w:ind w:left="200" w:hanging="192"/>
        <w:spacing w:after="0"/>
        <w:tabs>
          <w:tab w:leader="none" w:pos="197" w:val="left"/>
        </w:tabs>
        <w:numPr>
          <w:ilvl w:val="0"/>
          <w:numId w:val="68"/>
        </w:numPr>
        <w:rPr>
          <w:rFonts w:ascii="Arial" w:cs="Arial" w:eastAsia="Arial" w:hAnsi="Arial"/>
          <w:sz w:val="16"/>
          <w:szCs w:val="16"/>
          <w:color w:val="D7282F"/>
        </w:rPr>
      </w:pPr>
      <w:r>
        <w:rPr>
          <w:rFonts w:ascii="Arial" w:cs="Arial" w:eastAsia="Arial" w:hAnsi="Arial"/>
          <w:sz w:val="16"/>
          <w:szCs w:val="16"/>
          <w:b w:val="1"/>
          <w:bCs w:val="1"/>
          <w:i w:val="1"/>
          <w:iCs w:val="1"/>
          <w:color w:val="auto"/>
        </w:rPr>
        <w:t>Aerospace Technologies</w:t>
      </w:r>
      <w:r>
        <w:rPr>
          <w:rFonts w:ascii="Arial" w:cs="Arial" w:eastAsia="Arial" w:hAnsi="Arial"/>
          <w:sz w:val="16"/>
          <w:szCs w:val="16"/>
          <w:color w:val="auto"/>
        </w:rPr>
        <w:t>—Our Aerospace business is impacted by customer buying patterns of aftermarket parts, supplier stability, factory transitions,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global supply chain capacity constraints that may lead to shortages of crucial components. Operating results may be adversely affected by downturns in the global demand for air travel, which may impact new aircraft production or result in the delay or cancellation of new aircraft orders, delays in launch schedules for new aircrafts, the retirement of aircrafts, and reductions in global flying hours, which impacts air transport and regional, business, and general aviation aircraft utilization rates. Operating results may also be adversely affected by any decrease in air travel demand due to regional restrictions or suspension of service for events related to public health, safety, the environment, or regional conflicts. Operating results could also be impacted by changes in overall trends related to end market demand for the product portfolio, as well as new entrants and non-traditional players entering the market. Operating results in our Defense and Space business unit may be affected by the mix of U.S. and foreign government appropriations for defense and space programs and by compliance risks. In addition, delays resulting from the ongoing U.S. federal government shutdown may result in us incurring substantial labor or other costs without reimbursement under our customer contracts, delay or decrease the number of purchase orders issued under our contracts with government agencies, or result in the suspension of work on contracts in progress or in payment delays. Results may also be impacted by the potential introduction of counterfeit parts into our global supply chain.</w:t>
      </w:r>
    </w:p>
    <w:p>
      <w:pPr>
        <w:spacing w:after="0" w:line="60" w:lineRule="exact"/>
        <w:rPr>
          <w:rFonts w:ascii="Arial" w:cs="Arial" w:eastAsia="Arial" w:hAnsi="Arial"/>
          <w:sz w:val="16"/>
          <w:szCs w:val="16"/>
          <w:color w:val="D7282F"/>
        </w:rPr>
      </w:pPr>
    </w:p>
    <w:p>
      <w:pPr>
        <w:jc w:val="both"/>
        <w:ind w:left="200" w:hanging="192"/>
        <w:spacing w:after="0" w:line="265" w:lineRule="auto"/>
        <w:tabs>
          <w:tab w:leader="none" w:pos="197" w:val="left"/>
        </w:tabs>
        <w:numPr>
          <w:ilvl w:val="0"/>
          <w:numId w:val="68"/>
        </w:numPr>
        <w:rPr>
          <w:rFonts w:ascii="Arial" w:cs="Arial" w:eastAsia="Arial" w:hAnsi="Arial"/>
          <w:sz w:val="16"/>
          <w:szCs w:val="16"/>
          <w:color w:val="D7282F"/>
        </w:rPr>
      </w:pPr>
      <w:r>
        <w:rPr>
          <w:rFonts w:ascii="Arial" w:cs="Arial" w:eastAsia="Arial" w:hAnsi="Arial"/>
          <w:sz w:val="16"/>
          <w:szCs w:val="16"/>
          <w:b w:val="1"/>
          <w:bCs w:val="1"/>
          <w:i w:val="1"/>
          <w:iCs w:val="1"/>
          <w:color w:val="auto"/>
        </w:rPr>
        <w:t>Industrial Automation</w:t>
      </w:r>
      <w:r>
        <w:rPr>
          <w:rFonts w:ascii="Arial" w:cs="Arial" w:eastAsia="Arial" w:hAnsi="Arial"/>
          <w:sz w:val="16"/>
          <w:szCs w:val="16"/>
          <w:color w:val="auto"/>
        </w:rPr>
        <w:t>—Operating results may be adversely impacted by reduced investments in process automation, safety monitoring, and plant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capacity utilization initiatives, fluctuations in retail markets, a slowdown in demand for safety products, changes in the competitive landscape, including new market entrants and new technologies that may lead to product commoditization, and adverse industry economic conditions, all of which could result in lower market share, reduced selling prices, and lower margins.</w:t>
      </w:r>
    </w:p>
    <w:p>
      <w:pPr>
        <w:spacing w:after="0" w:line="37" w:lineRule="exact"/>
        <w:rPr>
          <w:rFonts w:ascii="Arial" w:cs="Arial" w:eastAsia="Arial" w:hAnsi="Arial"/>
          <w:sz w:val="16"/>
          <w:szCs w:val="16"/>
          <w:color w:val="D7282F"/>
        </w:rPr>
      </w:pPr>
    </w:p>
    <w:p>
      <w:pPr>
        <w:jc w:val="both"/>
        <w:ind w:left="200" w:hanging="192"/>
        <w:spacing w:after="0" w:line="266" w:lineRule="auto"/>
        <w:tabs>
          <w:tab w:leader="none" w:pos="197" w:val="left"/>
        </w:tabs>
        <w:numPr>
          <w:ilvl w:val="0"/>
          <w:numId w:val="68"/>
        </w:numPr>
        <w:rPr>
          <w:rFonts w:ascii="Arial" w:cs="Arial" w:eastAsia="Arial" w:hAnsi="Arial"/>
          <w:sz w:val="16"/>
          <w:szCs w:val="16"/>
          <w:color w:val="D7282F"/>
        </w:rPr>
      </w:pPr>
      <w:r>
        <w:rPr>
          <w:rFonts w:ascii="Arial" w:cs="Arial" w:eastAsia="Arial" w:hAnsi="Arial"/>
          <w:sz w:val="16"/>
          <w:szCs w:val="16"/>
          <w:b w:val="1"/>
          <w:bCs w:val="1"/>
          <w:i w:val="1"/>
          <w:iCs w:val="1"/>
          <w:color w:val="auto"/>
        </w:rPr>
        <w:t>Building Automation</w:t>
      </w:r>
      <w:r>
        <w:rPr>
          <w:rFonts w:ascii="Arial" w:cs="Arial" w:eastAsia="Arial" w:hAnsi="Arial"/>
          <w:sz w:val="16"/>
          <w:szCs w:val="16"/>
          <w:color w:val="auto"/>
        </w:rPr>
        <w:t>—Operating results may be adversely impacted by downturns in the level of global buildings and infrastructure construction activity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retrofits and upgrades), lower capital spending and operating expenditures on projects, changes in the competitive landscape, including new market entrants and new technologies, and fluctuations in inventory levels in distribution channels.</w:t>
      </w:r>
    </w:p>
    <w:p>
      <w:pPr>
        <w:spacing w:after="0" w:line="36" w:lineRule="exact"/>
        <w:rPr>
          <w:rFonts w:ascii="Arial" w:cs="Arial" w:eastAsia="Arial" w:hAnsi="Arial"/>
          <w:sz w:val="16"/>
          <w:szCs w:val="16"/>
          <w:color w:val="D7282F"/>
        </w:rPr>
      </w:pPr>
    </w:p>
    <w:p>
      <w:pPr>
        <w:jc w:val="both"/>
        <w:ind w:left="200" w:hanging="192"/>
        <w:spacing w:after="0" w:line="265" w:lineRule="auto"/>
        <w:tabs>
          <w:tab w:leader="none" w:pos="197" w:val="left"/>
        </w:tabs>
        <w:numPr>
          <w:ilvl w:val="0"/>
          <w:numId w:val="68"/>
        </w:numPr>
        <w:rPr>
          <w:rFonts w:ascii="Arial" w:cs="Arial" w:eastAsia="Arial" w:hAnsi="Arial"/>
          <w:sz w:val="16"/>
          <w:szCs w:val="16"/>
          <w:color w:val="D7282F"/>
        </w:rPr>
      </w:pPr>
      <w:r>
        <w:rPr>
          <w:rFonts w:ascii="Arial" w:cs="Arial" w:eastAsia="Arial" w:hAnsi="Arial"/>
          <w:sz w:val="16"/>
          <w:szCs w:val="16"/>
          <w:b w:val="1"/>
          <w:bCs w:val="1"/>
          <w:i w:val="1"/>
          <w:iCs w:val="1"/>
          <w:color w:val="auto"/>
        </w:rPr>
        <w:t>Energy and Sustainability Solutions</w:t>
      </w:r>
      <w:r>
        <w:rPr>
          <w:rFonts w:ascii="Arial" w:cs="Arial" w:eastAsia="Arial" w:hAnsi="Arial"/>
          <w:sz w:val="16"/>
          <w:szCs w:val="16"/>
          <w:color w:val="auto"/>
        </w:rPr>
        <w:t>—Operating results may be adversely impacted by downturns in capacity utilization for chemical, industrial,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refining, petrochemical, and semiconductor plants, our customers’ availability of capital for refinery construction and expansion, raw material demand and supply, product commoditization, continued illegal imports of hydrofluorocarbons into Europe, and our ability to maximize our facilities’ production capacity and minimize downtime. Periods of increased volatility in oil and natural gas prices may result in less investment by our customers and therefore, lower demand for our products and services.</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addition, the Company and each of its businesses may continue to be, negatively affected by global macroeconomic conditions, including the impacts of inflation, high interest rates, supply chain and labor disruptions, unemployment rates, geopolitical instability and regional conflicts, the adoption and expansion of trade restrictions and tariffs, quotas, embargoes, and other related actions, and the occurrence or threat of a trade war or other governmental action related to tariffs or trade agreements or policies. Such factors could adversely impact, demand for our products, our costs, our customers, our suppliers, and the world and U.S. economies. The impact of such factors could have a material adverse effect on our business, operating results,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0" w:hanging="392"/>
        <w:spacing w:after="0"/>
        <w:tabs>
          <w:tab w:leader="none" w:pos="400" w:val="left"/>
        </w:tabs>
        <w:numPr>
          <w:ilvl w:val="0"/>
          <w:numId w:val="6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540"/>
        <w:spacing w:after="0" w:line="297" w:lineRule="auto"/>
        <w:rPr>
          <w:sz w:val="20"/>
          <w:szCs w:val="20"/>
          <w:color w:val="auto"/>
        </w:rPr>
      </w:pPr>
      <w:r>
        <w:rPr>
          <w:rFonts w:ascii="Arial" w:cs="Arial" w:eastAsia="Arial" w:hAnsi="Arial"/>
          <w:sz w:val="36"/>
          <w:szCs w:val="36"/>
          <w:b w:val="1"/>
          <w:bCs w:val="1"/>
          <w:color w:val="auto"/>
        </w:rPr>
        <w:t>ITEM 2. UNREGISTERED SALES OF EQUITY SECURITIES AND USE OF PROCEEDS</w:t>
      </w:r>
    </w:p>
    <w:p>
      <w:pPr>
        <w:spacing w:after="0" w:line="20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On April 24, 2023, the Board of Directors authorized the repurchase of up to $10 billion of Honeywell common stock, including approximately $2.1 billion of remaining availability under the previously announced $10 billion share repurchase authorization. The repurchase authorization does not have an expiration date and may be amended or terminated by the Board of Directors at any time without prior notice.</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Repurchases may be made through a variety of methods, which could include open market purchases, accelerated share repurchase transactions, negotiated block transactions, 10b5-1 plans, other transactions that may be structured through investment banking institutions or privately negotiated, or a combination of the foregoing. Honeywell presently expects to repurchase outstanding shares from time to time (i) to offset the dilutive impact of employee stock-based compensation plans, including option exercises, restricted unit vesting, and matching contributions under our savings plans, and (ii) to reduce share count via share repurchases as and when attractive opportunities arise. The amount and timing of future repurchases may vary depending on market conditions and the level of operating, financing, and other investing activities.</w:t>
      </w:r>
    </w:p>
    <w:p>
      <w:pPr>
        <w:spacing w:after="0" w:line="8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three months ended September 30, 2025, Honeywell repurchased 0.5 million shares of its common stock, par value $1 per share. As of September 30, 2025, $1.8 billion remained available under the share repurchase authorization for additional share repurchases. The following table summarizes our purchases of Honeywell's common stock for the three months ended September 30, 2025:</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520" w:type="dxa"/>
            <w:vAlign w:val="bottom"/>
            <w:tcBorders>
              <w:top w:val="single" w:sz="8" w:color="D7282F"/>
            </w:tcBorders>
          </w:tcPr>
          <w:p>
            <w:pPr>
              <w:spacing w:after="0"/>
              <w:rPr>
                <w:sz w:val="12"/>
                <w:szCs w:val="12"/>
                <w:color w:val="auto"/>
              </w:rPr>
            </w:pPr>
          </w:p>
        </w:tc>
        <w:tc>
          <w:tcPr>
            <w:tcW w:w="2280" w:type="dxa"/>
            <w:vAlign w:val="bottom"/>
            <w:tcBorders>
              <w:top w:val="single" w:sz="8" w:color="D7282F"/>
            </w:tcBorders>
          </w:tcPr>
          <w:p>
            <w:pPr>
              <w:spacing w:after="0"/>
              <w:rPr>
                <w:sz w:val="12"/>
                <w:szCs w:val="12"/>
                <w:color w:val="auto"/>
              </w:rPr>
            </w:pPr>
          </w:p>
        </w:tc>
        <w:tc>
          <w:tcPr>
            <w:tcW w:w="1680" w:type="dxa"/>
            <w:vAlign w:val="bottom"/>
            <w:tcBorders>
              <w:top w:val="single" w:sz="8" w:color="D7282F"/>
            </w:tcBorders>
          </w:tcPr>
          <w:p>
            <w:pPr>
              <w:spacing w:after="0"/>
              <w:rPr>
                <w:sz w:val="12"/>
                <w:szCs w:val="12"/>
                <w:color w:val="auto"/>
              </w:rPr>
            </w:pPr>
          </w:p>
        </w:tc>
        <w:tc>
          <w:tcPr>
            <w:tcW w:w="1700" w:type="dxa"/>
            <w:vAlign w:val="bottom"/>
            <w:tcBorders>
              <w:top w:val="single" w:sz="8" w:color="D7282F"/>
            </w:tcBorders>
          </w:tcPr>
          <w:p>
            <w:pPr>
              <w:jc w:val="center"/>
              <w:ind w:left="188"/>
              <w:spacing w:after="0" w:line="149" w:lineRule="exact"/>
              <w:rPr>
                <w:sz w:val="20"/>
                <w:szCs w:val="20"/>
                <w:color w:val="auto"/>
              </w:rPr>
            </w:pPr>
            <w:r>
              <w:rPr>
                <w:rFonts w:ascii="Arial" w:cs="Arial" w:eastAsia="Arial" w:hAnsi="Arial"/>
                <w:sz w:val="14"/>
                <w:szCs w:val="14"/>
                <w:b w:val="1"/>
                <w:bCs w:val="1"/>
                <w:color w:val="auto"/>
              </w:rPr>
              <w:t>Total Number</w:t>
            </w:r>
          </w:p>
        </w:tc>
        <w:tc>
          <w:tcPr>
            <w:tcW w:w="2060" w:type="dxa"/>
            <w:vAlign w:val="bottom"/>
            <w:tcBorders>
              <w:top w:val="single" w:sz="8" w:color="D7282F"/>
            </w:tcBorders>
            <w:vMerge w:val="restart"/>
          </w:tcPr>
          <w:p>
            <w:pPr>
              <w:jc w:val="center"/>
              <w:ind w:left="88"/>
              <w:spacing w:after="0"/>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4"/>
        </w:trPr>
        <w:tc>
          <w:tcPr>
            <w:tcW w:w="35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700" w:type="dxa"/>
            <w:vAlign w:val="bottom"/>
          </w:tcPr>
          <w:p>
            <w:pPr>
              <w:jc w:val="center"/>
              <w:ind w:left="168"/>
              <w:spacing w:after="0" w:line="145" w:lineRule="exact"/>
              <w:rPr>
                <w:sz w:val="20"/>
                <w:szCs w:val="20"/>
                <w:color w:val="auto"/>
              </w:rPr>
            </w:pPr>
            <w:r>
              <w:rPr>
                <w:rFonts w:ascii="Arial" w:cs="Arial" w:eastAsia="Arial" w:hAnsi="Arial"/>
                <w:sz w:val="14"/>
                <w:szCs w:val="14"/>
                <w:b w:val="1"/>
                <w:bCs w:val="1"/>
                <w:color w:val="auto"/>
              </w:rPr>
              <w:t>of Shares</w:t>
            </w: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2280" w:type="dxa"/>
            <w:vAlign w:val="bottom"/>
            <w:vMerge w:val="restart"/>
          </w:tcPr>
          <w:p>
            <w:pPr>
              <w:jc w:val="center"/>
              <w:ind w:left="428"/>
              <w:spacing w:after="0"/>
              <w:rPr>
                <w:sz w:val="20"/>
                <w:szCs w:val="20"/>
                <w:color w:val="auto"/>
              </w:rPr>
            </w:pPr>
            <w:r>
              <w:rPr>
                <w:rFonts w:ascii="Arial" w:cs="Arial" w:eastAsia="Arial" w:hAnsi="Arial"/>
                <w:sz w:val="14"/>
                <w:szCs w:val="14"/>
                <w:b w:val="1"/>
                <w:bCs w:val="1"/>
                <w:color w:val="auto"/>
              </w:rPr>
              <w:t>Total</w:t>
            </w:r>
          </w:p>
        </w:tc>
        <w:tc>
          <w:tcPr>
            <w:tcW w:w="1680" w:type="dxa"/>
            <w:vAlign w:val="bottom"/>
          </w:tcPr>
          <w:p>
            <w:pPr>
              <w:spacing w:after="0"/>
              <w:rPr>
                <w:sz w:val="12"/>
                <w:szCs w:val="12"/>
                <w:color w:val="auto"/>
              </w:rPr>
            </w:pPr>
          </w:p>
        </w:tc>
        <w:tc>
          <w:tcPr>
            <w:tcW w:w="170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rPr>
              <w:t>Purchased as</w:t>
            </w:r>
          </w:p>
        </w:tc>
        <w:tc>
          <w:tcPr>
            <w:tcW w:w="206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39"/>
        </w:trPr>
        <w:tc>
          <w:tcPr>
            <w:tcW w:w="352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168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rPr>
              <w:t>Average</w:t>
            </w:r>
          </w:p>
        </w:tc>
        <w:tc>
          <w:tcPr>
            <w:tcW w:w="1700" w:type="dxa"/>
            <w:vAlign w:val="bottom"/>
          </w:tcPr>
          <w:p>
            <w:pPr>
              <w:jc w:val="center"/>
              <w:ind w:left="168"/>
              <w:spacing w:after="0" w:line="139" w:lineRule="exact"/>
              <w:rPr>
                <w:sz w:val="20"/>
                <w:szCs w:val="20"/>
                <w:color w:val="auto"/>
              </w:rPr>
            </w:pPr>
            <w:r>
              <w:rPr>
                <w:rFonts w:ascii="Arial" w:cs="Arial" w:eastAsia="Arial" w:hAnsi="Arial"/>
                <w:sz w:val="14"/>
                <w:szCs w:val="14"/>
                <w:b w:val="1"/>
                <w:bCs w:val="1"/>
                <w:color w:val="auto"/>
              </w:rPr>
              <w:t>Part of Publicly</w:t>
            </w:r>
          </w:p>
        </w:tc>
        <w:tc>
          <w:tcPr>
            <w:tcW w:w="2060" w:type="dxa"/>
            <w:vAlign w:val="bottom"/>
          </w:tcPr>
          <w:p>
            <w:pPr>
              <w:jc w:val="center"/>
              <w:ind w:left="68"/>
              <w:spacing w:after="0" w:line="139" w:lineRule="exact"/>
              <w:rPr>
                <w:sz w:val="20"/>
                <w:szCs w:val="20"/>
                <w:color w:val="auto"/>
              </w:rPr>
            </w:pPr>
            <w:r>
              <w:rPr>
                <w:rFonts w:ascii="Arial" w:cs="Arial" w:eastAsia="Arial" w:hAnsi="Arial"/>
                <w:sz w:val="14"/>
                <w:szCs w:val="14"/>
                <w:b w:val="1"/>
                <w:bCs w:val="1"/>
                <w:color w:val="auto"/>
              </w:rPr>
              <w:t>May Yet Be</w:t>
            </w:r>
          </w:p>
        </w:tc>
        <w:tc>
          <w:tcPr>
            <w:tcW w:w="0" w:type="dxa"/>
            <w:vAlign w:val="bottom"/>
          </w:tcPr>
          <w:p>
            <w:pPr>
              <w:spacing w:after="0"/>
              <w:rPr>
                <w:sz w:val="1"/>
                <w:szCs w:val="1"/>
                <w:color w:val="auto"/>
              </w:rPr>
            </w:pPr>
          </w:p>
        </w:tc>
      </w:tr>
      <w:tr>
        <w:trPr>
          <w:trHeight w:val="144"/>
        </w:trPr>
        <w:tc>
          <w:tcPr>
            <w:tcW w:w="3520" w:type="dxa"/>
            <w:vAlign w:val="bottom"/>
          </w:tcPr>
          <w:p>
            <w:pPr>
              <w:spacing w:after="0"/>
              <w:rPr>
                <w:sz w:val="12"/>
                <w:szCs w:val="12"/>
                <w:color w:val="auto"/>
              </w:rPr>
            </w:pPr>
          </w:p>
        </w:tc>
        <w:tc>
          <w:tcPr>
            <w:tcW w:w="2280" w:type="dxa"/>
            <w:vAlign w:val="bottom"/>
          </w:tcPr>
          <w:p>
            <w:pPr>
              <w:jc w:val="center"/>
              <w:ind w:left="448"/>
              <w:spacing w:after="0" w:line="145" w:lineRule="exact"/>
              <w:rPr>
                <w:sz w:val="20"/>
                <w:szCs w:val="20"/>
                <w:color w:val="auto"/>
              </w:rPr>
            </w:pPr>
            <w:r>
              <w:rPr>
                <w:rFonts w:ascii="Arial" w:cs="Arial" w:eastAsia="Arial" w:hAnsi="Arial"/>
                <w:sz w:val="14"/>
                <w:szCs w:val="14"/>
                <w:b w:val="1"/>
                <w:bCs w:val="1"/>
                <w:color w:val="auto"/>
              </w:rPr>
              <w:t>Number of</w:t>
            </w:r>
          </w:p>
        </w:tc>
        <w:tc>
          <w:tcPr>
            <w:tcW w:w="1680" w:type="dxa"/>
            <w:vAlign w:val="bottom"/>
            <w:vMerge w:val="continue"/>
          </w:tcPr>
          <w:p>
            <w:pPr>
              <w:spacing w:after="0"/>
              <w:rPr>
                <w:sz w:val="12"/>
                <w:szCs w:val="12"/>
                <w:color w:val="auto"/>
              </w:rPr>
            </w:pPr>
          </w:p>
        </w:tc>
        <w:tc>
          <w:tcPr>
            <w:tcW w:w="1700" w:type="dxa"/>
            <w:vAlign w:val="bottom"/>
          </w:tcPr>
          <w:p>
            <w:pPr>
              <w:jc w:val="center"/>
              <w:ind w:left="168"/>
              <w:spacing w:after="0" w:line="145" w:lineRule="exact"/>
              <w:rPr>
                <w:sz w:val="20"/>
                <w:szCs w:val="20"/>
                <w:color w:val="auto"/>
              </w:rPr>
            </w:pPr>
            <w:r>
              <w:rPr>
                <w:rFonts w:ascii="Arial" w:cs="Arial" w:eastAsia="Arial" w:hAnsi="Arial"/>
                <w:sz w:val="14"/>
                <w:szCs w:val="14"/>
                <w:b w:val="1"/>
                <w:bCs w:val="1"/>
                <w:color w:val="auto"/>
              </w:rPr>
              <w:t>Announced</w:t>
            </w:r>
          </w:p>
        </w:tc>
        <w:tc>
          <w:tcPr>
            <w:tcW w:w="2060" w:type="dxa"/>
            <w:vAlign w:val="bottom"/>
          </w:tcPr>
          <w:p>
            <w:pPr>
              <w:jc w:val="center"/>
              <w:ind w:left="68"/>
              <w:spacing w:after="0" w:line="145" w:lineRule="exact"/>
              <w:rPr>
                <w:sz w:val="20"/>
                <w:szCs w:val="20"/>
                <w:color w:val="auto"/>
              </w:rPr>
            </w:pPr>
            <w:r>
              <w:rPr>
                <w:rFonts w:ascii="Arial" w:cs="Arial" w:eastAsia="Arial" w:hAnsi="Arial"/>
                <w:sz w:val="14"/>
                <w:szCs w:val="14"/>
                <w:b w:val="1"/>
                <w:bCs w:val="1"/>
                <w:color w:val="auto"/>
              </w:rPr>
              <w:t>Purchased Under Plans or</w:t>
            </w:r>
          </w:p>
        </w:tc>
        <w:tc>
          <w:tcPr>
            <w:tcW w:w="0" w:type="dxa"/>
            <w:vAlign w:val="bottom"/>
          </w:tcPr>
          <w:p>
            <w:pPr>
              <w:spacing w:after="0"/>
              <w:rPr>
                <w:sz w:val="1"/>
                <w:szCs w:val="1"/>
                <w:color w:val="auto"/>
              </w:rPr>
            </w:pPr>
          </w:p>
        </w:tc>
      </w:tr>
      <w:tr>
        <w:trPr>
          <w:trHeight w:val="148"/>
        </w:trPr>
        <w:tc>
          <w:tcPr>
            <w:tcW w:w="3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2280" w:type="dxa"/>
            <w:vAlign w:val="bottom"/>
          </w:tcPr>
          <w:p>
            <w:pPr>
              <w:jc w:val="center"/>
              <w:ind w:left="448"/>
              <w:spacing w:after="0" w:line="149" w:lineRule="exact"/>
              <w:rPr>
                <w:sz w:val="20"/>
                <w:szCs w:val="20"/>
                <w:color w:val="auto"/>
              </w:rPr>
            </w:pPr>
            <w:r>
              <w:rPr>
                <w:rFonts w:ascii="Arial" w:cs="Arial" w:eastAsia="Arial" w:hAnsi="Arial"/>
                <w:sz w:val="14"/>
                <w:szCs w:val="14"/>
                <w:b w:val="1"/>
                <w:bCs w:val="1"/>
                <w:color w:val="auto"/>
              </w:rPr>
              <w:t>Shares</w:t>
            </w:r>
          </w:p>
        </w:tc>
        <w:tc>
          <w:tcPr>
            <w:tcW w:w="168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rPr>
              <w:t>Price Paid</w:t>
            </w:r>
          </w:p>
        </w:tc>
        <w:tc>
          <w:tcPr>
            <w:tcW w:w="170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rPr>
              <w:t>Plans</w:t>
            </w:r>
          </w:p>
        </w:tc>
        <w:tc>
          <w:tcPr>
            <w:tcW w:w="206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89"/>
        </w:trPr>
        <w:tc>
          <w:tcPr>
            <w:tcW w:w="3520" w:type="dxa"/>
            <w:vAlign w:val="bottom"/>
            <w:tcBorders>
              <w:bottom w:val="single" w:sz="8" w:color="D7282F"/>
            </w:tcBorders>
            <w:vMerge w:val="continue"/>
          </w:tcPr>
          <w:p>
            <w:pPr>
              <w:spacing w:after="0"/>
              <w:rPr>
                <w:sz w:val="16"/>
                <w:szCs w:val="16"/>
                <w:color w:val="auto"/>
              </w:rPr>
            </w:pPr>
          </w:p>
        </w:tc>
        <w:tc>
          <w:tcPr>
            <w:tcW w:w="2280" w:type="dxa"/>
            <w:vAlign w:val="bottom"/>
            <w:tcBorders>
              <w:bottom w:val="single" w:sz="8" w:color="D7282F"/>
            </w:tcBorders>
          </w:tcPr>
          <w:p>
            <w:pPr>
              <w:jc w:val="center"/>
              <w:ind w:left="428"/>
              <w:spacing w:after="0"/>
              <w:rPr>
                <w:sz w:val="20"/>
                <w:szCs w:val="20"/>
                <w:color w:val="auto"/>
              </w:rPr>
            </w:pPr>
            <w:r>
              <w:rPr>
                <w:rFonts w:ascii="Arial" w:cs="Arial" w:eastAsia="Arial" w:hAnsi="Arial"/>
                <w:sz w:val="14"/>
                <w:szCs w:val="14"/>
                <w:b w:val="1"/>
                <w:bCs w:val="1"/>
                <w:color w:val="auto"/>
              </w:rPr>
              <w:t>Purchased</w:t>
            </w:r>
          </w:p>
        </w:tc>
        <w:tc>
          <w:tcPr>
            <w:tcW w:w="168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b w:val="1"/>
                <w:bCs w:val="1"/>
                <w:color w:val="auto"/>
              </w:rPr>
              <w:t>per Share</w:t>
            </w:r>
            <w:r>
              <w:rPr>
                <w:rFonts w:ascii="Arial" w:cs="Arial" w:eastAsia="Arial" w:hAnsi="Arial"/>
                <w:sz w:val="9"/>
                <w:szCs w:val="9"/>
                <w:b w:val="1"/>
                <w:bCs w:val="1"/>
                <w:color w:val="auto"/>
              </w:rPr>
              <w:t>1</w:t>
            </w:r>
          </w:p>
        </w:tc>
        <w:tc>
          <w:tcPr>
            <w:tcW w:w="1700" w:type="dxa"/>
            <w:vAlign w:val="bottom"/>
            <w:tcBorders>
              <w:bottom w:val="single" w:sz="8" w:color="D7282F"/>
            </w:tcBorders>
          </w:tcPr>
          <w:p>
            <w:pPr>
              <w:jc w:val="center"/>
              <w:ind w:left="168"/>
              <w:spacing w:after="0"/>
              <w:rPr>
                <w:sz w:val="20"/>
                <w:szCs w:val="20"/>
                <w:color w:val="auto"/>
              </w:rPr>
            </w:pPr>
            <w:r>
              <w:rPr>
                <w:rFonts w:ascii="Arial" w:cs="Arial" w:eastAsia="Arial" w:hAnsi="Arial"/>
                <w:sz w:val="14"/>
                <w:szCs w:val="14"/>
                <w:b w:val="1"/>
                <w:bCs w:val="1"/>
                <w:color w:val="auto"/>
              </w:rPr>
              <w:t>or Programs</w:t>
            </w:r>
          </w:p>
        </w:tc>
        <w:tc>
          <w:tcPr>
            <w:tcW w:w="2060" w:type="dxa"/>
            <w:vAlign w:val="bottom"/>
            <w:tcBorders>
              <w:bottom w:val="single" w:sz="8" w:color="D7282F"/>
            </w:tcBorders>
          </w:tcPr>
          <w:p>
            <w:pPr>
              <w:jc w:val="center"/>
              <w:ind w:left="88"/>
              <w:spacing w:after="0"/>
              <w:rPr>
                <w:sz w:val="20"/>
                <w:szCs w:val="20"/>
                <w:color w:val="auto"/>
              </w:rPr>
            </w:pPr>
            <w:r>
              <w:rPr>
                <w:rFonts w:ascii="Arial" w:cs="Arial" w:eastAsia="Arial" w:hAnsi="Arial"/>
                <w:sz w:val="14"/>
                <w:szCs w:val="14"/>
                <w:b w:val="1"/>
                <w:bCs w:val="1"/>
                <w:color w:val="auto"/>
              </w:rPr>
              <w:t>(Dollars in millions)</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92"/>
        </w:trPr>
        <w:tc>
          <w:tcPr>
            <w:tcW w:w="35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June 29, 2025 - July 26, 2025</w:t>
            </w:r>
          </w:p>
        </w:tc>
        <w:tc>
          <w:tcPr>
            <w:tcW w:w="2280" w:type="dxa"/>
            <w:vAlign w:val="bottom"/>
            <w:tcBorders>
              <w:bottom w:val="single" w:sz="8" w:color="61656A"/>
            </w:tcBorders>
          </w:tcPr>
          <w:p>
            <w:pPr>
              <w:jc w:val="center"/>
              <w:ind w:left="428"/>
              <w:spacing w:after="0"/>
              <w:rPr>
                <w:sz w:val="20"/>
                <w:szCs w:val="20"/>
                <w:color w:val="auto"/>
              </w:rPr>
            </w:pPr>
            <w:r>
              <w:rPr>
                <w:rFonts w:ascii="Arial" w:cs="Arial" w:eastAsia="Arial" w:hAnsi="Arial"/>
                <w:sz w:val="14"/>
                <w:szCs w:val="14"/>
                <w:color w:val="auto"/>
                <w:w w:val="99"/>
              </w:rPr>
              <w:t>—</w:t>
            </w:r>
          </w:p>
        </w:tc>
        <w:tc>
          <w:tcPr>
            <w:tcW w:w="1680" w:type="dxa"/>
            <w:vAlign w:val="bottom"/>
            <w:tcBorders>
              <w:bottom w:val="single" w:sz="8" w:color="61656A"/>
            </w:tcBorders>
          </w:tcPr>
          <w:p>
            <w:pPr>
              <w:jc w:val="center"/>
              <w:ind w:left="28"/>
              <w:spacing w:after="0"/>
              <w:rPr>
                <w:sz w:val="20"/>
                <w:szCs w:val="20"/>
                <w:color w:val="auto"/>
              </w:rPr>
            </w:pPr>
            <w:r>
              <w:rPr>
                <w:rFonts w:ascii="Arial" w:cs="Arial" w:eastAsia="Arial" w:hAnsi="Arial"/>
                <w:sz w:val="14"/>
                <w:szCs w:val="14"/>
                <w:color w:val="auto"/>
                <w:w w:val="99"/>
              </w:rPr>
              <w:t>—</w:t>
            </w:r>
          </w:p>
        </w:tc>
        <w:tc>
          <w:tcPr>
            <w:tcW w:w="1700" w:type="dxa"/>
            <w:vAlign w:val="bottom"/>
            <w:tcBorders>
              <w:bottom w:val="single" w:sz="8" w:color="61656A"/>
            </w:tcBorders>
          </w:tcPr>
          <w:p>
            <w:pPr>
              <w:jc w:val="center"/>
              <w:ind w:left="168"/>
              <w:spacing w:after="0"/>
              <w:rPr>
                <w:sz w:val="20"/>
                <w:szCs w:val="20"/>
                <w:color w:val="auto"/>
              </w:rPr>
            </w:pPr>
            <w:r>
              <w:rPr>
                <w:rFonts w:ascii="Arial" w:cs="Arial" w:eastAsia="Arial" w:hAnsi="Arial"/>
                <w:sz w:val="14"/>
                <w:szCs w:val="14"/>
                <w:color w:val="auto"/>
                <w:w w:val="99"/>
              </w:rPr>
              <w:t>—</w:t>
            </w:r>
          </w:p>
        </w:tc>
        <w:tc>
          <w:tcPr>
            <w:tcW w:w="2060" w:type="dxa"/>
            <w:vAlign w:val="bottom"/>
            <w:tcBorders>
              <w:bottom w:val="single" w:sz="8" w:color="61656A"/>
            </w:tcBorders>
          </w:tcPr>
          <w:p>
            <w:pPr>
              <w:jc w:val="center"/>
              <w:ind w:left="68"/>
              <w:spacing w:after="0"/>
              <w:rPr>
                <w:sz w:val="20"/>
                <w:szCs w:val="20"/>
                <w:color w:val="auto"/>
              </w:rPr>
            </w:pPr>
            <w:r>
              <w:rPr>
                <w:rFonts w:ascii="Arial" w:cs="Arial" w:eastAsia="Arial" w:hAnsi="Arial"/>
                <w:sz w:val="14"/>
                <w:szCs w:val="14"/>
                <w:color w:val="auto"/>
              </w:rPr>
              <w:t>$1,879</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July 27, 2025 - August 23, 2025</w:t>
            </w:r>
          </w:p>
        </w:tc>
        <w:tc>
          <w:tcPr>
            <w:tcW w:w="2280" w:type="dxa"/>
            <w:vAlign w:val="bottom"/>
            <w:tcBorders>
              <w:bottom w:val="single" w:sz="8" w:color="61656A"/>
            </w:tcBorders>
          </w:tcPr>
          <w:p>
            <w:pPr>
              <w:jc w:val="center"/>
              <w:ind w:left="448"/>
              <w:spacing w:after="0"/>
              <w:rPr>
                <w:sz w:val="20"/>
                <w:szCs w:val="20"/>
                <w:color w:val="auto"/>
              </w:rPr>
            </w:pPr>
            <w:r>
              <w:rPr>
                <w:rFonts w:ascii="Arial" w:cs="Arial" w:eastAsia="Arial" w:hAnsi="Arial"/>
                <w:sz w:val="14"/>
                <w:szCs w:val="14"/>
                <w:color w:val="auto"/>
              </w:rPr>
              <w:t>457,376</w:t>
            </w:r>
          </w:p>
        </w:tc>
        <w:tc>
          <w:tcPr>
            <w:tcW w:w="168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$218.64</w:t>
            </w:r>
          </w:p>
        </w:tc>
        <w:tc>
          <w:tcPr>
            <w:tcW w:w="1700" w:type="dxa"/>
            <w:vAlign w:val="bottom"/>
            <w:tcBorders>
              <w:bottom w:val="single" w:sz="8" w:color="61656A"/>
            </w:tcBorders>
          </w:tcPr>
          <w:p>
            <w:pPr>
              <w:jc w:val="center"/>
              <w:ind w:left="188"/>
              <w:spacing w:after="0"/>
              <w:rPr>
                <w:sz w:val="20"/>
                <w:szCs w:val="20"/>
                <w:color w:val="auto"/>
              </w:rPr>
            </w:pPr>
            <w:r>
              <w:rPr>
                <w:rFonts w:ascii="Arial" w:cs="Arial" w:eastAsia="Arial" w:hAnsi="Arial"/>
                <w:sz w:val="14"/>
                <w:szCs w:val="14"/>
                <w:color w:val="auto"/>
              </w:rPr>
              <w:t>457,376</w:t>
            </w:r>
          </w:p>
        </w:tc>
        <w:tc>
          <w:tcPr>
            <w:tcW w:w="2060" w:type="dxa"/>
            <w:vAlign w:val="bottom"/>
            <w:tcBorders>
              <w:bottom w:val="single" w:sz="8" w:color="61656A"/>
            </w:tcBorders>
          </w:tcPr>
          <w:p>
            <w:pPr>
              <w:jc w:val="center"/>
              <w:ind w:left="68"/>
              <w:spacing w:after="0"/>
              <w:rPr>
                <w:sz w:val="20"/>
                <w:szCs w:val="20"/>
                <w:color w:val="auto"/>
              </w:rPr>
            </w:pPr>
            <w:r>
              <w:rPr>
                <w:rFonts w:ascii="Arial" w:cs="Arial" w:eastAsia="Arial" w:hAnsi="Arial"/>
                <w:sz w:val="14"/>
                <w:szCs w:val="14"/>
                <w:color w:val="auto"/>
              </w:rPr>
              <w:t>$1,779</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August 24, 2025 - September 27, 2025</w:t>
            </w:r>
          </w:p>
        </w:tc>
        <w:tc>
          <w:tcPr>
            <w:tcW w:w="2280" w:type="dxa"/>
            <w:vAlign w:val="bottom"/>
            <w:tcBorders>
              <w:bottom w:val="single" w:sz="8" w:color="D7282F"/>
            </w:tcBorders>
          </w:tcPr>
          <w:p>
            <w:pPr>
              <w:jc w:val="center"/>
              <w:ind w:left="428"/>
              <w:spacing w:after="0"/>
              <w:rPr>
                <w:sz w:val="20"/>
                <w:szCs w:val="20"/>
                <w:color w:val="auto"/>
              </w:rPr>
            </w:pPr>
            <w:r>
              <w:rPr>
                <w:rFonts w:ascii="Arial" w:cs="Arial" w:eastAsia="Arial" w:hAnsi="Arial"/>
                <w:sz w:val="14"/>
                <w:szCs w:val="14"/>
                <w:color w:val="auto"/>
                <w:w w:val="99"/>
              </w:rPr>
              <w:t>—</w:t>
            </w:r>
          </w:p>
        </w:tc>
        <w:tc>
          <w:tcPr>
            <w:tcW w:w="1680" w:type="dxa"/>
            <w:vAlign w:val="bottom"/>
            <w:tcBorders>
              <w:bottom w:val="single" w:sz="8" w:color="D7282F"/>
            </w:tcBorders>
          </w:tcPr>
          <w:p>
            <w:pPr>
              <w:jc w:val="center"/>
              <w:ind w:left="28"/>
              <w:spacing w:after="0"/>
              <w:rPr>
                <w:sz w:val="20"/>
                <w:szCs w:val="20"/>
                <w:color w:val="auto"/>
              </w:rPr>
            </w:pPr>
            <w:r>
              <w:rPr>
                <w:rFonts w:ascii="Arial" w:cs="Arial" w:eastAsia="Arial" w:hAnsi="Arial"/>
                <w:sz w:val="14"/>
                <w:szCs w:val="14"/>
                <w:color w:val="auto"/>
                <w:w w:val="99"/>
              </w:rPr>
              <w:t>—</w:t>
            </w:r>
          </w:p>
        </w:tc>
        <w:tc>
          <w:tcPr>
            <w:tcW w:w="1700" w:type="dxa"/>
            <w:vAlign w:val="bottom"/>
            <w:tcBorders>
              <w:bottom w:val="single" w:sz="8" w:color="D7282F"/>
            </w:tcBorders>
          </w:tcPr>
          <w:p>
            <w:pPr>
              <w:jc w:val="center"/>
              <w:ind w:left="168"/>
              <w:spacing w:after="0"/>
              <w:rPr>
                <w:sz w:val="20"/>
                <w:szCs w:val="20"/>
                <w:color w:val="auto"/>
              </w:rPr>
            </w:pPr>
            <w:r>
              <w:rPr>
                <w:rFonts w:ascii="Arial" w:cs="Arial" w:eastAsia="Arial" w:hAnsi="Arial"/>
                <w:sz w:val="14"/>
                <w:szCs w:val="14"/>
                <w:color w:val="auto"/>
                <w:w w:val="99"/>
              </w:rPr>
              <w:t>—</w:t>
            </w:r>
          </w:p>
        </w:tc>
        <w:tc>
          <w:tcPr>
            <w:tcW w:w="206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color w:val="auto"/>
              </w:rPr>
              <w:t>$1,779</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80" w:hanging="344"/>
        <w:spacing w:after="0"/>
        <w:tabs>
          <w:tab w:leader="none" w:pos="480" w:val="left"/>
        </w:tabs>
        <w:numPr>
          <w:ilvl w:val="0"/>
          <w:numId w:val="70"/>
        </w:numPr>
        <w:rPr>
          <w:rFonts w:ascii="Arial" w:cs="Arial" w:eastAsia="Arial" w:hAnsi="Arial"/>
          <w:sz w:val="13"/>
          <w:szCs w:val="13"/>
          <w:color w:val="auto"/>
        </w:rPr>
      </w:pPr>
      <w:r>
        <w:rPr>
          <w:rFonts w:ascii="Arial" w:cs="Arial" w:eastAsia="Arial" w:hAnsi="Arial"/>
          <w:sz w:val="13"/>
          <w:szCs w:val="13"/>
          <w:color w:val="auto"/>
        </w:rPr>
        <w:t>Excludes excise tax on net share repurchases.</w:t>
      </w:r>
    </w:p>
    <w:p>
      <w:pPr>
        <w:spacing w:after="0" w:line="19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4. MINE SAFETY DISCLOSURES</w:t>
      </w:r>
    </w:p>
    <w:p>
      <w:pPr>
        <w:spacing w:after="0" w:line="39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One of our wholly-owned subsidiaries has a placer claim for and operates a chabazite ore surface mine in Arizona. Information concerning mine safety and other regulatory matters associated with this mine is required by Section 1503(a) of the Dodd-Frank Wall Street Reform and Consumer Protection Act and Item 104 of Regulation S-K and is included in Exhibit 95 to this quarterly report.</w:t>
      </w:r>
    </w:p>
    <w:p>
      <w:pPr>
        <w:spacing w:after="0" w:line="30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5. OTHER INFORMATION</w:t>
      </w:r>
    </w:p>
    <w:p>
      <w:pPr>
        <w:spacing w:after="0" w:line="361" w:lineRule="exact"/>
        <w:rPr>
          <w:sz w:val="20"/>
          <w:szCs w:val="20"/>
          <w:color w:val="auto"/>
        </w:rPr>
      </w:pPr>
    </w:p>
    <w:p>
      <w:pPr>
        <w:spacing w:after="0"/>
        <w:rPr>
          <w:sz w:val="20"/>
          <w:szCs w:val="20"/>
          <w:color w:val="auto"/>
        </w:rPr>
      </w:pPr>
      <w:r>
        <w:rPr>
          <w:rFonts w:ascii="Arial" w:cs="Arial" w:eastAsia="Arial" w:hAnsi="Arial"/>
          <w:sz w:val="29"/>
          <w:szCs w:val="29"/>
          <w:color w:val="D7282F"/>
        </w:rPr>
        <w:t>EQUITY TRADING ARRANGEMENTS ELECTIONS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Certain executive officers and directors of the Company may execute purchases and sales of the Company's common stock through Rule 10b5-1 and non-Rule 10b5-1 equity trading arrangements. The following table describes an equity trading plan adopted by one of our executive officers during the three months ended September 30, 2025:</w:t>
      </w:r>
    </w:p>
    <w:p>
      <w:pPr>
        <w:spacing w:after="0" w:line="395" w:lineRule="exact"/>
        <w:rPr>
          <w:sz w:val="20"/>
          <w:szCs w:val="20"/>
          <w:color w:val="auto"/>
        </w:rPr>
      </w:pPr>
    </w:p>
    <w:p>
      <w:pPr>
        <w:ind w:left="400" w:hanging="392"/>
        <w:spacing w:after="0"/>
        <w:tabs>
          <w:tab w:leader="none" w:pos="400" w:val="left"/>
        </w:tabs>
        <w:numPr>
          <w:ilvl w:val="0"/>
          <w:numId w:val="71"/>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jc w:val="center"/>
              <w:ind w:left="28"/>
              <w:spacing w:after="0"/>
              <w:rPr>
                <w:sz w:val="20"/>
                <w:szCs w:val="20"/>
                <w:color w:val="auto"/>
              </w:rPr>
            </w:pPr>
            <w:r>
              <w:rPr>
                <w:rFonts w:ascii="Arial" w:cs="Arial" w:eastAsia="Arial" w:hAnsi="Arial"/>
                <w:sz w:val="14"/>
                <w:szCs w:val="14"/>
                <w:b w:val="1"/>
                <w:bCs w:val="1"/>
                <w:color w:val="auto"/>
              </w:rPr>
              <w:t>Date of adoption of</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Scheduled</w:t>
            </w:r>
          </w:p>
        </w:tc>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Aggregate number of securities to be purchased or</w:t>
            </w:r>
          </w:p>
        </w:tc>
        <w:tc>
          <w:tcPr>
            <w:tcW w:w="0" w:type="dxa"/>
            <w:vAlign w:val="bottom"/>
          </w:tcPr>
          <w:p>
            <w:pPr>
              <w:spacing w:after="0"/>
              <w:rPr>
                <w:sz w:val="1"/>
                <w:szCs w:val="1"/>
                <w:color w:val="auto"/>
              </w:rPr>
            </w:pPr>
          </w:p>
        </w:tc>
      </w:tr>
      <w:tr>
        <w:trPr>
          <w:trHeight w:val="144"/>
        </w:trPr>
        <w:tc>
          <w:tcPr>
            <w:tcW w:w="2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title</w:t>
            </w:r>
          </w:p>
        </w:tc>
        <w:tc>
          <w:tcPr>
            <w:tcW w:w="122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auto"/>
              </w:rPr>
              <w:t>Action</w:t>
            </w:r>
          </w:p>
        </w:tc>
        <w:tc>
          <w:tcPr>
            <w:tcW w:w="112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rPr>
              <w:t>Plan type</w:t>
            </w:r>
          </w:p>
        </w:tc>
        <w:tc>
          <w:tcPr>
            <w:tcW w:w="1460" w:type="dxa"/>
            <w:vAlign w:val="bottom"/>
          </w:tcPr>
          <w:p>
            <w:pPr>
              <w:jc w:val="center"/>
              <w:ind w:left="8"/>
              <w:spacing w:after="0" w:line="145" w:lineRule="exact"/>
              <w:rPr>
                <w:sz w:val="20"/>
                <w:szCs w:val="20"/>
                <w:color w:val="auto"/>
              </w:rPr>
            </w:pPr>
            <w:r>
              <w:rPr>
                <w:rFonts w:ascii="Arial" w:cs="Arial" w:eastAsia="Arial" w:hAnsi="Arial"/>
                <w:sz w:val="14"/>
                <w:szCs w:val="14"/>
                <w:b w:val="1"/>
                <w:bCs w:val="1"/>
                <w:color w:val="auto"/>
              </w:rPr>
              <w:t>Rule 10b5-1 trading</w:t>
            </w:r>
          </w:p>
        </w:tc>
        <w:tc>
          <w:tcPr>
            <w:tcW w:w="13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expiration of Rule</w:t>
            </w:r>
          </w:p>
        </w:tc>
        <w:tc>
          <w:tcPr>
            <w:tcW w:w="3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20" w:type="dxa"/>
            <w:vAlign w:val="bottom"/>
            <w:tcBorders>
              <w:bottom w:val="single" w:sz="8" w:color="D7282F"/>
            </w:tcBorders>
            <w:vMerge w:val="continue"/>
          </w:tcPr>
          <w:p>
            <w:pPr>
              <w:spacing w:after="0"/>
              <w:rPr>
                <w:sz w:val="16"/>
                <w:szCs w:val="16"/>
                <w:color w:val="auto"/>
              </w:rPr>
            </w:pPr>
          </w:p>
        </w:tc>
        <w:tc>
          <w:tcPr>
            <w:tcW w:w="1220" w:type="dxa"/>
            <w:vAlign w:val="bottom"/>
            <w:tcBorders>
              <w:bottom w:val="single" w:sz="8" w:color="D7282F"/>
            </w:tcBorders>
            <w:vMerge w:val="continue"/>
          </w:tcPr>
          <w:p>
            <w:pPr>
              <w:spacing w:after="0"/>
              <w:rPr>
                <w:sz w:val="16"/>
                <w:szCs w:val="16"/>
                <w:color w:val="auto"/>
              </w:rPr>
            </w:pPr>
          </w:p>
        </w:tc>
        <w:tc>
          <w:tcPr>
            <w:tcW w:w="1120" w:type="dxa"/>
            <w:vAlign w:val="bottom"/>
            <w:tcBorders>
              <w:bottom w:val="single" w:sz="8" w:color="D7282F"/>
            </w:tcBorders>
            <w:vMerge w:val="continue"/>
          </w:tcPr>
          <w:p>
            <w:pPr>
              <w:spacing w:after="0"/>
              <w:rPr>
                <w:sz w:val="16"/>
                <w:szCs w:val="16"/>
                <w:color w:val="auto"/>
              </w:rPr>
            </w:pPr>
          </w:p>
        </w:tc>
        <w:tc>
          <w:tcPr>
            <w:tcW w:w="146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b w:val="1"/>
                <w:bCs w:val="1"/>
                <w:color w:val="auto"/>
              </w:rPr>
              <w:t>plan</w:t>
            </w:r>
          </w:p>
        </w:tc>
        <w:tc>
          <w:tcPr>
            <w:tcW w:w="138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10b5-1 trading plan</w:t>
            </w:r>
          </w:p>
        </w:tc>
        <w:tc>
          <w:tcPr>
            <w:tcW w:w="374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sold</w:t>
            </w:r>
          </w:p>
        </w:tc>
        <w:tc>
          <w:tcPr>
            <w:tcW w:w="0" w:type="dxa"/>
            <w:vAlign w:val="bottom"/>
          </w:tcPr>
          <w:p>
            <w:pPr>
              <w:spacing w:after="0"/>
              <w:rPr>
                <w:sz w:val="1"/>
                <w:szCs w:val="1"/>
                <w:color w:val="auto"/>
              </w:rPr>
            </w:pPr>
          </w:p>
        </w:tc>
      </w:tr>
      <w:tr>
        <w:trPr>
          <w:trHeight w:val="146"/>
        </w:trPr>
        <w:tc>
          <w:tcPr>
            <w:tcW w:w="2320" w:type="dxa"/>
            <w:vAlign w:val="bottom"/>
          </w:tcPr>
          <w:p>
            <w:pPr>
              <w:ind w:left="20"/>
              <w:spacing w:after="0" w:line="147" w:lineRule="exact"/>
              <w:rPr>
                <w:sz w:val="20"/>
                <w:szCs w:val="20"/>
                <w:color w:val="auto"/>
              </w:rPr>
            </w:pPr>
            <w:r>
              <w:rPr>
                <w:rFonts w:ascii="Arial" w:cs="Arial" w:eastAsia="Arial" w:hAnsi="Arial"/>
                <w:sz w:val="14"/>
                <w:szCs w:val="14"/>
                <w:color w:val="auto"/>
              </w:rPr>
              <w:t>Robert D. Mailloux</w:t>
            </w:r>
          </w:p>
        </w:tc>
        <w:tc>
          <w:tcPr>
            <w:tcW w:w="1220" w:type="dxa"/>
            <w:vAlign w:val="bottom"/>
          </w:tcPr>
          <w:p>
            <w:pPr>
              <w:jc w:val="center"/>
              <w:ind w:left="108"/>
              <w:spacing w:after="0" w:line="147" w:lineRule="exact"/>
              <w:rPr>
                <w:sz w:val="20"/>
                <w:szCs w:val="20"/>
                <w:color w:val="auto"/>
              </w:rPr>
            </w:pPr>
            <w:r>
              <w:rPr>
                <w:rFonts w:ascii="Arial" w:cs="Arial" w:eastAsia="Arial" w:hAnsi="Arial"/>
                <w:sz w:val="14"/>
                <w:szCs w:val="14"/>
                <w:color w:val="auto"/>
              </w:rPr>
              <w:t>Adoption</w:t>
            </w:r>
          </w:p>
        </w:tc>
        <w:tc>
          <w:tcPr>
            <w:tcW w:w="1120" w:type="dxa"/>
            <w:vAlign w:val="bottom"/>
          </w:tcPr>
          <w:p>
            <w:pPr>
              <w:jc w:val="center"/>
              <w:ind w:left="68"/>
              <w:spacing w:after="0" w:line="147" w:lineRule="exact"/>
              <w:rPr>
                <w:sz w:val="20"/>
                <w:szCs w:val="20"/>
                <w:color w:val="auto"/>
              </w:rPr>
            </w:pPr>
            <w:r>
              <w:rPr>
                <w:rFonts w:ascii="Arial" w:cs="Arial" w:eastAsia="Arial" w:hAnsi="Arial"/>
                <w:sz w:val="14"/>
                <w:szCs w:val="14"/>
                <w:color w:val="auto"/>
              </w:rPr>
              <w:t>Rule 10b5-1</w:t>
            </w:r>
          </w:p>
        </w:tc>
        <w:tc>
          <w:tcPr>
            <w:tcW w:w="1460" w:type="dxa"/>
            <w:vAlign w:val="bottom"/>
          </w:tcPr>
          <w:p>
            <w:pPr>
              <w:jc w:val="center"/>
              <w:ind w:left="28"/>
              <w:spacing w:after="0" w:line="147" w:lineRule="exact"/>
              <w:rPr>
                <w:sz w:val="20"/>
                <w:szCs w:val="20"/>
                <w:color w:val="auto"/>
              </w:rPr>
            </w:pPr>
            <w:r>
              <w:rPr>
                <w:rFonts w:ascii="Arial" w:cs="Arial" w:eastAsia="Arial" w:hAnsi="Arial"/>
                <w:sz w:val="14"/>
                <w:szCs w:val="14"/>
                <w:color w:val="auto"/>
              </w:rPr>
              <w:t>8/26/2025</w:t>
            </w:r>
          </w:p>
        </w:tc>
        <w:tc>
          <w:tcPr>
            <w:tcW w:w="1380" w:type="dxa"/>
            <w:vAlign w:val="bottom"/>
          </w:tcPr>
          <w:p>
            <w:pPr>
              <w:jc w:val="center"/>
              <w:spacing w:after="0" w:line="147" w:lineRule="exact"/>
              <w:rPr>
                <w:sz w:val="20"/>
                <w:szCs w:val="20"/>
                <w:color w:val="auto"/>
              </w:rPr>
            </w:pPr>
            <w:r>
              <w:rPr>
                <w:rFonts w:ascii="Arial" w:cs="Arial" w:eastAsia="Arial" w:hAnsi="Arial"/>
                <w:sz w:val="14"/>
                <w:szCs w:val="14"/>
                <w:color w:val="auto"/>
              </w:rPr>
              <w:t>8/31/2026</w:t>
            </w:r>
          </w:p>
        </w:tc>
        <w:tc>
          <w:tcPr>
            <w:tcW w:w="3740" w:type="dxa"/>
            <w:vAlign w:val="bottom"/>
          </w:tcPr>
          <w:p>
            <w:pPr>
              <w:ind w:left="20"/>
              <w:spacing w:after="0" w:line="147" w:lineRule="exact"/>
              <w:rPr>
                <w:sz w:val="20"/>
                <w:szCs w:val="20"/>
                <w:color w:val="auto"/>
              </w:rPr>
            </w:pPr>
            <w:r>
              <w:rPr>
                <w:rFonts w:ascii="Arial" w:cs="Arial" w:eastAsia="Arial" w:hAnsi="Arial"/>
                <w:sz w:val="14"/>
                <w:szCs w:val="14"/>
                <w:color w:val="auto"/>
              </w:rPr>
              <w:t>20,000 stock options and associated sale of shares to</w:t>
            </w:r>
          </w:p>
        </w:tc>
        <w:tc>
          <w:tcPr>
            <w:tcW w:w="0" w:type="dxa"/>
            <w:vAlign w:val="bottom"/>
          </w:tcPr>
          <w:p>
            <w:pPr>
              <w:spacing w:after="0"/>
              <w:rPr>
                <w:sz w:val="1"/>
                <w:szCs w:val="1"/>
                <w:color w:val="auto"/>
              </w:rPr>
            </w:pPr>
          </w:p>
        </w:tc>
      </w:tr>
      <w:tr>
        <w:trPr>
          <w:trHeight w:val="185"/>
        </w:trPr>
        <w:tc>
          <w:tcPr>
            <w:tcW w:w="23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Vice President and Controller</w:t>
            </w:r>
          </w:p>
        </w:tc>
        <w:tc>
          <w:tcPr>
            <w:tcW w:w="1220" w:type="dxa"/>
            <w:vAlign w:val="bottom"/>
            <w:tcBorders>
              <w:bottom w:val="single" w:sz="8" w:color="D7282F"/>
            </w:tcBorders>
          </w:tcPr>
          <w:p>
            <w:pPr>
              <w:spacing w:after="0"/>
              <w:rPr>
                <w:sz w:val="16"/>
                <w:szCs w:val="16"/>
                <w:color w:val="auto"/>
              </w:rPr>
            </w:pPr>
          </w:p>
        </w:tc>
        <w:tc>
          <w:tcPr>
            <w:tcW w:w="1120" w:type="dxa"/>
            <w:vAlign w:val="bottom"/>
            <w:tcBorders>
              <w:bottom w:val="single" w:sz="8" w:color="D7282F"/>
            </w:tcBorders>
          </w:tcPr>
          <w:p>
            <w:pPr>
              <w:spacing w:after="0"/>
              <w:rPr>
                <w:sz w:val="16"/>
                <w:szCs w:val="16"/>
                <w:color w:val="auto"/>
              </w:rPr>
            </w:pPr>
          </w:p>
        </w:tc>
        <w:tc>
          <w:tcPr>
            <w:tcW w:w="1460" w:type="dxa"/>
            <w:vAlign w:val="bottom"/>
            <w:tcBorders>
              <w:bottom w:val="single" w:sz="8" w:color="D7282F"/>
            </w:tcBorders>
          </w:tcPr>
          <w:p>
            <w:pPr>
              <w:spacing w:after="0"/>
              <w:rPr>
                <w:sz w:val="16"/>
                <w:szCs w:val="16"/>
                <w:color w:val="auto"/>
              </w:rPr>
            </w:pPr>
          </w:p>
        </w:tc>
        <w:tc>
          <w:tcPr>
            <w:tcW w:w="1380" w:type="dxa"/>
            <w:vAlign w:val="bottom"/>
            <w:tcBorders>
              <w:bottom w:val="single" w:sz="8" w:color="D7282F"/>
            </w:tcBorders>
          </w:tcPr>
          <w:p>
            <w:pPr>
              <w:spacing w:after="0"/>
              <w:rPr>
                <w:sz w:val="16"/>
                <w:szCs w:val="16"/>
                <w:color w:val="auto"/>
              </w:rPr>
            </w:pPr>
          </w:p>
        </w:tc>
        <w:tc>
          <w:tcPr>
            <w:tcW w:w="37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cover option exercise costs and tax obligations.</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During the three months ended September 30, 2025, none of our executive officers or directors terminated or modified a "Rule 10b5-1 trading agreement," or adopted, terminated, or modified any "non-Rule 10b5-1 trading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0" w:hanging="392"/>
        <w:spacing w:after="0"/>
        <w:tabs>
          <w:tab w:leader="none" w:pos="400" w:val="left"/>
        </w:tabs>
        <w:numPr>
          <w:ilvl w:val="0"/>
          <w:numId w:val="7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6. EXHIBITS</w:t>
      </w:r>
    </w:p>
    <w:p>
      <w:pPr>
        <w:spacing w:after="0" w:line="200" w:lineRule="exact"/>
        <w:rPr>
          <w:sz w:val="20"/>
          <w:szCs w:val="20"/>
          <w:color w:val="auto"/>
        </w:rPr>
      </w:pP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b w:val="1"/>
                <w:bCs w:val="1"/>
                <w:color w:val="auto"/>
              </w:rPr>
              <w:t>Description</w:t>
            </w:r>
          </w:p>
        </w:tc>
      </w:tr>
      <w:tr>
        <w:trPr>
          <w:trHeight w:val="143"/>
        </w:trPr>
        <w:tc>
          <w:tcPr>
            <w:tcW w:w="1080" w:type="dxa"/>
            <w:vAlign w:val="bottom"/>
          </w:tcPr>
          <w:p>
            <w:pPr>
              <w:ind w:left="20"/>
              <w:spacing w:after="0" w:line="143" w:lineRule="exact"/>
              <w:rPr>
                <w:sz w:val="20"/>
                <w:szCs w:val="20"/>
                <w:color w:val="auto"/>
              </w:rPr>
            </w:pPr>
            <w:r>
              <w:rPr>
                <w:rFonts w:ascii="Arial" w:cs="Arial" w:eastAsia="Arial" w:hAnsi="Arial"/>
                <w:sz w:val="14"/>
                <w:szCs w:val="14"/>
                <w:color w:val="auto"/>
              </w:rPr>
              <w:t>3.1</w:t>
            </w:r>
          </w:p>
        </w:tc>
        <w:tc>
          <w:tcPr>
            <w:tcW w:w="10120" w:type="dxa"/>
            <w:vAlign w:val="bottom"/>
          </w:tcPr>
          <w:p>
            <w:pPr>
              <w:ind w:left="300"/>
              <w:spacing w:after="0" w:line="143" w:lineRule="exact"/>
              <w:rPr>
                <w:rFonts w:ascii="Arial" w:cs="Arial" w:eastAsia="Arial" w:hAnsi="Arial"/>
                <w:sz w:val="14"/>
                <w:szCs w:val="14"/>
                <w:color w:val="auto"/>
              </w:rPr>
            </w:pPr>
            <w:hyperlink r:id="rId84">
              <w:r>
                <w:rPr>
                  <w:rFonts w:ascii="Arial" w:cs="Arial" w:eastAsia="Arial" w:hAnsi="Arial"/>
                  <w:sz w:val="14"/>
                  <w:szCs w:val="14"/>
                  <w:color w:val="auto"/>
                </w:rPr>
                <w:t>Amended and Restated By-laws of Honeywell International Inc., dated July 25, 2025 (incorporated by reference to Exhibit 3(i) to Honeywell's Form 8-K</w:t>
              </w:r>
            </w:hyperlink>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rFonts w:ascii="Arial" w:cs="Arial" w:eastAsia="Arial" w:hAnsi="Arial"/>
                <w:sz w:val="14"/>
                <w:szCs w:val="14"/>
                <w:color w:val="auto"/>
              </w:rPr>
            </w:pPr>
            <w:hyperlink r:id="rId84">
              <w:r>
                <w:rPr>
                  <w:rFonts w:ascii="Arial" w:cs="Arial" w:eastAsia="Arial" w:hAnsi="Arial"/>
                  <w:sz w:val="14"/>
                  <w:szCs w:val="14"/>
                  <w:color w:val="auto"/>
                </w:rPr>
                <w:t>filed July 30, 2025)</w:t>
              </w:r>
            </w:hyperlink>
          </w:p>
        </w:tc>
      </w:tr>
      <w:tr>
        <w:trPr>
          <w:trHeight w:val="192"/>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31.1</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Certification of Principal Executive Officer Pursuant to Section 302 of the Sarbanes-Oxley Act of 2002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31.2</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Certification of Principal Financial Officer Pursuant to Section 302 of the Sarbanes-Oxley Act of 2002 (filed herewith)</w:t>
            </w:r>
          </w:p>
        </w:tc>
      </w:tr>
      <w:tr>
        <w:trPr>
          <w:trHeight w:val="146"/>
        </w:trPr>
        <w:tc>
          <w:tcPr>
            <w:tcW w:w="1080" w:type="dxa"/>
            <w:vAlign w:val="bottom"/>
          </w:tcPr>
          <w:p>
            <w:pPr>
              <w:ind w:left="20"/>
              <w:spacing w:after="0" w:line="146" w:lineRule="exact"/>
              <w:rPr>
                <w:sz w:val="20"/>
                <w:szCs w:val="20"/>
                <w:color w:val="auto"/>
              </w:rPr>
            </w:pPr>
            <w:r>
              <w:rPr>
                <w:rFonts w:ascii="Arial" w:cs="Arial" w:eastAsia="Arial" w:hAnsi="Arial"/>
                <w:sz w:val="14"/>
                <w:szCs w:val="14"/>
                <w:color w:val="auto"/>
              </w:rPr>
              <w:t>32.1</w:t>
            </w:r>
          </w:p>
        </w:tc>
        <w:tc>
          <w:tcPr>
            <w:tcW w:w="10120" w:type="dxa"/>
            <w:vAlign w:val="bottom"/>
          </w:tcPr>
          <w:p>
            <w:pPr>
              <w:ind w:left="300"/>
              <w:spacing w:after="0" w:line="146" w:lineRule="exact"/>
              <w:rPr>
                <w:sz w:val="20"/>
                <w:szCs w:val="20"/>
                <w:color w:val="auto"/>
              </w:rPr>
            </w:pPr>
            <w:r>
              <w:rPr>
                <w:rFonts w:ascii="Arial" w:cs="Arial" w:eastAsia="Arial" w:hAnsi="Arial"/>
                <w:sz w:val="14"/>
                <w:szCs w:val="14"/>
                <w:color w:val="auto"/>
              </w:rPr>
              <w:t>Certification of Principal Executive Officer Pursuant to 18 U.S.C. Section 1350, as Adopted Pursuant to Section 906 of the Sarbanes-Oxley Act of 2002</w:t>
            </w:r>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(furnished herewith)</w:t>
            </w:r>
          </w:p>
        </w:tc>
      </w:tr>
      <w:tr>
        <w:trPr>
          <w:trHeight w:val="142"/>
        </w:trPr>
        <w:tc>
          <w:tcPr>
            <w:tcW w:w="1080" w:type="dxa"/>
            <w:vAlign w:val="bottom"/>
          </w:tcPr>
          <w:p>
            <w:pPr>
              <w:ind w:left="20"/>
              <w:spacing w:after="0" w:line="142" w:lineRule="exact"/>
              <w:rPr>
                <w:sz w:val="20"/>
                <w:szCs w:val="20"/>
                <w:color w:val="auto"/>
              </w:rPr>
            </w:pPr>
            <w:r>
              <w:rPr>
                <w:rFonts w:ascii="Arial" w:cs="Arial" w:eastAsia="Arial" w:hAnsi="Arial"/>
                <w:sz w:val="14"/>
                <w:szCs w:val="14"/>
                <w:color w:val="auto"/>
              </w:rPr>
              <w:t>32.2</w:t>
            </w:r>
          </w:p>
        </w:tc>
        <w:tc>
          <w:tcPr>
            <w:tcW w:w="10120" w:type="dxa"/>
            <w:vAlign w:val="bottom"/>
          </w:tcPr>
          <w:p>
            <w:pPr>
              <w:ind w:left="300"/>
              <w:spacing w:after="0" w:line="142" w:lineRule="exact"/>
              <w:rPr>
                <w:sz w:val="20"/>
                <w:szCs w:val="20"/>
                <w:color w:val="auto"/>
              </w:rPr>
            </w:pPr>
            <w:r>
              <w:rPr>
                <w:rFonts w:ascii="Arial" w:cs="Arial" w:eastAsia="Arial" w:hAnsi="Arial"/>
                <w:sz w:val="14"/>
                <w:szCs w:val="14"/>
                <w:color w:val="auto"/>
              </w:rPr>
              <w:t>Certification of Principal Financial Officer Pursuant to 18 U.S.C. Section 1350, as Adopted Pursuant to Section 906 of the Sarbanes-Oxley Act of 2002</w:t>
            </w:r>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(furnished herewith)</w:t>
            </w:r>
          </w:p>
        </w:tc>
      </w:tr>
      <w:tr>
        <w:trPr>
          <w:trHeight w:val="192"/>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95</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Mine Safety Disclosures (filed herewith)</w:t>
            </w:r>
          </w:p>
        </w:tc>
      </w:tr>
      <w:tr>
        <w:trPr>
          <w:trHeight w:val="146"/>
        </w:trPr>
        <w:tc>
          <w:tcPr>
            <w:tcW w:w="1080" w:type="dxa"/>
            <w:vAlign w:val="bottom"/>
          </w:tcPr>
          <w:p>
            <w:pPr>
              <w:ind w:left="20"/>
              <w:spacing w:after="0" w:line="146" w:lineRule="exact"/>
              <w:rPr>
                <w:sz w:val="20"/>
                <w:szCs w:val="20"/>
                <w:color w:val="auto"/>
              </w:rPr>
            </w:pPr>
            <w:r>
              <w:rPr>
                <w:rFonts w:ascii="Arial" w:cs="Arial" w:eastAsia="Arial" w:hAnsi="Arial"/>
                <w:sz w:val="14"/>
                <w:szCs w:val="14"/>
                <w:color w:val="auto"/>
              </w:rPr>
              <w:t>101.INS</w:t>
            </w:r>
          </w:p>
        </w:tc>
        <w:tc>
          <w:tcPr>
            <w:tcW w:w="10120" w:type="dxa"/>
            <w:vAlign w:val="bottom"/>
          </w:tcPr>
          <w:p>
            <w:pPr>
              <w:ind w:left="300"/>
              <w:spacing w:after="0" w:line="146" w:lineRule="exact"/>
              <w:rPr>
                <w:sz w:val="20"/>
                <w:szCs w:val="20"/>
                <w:color w:val="auto"/>
              </w:rPr>
            </w:pPr>
            <w:r>
              <w:rPr>
                <w:rFonts w:ascii="Arial" w:cs="Arial" w:eastAsia="Arial" w:hAnsi="Arial"/>
                <w:sz w:val="14"/>
                <w:szCs w:val="14"/>
                <w:color w:val="auto"/>
              </w:rPr>
              <w:t>Inline XBRL Instance Document (the instance document does not appear in the Interactive Data File because its XBRL tags are embedded within the</w:t>
            </w:r>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document)</w:t>
            </w:r>
          </w:p>
        </w:tc>
      </w:tr>
      <w:tr>
        <w:trPr>
          <w:trHeight w:val="192"/>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101.SCH</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Schema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101.CAL</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Calculation Linkbase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101.DEF</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Definition Linkbase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101.LAB</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Label Linkbase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101.PRE</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Presentation Linkbase (filed herewith)</w:t>
            </w:r>
          </w:p>
        </w:tc>
      </w:tr>
      <w:tr>
        <w:trPr>
          <w:trHeight w:val="196"/>
        </w:trPr>
        <w:tc>
          <w:tcPr>
            <w:tcW w:w="10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104</w:t>
            </w:r>
          </w:p>
        </w:tc>
        <w:tc>
          <w:tcPr>
            <w:tcW w:w="10120" w:type="dxa"/>
            <w:vAlign w:val="bottom"/>
            <w:tcBorders>
              <w:bottom w:val="single" w:sz="8" w:color="D7282F"/>
            </w:tcBorders>
          </w:tcPr>
          <w:p>
            <w:pPr>
              <w:ind w:left="300"/>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hanging="392"/>
        <w:spacing w:after="0"/>
        <w:tabs>
          <w:tab w:leader="none" w:pos="400" w:val="left"/>
        </w:tabs>
        <w:numPr>
          <w:ilvl w:val="0"/>
          <w:numId w:val="7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1" w:name="page62"/>
    <w:bookmarkEnd w:id="6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SIGNATURES</w:t>
      </w:r>
    </w:p>
    <w:p>
      <w:pPr>
        <w:spacing w:after="0" w:line="3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9"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HONEYWELL INTERNATIONAL INC.</w:t>
      </w:r>
    </w:p>
    <w:p>
      <w:pPr>
        <w:spacing w:after="0" w:line="248" w:lineRule="exact"/>
        <w:rPr>
          <w:sz w:val="20"/>
          <w:szCs w:val="20"/>
          <w:color w:val="auto"/>
        </w:rPr>
      </w:pPr>
    </w:p>
    <w:p>
      <w:pPr>
        <w:ind w:left="20"/>
        <w:spacing w:after="0"/>
        <w:tabs>
          <w:tab w:leader="none" w:pos="6640" w:val="left"/>
          <w:tab w:leader="none" w:pos="7160" w:val="left"/>
        </w:tabs>
        <w:rPr>
          <w:sz w:val="20"/>
          <w:szCs w:val="20"/>
          <w:color w:val="auto"/>
        </w:rPr>
      </w:pPr>
      <w:r>
        <w:rPr>
          <w:rFonts w:ascii="Arial" w:cs="Arial" w:eastAsia="Arial" w:hAnsi="Arial"/>
          <w:sz w:val="16"/>
          <w:szCs w:val="16"/>
          <w:color w:val="auto"/>
        </w:rPr>
        <w:t>Date: October 23,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20955</wp:posOffset>
            </wp:positionV>
            <wp:extent cx="24517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0"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Robert D. Mailloux</w:t>
      </w:r>
    </w:p>
    <w:p>
      <w:pPr>
        <w:ind w:left="7180"/>
        <w:spacing w:after="0" w:line="211" w:lineRule="auto"/>
        <w:rPr>
          <w:sz w:val="20"/>
          <w:szCs w:val="20"/>
          <w:color w:val="auto"/>
        </w:rPr>
      </w:pPr>
      <w:r>
        <w:rPr>
          <w:rFonts w:ascii="Arial" w:cs="Arial" w:eastAsia="Arial" w:hAnsi="Arial"/>
          <w:sz w:val="16"/>
          <w:szCs w:val="16"/>
          <w:color w:val="auto"/>
        </w:rPr>
        <w:t>Vice President and Controller</w:t>
      </w:r>
    </w:p>
    <w:p>
      <w:pPr>
        <w:ind w:left="7180"/>
        <w:spacing w:after="0" w:line="211" w:lineRule="auto"/>
        <w:rPr>
          <w:sz w:val="20"/>
          <w:szCs w:val="20"/>
          <w:color w:val="auto"/>
        </w:rPr>
      </w:pPr>
      <w:r>
        <w:rPr>
          <w:rFonts w:ascii="Arial" w:cs="Arial" w:eastAsia="Arial" w:hAnsi="Arial"/>
          <w:sz w:val="16"/>
          <w:szCs w:val="16"/>
          <w:color w:val="auto"/>
        </w:rPr>
        <w:t>(on behalf of the Registrant</w:t>
      </w:r>
    </w:p>
    <w:p>
      <w:pPr>
        <w:ind w:left="7180"/>
        <w:spacing w:after="0" w:line="211" w:lineRule="auto"/>
        <w:rPr>
          <w:sz w:val="20"/>
          <w:szCs w:val="20"/>
          <w:color w:val="auto"/>
        </w:rPr>
      </w:pPr>
      <w:r>
        <w:rPr>
          <w:rFonts w:ascii="Arial" w:cs="Arial" w:eastAsia="Arial" w:hAnsi="Arial"/>
          <w:sz w:val="16"/>
          <w:szCs w:val="16"/>
          <w:color w:val="auto"/>
        </w:rPr>
        <w:t>and as the Registrant’s</w:t>
      </w:r>
    </w:p>
    <w:p>
      <w:pPr>
        <w:spacing w:after="0" w:line="1"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0" w:hanging="392"/>
        <w:spacing w:after="0"/>
        <w:tabs>
          <w:tab w:leader="none" w:pos="400" w:val="left"/>
        </w:tabs>
        <w:numPr>
          <w:ilvl w:val="0"/>
          <w:numId w:val="7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ectPr>
          <w:pgSz w:w="11900" w:h="16838" w:orient="portrait"/>
          <w:cols w:equalWidth="0" w:num="1">
            <w:col w:w="11240"/>
          </w:cols>
          <w:pgMar w:left="320" w:top="122"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Vimal Kapur, certify that:</w:t>
      </w:r>
    </w:p>
    <w:p>
      <w:pPr>
        <w:spacing w:after="0" w:line="266" w:lineRule="exact"/>
        <w:rPr>
          <w:sz w:val="20"/>
          <w:szCs w:val="20"/>
          <w:color w:val="auto"/>
        </w:rPr>
      </w:pPr>
    </w:p>
    <w:p>
      <w:pPr>
        <w:ind w:left="360" w:hanging="334"/>
        <w:spacing w:after="0"/>
        <w:tabs>
          <w:tab w:leader="none" w:pos="3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52"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0" w:lineRule="exact"/>
        <w:rPr>
          <w:rFonts w:ascii="Arial" w:cs="Arial" w:eastAsia="Arial" w:hAnsi="Arial"/>
          <w:sz w:val="18"/>
          <w:szCs w:val="18"/>
          <w:color w:val="auto"/>
        </w:rPr>
      </w:pPr>
    </w:p>
    <w:p>
      <w:pPr>
        <w:ind w:left="360" w:right="60" w:hanging="334"/>
        <w:spacing w:after="0"/>
        <w:tabs>
          <w:tab w:leader="none" w:pos="3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4" w:lineRule="exact"/>
        <w:rPr>
          <w:rFonts w:ascii="Arial" w:cs="Arial" w:eastAsia="Arial" w:hAnsi="Arial"/>
          <w:sz w:val="18"/>
          <w:szCs w:val="18"/>
          <w:color w:val="auto"/>
        </w:rPr>
      </w:pPr>
    </w:p>
    <w:p>
      <w:pPr>
        <w:jc w:val="both"/>
        <w:ind w:left="360" w:right="60" w:hanging="334"/>
        <w:spacing w:after="0" w:line="221" w:lineRule="auto"/>
        <w:tabs>
          <w:tab w:leader="none" w:pos="3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Arial" w:cs="Arial" w:eastAsia="Arial" w:hAnsi="Arial"/>
          <w:sz w:val="18"/>
          <w:szCs w:val="18"/>
          <w:color w:val="auto"/>
        </w:rPr>
      </w:pPr>
    </w:p>
    <w:p>
      <w:pPr>
        <w:jc w:val="both"/>
        <w:ind w:left="1380" w:right="80" w:hanging="608"/>
        <w:spacing w:after="0" w:line="233" w:lineRule="auto"/>
        <w:tabs>
          <w:tab w:leader="none" w:pos="13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0" w:lineRule="exact"/>
        <w:rPr>
          <w:rFonts w:ascii="Arial" w:cs="Arial" w:eastAsia="Arial" w:hAnsi="Arial"/>
          <w:sz w:val="18"/>
          <w:szCs w:val="18"/>
          <w:color w:val="auto"/>
        </w:rPr>
      </w:pPr>
    </w:p>
    <w:p>
      <w:pPr>
        <w:jc w:val="both"/>
        <w:ind w:left="1380" w:right="60" w:hanging="603"/>
        <w:spacing w:after="0" w:line="233" w:lineRule="auto"/>
        <w:tabs>
          <w:tab w:leader="none" w:pos="13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0"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0" w:lineRule="exact"/>
        <w:rPr>
          <w:rFonts w:ascii="Arial" w:cs="Arial" w:eastAsia="Arial" w:hAnsi="Arial"/>
          <w:sz w:val="18"/>
          <w:szCs w:val="18"/>
          <w:color w:val="auto"/>
        </w:rPr>
      </w:pPr>
    </w:p>
    <w:p>
      <w:pPr>
        <w:ind w:left="1380" w:right="60" w:hanging="608"/>
        <w:spacing w:after="0"/>
        <w:tabs>
          <w:tab w:leader="none" w:pos="13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5480" w:val="left"/>
          <w:tab w:leader="none" w:pos="6140" w:val="left"/>
        </w:tabs>
        <w:rPr>
          <w:sz w:val="20"/>
          <w:szCs w:val="20"/>
          <w:color w:val="auto"/>
        </w:rPr>
      </w:pPr>
      <w:r>
        <w:rPr>
          <w:rFonts w:ascii="Arial" w:cs="Arial" w:eastAsia="Arial" w:hAnsi="Arial"/>
          <w:sz w:val="18"/>
          <w:szCs w:val="18"/>
          <w:color w:val="auto"/>
        </w:rPr>
        <w:t>Date: October 23,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Vimal Kapur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17780</wp:posOffset>
            </wp:positionV>
            <wp:extent cx="32232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Vimal Kapur</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890"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Michal Stepniak, certify that:</w:t>
      </w:r>
    </w:p>
    <w:p>
      <w:pPr>
        <w:spacing w:after="0" w:line="266" w:lineRule="exact"/>
        <w:rPr>
          <w:sz w:val="20"/>
          <w:szCs w:val="20"/>
          <w:color w:val="auto"/>
        </w:rPr>
      </w:pPr>
    </w:p>
    <w:p>
      <w:pPr>
        <w:ind w:left="360" w:hanging="334"/>
        <w:spacing w:after="0"/>
        <w:tabs>
          <w:tab w:leader="none" w:pos="3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52"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0" w:lineRule="exact"/>
        <w:rPr>
          <w:rFonts w:ascii="Arial" w:cs="Arial" w:eastAsia="Arial" w:hAnsi="Arial"/>
          <w:sz w:val="18"/>
          <w:szCs w:val="18"/>
          <w:color w:val="auto"/>
        </w:rPr>
      </w:pPr>
    </w:p>
    <w:p>
      <w:pPr>
        <w:ind w:left="360" w:right="60" w:hanging="334"/>
        <w:spacing w:after="0"/>
        <w:tabs>
          <w:tab w:leader="none" w:pos="3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4" w:lineRule="exact"/>
        <w:rPr>
          <w:rFonts w:ascii="Arial" w:cs="Arial" w:eastAsia="Arial" w:hAnsi="Arial"/>
          <w:sz w:val="18"/>
          <w:szCs w:val="18"/>
          <w:color w:val="auto"/>
        </w:rPr>
      </w:pPr>
    </w:p>
    <w:p>
      <w:pPr>
        <w:jc w:val="both"/>
        <w:ind w:left="360" w:right="60" w:hanging="334"/>
        <w:spacing w:after="0" w:line="221" w:lineRule="auto"/>
        <w:tabs>
          <w:tab w:leader="none" w:pos="3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Arial" w:cs="Arial" w:eastAsia="Arial" w:hAnsi="Arial"/>
          <w:sz w:val="18"/>
          <w:szCs w:val="18"/>
          <w:color w:val="auto"/>
        </w:rPr>
      </w:pPr>
    </w:p>
    <w:p>
      <w:pPr>
        <w:jc w:val="both"/>
        <w:ind w:left="1380" w:right="80" w:hanging="608"/>
        <w:spacing w:after="0" w:line="233" w:lineRule="auto"/>
        <w:tabs>
          <w:tab w:leader="none" w:pos="13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0" w:lineRule="exact"/>
        <w:rPr>
          <w:rFonts w:ascii="Arial" w:cs="Arial" w:eastAsia="Arial" w:hAnsi="Arial"/>
          <w:sz w:val="18"/>
          <w:szCs w:val="18"/>
          <w:color w:val="auto"/>
        </w:rPr>
      </w:pPr>
    </w:p>
    <w:p>
      <w:pPr>
        <w:jc w:val="both"/>
        <w:ind w:left="1380" w:right="60" w:hanging="603"/>
        <w:spacing w:after="0" w:line="233" w:lineRule="auto"/>
        <w:tabs>
          <w:tab w:leader="none" w:pos="13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0"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0" w:lineRule="exact"/>
        <w:rPr>
          <w:rFonts w:ascii="Arial" w:cs="Arial" w:eastAsia="Arial" w:hAnsi="Arial"/>
          <w:sz w:val="18"/>
          <w:szCs w:val="18"/>
          <w:color w:val="auto"/>
        </w:rPr>
      </w:pPr>
    </w:p>
    <w:p>
      <w:pPr>
        <w:ind w:left="1380" w:right="60" w:hanging="608"/>
        <w:spacing w:after="0"/>
        <w:tabs>
          <w:tab w:leader="none" w:pos="13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5480" w:val="left"/>
          <w:tab w:leader="none" w:pos="6140" w:val="left"/>
        </w:tabs>
        <w:rPr>
          <w:sz w:val="20"/>
          <w:szCs w:val="20"/>
          <w:color w:val="auto"/>
        </w:rPr>
      </w:pPr>
      <w:r>
        <w:rPr>
          <w:rFonts w:ascii="Arial" w:cs="Arial" w:eastAsia="Arial" w:hAnsi="Arial"/>
          <w:sz w:val="18"/>
          <w:szCs w:val="18"/>
          <w:color w:val="auto"/>
        </w:rPr>
        <w:t>Date: October 23,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Michal Stepniak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17780</wp:posOffset>
            </wp:positionV>
            <wp:extent cx="32232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Michal Stepniak</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90"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September 30, 2025 as filed with the Securities and Exchange Commission on the date hereof (the Report), I, Vimal Kapur, Chairman and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800" w:hanging="306"/>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820" w:right="20" w:hanging="326"/>
        <w:spacing w:after="0" w:line="266" w:lineRule="auto"/>
        <w:tabs>
          <w:tab w:leader="none" w:pos="8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235"/>
        </w:trPr>
        <w:tc>
          <w:tcPr>
            <w:tcW w:w="3640" w:type="dxa"/>
            <w:vAlign w:val="bottom"/>
          </w:tcPr>
          <w:p>
            <w:pPr>
              <w:spacing w:after="0"/>
              <w:rPr>
                <w:sz w:val="20"/>
                <w:szCs w:val="20"/>
                <w:color w:val="auto"/>
              </w:rPr>
            </w:pPr>
            <w:r>
              <w:rPr>
                <w:rFonts w:ascii="Arial" w:cs="Arial" w:eastAsia="Arial" w:hAnsi="Arial"/>
                <w:sz w:val="18"/>
                <w:szCs w:val="18"/>
                <w:color w:val="auto"/>
              </w:rPr>
              <w:t>Date: October 23, 2025</w:t>
            </w:r>
          </w:p>
        </w:tc>
        <w:tc>
          <w:tcPr>
            <w:tcW w:w="2380" w:type="dxa"/>
            <w:vAlign w:val="bottom"/>
          </w:tcPr>
          <w:p>
            <w:pPr>
              <w:ind w:left="17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Vimal Kapur</w:t>
            </w:r>
          </w:p>
        </w:tc>
      </w:tr>
      <w:tr>
        <w:trPr>
          <w:trHeight w:val="218"/>
        </w:trPr>
        <w:tc>
          <w:tcPr>
            <w:tcW w:w="3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Vimal Kapur</w:t>
            </w:r>
          </w:p>
        </w:tc>
      </w:tr>
      <w:tr>
        <w:trPr>
          <w:trHeight w:val="239"/>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bl>
    <w:p>
      <w:pPr>
        <w:sectPr>
          <w:pgSz w:w="11900" w:h="16838" w:orient="portrait"/>
          <w:cols w:equalWidth="0" w:num="1">
            <w:col w:w="11240"/>
          </w:cols>
          <w:pgMar w:left="320" w:top="890"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September 30, 2025 as filed with the Securities and Exchange Commission on the date hereof (the Report), I, Michal Stepniak, Senior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800" w:hanging="306"/>
        <w:spacing w:after="0"/>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820" w:right="20" w:hanging="326"/>
        <w:spacing w:after="0" w:line="266" w:lineRule="auto"/>
        <w:tabs>
          <w:tab w:leader="none" w:pos="81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235"/>
        </w:trPr>
        <w:tc>
          <w:tcPr>
            <w:tcW w:w="3640" w:type="dxa"/>
            <w:vAlign w:val="bottom"/>
          </w:tcPr>
          <w:p>
            <w:pPr>
              <w:spacing w:after="0"/>
              <w:rPr>
                <w:sz w:val="20"/>
                <w:szCs w:val="20"/>
                <w:color w:val="auto"/>
              </w:rPr>
            </w:pPr>
            <w:r>
              <w:rPr>
                <w:rFonts w:ascii="Arial" w:cs="Arial" w:eastAsia="Arial" w:hAnsi="Arial"/>
                <w:sz w:val="18"/>
                <w:szCs w:val="18"/>
                <w:color w:val="auto"/>
              </w:rPr>
              <w:t>Date: October 23, 2025</w:t>
            </w:r>
          </w:p>
        </w:tc>
        <w:tc>
          <w:tcPr>
            <w:tcW w:w="2380" w:type="dxa"/>
            <w:vAlign w:val="bottom"/>
          </w:tcPr>
          <w:p>
            <w:pPr>
              <w:ind w:left="17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Michal Stepniak</w:t>
            </w:r>
          </w:p>
        </w:tc>
      </w:tr>
      <w:tr>
        <w:trPr>
          <w:trHeight w:val="218"/>
        </w:trPr>
        <w:tc>
          <w:tcPr>
            <w:tcW w:w="3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Michal Stepniak</w:t>
            </w:r>
          </w:p>
        </w:tc>
      </w:tr>
      <w:tr>
        <w:trPr>
          <w:trHeight w:val="239"/>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890"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95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Disclosures</w:t>
      </w:r>
    </w:p>
    <w:p>
      <w:pPr>
        <w:spacing w:after="0" w:line="333"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The following disclosures are provided pursuant to Section 1503(a) of the Dodd-Frank Wall Street Reform and Consumer Protection Act and Item 104 of Regulation S-K, which require certain disclosures by companies required to file periodic reports under the Securities Exchange Act of 1934, as amended, that operate mines regulated under the Federal Mine Safety and Health Act of 1977 (the "Mine Safety Act"). One of the subsidiaries of Honeywell International Inc. (the "Company") has placer claims for and operates a surface mine for chabazite ore in Arizona.</w:t>
      </w:r>
    </w:p>
    <w:p>
      <w:pPr>
        <w:spacing w:after="0" w:line="71"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During the quarter ended September 30, 2025, the Company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74"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In addition, during the quarter ended September 30, 2025, the Company had no mining-related fatalities, had no pending legal actions before the Federal Mine Safety and Health Review Commission involving a coal or other mine, and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bullet"/>
      <w:start w:val="1"/>
    </w:lvl>
  </w:abstractNum>
  <w:abstractNum w:abstractNumId="3">
    <w:nsid w:val="153EA438"/>
    <w:multiLevelType w:val="hybridMultilevel"/>
    <w:lvl w:ilvl="0">
      <w:lvlJc w:val="left"/>
      <w:lvlText w:val="2"/>
      <w:numFmt w:val="bullet"/>
      <w:start w:val="1"/>
    </w:lvl>
  </w:abstractNum>
  <w:abstractNum w:abstractNumId="4">
    <w:nsid w:val="3855585C"/>
    <w:multiLevelType w:val="hybridMultilevel"/>
    <w:lvl w:ilvl="0">
      <w:lvlJc w:val="left"/>
      <w:lvlText w:val="3"/>
      <w:numFmt w:val="bullet"/>
      <w:start w:val="1"/>
    </w:lvl>
  </w:abstractNum>
  <w:abstractNum w:abstractNumId="5">
    <w:nsid w:val="70A64E2A"/>
    <w:multiLevelType w:val="hybridMultilevel"/>
    <w:lvl w:ilvl="0">
      <w:lvlJc w:val="left"/>
      <w:lvlText w:val="4"/>
      <w:numFmt w:val="bullet"/>
      <w:start w:val="1"/>
    </w:lvl>
  </w:abstractNum>
  <w:abstractNum w:abstractNumId="6">
    <w:nsid w:val="6A2342EC"/>
    <w:multiLevelType w:val="hybridMultilevel"/>
    <w:lvl w:ilvl="0">
      <w:lvlJc w:val="left"/>
      <w:lvlText w:val="5"/>
      <w:numFmt w:val="bullet"/>
      <w:start w:val="1"/>
    </w:lvl>
  </w:abstractNum>
  <w:abstractNum w:abstractNumId="7">
    <w:nsid w:val="2A487CB0"/>
    <w:multiLevelType w:val="hybridMultilevel"/>
    <w:lvl w:ilvl="0">
      <w:lvlJc w:val="left"/>
      <w:lvlText w:val="6"/>
      <w:numFmt w:val="bullet"/>
      <w:start w:val="1"/>
    </w:lvl>
  </w:abstractNum>
  <w:abstractNum w:abstractNumId="8">
    <w:nsid w:val="1D4ED43B"/>
    <w:multiLevelType w:val="hybridMultilevel"/>
    <w:lvl w:ilvl="0">
      <w:lvlJc w:val="left"/>
      <w:lvlText w:val="7"/>
      <w:numFmt w:val="bullet"/>
      <w:start w:val="1"/>
    </w:lvl>
  </w:abstractNum>
  <w:abstractNum w:abstractNumId="9">
    <w:nsid w:val="725A06FB"/>
    <w:multiLevelType w:val="hybridMultilevel"/>
    <w:lvl w:ilvl="0">
      <w:lvlJc w:val="left"/>
      <w:lvlText w:val="8"/>
      <w:numFmt w:val="bullet"/>
      <w:start w:val="1"/>
    </w:lvl>
  </w:abstractNum>
  <w:abstractNum w:abstractNumId="10">
    <w:nsid w:val="2CD89A32"/>
    <w:multiLevelType w:val="hybridMultilevel"/>
    <w:lvl w:ilvl="0">
      <w:lvlJc w:val="left"/>
      <w:lvlText w:val="9"/>
      <w:numFmt w:val="bullet"/>
      <w:start w:val="1"/>
    </w:lvl>
  </w:abstractNum>
  <w:abstractNum w:abstractNumId="11">
    <w:nsid w:val="57E4CCAF"/>
    <w:multiLevelType w:val="hybridMultilevel"/>
    <w:lvl w:ilvl="0">
      <w:lvlJc w:val="left"/>
      <w:lvlText w:val="%1"/>
      <w:numFmt w:val="decimal"/>
      <w:start w:val="10"/>
    </w:lvl>
  </w:abstractNum>
  <w:abstractNum w:abstractNumId="12">
    <w:nsid w:val="7A6D8D3C"/>
    <w:multiLevelType w:val="hybridMultilevel"/>
    <w:lvl w:ilvl="0">
      <w:lvlJc w:val="left"/>
      <w:lvlText w:val="%1"/>
      <w:numFmt w:val="decimal"/>
      <w:start w:val="11"/>
    </w:lvl>
  </w:abstractNum>
  <w:abstractNum w:abstractNumId="13">
    <w:nsid w:val="4B588F54"/>
    <w:multiLevelType w:val="hybridMultilevel"/>
    <w:lvl w:ilvl="0">
      <w:lvlJc w:val="left"/>
      <w:lvlText w:val="%1"/>
      <w:numFmt w:val="decimal"/>
      <w:start w:val="12"/>
    </w:lvl>
  </w:abstractNum>
  <w:abstractNum w:abstractNumId="14">
    <w:nsid w:val="542289EC"/>
    <w:multiLevelType w:val="hybridMultilevel"/>
    <w:lvl w:ilvl="0">
      <w:lvlJc w:val="left"/>
      <w:lvlText w:val="%1"/>
      <w:numFmt w:val="decimal"/>
      <w:start w:val="13"/>
    </w:lvl>
  </w:abstractNum>
  <w:abstractNum w:abstractNumId="15">
    <w:nsid w:val="6DE91B18"/>
    <w:multiLevelType w:val="hybridMultilevel"/>
    <w:lvl w:ilvl="0">
      <w:lvlJc w:val="left"/>
      <w:lvlText w:val="%1"/>
      <w:numFmt w:val="decimal"/>
      <w:start w:val="14"/>
    </w:lvl>
  </w:abstractNum>
  <w:abstractNum w:abstractNumId="16">
    <w:nsid w:val="38437FDB"/>
    <w:multiLevelType w:val="hybridMultilevel"/>
    <w:lvl w:ilvl="0">
      <w:lvlJc w:val="left"/>
      <w:lvlText w:val="1"/>
      <w:numFmt w:val="bullet"/>
      <w:start w:val="1"/>
    </w:lvl>
  </w:abstractNum>
  <w:abstractNum w:abstractNumId="17">
    <w:nsid w:val="7644A45C"/>
    <w:multiLevelType w:val="hybridMultilevel"/>
    <w:lvl w:ilvl="0">
      <w:lvlJc w:val="left"/>
      <w:lvlText w:val="%1"/>
      <w:numFmt w:val="decimal"/>
      <w:start w:val="16"/>
    </w:lvl>
  </w:abstractNum>
  <w:abstractNum w:abstractNumId="18">
    <w:nsid w:val="32FFF902"/>
    <w:multiLevelType w:val="hybridMultilevel"/>
    <w:lvl w:ilvl="0">
      <w:lvlJc w:val="left"/>
      <w:lvlText w:val="%1"/>
      <w:numFmt w:val="decimal"/>
      <w:start w:val="18"/>
    </w:lvl>
  </w:abstractNum>
  <w:abstractNum w:abstractNumId="19">
    <w:nsid w:val="684A481A"/>
    <w:multiLevelType w:val="hybridMultilevel"/>
    <w:lvl w:ilvl="0">
      <w:lvlJc w:val="left"/>
      <w:lvlText w:val="%1"/>
      <w:numFmt w:val="decimal"/>
      <w:start w:val="2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1"/>
      <w:numFmt w:val="decimal"/>
      <w:start w:val="24"/>
    </w:lvl>
  </w:abstractNum>
  <w:abstractNum w:abstractNumId="22">
    <w:nsid w:val="3DC240FB"/>
    <w:multiLevelType w:val="hybridMultilevel"/>
    <w:lvl w:ilvl="0">
      <w:lvlJc w:val="left"/>
      <w:lvlText w:val="%1"/>
      <w:numFmt w:val="decimal"/>
      <w:start w:val="25"/>
    </w:lvl>
  </w:abstractNum>
  <w:abstractNum w:abstractNumId="23">
    <w:nsid w:val="1BA026FA"/>
    <w:multiLevelType w:val="hybridMultilevel"/>
    <w:lvl w:ilvl="0">
      <w:lvlJc w:val="left"/>
      <w:lvlText w:val="%1"/>
      <w:numFmt w:val="decimal"/>
      <w:start w:val="28"/>
    </w:lvl>
  </w:abstractNum>
  <w:abstractNum w:abstractNumId="24">
    <w:nsid w:val="79A1DEAA"/>
    <w:multiLevelType w:val="hybridMultilevel"/>
    <w:lvl w:ilvl="0">
      <w:lvlJc w:val="left"/>
      <w:lvlText w:val="%1"/>
      <w:numFmt w:val="decimal"/>
      <w:start w:val="29"/>
    </w:lvl>
  </w:abstractNum>
  <w:abstractNum w:abstractNumId="25">
    <w:nsid w:val="75C6C33A"/>
    <w:multiLevelType w:val="hybridMultilevel"/>
    <w:lvl w:ilvl="0">
      <w:lvlJc w:val="left"/>
      <w:lvlText w:val="1"/>
      <w:numFmt w:val="bullet"/>
      <w:start w:val="1"/>
    </w:lvl>
  </w:abstractNum>
  <w:abstractNum w:abstractNumId="26">
    <w:nsid w:val="12E685FB"/>
    <w:multiLevelType w:val="hybridMultilevel"/>
    <w:lvl w:ilvl="0">
      <w:lvlJc w:val="left"/>
      <w:lvlText w:val="%1"/>
      <w:numFmt w:val="decimal"/>
      <w:start w:val="31"/>
    </w:lvl>
  </w:abstractNum>
  <w:abstractNum w:abstractNumId="27">
    <w:nsid w:val="70C6A529"/>
    <w:multiLevelType w:val="hybridMultilevel"/>
    <w:lvl w:ilvl="0">
      <w:lvlJc w:val="left"/>
      <w:lvlText w:val="1"/>
      <w:numFmt w:val="bullet"/>
      <w:start w:val="1"/>
    </w:lvl>
  </w:abstractNum>
  <w:abstractNum w:abstractNumId="28">
    <w:nsid w:val="520EEDD1"/>
    <w:multiLevelType w:val="hybridMultilevel"/>
    <w:lvl w:ilvl="0">
      <w:lvlJc w:val="left"/>
      <w:lvlText w:val="1"/>
      <w:numFmt w:val="bullet"/>
      <w:start w:val="1"/>
    </w:lvl>
  </w:abstractNum>
  <w:abstractNum w:abstractNumId="29">
    <w:nsid w:val="374A3FE6"/>
    <w:multiLevelType w:val="hybridMultilevel"/>
    <w:lvl w:ilvl="0">
      <w:lvlJc w:val="left"/>
      <w:lvlText w:val="2"/>
      <w:numFmt w:val="bullet"/>
      <w:start w:val="1"/>
    </w:lvl>
  </w:abstractNum>
  <w:abstractNum w:abstractNumId="30">
    <w:nsid w:val="4F4EF005"/>
    <w:multiLevelType w:val="hybridMultilevel"/>
    <w:lvl w:ilvl="0">
      <w:lvlJc w:val="left"/>
      <w:lvlText w:val="3"/>
      <w:numFmt w:val="bullet"/>
      <w:start w:val="1"/>
    </w:lvl>
  </w:abstractNum>
  <w:abstractNum w:abstractNumId="31">
    <w:nsid w:val="23F9C13C"/>
    <w:multiLevelType w:val="hybridMultilevel"/>
    <w:lvl w:ilvl="0">
      <w:lvlJc w:val="left"/>
      <w:lvlText w:val="4"/>
      <w:numFmt w:val="bullet"/>
      <w:start w:val="1"/>
    </w:lvl>
  </w:abstractNum>
  <w:abstractNum w:abstractNumId="32">
    <w:nsid w:val="649BB77C"/>
    <w:multiLevelType w:val="hybridMultilevel"/>
    <w:lvl w:ilvl="0">
      <w:lvlJc w:val="left"/>
      <w:lvlText w:val="5"/>
      <w:numFmt w:val="bullet"/>
      <w:start w:val="1"/>
    </w:lvl>
  </w:abstractNum>
  <w:abstractNum w:abstractNumId="33">
    <w:nsid w:val="275AC794"/>
    <w:multiLevelType w:val="hybridMultilevel"/>
    <w:lvl w:ilvl="0">
      <w:lvlJc w:val="left"/>
      <w:lvlText w:val="6"/>
      <w:numFmt w:val="bullet"/>
      <w:start w:val="1"/>
    </w:lvl>
  </w:abstractNum>
  <w:abstractNum w:abstractNumId="34">
    <w:nsid w:val="39386575"/>
    <w:multiLevelType w:val="hybridMultilevel"/>
    <w:lvl w:ilvl="0">
      <w:lvlJc w:val="left"/>
      <w:lvlText w:val="%1"/>
      <w:numFmt w:val="decimal"/>
      <w:start w:val="34"/>
    </w:lvl>
  </w:abstractNum>
  <w:abstractNum w:abstractNumId="35">
    <w:nsid w:val="1CF10FD8"/>
    <w:multiLevelType w:val="hybridMultilevel"/>
    <w:lvl w:ilvl="0">
      <w:lvlJc w:val="left"/>
      <w:lvlText w:val="%1"/>
      <w:numFmt w:val="decimal"/>
      <w:start w:val="35"/>
    </w:lvl>
  </w:abstractNum>
  <w:abstractNum w:abstractNumId="36">
    <w:nsid w:val="180115BE"/>
    <w:multiLevelType w:val="hybridMultilevel"/>
    <w:lvl w:ilvl="0">
      <w:lvlJc w:val="left"/>
      <w:lvlText w:val="%1"/>
      <w:numFmt w:val="decimal"/>
      <w:start w:val="36"/>
    </w:lvl>
  </w:abstractNum>
  <w:abstractNum w:abstractNumId="37">
    <w:nsid w:val="235BA861"/>
    <w:multiLevelType w:val="hybridMultilevel"/>
    <w:lvl w:ilvl="0">
      <w:lvlJc w:val="left"/>
      <w:lvlText w:val="%1"/>
      <w:numFmt w:val="decimal"/>
      <w:start w:val="37"/>
    </w:lvl>
  </w:abstractNum>
  <w:abstractNum w:abstractNumId="38">
    <w:nsid w:val="47398C89"/>
    <w:multiLevelType w:val="hybridMultilevel"/>
    <w:lvl w:ilvl="0">
      <w:lvlJc w:val="left"/>
      <w:lvlText w:val="%1"/>
      <w:numFmt w:val="decimal"/>
      <w:start w:val="38"/>
    </w:lvl>
  </w:abstractNum>
  <w:abstractNum w:abstractNumId="39">
    <w:nsid w:val="354FE9F9"/>
    <w:multiLevelType w:val="hybridMultilevel"/>
    <w:lvl w:ilvl="0">
      <w:lvlJc w:val="left"/>
      <w:lvlText w:val="%1"/>
      <w:numFmt w:val="decimal"/>
      <w:start w:val="39"/>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1"/>
      <w:numFmt w:val="decimal"/>
      <w:start w:val="40"/>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1"/>
      <w:numFmt w:val="decimal"/>
      <w:start w:val="41"/>
    </w:lvl>
  </w:abstractNum>
  <w:abstractNum w:abstractNumId="46">
    <w:nsid w:val="7E0C57B1"/>
    <w:multiLevelType w:val="hybridMultilevel"/>
    <w:lvl w:ilvl="0">
      <w:lvlJc w:val="left"/>
      <w:lvlText w:val="1"/>
      <w:numFmt w:val="bullet"/>
      <w:start w:val="1"/>
    </w:lvl>
  </w:abstractNum>
  <w:abstractNum w:abstractNumId="47">
    <w:nsid w:val="77AE35EB"/>
    <w:multiLevelType w:val="hybridMultilevel"/>
    <w:lvl w:ilvl="0">
      <w:lvlJc w:val="left"/>
      <w:lvlText w:val="%1"/>
      <w:numFmt w:val="decimal"/>
      <w:start w:val="42"/>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1"/>
      <w:numFmt w:val="decimal"/>
      <w:start w:val="43"/>
    </w:lvl>
  </w:abstractNum>
  <w:abstractNum w:abstractNumId="51">
    <w:nsid w:val="2F305DEF"/>
    <w:multiLevelType w:val="hybridMultilevel"/>
    <w:lvl w:ilvl="0">
      <w:lvlJc w:val="left"/>
      <w:lvlText w:val="•"/>
      <w:numFmt w:val="bullet"/>
      <w:start w:val="1"/>
    </w:lvl>
  </w:abstractNum>
  <w:abstractNum w:abstractNumId="52">
    <w:nsid w:val="25A70BF7"/>
    <w:multiLevelType w:val="hybridMultilevel"/>
    <w:lvl w:ilvl="0">
      <w:lvlJc w:val="left"/>
      <w:lvlText w:val="•"/>
      <w:numFmt w:val="bullet"/>
      <w:start w:val="1"/>
    </w:lvl>
  </w:abstractNum>
  <w:abstractNum w:abstractNumId="53">
    <w:nsid w:val="1DBABF00"/>
    <w:multiLevelType w:val="hybridMultilevel"/>
    <w:lvl w:ilvl="0">
      <w:lvlJc w:val="left"/>
      <w:lvlText w:val="%1"/>
      <w:numFmt w:val="decimal"/>
      <w:start w:val="44"/>
    </w:lvl>
  </w:abstractNum>
  <w:abstractNum w:abstractNumId="54">
    <w:nsid w:val="4AD084E9"/>
    <w:multiLevelType w:val="hybridMultilevel"/>
    <w:lvl w:ilvl="0">
      <w:lvlJc w:val="left"/>
      <w:lvlText w:val="•"/>
      <w:numFmt w:val="bullet"/>
      <w:start w:val="1"/>
    </w:lvl>
  </w:abstractNum>
  <w:abstractNum w:abstractNumId="55">
    <w:nsid w:val="1F48EAA1"/>
    <w:multiLevelType w:val="hybridMultilevel"/>
    <w:lvl w:ilvl="0">
      <w:lvlJc w:val="left"/>
      <w:lvlText w:val="•"/>
      <w:numFmt w:val="bullet"/>
      <w:start w:val="1"/>
    </w:lvl>
  </w:abstractNum>
  <w:abstractNum w:abstractNumId="56">
    <w:nsid w:val="1381823A"/>
    <w:multiLevelType w:val="hybridMultilevel"/>
    <w:lvl w:ilvl="0">
      <w:lvlJc w:val="left"/>
      <w:lvlText w:val="1"/>
      <w:numFmt w:val="bullet"/>
      <w:start w:val="1"/>
    </w:lvl>
  </w:abstractNum>
  <w:abstractNum w:abstractNumId="57">
    <w:nsid w:val="5DB70AE5"/>
    <w:multiLevelType w:val="hybridMultilevel"/>
    <w:lvl w:ilvl="0">
      <w:lvlJc w:val="left"/>
      <w:lvlText w:val="%1"/>
      <w:numFmt w:val="decimal"/>
      <w:start w:val="45"/>
    </w:lvl>
  </w:abstractNum>
  <w:abstractNum w:abstractNumId="58">
    <w:nsid w:val="100F8FCA"/>
    <w:multiLevelType w:val="hybridMultilevel"/>
    <w:lvl w:ilvl="0">
      <w:lvlJc w:val="left"/>
      <w:lvlText w:val="1"/>
      <w:numFmt w:val="bullet"/>
      <w:start w:val="1"/>
    </w:lvl>
  </w:abstractNum>
  <w:abstractNum w:abstractNumId="59">
    <w:nsid w:val="6590700B"/>
    <w:multiLevelType w:val="hybridMultilevel"/>
    <w:lvl w:ilvl="0">
      <w:lvlJc w:val="left"/>
      <w:lvlText w:val="%1"/>
      <w:numFmt w:val="decimal"/>
      <w:start w:val="46"/>
    </w:lvl>
  </w:abstractNum>
  <w:abstractNum w:abstractNumId="60">
    <w:nsid w:val="15014ACB"/>
    <w:multiLevelType w:val="hybridMultilevel"/>
    <w:lvl w:ilvl="0">
      <w:lvlJc w:val="left"/>
      <w:lvlText w:val="%1"/>
      <w:numFmt w:val="decimal"/>
      <w:start w:val="50"/>
    </w:lvl>
  </w:abstractNum>
  <w:abstractNum w:abstractNumId="61">
    <w:nsid w:val="5F5E7FD0"/>
    <w:multiLevelType w:val="hybridMultilevel"/>
    <w:lvl w:ilvl="0">
      <w:lvlJc w:val="left"/>
      <w:lvlText w:val="%1"/>
      <w:numFmt w:val="decimal"/>
      <w:start w:val="51"/>
    </w:lvl>
  </w:abstractNum>
  <w:abstractNum w:abstractNumId="62">
    <w:nsid w:val="98A3148"/>
    <w:multiLevelType w:val="hybridMultilevel"/>
    <w:lvl w:ilvl="0">
      <w:lvlJc w:val="left"/>
      <w:lvlText w:val="%1"/>
      <w:numFmt w:val="decimal"/>
      <w:start w:val="52"/>
    </w:lvl>
  </w:abstractNum>
  <w:abstractNum w:abstractNumId="63">
    <w:nsid w:val="799D0247"/>
    <w:multiLevelType w:val="hybridMultilevel"/>
    <w:lvl w:ilvl="0">
      <w:lvlJc w:val="left"/>
      <w:lvlText w:val="•"/>
      <w:numFmt w:val="bullet"/>
      <w:start w:val="1"/>
    </w:lvl>
  </w:abstractNum>
  <w:abstractNum w:abstractNumId="64">
    <w:nsid w:val="6B94764"/>
    <w:multiLevelType w:val="hybridMultilevel"/>
    <w:lvl w:ilvl="0">
      <w:lvlJc w:val="left"/>
      <w:lvlText w:val="%1"/>
      <w:numFmt w:val="decimal"/>
      <w:start w:val="53"/>
    </w:lvl>
  </w:abstractNum>
  <w:abstractNum w:abstractNumId="65">
    <w:nsid w:val="42C296BD"/>
    <w:multiLevelType w:val="hybridMultilevel"/>
    <w:lvl w:ilvl="0">
      <w:lvlJc w:val="left"/>
      <w:lvlText w:val="%1"/>
      <w:numFmt w:val="decimal"/>
      <w:start w:val="54"/>
    </w:lvl>
  </w:abstractNum>
  <w:abstractNum w:abstractNumId="66">
    <w:nsid w:val="168E121F"/>
    <w:multiLevelType w:val="hybridMultilevel"/>
    <w:lvl w:ilvl="0">
      <w:lvlJc w:val="left"/>
      <w:lvlText w:val="%1"/>
      <w:numFmt w:val="decimal"/>
      <w:start w:val="55"/>
    </w:lvl>
  </w:abstractNum>
  <w:abstractNum w:abstractNumId="67">
    <w:nsid w:val="1EBA5D23"/>
    <w:multiLevelType w:val="hybridMultilevel"/>
    <w:lvl w:ilvl="0">
      <w:lvlJc w:val="left"/>
      <w:lvlText w:val="•"/>
      <w:numFmt w:val="bullet"/>
      <w:start w:val="1"/>
    </w:lvl>
  </w:abstractNum>
  <w:abstractNum w:abstractNumId="68">
    <w:nsid w:val="661E3F1E"/>
    <w:multiLevelType w:val="hybridMultilevel"/>
    <w:lvl w:ilvl="0">
      <w:lvlJc w:val="left"/>
      <w:lvlText w:val="%1"/>
      <w:numFmt w:val="decimal"/>
      <w:start w:val="56"/>
    </w:lvl>
  </w:abstractNum>
  <w:abstractNum w:abstractNumId="69">
    <w:nsid w:val="5DC79EA8"/>
    <w:multiLevelType w:val="hybridMultilevel"/>
    <w:lvl w:ilvl="0">
      <w:lvlJc w:val="left"/>
      <w:lvlText w:val="1"/>
      <w:numFmt w:val="bullet"/>
      <w:start w:val="1"/>
    </w:lvl>
  </w:abstractNum>
  <w:abstractNum w:abstractNumId="70">
    <w:nsid w:val="540A471C"/>
    <w:multiLevelType w:val="hybridMultilevel"/>
    <w:lvl w:ilvl="0">
      <w:lvlJc w:val="left"/>
      <w:lvlText w:val="%1"/>
      <w:numFmt w:val="decimal"/>
      <w:start w:val="57"/>
    </w:lvl>
  </w:abstractNum>
  <w:abstractNum w:abstractNumId="71">
    <w:nsid w:val="7BD3EE7B"/>
    <w:multiLevelType w:val="hybridMultilevel"/>
    <w:lvl w:ilvl="0">
      <w:lvlJc w:val="left"/>
      <w:lvlText w:val="%1"/>
      <w:numFmt w:val="decimal"/>
      <w:start w:val="58"/>
    </w:lvl>
  </w:abstractNum>
  <w:abstractNum w:abstractNumId="72">
    <w:nsid w:val="51D9C564"/>
    <w:multiLevelType w:val="hybridMultilevel"/>
    <w:lvl w:ilvl="0">
      <w:lvlJc w:val="left"/>
      <w:lvlText w:val="%1"/>
      <w:numFmt w:val="decimal"/>
      <w:start w:val="59"/>
    </w:lvl>
  </w:abstractNum>
  <w:abstractNum w:abstractNumId="73">
    <w:nsid w:val="613EFDC5"/>
    <w:multiLevelType w:val="hybridMultilevel"/>
    <w:lvl w:ilvl="0">
      <w:lvlJc w:val="left"/>
      <w:lvlText w:val="%1"/>
      <w:numFmt w:val="decimal"/>
      <w:start w:val="60"/>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4" Type="http://schemas.openxmlformats.org/officeDocument/2006/relationships/hyperlink" Target="https://www.sec.gov/Archives/edgar/data/773840/000077384025000067/exhibit3i-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2025-10-23T08:43:01Z</dcterms:created>
  <dcterms:modified xsi:type="dcterms:W3CDTF">2025-10-23T08:43:01Z</dcterms:modified>
</cp:coreProperties>
</file>