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22"/>
          <w:szCs w:val="22"/>
          <w:color w:val="auto"/>
        </w:rPr>
        <w:t>UNITED STATES</w:t>
      </w:r>
    </w:p>
    <w:p>
      <w:pPr>
        <w:jc w:val="center"/>
        <w:ind w:right="-3"/>
        <w:spacing w:after="0"/>
        <w:rPr>
          <w:sz w:val="20"/>
          <w:szCs w:val="20"/>
          <w:color w:val="auto"/>
        </w:rPr>
      </w:pPr>
      <w:r>
        <w:rPr>
          <w:rFonts w:ascii="Arial" w:cs="Arial" w:eastAsia="Arial" w:hAnsi="Arial"/>
          <w:sz w:val="22"/>
          <w:szCs w:val="22"/>
          <w:color w:val="auto"/>
        </w:rPr>
        <w:t>SECURITIES AND EXCHANGE COMMISSION</w:t>
      </w:r>
    </w:p>
    <w:p>
      <w:pPr>
        <w:jc w:val="center"/>
        <w:ind w:right="-3"/>
        <w:spacing w:after="0"/>
        <w:rPr>
          <w:sz w:val="20"/>
          <w:szCs w:val="20"/>
          <w:color w:val="auto"/>
        </w:rPr>
      </w:pPr>
      <w:r>
        <w:rPr>
          <w:rFonts w:ascii="Arial" w:cs="Arial" w:eastAsia="Arial" w:hAnsi="Arial"/>
          <w:sz w:val="22"/>
          <w:szCs w:val="22"/>
          <w:color w:val="auto"/>
        </w:rPr>
        <w:t>WASHINGTON, D.C. 20549</w:t>
      </w:r>
    </w:p>
    <w:p>
      <w:pPr>
        <w:spacing w:after="0" w:line="18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Form 8-K</w:t>
      </w:r>
    </w:p>
    <w:p>
      <w:pPr>
        <w:spacing w:after="0" w:line="216"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CURRENT REPORT</w:t>
      </w:r>
    </w:p>
    <w:p>
      <w:pPr>
        <w:spacing w:after="0" w:line="36" w:lineRule="exact"/>
        <w:rPr>
          <w:sz w:val="24"/>
          <w:szCs w:val="24"/>
          <w:color w:val="auto"/>
        </w:rPr>
      </w:pPr>
    </w:p>
    <w:p>
      <w:pPr>
        <w:jc w:val="center"/>
        <w:ind w:right="-3"/>
        <w:spacing w:after="0"/>
        <w:rPr>
          <w:sz w:val="20"/>
          <w:szCs w:val="20"/>
          <w:color w:val="auto"/>
        </w:rPr>
      </w:pPr>
      <w:r>
        <w:rPr>
          <w:rFonts w:ascii="Arial" w:cs="Arial" w:eastAsia="Arial" w:hAnsi="Arial"/>
          <w:sz w:val="17"/>
          <w:szCs w:val="17"/>
          <w:color w:val="auto"/>
        </w:rPr>
        <w:t>PURSUANT TO SECTION 13 OR 15(D) OF THE SECURITIES EXCHANGE ACT OF 1934</w:t>
      </w:r>
    </w:p>
    <w:p>
      <w:pPr>
        <w:spacing w:after="0" w:line="43"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DATE OF REPORT - May 22, 2026</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(Date of earliest event reported)</w:t>
      </w:r>
    </w:p>
    <w:p>
      <w:pPr>
        <w:spacing w:after="0" w:line="193" w:lineRule="exact"/>
        <w:rPr>
          <w:sz w:val="24"/>
          <w:szCs w:val="24"/>
          <w:color w:val="auto"/>
        </w:rPr>
      </w:pPr>
    </w:p>
    <w:p>
      <w:pPr>
        <w:jc w:val="center"/>
        <w:ind w:right="-3"/>
        <w:spacing w:after="0"/>
        <w:rPr>
          <w:sz w:val="20"/>
          <w:szCs w:val="20"/>
          <w:color w:val="auto"/>
        </w:rPr>
      </w:pPr>
      <w:r>
        <w:rPr>
          <w:rFonts w:ascii="Arial" w:cs="Arial" w:eastAsia="Arial" w:hAnsi="Arial"/>
          <w:sz w:val="36"/>
          <w:szCs w:val="36"/>
          <w:b w:val="1"/>
          <w:bCs w:val="1"/>
          <w:color w:val="auto"/>
        </w:rPr>
        <w:t>HONEYWELL INTERNATIONAL INC.</w:t>
      </w:r>
    </w:p>
    <w:p>
      <w:pPr>
        <w:spacing w:after="0" w:line="131"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24"/>
          </w:cols>
          <w:pgMar w:left="436" w:top="221" w:right="439" w:bottom="1440" w:gutter="0" w:footer="0" w:header="0"/>
        </w:sectPr>
      </w:pPr>
    </w:p>
    <w:p>
      <w:pPr>
        <w:spacing w:after="0" w:line="239" w:lineRule="exact"/>
        <w:rPr>
          <w:sz w:val="24"/>
          <w:szCs w:val="24"/>
          <w:color w:val="auto"/>
        </w:rPr>
      </w:pPr>
    </w:p>
    <w:p>
      <w:pPr>
        <w:ind w:left="1484"/>
        <w:spacing w:after="0"/>
        <w:rPr>
          <w:sz w:val="20"/>
          <w:szCs w:val="20"/>
          <w:color w:val="auto"/>
        </w:rPr>
      </w:pPr>
      <w:r>
        <w:rPr>
          <w:rFonts w:ascii="Arial" w:cs="Arial" w:eastAsia="Arial" w:hAnsi="Arial"/>
          <w:sz w:val="18"/>
          <w:szCs w:val="18"/>
          <w:color w:val="auto"/>
        </w:rPr>
        <w:t>Delaware</w:t>
      </w:r>
    </w:p>
    <w:p>
      <w:pPr>
        <w:spacing w:after="0" w:line="32" w:lineRule="exact"/>
        <w:rPr>
          <w:sz w:val="24"/>
          <w:szCs w:val="24"/>
          <w:color w:val="auto"/>
        </w:rPr>
      </w:pPr>
    </w:p>
    <w:p>
      <w:pPr>
        <w:ind w:left="744"/>
        <w:spacing w:after="0"/>
        <w:rPr>
          <w:sz w:val="20"/>
          <w:szCs w:val="20"/>
          <w:color w:val="auto"/>
        </w:rPr>
      </w:pPr>
      <w:r>
        <w:rPr>
          <w:rFonts w:ascii="Arial" w:cs="Arial" w:eastAsia="Arial" w:hAnsi="Arial"/>
          <w:sz w:val="18"/>
          <w:szCs w:val="18"/>
          <w:color w:val="auto"/>
        </w:rPr>
        <w:t>(State or other jurisdiction of</w:t>
      </w:r>
    </w:p>
    <w:p>
      <w:pPr>
        <w:spacing w:after="0" w:line="4" w:lineRule="exact"/>
        <w:rPr>
          <w:sz w:val="24"/>
          <w:szCs w:val="24"/>
          <w:color w:val="auto"/>
        </w:rPr>
      </w:pPr>
    </w:p>
    <w:p>
      <w:pPr>
        <w:ind w:left="1324"/>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1-8974</w:t>
      </w:r>
    </w:p>
    <w:p>
      <w:pPr>
        <w:spacing w:after="0" w:line="32" w:lineRule="exact"/>
        <w:rPr>
          <w:sz w:val="24"/>
          <w:szCs w:val="24"/>
          <w:color w:val="auto"/>
        </w:rPr>
      </w:pPr>
    </w:p>
    <w:p>
      <w:pPr>
        <w:jc w:val="center"/>
        <w:ind w:right="66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22-2640650</w:t>
      </w:r>
    </w:p>
    <w:p>
      <w:pPr>
        <w:spacing w:after="0" w:line="32"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w:t>
      </w:r>
    </w:p>
    <w:p>
      <w:pPr>
        <w:spacing w:after="0" w:line="16"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Number)</w:t>
      </w:r>
    </w:p>
    <w:p>
      <w:pPr>
        <w:spacing w:after="0" w:line="200" w:lineRule="exact"/>
        <w:rPr>
          <w:sz w:val="24"/>
          <w:szCs w:val="24"/>
          <w:color w:val="auto"/>
        </w:rPr>
      </w:pPr>
    </w:p>
    <w:p>
      <w:pPr>
        <w:sectPr>
          <w:pgSz w:w="11900" w:h="16838" w:orient="portrait"/>
          <w:cols w:equalWidth="0" w:num="3">
            <w:col w:w="3824" w:space="720"/>
            <w:col w:w="2800" w:space="720"/>
            <w:col w:w="2960"/>
          </w:cols>
          <w:pgMar w:left="436" w:top="221" w:right="439" w:bottom="1440" w:gutter="0" w:footer="0" w:header="0"/>
          <w:type w:val="continuous"/>
        </w:sectPr>
      </w:pPr>
    </w:p>
    <w:p>
      <w:pPr>
        <w:spacing w:after="0" w:line="88" w:lineRule="exact"/>
        <w:rPr>
          <w:sz w:val="24"/>
          <w:szCs w:val="24"/>
          <w:color w:val="auto"/>
        </w:rPr>
      </w:pPr>
    </w:p>
    <w:p>
      <w:pPr>
        <w:jc w:val="center"/>
        <w:ind w:left="584"/>
        <w:spacing w:after="0"/>
        <w:rPr>
          <w:sz w:val="20"/>
          <w:szCs w:val="20"/>
          <w:color w:val="auto"/>
        </w:rPr>
      </w:pPr>
      <w:r>
        <w:rPr>
          <w:rFonts w:ascii="Arial" w:cs="Arial" w:eastAsia="Arial" w:hAnsi="Arial"/>
          <w:sz w:val="17"/>
          <w:szCs w:val="17"/>
          <w:color w:val="auto"/>
        </w:rPr>
        <w:t>855 S. MINT STREET, CHARLOTTE, NC</w:t>
      </w:r>
    </w:p>
    <w:p>
      <w:pPr>
        <w:spacing w:after="0" w:line="43" w:lineRule="exact"/>
        <w:rPr>
          <w:sz w:val="24"/>
          <w:szCs w:val="24"/>
          <w:color w:val="auto"/>
        </w:rPr>
      </w:pPr>
    </w:p>
    <w:p>
      <w:pPr>
        <w:jc w:val="center"/>
        <w:ind w:left="584"/>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jc w:val="center"/>
        <w:ind w:right="1840"/>
        <w:spacing w:after="0"/>
        <w:rPr>
          <w:sz w:val="20"/>
          <w:szCs w:val="20"/>
          <w:color w:val="auto"/>
        </w:rPr>
      </w:pPr>
      <w:r>
        <w:rPr>
          <w:rFonts w:ascii="Arial" w:cs="Arial" w:eastAsia="Arial" w:hAnsi="Arial"/>
          <w:sz w:val="18"/>
          <w:szCs w:val="18"/>
          <w:color w:val="auto"/>
        </w:rPr>
        <w:t>28202</w:t>
      </w:r>
    </w:p>
    <w:p>
      <w:pPr>
        <w:spacing w:after="0" w:line="32" w:lineRule="exact"/>
        <w:rPr>
          <w:sz w:val="24"/>
          <w:szCs w:val="24"/>
          <w:color w:val="auto"/>
        </w:rPr>
      </w:pPr>
    </w:p>
    <w:p>
      <w:pPr>
        <w:jc w:val="center"/>
        <w:ind w:right="1840"/>
        <w:spacing w:after="0"/>
        <w:rPr>
          <w:sz w:val="20"/>
          <w:szCs w:val="20"/>
          <w:color w:val="auto"/>
        </w:rPr>
      </w:pPr>
      <w:r>
        <w:rPr>
          <w:rFonts w:ascii="Arial" w:cs="Arial" w:eastAsia="Arial" w:hAnsi="Arial"/>
          <w:sz w:val="17"/>
          <w:szCs w:val="17"/>
          <w:color w:val="auto"/>
        </w:rPr>
        <w:t>(Zip Code)</w:t>
      </w:r>
    </w:p>
    <w:p>
      <w:pPr>
        <w:spacing w:after="0" w:line="211" w:lineRule="exact"/>
        <w:rPr>
          <w:sz w:val="24"/>
          <w:szCs w:val="24"/>
          <w:color w:val="auto"/>
        </w:rPr>
      </w:pPr>
    </w:p>
    <w:p>
      <w:pPr>
        <w:sectPr>
          <w:pgSz w:w="11900" w:h="16838" w:orient="portrait"/>
          <w:cols w:equalWidth="0" w:num="2">
            <w:col w:w="7624" w:space="720"/>
            <w:col w:w="2680"/>
          </w:cols>
          <w:pgMar w:left="436" w:top="221" w:right="439" w:bottom="1440" w:gutter="0" w:footer="0" w:header="0"/>
          <w:type w:val="continuous"/>
        </w:sectPr>
      </w:pPr>
    </w:p>
    <w:p>
      <w:pPr>
        <w:spacing w:after="0" w:line="43"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Registrant’s telephone number, including area code: (704) 627-6200</w:t>
      </w:r>
    </w:p>
    <w:p>
      <w:pPr>
        <w:spacing w:after="0" w:line="239" w:lineRule="exact"/>
        <w:rPr>
          <w:sz w:val="24"/>
          <w:szCs w:val="24"/>
          <w:color w:val="auto"/>
        </w:rPr>
      </w:pPr>
    </w:p>
    <w:p>
      <w:pPr>
        <w:ind w:left="4" w:right="12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9" w:lineRule="exact"/>
        <w:rPr>
          <w:sz w:val="24"/>
          <w:szCs w:val="24"/>
          <w:color w:val="auto"/>
        </w:rPr>
      </w:pPr>
    </w:p>
    <w:tbl>
      <w:tblPr>
        <w:tblLayout w:type="fixed"/>
        <w:tblInd w:w="4" w:type="dxa"/>
        <w:tblCellMar>
          <w:top w:w="0" w:type="dxa"/>
          <w:left w:w="0" w:type="dxa"/>
          <w:bottom w:w="0" w:type="dxa"/>
          <w:right w:w="0" w:type="dxa"/>
        </w:tblCellMar>
      </w:tblPr>
      <w:tr>
        <w:trPr>
          <w:trHeight w:val="239"/>
        </w:trPr>
        <w:tc>
          <w:tcPr>
            <w:tcW w:w="530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09"/>
        </w:trPr>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Trading</w:t>
            </w:r>
          </w:p>
        </w:tc>
        <w:tc>
          <w:tcPr>
            <w:tcW w:w="4740" w:type="dxa"/>
            <w:vAlign w:val="bottom"/>
          </w:tcPr>
          <w:p>
            <w:pPr>
              <w:spacing w:after="0"/>
              <w:rPr>
                <w:sz w:val="24"/>
                <w:szCs w:val="24"/>
                <w:color w:val="auto"/>
              </w:rPr>
            </w:pPr>
          </w:p>
        </w:tc>
      </w:tr>
      <w:tr>
        <w:trPr>
          <w:trHeight w:val="235"/>
        </w:trPr>
        <w:tc>
          <w:tcPr>
            <w:tcW w:w="53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Title of each class</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Symbol(s)</w:t>
            </w:r>
          </w:p>
        </w:tc>
        <w:tc>
          <w:tcPr>
            <w:tcW w:w="4740" w:type="dxa"/>
            <w:vAlign w:val="bottom"/>
          </w:tcPr>
          <w:p>
            <w:pPr>
              <w:jc w:val="center"/>
              <w:spacing w:after="0"/>
              <w:rPr>
                <w:sz w:val="20"/>
                <w:szCs w:val="20"/>
                <w:color w:val="auto"/>
              </w:rPr>
            </w:pPr>
            <w:r>
              <w:rPr>
                <w:rFonts w:ascii="Arial" w:cs="Arial" w:eastAsia="Arial" w:hAnsi="Arial"/>
                <w:sz w:val="18"/>
                <w:szCs w:val="18"/>
                <w:color w:val="auto"/>
              </w:rPr>
              <w:t>Name of each exchange on which registered</w:t>
            </w:r>
          </w:p>
        </w:tc>
      </w:tr>
      <w:tr>
        <w:trPr>
          <w:trHeight w:val="223"/>
        </w:trPr>
        <w:tc>
          <w:tcPr>
            <w:tcW w:w="5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rPr>
              <w:t>Common Stock, par value $1 per share</w:t>
            </w: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HON</w:t>
            </w:r>
          </w:p>
        </w:tc>
        <w:tc>
          <w:tcPr>
            <w:tcW w:w="100" w:type="dxa"/>
            <w:vAlign w:val="bottom"/>
          </w:tcPr>
          <w:p>
            <w:pPr>
              <w:spacing w:after="0"/>
              <w:rPr>
                <w:sz w:val="19"/>
                <w:szCs w:val="19"/>
                <w:color w:val="auto"/>
              </w:rPr>
            </w:pPr>
          </w:p>
        </w:tc>
        <w:tc>
          <w:tcPr>
            <w:tcW w:w="4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The Nasdaq Stock Market LLC</w:t>
            </w:r>
          </w:p>
        </w:tc>
      </w:tr>
      <w:tr>
        <w:trPr>
          <w:trHeight w:val="223"/>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3.375% Senior Notes due 2030</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HON 30</w:t>
            </w:r>
          </w:p>
        </w:tc>
        <w:tc>
          <w:tcPr>
            <w:tcW w:w="100" w:type="dxa"/>
            <w:vAlign w:val="bottom"/>
          </w:tcPr>
          <w:p>
            <w:pPr>
              <w:spacing w:after="0"/>
              <w:rPr>
                <w:sz w:val="19"/>
                <w:szCs w:val="19"/>
                <w:color w:val="auto"/>
              </w:rPr>
            </w:pPr>
          </w:p>
        </w:tc>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The Nasdaq Stock Market LLC</w:t>
            </w:r>
          </w:p>
        </w:tc>
      </w:tr>
      <w:tr>
        <w:trPr>
          <w:trHeight w:val="223"/>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0.750% Senior Notes due 2032</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HON 32</w:t>
            </w:r>
          </w:p>
        </w:tc>
        <w:tc>
          <w:tcPr>
            <w:tcW w:w="100" w:type="dxa"/>
            <w:vAlign w:val="bottom"/>
          </w:tcPr>
          <w:p>
            <w:pPr>
              <w:spacing w:after="0"/>
              <w:rPr>
                <w:sz w:val="19"/>
                <w:szCs w:val="19"/>
                <w:color w:val="auto"/>
              </w:rPr>
            </w:pPr>
          </w:p>
        </w:tc>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The Nasdaq Stock Market LLC</w:t>
            </w:r>
          </w:p>
        </w:tc>
      </w:tr>
      <w:tr>
        <w:trPr>
          <w:trHeight w:val="223"/>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3.750% Senior Notes due 2032</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HON 32A</w:t>
            </w:r>
          </w:p>
        </w:tc>
        <w:tc>
          <w:tcPr>
            <w:tcW w:w="100" w:type="dxa"/>
            <w:vAlign w:val="bottom"/>
          </w:tcPr>
          <w:p>
            <w:pPr>
              <w:spacing w:after="0"/>
              <w:rPr>
                <w:sz w:val="19"/>
                <w:szCs w:val="19"/>
                <w:color w:val="auto"/>
              </w:rPr>
            </w:pPr>
          </w:p>
        </w:tc>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The Nasdaq Stock Market LLC</w:t>
            </w:r>
          </w:p>
        </w:tc>
      </w:tr>
      <w:tr>
        <w:trPr>
          <w:trHeight w:val="223"/>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4.125% Senior Notes due 2034</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HON 34</w:t>
            </w:r>
          </w:p>
        </w:tc>
        <w:tc>
          <w:tcPr>
            <w:tcW w:w="100" w:type="dxa"/>
            <w:vAlign w:val="bottom"/>
          </w:tcPr>
          <w:p>
            <w:pPr>
              <w:spacing w:after="0"/>
              <w:rPr>
                <w:sz w:val="19"/>
                <w:szCs w:val="19"/>
                <w:color w:val="auto"/>
              </w:rPr>
            </w:pPr>
          </w:p>
        </w:tc>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The Nasdaq Stock Market LLC</w:t>
            </w:r>
          </w:p>
        </w:tc>
      </w:tr>
      <w:tr>
        <w:trPr>
          <w:trHeight w:val="232"/>
        </w:trPr>
        <w:tc>
          <w:tcPr>
            <w:tcW w:w="5180" w:type="dxa"/>
            <w:vAlign w:val="bottom"/>
          </w:tcPr>
          <w:p>
            <w:pPr>
              <w:jc w:val="center"/>
              <w:spacing w:after="0"/>
              <w:rPr>
                <w:sz w:val="20"/>
                <w:szCs w:val="20"/>
                <w:color w:val="auto"/>
              </w:rPr>
            </w:pPr>
            <w:r>
              <w:rPr>
                <w:rFonts w:ascii="Arial" w:cs="Arial" w:eastAsia="Arial" w:hAnsi="Arial"/>
                <w:sz w:val="18"/>
                <w:szCs w:val="18"/>
                <w:color w:val="auto"/>
                <w:w w:val="99"/>
              </w:rPr>
              <w:t>3.750% Senior Notes due 2036</w:t>
            </w:r>
          </w:p>
        </w:tc>
        <w:tc>
          <w:tcPr>
            <w:tcW w:w="1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8"/>
              </w:rPr>
              <w:t>HON 36</w:t>
            </w:r>
          </w:p>
        </w:tc>
        <w:tc>
          <w:tcPr>
            <w:tcW w:w="100" w:type="dxa"/>
            <w:vAlign w:val="bottom"/>
          </w:tcPr>
          <w:p>
            <w:pPr>
              <w:spacing w:after="0"/>
              <w:rPr>
                <w:sz w:val="20"/>
                <w:szCs w:val="20"/>
                <w:color w:val="auto"/>
              </w:rPr>
            </w:pPr>
          </w:p>
        </w:tc>
        <w:tc>
          <w:tcPr>
            <w:tcW w:w="474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r>
    </w:tbl>
    <w:p>
      <w:pPr>
        <w:spacing w:after="0" w:line="174" w:lineRule="exact"/>
        <w:rPr>
          <w:sz w:val="24"/>
          <w:szCs w:val="24"/>
          <w:color w:val="auto"/>
        </w:rPr>
      </w:pPr>
    </w:p>
    <w:p>
      <w:pPr>
        <w:ind w:left="4"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3" w:lineRule="exact"/>
        <w:rPr>
          <w:sz w:val="24"/>
          <w:szCs w:val="24"/>
          <w:color w:val="auto"/>
        </w:rPr>
      </w:pPr>
    </w:p>
    <w:p>
      <w:pPr>
        <w:ind w:left="8584"/>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8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1024"/>
          </w:cols>
          <w:pgMar w:left="436" w:top="221"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Arial" w:cs="Arial" w:eastAsia="Arial" w:hAnsi="Arial"/>
          <w:sz w:val="18"/>
          <w:szCs w:val="18"/>
          <w:b w:val="1"/>
          <w:bCs w:val="1"/>
          <w:color w:val="auto"/>
        </w:rPr>
        <w:t>Submission of Matters to a Vote of Security Holders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Honeywell International Inc. (the “Company”) held its Annual Meeting of Shareowners on May 22, 2026. The following matters set forth in our Proxy Statement dated April 10, 2026 (the “2026 Proxy Statement”), which was filed with the Securities and Exchange Commission pursuant to Regulation 14A under the Securities Exchange Act of 1934, were voted upon with the results indicated below.</w:t>
      </w:r>
    </w:p>
    <w:p>
      <w:pPr>
        <w:spacing w:after="0" w:line="196" w:lineRule="exact"/>
        <w:rPr>
          <w:sz w:val="20"/>
          <w:szCs w:val="20"/>
          <w:color w:val="auto"/>
        </w:rPr>
      </w:pPr>
    </w:p>
    <w:p>
      <w:pPr>
        <w:ind w:left="42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The nominees listed below were elected directors with the respective votes set forth opposite their names:</w:t>
      </w:r>
    </w:p>
    <w:p>
      <w:pPr>
        <w:spacing w:after="0" w:line="239" w:lineRule="exact"/>
        <w:rPr>
          <w:sz w:val="20"/>
          <w:szCs w:val="20"/>
          <w:color w:val="auto"/>
        </w:rPr>
      </w:pPr>
    </w:p>
    <w:tbl>
      <w:tblPr>
        <w:tblLayout w:type="fixed"/>
        <w:tblInd w:w="440" w:type="dxa"/>
        <w:tblCellMar>
          <w:top w:w="0" w:type="dxa"/>
          <w:left w:w="0" w:type="dxa"/>
          <w:bottom w:w="0" w:type="dxa"/>
          <w:right w:w="0" w:type="dxa"/>
        </w:tblCellMar>
      </w:tblPr>
      <w:tr>
        <w:trPr>
          <w:trHeight w:val="235"/>
        </w:trPr>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For</w:t>
            </w:r>
          </w:p>
        </w:tc>
        <w:tc>
          <w:tcPr>
            <w:tcW w:w="2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Against</w:t>
            </w:r>
          </w:p>
        </w:tc>
        <w:tc>
          <w:tcPr>
            <w:tcW w:w="21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9"/>
              </w:rPr>
              <w:t>Abstain</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8"/>
              </w:rPr>
              <w:t>Broker Non Votes</w:t>
            </w:r>
          </w:p>
        </w:tc>
      </w:tr>
      <w:tr>
        <w:trPr>
          <w:trHeight w:val="196"/>
        </w:trPr>
        <w:tc>
          <w:tcPr>
            <w:tcW w:w="1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Duncan B. Angove</w:t>
            </w:r>
          </w:p>
        </w:tc>
        <w:tc>
          <w:tcPr>
            <w:tcW w:w="14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464,139,182</w:t>
            </w:r>
          </w:p>
        </w:tc>
        <w:tc>
          <w:tcPr>
            <w:tcW w:w="10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13,755,159</w:t>
            </w:r>
          </w:p>
        </w:tc>
        <w:tc>
          <w:tcPr>
            <w:tcW w:w="8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1,399,132</w:t>
            </w:r>
          </w:p>
        </w:tc>
        <w:tc>
          <w:tcPr>
            <w:tcW w:w="8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66,560,788</w:t>
            </w:r>
          </w:p>
        </w:tc>
      </w:tr>
      <w:tr>
        <w:trPr>
          <w:trHeight w:val="184"/>
        </w:trPr>
        <w:tc>
          <w:tcPr>
            <w:tcW w:w="1820" w:type="dxa"/>
            <w:vAlign w:val="bottom"/>
          </w:tcPr>
          <w:p>
            <w:pPr>
              <w:spacing w:after="0" w:line="183" w:lineRule="exact"/>
              <w:rPr>
                <w:sz w:val="20"/>
                <w:szCs w:val="20"/>
                <w:color w:val="auto"/>
              </w:rPr>
            </w:pPr>
            <w:r>
              <w:rPr>
                <w:rFonts w:ascii="Arial" w:cs="Arial" w:eastAsia="Arial" w:hAnsi="Arial"/>
                <w:sz w:val="18"/>
                <w:szCs w:val="18"/>
                <w:color w:val="auto"/>
              </w:rPr>
              <w:t>Craig Arnold</w:t>
            </w:r>
          </w:p>
        </w:tc>
        <w:tc>
          <w:tcPr>
            <w:tcW w:w="2060" w:type="dxa"/>
            <w:vAlign w:val="bottom"/>
            <w:gridSpan w:val="2"/>
          </w:tcPr>
          <w:p>
            <w:pPr>
              <w:jc w:val="center"/>
              <w:ind w:left="50"/>
              <w:spacing w:after="0" w:line="183" w:lineRule="exact"/>
              <w:rPr>
                <w:sz w:val="20"/>
                <w:szCs w:val="20"/>
                <w:color w:val="auto"/>
              </w:rPr>
            </w:pPr>
            <w:r>
              <w:rPr>
                <w:rFonts w:ascii="Arial" w:cs="Arial" w:eastAsia="Arial" w:hAnsi="Arial"/>
                <w:sz w:val="18"/>
                <w:szCs w:val="18"/>
                <w:color w:val="auto"/>
                <w:w w:val="99"/>
              </w:rPr>
              <w:t>467,967,662</w:t>
            </w:r>
          </w:p>
        </w:tc>
        <w:tc>
          <w:tcPr>
            <w:tcW w:w="100" w:type="dxa"/>
            <w:vAlign w:val="bottom"/>
          </w:tcPr>
          <w:p>
            <w:pPr>
              <w:spacing w:after="0"/>
              <w:rPr>
                <w:sz w:val="15"/>
                <w:szCs w:val="15"/>
                <w:color w:val="auto"/>
              </w:rPr>
            </w:pPr>
          </w:p>
        </w:tc>
        <w:tc>
          <w:tcPr>
            <w:tcW w:w="2100" w:type="dxa"/>
            <w:vAlign w:val="bottom"/>
            <w:gridSpan w:val="2"/>
          </w:tcPr>
          <w:p>
            <w:pPr>
              <w:jc w:val="center"/>
              <w:ind w:right="80"/>
              <w:spacing w:after="0" w:line="183" w:lineRule="exact"/>
              <w:rPr>
                <w:sz w:val="20"/>
                <w:szCs w:val="20"/>
                <w:color w:val="auto"/>
              </w:rPr>
            </w:pPr>
            <w:r>
              <w:rPr>
                <w:rFonts w:ascii="Arial" w:cs="Arial" w:eastAsia="Arial" w:hAnsi="Arial"/>
                <w:sz w:val="18"/>
                <w:szCs w:val="18"/>
                <w:color w:val="auto"/>
                <w:w w:val="94"/>
              </w:rPr>
              <w:t>  9,706,396</w:t>
            </w:r>
          </w:p>
        </w:tc>
        <w:tc>
          <w:tcPr>
            <w:tcW w:w="2040" w:type="dxa"/>
            <w:vAlign w:val="bottom"/>
          </w:tcPr>
          <w:p>
            <w:pPr>
              <w:jc w:val="center"/>
              <w:spacing w:after="0" w:line="183" w:lineRule="exact"/>
              <w:rPr>
                <w:sz w:val="20"/>
                <w:szCs w:val="20"/>
                <w:color w:val="auto"/>
              </w:rPr>
            </w:pPr>
            <w:r>
              <w:rPr>
                <w:rFonts w:ascii="Arial" w:cs="Arial" w:eastAsia="Arial" w:hAnsi="Arial"/>
                <w:sz w:val="18"/>
                <w:szCs w:val="18"/>
                <w:color w:val="auto"/>
                <w:w w:val="99"/>
              </w:rPr>
              <w:t>1,619,415</w:t>
            </w:r>
          </w:p>
        </w:tc>
        <w:tc>
          <w:tcPr>
            <w:tcW w:w="80" w:type="dxa"/>
            <w:vAlign w:val="bottom"/>
          </w:tcPr>
          <w:p>
            <w:pPr>
              <w:spacing w:after="0"/>
              <w:rPr>
                <w:sz w:val="15"/>
                <w:szCs w:val="15"/>
                <w:color w:val="auto"/>
              </w:rPr>
            </w:pPr>
          </w:p>
        </w:tc>
        <w:tc>
          <w:tcPr>
            <w:tcW w:w="1920" w:type="dxa"/>
            <w:vAlign w:val="bottom"/>
          </w:tcPr>
          <w:p>
            <w:pPr>
              <w:jc w:val="center"/>
              <w:spacing w:after="0" w:line="183" w:lineRule="exact"/>
              <w:rPr>
                <w:sz w:val="20"/>
                <w:szCs w:val="20"/>
                <w:color w:val="auto"/>
              </w:rPr>
            </w:pPr>
            <w:r>
              <w:rPr>
                <w:rFonts w:ascii="Arial" w:cs="Arial" w:eastAsia="Arial" w:hAnsi="Arial"/>
                <w:sz w:val="18"/>
                <w:szCs w:val="18"/>
                <w:color w:val="auto"/>
                <w:w w:val="99"/>
              </w:rPr>
              <w:t>66,560,788</w:t>
            </w:r>
          </w:p>
        </w:tc>
      </w:tr>
      <w:tr>
        <w:trPr>
          <w:trHeight w:val="221"/>
        </w:trPr>
        <w:tc>
          <w:tcPr>
            <w:tcW w:w="1820" w:type="dxa"/>
            <w:vAlign w:val="bottom"/>
          </w:tcPr>
          <w:p>
            <w:pPr>
              <w:spacing w:after="0"/>
              <w:rPr>
                <w:sz w:val="20"/>
                <w:szCs w:val="20"/>
                <w:color w:val="auto"/>
              </w:rPr>
            </w:pPr>
            <w:r>
              <w:rPr>
                <w:rFonts w:ascii="Arial" w:cs="Arial" w:eastAsia="Arial" w:hAnsi="Arial"/>
                <w:sz w:val="18"/>
                <w:szCs w:val="18"/>
                <w:color w:val="auto"/>
              </w:rPr>
              <w:t>William S. Ayer</w:t>
            </w:r>
          </w:p>
        </w:tc>
        <w:tc>
          <w:tcPr>
            <w:tcW w:w="20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471,293,549</w:t>
            </w:r>
          </w:p>
        </w:tc>
        <w:tc>
          <w:tcPr>
            <w:tcW w:w="100" w:type="dxa"/>
            <w:vAlign w:val="bottom"/>
          </w:tcPr>
          <w:p>
            <w:pPr>
              <w:spacing w:after="0"/>
              <w:rPr>
                <w:sz w:val="19"/>
                <w:szCs w:val="19"/>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  6,686,318</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1,313,606</w:t>
            </w:r>
          </w:p>
        </w:tc>
        <w:tc>
          <w:tcPr>
            <w:tcW w:w="8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66,560,788</w:t>
            </w:r>
          </w:p>
        </w:tc>
      </w:tr>
      <w:tr>
        <w:trPr>
          <w:trHeight w:val="197"/>
        </w:trPr>
        <w:tc>
          <w:tcPr>
            <w:tcW w:w="182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D. Scott Davis</w:t>
            </w:r>
          </w:p>
        </w:tc>
        <w:tc>
          <w:tcPr>
            <w:tcW w:w="2060" w:type="dxa"/>
            <w:vAlign w:val="bottom"/>
            <w:gridSpan w:val="2"/>
            <w:shd w:val="clear" w:color="auto" w:fill="CCEEFF"/>
          </w:tcPr>
          <w:p>
            <w:pPr>
              <w:jc w:val="center"/>
              <w:ind w:left="50"/>
              <w:spacing w:after="0" w:line="197" w:lineRule="exact"/>
              <w:rPr>
                <w:sz w:val="20"/>
                <w:szCs w:val="20"/>
                <w:color w:val="auto"/>
              </w:rPr>
            </w:pPr>
            <w:r>
              <w:rPr>
                <w:rFonts w:ascii="Arial" w:cs="Arial" w:eastAsia="Arial" w:hAnsi="Arial"/>
                <w:sz w:val="18"/>
                <w:szCs w:val="18"/>
                <w:color w:val="auto"/>
                <w:w w:val="99"/>
              </w:rPr>
              <w:t>442,320,024</w:t>
            </w: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line="197" w:lineRule="exact"/>
              <w:rPr>
                <w:sz w:val="20"/>
                <w:szCs w:val="20"/>
                <w:color w:val="auto"/>
              </w:rPr>
            </w:pPr>
            <w:r>
              <w:rPr>
                <w:rFonts w:ascii="Arial" w:cs="Arial" w:eastAsia="Arial" w:hAnsi="Arial"/>
                <w:sz w:val="18"/>
                <w:szCs w:val="18"/>
                <w:color w:val="auto"/>
                <w:w w:val="99"/>
              </w:rPr>
              <w:t>35,331,436</w:t>
            </w:r>
          </w:p>
        </w:tc>
        <w:tc>
          <w:tcPr>
            <w:tcW w:w="80" w:type="dxa"/>
            <w:vAlign w:val="bottom"/>
            <w:shd w:val="clear" w:color="auto" w:fill="CCEEFF"/>
          </w:tcPr>
          <w:p>
            <w:pPr>
              <w:spacing w:after="0"/>
              <w:rPr>
                <w:sz w:val="17"/>
                <w:szCs w:val="17"/>
                <w:color w:val="auto"/>
              </w:rPr>
            </w:pPr>
          </w:p>
        </w:tc>
        <w:tc>
          <w:tcPr>
            <w:tcW w:w="2040" w:type="dxa"/>
            <w:vAlign w:val="bottom"/>
            <w:shd w:val="clear" w:color="auto" w:fill="CCEEFF"/>
          </w:tcPr>
          <w:p>
            <w:pPr>
              <w:jc w:val="center"/>
              <w:spacing w:after="0" w:line="197" w:lineRule="exact"/>
              <w:rPr>
                <w:sz w:val="20"/>
                <w:szCs w:val="20"/>
                <w:color w:val="auto"/>
              </w:rPr>
            </w:pPr>
            <w:r>
              <w:rPr>
                <w:rFonts w:ascii="Arial" w:cs="Arial" w:eastAsia="Arial" w:hAnsi="Arial"/>
                <w:sz w:val="18"/>
                <w:szCs w:val="18"/>
                <w:color w:val="auto"/>
                <w:w w:val="99"/>
              </w:rPr>
              <w:t>1,642,013</w:t>
            </w:r>
          </w:p>
        </w:tc>
        <w:tc>
          <w:tcPr>
            <w:tcW w:w="80" w:type="dxa"/>
            <w:vAlign w:val="bottom"/>
            <w:shd w:val="clear" w:color="auto" w:fill="CCEEFF"/>
          </w:tcPr>
          <w:p>
            <w:pPr>
              <w:spacing w:after="0"/>
              <w:rPr>
                <w:sz w:val="17"/>
                <w:szCs w:val="17"/>
                <w:color w:val="auto"/>
              </w:rPr>
            </w:pPr>
          </w:p>
        </w:tc>
        <w:tc>
          <w:tcPr>
            <w:tcW w:w="1920" w:type="dxa"/>
            <w:vAlign w:val="bottom"/>
            <w:shd w:val="clear" w:color="auto" w:fill="CCEEFF"/>
          </w:tcPr>
          <w:p>
            <w:pPr>
              <w:jc w:val="center"/>
              <w:spacing w:after="0" w:line="197" w:lineRule="exact"/>
              <w:rPr>
                <w:sz w:val="20"/>
                <w:szCs w:val="20"/>
                <w:color w:val="auto"/>
              </w:rPr>
            </w:pPr>
            <w:r>
              <w:rPr>
                <w:rFonts w:ascii="Arial" w:cs="Arial" w:eastAsia="Arial" w:hAnsi="Arial"/>
                <w:sz w:val="18"/>
                <w:szCs w:val="18"/>
                <w:color w:val="auto"/>
                <w:w w:val="99"/>
              </w:rPr>
              <w:t>66,560,788</w:t>
            </w:r>
          </w:p>
        </w:tc>
      </w:tr>
      <w:tr>
        <w:trPr>
          <w:trHeight w:val="235"/>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Deborah Flint</w:t>
            </w:r>
          </w:p>
        </w:tc>
        <w:tc>
          <w:tcPr>
            <w:tcW w:w="20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9"/>
              </w:rPr>
              <w:t>465,896,618</w:t>
            </w: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11,846,697</w:t>
            </w:r>
          </w:p>
        </w:tc>
        <w:tc>
          <w:tcPr>
            <w:tcW w:w="80" w:type="dxa"/>
            <w:vAlign w:val="bottom"/>
            <w:shd w:val="clear" w:color="auto" w:fill="CCEEFF"/>
          </w:tcPr>
          <w:p>
            <w:pPr>
              <w:spacing w:after="0"/>
              <w:rPr>
                <w:sz w:val="20"/>
                <w:szCs w:val="20"/>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1,550,158</w:t>
            </w:r>
          </w:p>
        </w:tc>
        <w:tc>
          <w:tcPr>
            <w:tcW w:w="80" w:type="dxa"/>
            <w:vAlign w:val="bottom"/>
            <w:shd w:val="clear" w:color="auto" w:fill="CCEEFF"/>
          </w:tcPr>
          <w:p>
            <w:pPr>
              <w:spacing w:after="0"/>
              <w:rPr>
                <w:sz w:val="20"/>
                <w:szCs w:val="20"/>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66,560,788</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Vimal Kapur</w:t>
            </w:r>
          </w:p>
        </w:tc>
        <w:tc>
          <w:tcPr>
            <w:tcW w:w="20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464,838,820</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13,164,230</w:t>
            </w:r>
          </w:p>
        </w:tc>
        <w:tc>
          <w:tcPr>
            <w:tcW w:w="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1,290,423</w:t>
            </w:r>
          </w:p>
        </w:tc>
        <w:tc>
          <w:tcPr>
            <w:tcW w:w="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66,560,788</w:t>
            </w:r>
          </w:p>
        </w:tc>
      </w:tr>
      <w:tr>
        <w:trPr>
          <w:trHeight w:val="197"/>
        </w:trPr>
        <w:tc>
          <w:tcPr>
            <w:tcW w:w="182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Michael W. Lamach</w:t>
            </w:r>
          </w:p>
        </w:tc>
        <w:tc>
          <w:tcPr>
            <w:tcW w:w="2060" w:type="dxa"/>
            <w:vAlign w:val="bottom"/>
            <w:gridSpan w:val="2"/>
            <w:shd w:val="clear" w:color="auto" w:fill="CCEEFF"/>
          </w:tcPr>
          <w:p>
            <w:pPr>
              <w:jc w:val="center"/>
              <w:ind w:left="50"/>
              <w:spacing w:after="0" w:line="197" w:lineRule="exact"/>
              <w:rPr>
                <w:sz w:val="20"/>
                <w:szCs w:val="20"/>
                <w:color w:val="auto"/>
              </w:rPr>
            </w:pPr>
            <w:r>
              <w:rPr>
                <w:rFonts w:ascii="Arial" w:cs="Arial" w:eastAsia="Arial" w:hAnsi="Arial"/>
                <w:sz w:val="18"/>
                <w:szCs w:val="18"/>
                <w:color w:val="auto"/>
                <w:w w:val="99"/>
              </w:rPr>
              <w:t>466,514,007</w:t>
            </w: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line="197" w:lineRule="exact"/>
              <w:rPr>
                <w:sz w:val="20"/>
                <w:szCs w:val="20"/>
                <w:color w:val="auto"/>
              </w:rPr>
            </w:pPr>
            <w:r>
              <w:rPr>
                <w:rFonts w:ascii="Arial" w:cs="Arial" w:eastAsia="Arial" w:hAnsi="Arial"/>
                <w:sz w:val="18"/>
                <w:szCs w:val="18"/>
                <w:color w:val="auto"/>
                <w:w w:val="97"/>
              </w:rPr>
              <w:t>11,064,449</w:t>
            </w:r>
          </w:p>
        </w:tc>
        <w:tc>
          <w:tcPr>
            <w:tcW w:w="80" w:type="dxa"/>
            <w:vAlign w:val="bottom"/>
            <w:shd w:val="clear" w:color="auto" w:fill="CCEEFF"/>
          </w:tcPr>
          <w:p>
            <w:pPr>
              <w:spacing w:after="0"/>
              <w:rPr>
                <w:sz w:val="17"/>
                <w:szCs w:val="17"/>
                <w:color w:val="auto"/>
              </w:rPr>
            </w:pPr>
          </w:p>
        </w:tc>
        <w:tc>
          <w:tcPr>
            <w:tcW w:w="2040" w:type="dxa"/>
            <w:vAlign w:val="bottom"/>
            <w:shd w:val="clear" w:color="auto" w:fill="CCEEFF"/>
          </w:tcPr>
          <w:p>
            <w:pPr>
              <w:jc w:val="center"/>
              <w:spacing w:after="0" w:line="197" w:lineRule="exact"/>
              <w:rPr>
                <w:sz w:val="20"/>
                <w:szCs w:val="20"/>
                <w:color w:val="auto"/>
              </w:rPr>
            </w:pPr>
            <w:r>
              <w:rPr>
                <w:rFonts w:ascii="Arial" w:cs="Arial" w:eastAsia="Arial" w:hAnsi="Arial"/>
                <w:sz w:val="18"/>
                <w:szCs w:val="18"/>
                <w:color w:val="auto"/>
                <w:w w:val="99"/>
              </w:rPr>
              <w:t>1,715,017</w:t>
            </w:r>
          </w:p>
        </w:tc>
        <w:tc>
          <w:tcPr>
            <w:tcW w:w="80" w:type="dxa"/>
            <w:vAlign w:val="bottom"/>
            <w:shd w:val="clear" w:color="auto" w:fill="CCEEFF"/>
          </w:tcPr>
          <w:p>
            <w:pPr>
              <w:spacing w:after="0"/>
              <w:rPr>
                <w:sz w:val="17"/>
                <w:szCs w:val="17"/>
                <w:color w:val="auto"/>
              </w:rPr>
            </w:pPr>
          </w:p>
        </w:tc>
        <w:tc>
          <w:tcPr>
            <w:tcW w:w="1920" w:type="dxa"/>
            <w:vAlign w:val="bottom"/>
            <w:shd w:val="clear" w:color="auto" w:fill="CCEEFF"/>
          </w:tcPr>
          <w:p>
            <w:pPr>
              <w:jc w:val="center"/>
              <w:spacing w:after="0" w:line="197" w:lineRule="exact"/>
              <w:rPr>
                <w:sz w:val="20"/>
                <w:szCs w:val="20"/>
                <w:color w:val="auto"/>
              </w:rPr>
            </w:pPr>
            <w:r>
              <w:rPr>
                <w:rFonts w:ascii="Arial" w:cs="Arial" w:eastAsia="Arial" w:hAnsi="Arial"/>
                <w:sz w:val="18"/>
                <w:szCs w:val="18"/>
                <w:color w:val="auto"/>
                <w:w w:val="99"/>
              </w:rPr>
              <w:t>66,560,788</w:t>
            </w:r>
          </w:p>
        </w:tc>
      </w:tr>
      <w:tr>
        <w:trPr>
          <w:trHeight w:val="235"/>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Grace Lieblein</w:t>
            </w:r>
          </w:p>
        </w:tc>
        <w:tc>
          <w:tcPr>
            <w:tcW w:w="20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9"/>
              </w:rPr>
              <w:t>457,043,389</w:t>
            </w: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21,000,828</w:t>
            </w:r>
          </w:p>
        </w:tc>
        <w:tc>
          <w:tcPr>
            <w:tcW w:w="80" w:type="dxa"/>
            <w:vAlign w:val="bottom"/>
            <w:shd w:val="clear" w:color="auto" w:fill="CCEEFF"/>
          </w:tcPr>
          <w:p>
            <w:pPr>
              <w:spacing w:after="0"/>
              <w:rPr>
                <w:sz w:val="20"/>
                <w:szCs w:val="20"/>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1,249,256</w:t>
            </w:r>
          </w:p>
        </w:tc>
        <w:tc>
          <w:tcPr>
            <w:tcW w:w="80" w:type="dxa"/>
            <w:vAlign w:val="bottom"/>
            <w:shd w:val="clear" w:color="auto" w:fill="CCEEFF"/>
          </w:tcPr>
          <w:p>
            <w:pPr>
              <w:spacing w:after="0"/>
              <w:rPr>
                <w:sz w:val="20"/>
                <w:szCs w:val="20"/>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66,560,788</w:t>
            </w:r>
          </w:p>
        </w:tc>
      </w:tr>
      <w:tr>
        <w:trPr>
          <w:trHeight w:val="197"/>
        </w:trPr>
        <w:tc>
          <w:tcPr>
            <w:tcW w:w="1820" w:type="dxa"/>
            <w:vAlign w:val="bottom"/>
          </w:tcPr>
          <w:p>
            <w:pPr>
              <w:spacing w:after="0" w:line="197" w:lineRule="exact"/>
              <w:rPr>
                <w:sz w:val="20"/>
                <w:szCs w:val="20"/>
                <w:color w:val="auto"/>
              </w:rPr>
            </w:pPr>
            <w:r>
              <w:rPr>
                <w:rFonts w:ascii="Arial" w:cs="Arial" w:eastAsia="Arial" w:hAnsi="Arial"/>
                <w:sz w:val="18"/>
                <w:szCs w:val="18"/>
                <w:color w:val="auto"/>
              </w:rPr>
              <w:t>Indra K. Nooyi</w:t>
            </w:r>
          </w:p>
        </w:tc>
        <w:tc>
          <w:tcPr>
            <w:tcW w:w="2060" w:type="dxa"/>
            <w:vAlign w:val="bottom"/>
            <w:gridSpan w:val="2"/>
          </w:tcPr>
          <w:p>
            <w:pPr>
              <w:jc w:val="center"/>
              <w:ind w:left="50"/>
              <w:spacing w:after="0" w:line="197" w:lineRule="exact"/>
              <w:rPr>
                <w:sz w:val="20"/>
                <w:szCs w:val="20"/>
                <w:color w:val="auto"/>
              </w:rPr>
            </w:pPr>
            <w:r>
              <w:rPr>
                <w:rFonts w:ascii="Arial" w:cs="Arial" w:eastAsia="Arial" w:hAnsi="Arial"/>
                <w:sz w:val="18"/>
                <w:szCs w:val="18"/>
                <w:color w:val="auto"/>
                <w:w w:val="99"/>
              </w:rPr>
              <w:t>473,961,878</w:t>
            </w:r>
          </w:p>
        </w:tc>
        <w:tc>
          <w:tcPr>
            <w:tcW w:w="100" w:type="dxa"/>
            <w:vAlign w:val="bottom"/>
          </w:tcPr>
          <w:p>
            <w:pPr>
              <w:spacing w:after="0"/>
              <w:rPr>
                <w:sz w:val="17"/>
                <w:szCs w:val="17"/>
                <w:color w:val="auto"/>
              </w:rPr>
            </w:pPr>
          </w:p>
        </w:tc>
        <w:tc>
          <w:tcPr>
            <w:tcW w:w="2100" w:type="dxa"/>
            <w:vAlign w:val="bottom"/>
            <w:gridSpan w:val="2"/>
          </w:tcPr>
          <w:p>
            <w:pPr>
              <w:jc w:val="center"/>
              <w:ind w:right="80"/>
              <w:spacing w:after="0" w:line="197" w:lineRule="exact"/>
              <w:rPr>
                <w:sz w:val="20"/>
                <w:szCs w:val="20"/>
                <w:color w:val="auto"/>
              </w:rPr>
            </w:pPr>
            <w:r>
              <w:rPr>
                <w:rFonts w:ascii="Arial" w:cs="Arial" w:eastAsia="Arial" w:hAnsi="Arial"/>
                <w:sz w:val="18"/>
                <w:szCs w:val="18"/>
                <w:color w:val="auto"/>
                <w:w w:val="94"/>
              </w:rPr>
              <w:t>  4,048,561</w:t>
            </w:r>
          </w:p>
        </w:tc>
        <w:tc>
          <w:tcPr>
            <w:tcW w:w="2040" w:type="dxa"/>
            <w:vAlign w:val="bottom"/>
          </w:tcPr>
          <w:p>
            <w:pPr>
              <w:jc w:val="center"/>
              <w:spacing w:after="0" w:line="197" w:lineRule="exact"/>
              <w:rPr>
                <w:sz w:val="20"/>
                <w:szCs w:val="20"/>
                <w:color w:val="auto"/>
              </w:rPr>
            </w:pPr>
            <w:r>
              <w:rPr>
                <w:rFonts w:ascii="Arial" w:cs="Arial" w:eastAsia="Arial" w:hAnsi="Arial"/>
                <w:sz w:val="18"/>
                <w:szCs w:val="18"/>
                <w:color w:val="auto"/>
                <w:w w:val="99"/>
              </w:rPr>
              <w:t>1,283,034</w:t>
            </w:r>
          </w:p>
        </w:tc>
        <w:tc>
          <w:tcPr>
            <w:tcW w:w="80" w:type="dxa"/>
            <w:vAlign w:val="bottom"/>
          </w:tcPr>
          <w:p>
            <w:pPr>
              <w:spacing w:after="0"/>
              <w:rPr>
                <w:sz w:val="17"/>
                <w:szCs w:val="17"/>
                <w:color w:val="auto"/>
              </w:rPr>
            </w:pPr>
          </w:p>
        </w:tc>
        <w:tc>
          <w:tcPr>
            <w:tcW w:w="1920" w:type="dxa"/>
            <w:vAlign w:val="bottom"/>
          </w:tcPr>
          <w:p>
            <w:pPr>
              <w:jc w:val="center"/>
              <w:spacing w:after="0" w:line="197" w:lineRule="exact"/>
              <w:rPr>
                <w:sz w:val="20"/>
                <w:szCs w:val="20"/>
                <w:color w:val="auto"/>
              </w:rPr>
            </w:pPr>
            <w:r>
              <w:rPr>
                <w:rFonts w:ascii="Arial" w:cs="Arial" w:eastAsia="Arial" w:hAnsi="Arial"/>
                <w:sz w:val="18"/>
                <w:szCs w:val="18"/>
                <w:color w:val="auto"/>
                <w:w w:val="99"/>
              </w:rPr>
              <w:t>66,560,788</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Marc Steinberg</w:t>
            </w:r>
          </w:p>
        </w:tc>
        <w:tc>
          <w:tcPr>
            <w:tcW w:w="20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471,483,730</w:t>
            </w:r>
          </w:p>
        </w:tc>
        <w:tc>
          <w:tcPr>
            <w:tcW w:w="100" w:type="dxa"/>
            <w:vAlign w:val="bottom"/>
          </w:tcPr>
          <w:p>
            <w:pPr>
              <w:spacing w:after="0"/>
              <w:rPr>
                <w:sz w:val="18"/>
                <w:szCs w:val="18"/>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  6,429,528</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1,380,215</w:t>
            </w:r>
          </w:p>
        </w:tc>
        <w:tc>
          <w:tcPr>
            <w:tcW w:w="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66,560,788</w:t>
            </w:r>
          </w:p>
        </w:tc>
      </w:tr>
      <w:tr>
        <w:trPr>
          <w:trHeight w:val="235"/>
        </w:trPr>
        <w:tc>
          <w:tcPr>
            <w:tcW w:w="1820" w:type="dxa"/>
            <w:vAlign w:val="bottom"/>
          </w:tcPr>
          <w:p>
            <w:pPr>
              <w:spacing w:after="0"/>
              <w:rPr>
                <w:sz w:val="20"/>
                <w:szCs w:val="20"/>
                <w:color w:val="auto"/>
              </w:rPr>
            </w:pPr>
            <w:r>
              <w:rPr>
                <w:rFonts w:ascii="Arial" w:cs="Arial" w:eastAsia="Arial" w:hAnsi="Arial"/>
                <w:sz w:val="18"/>
                <w:szCs w:val="18"/>
                <w:color w:val="auto"/>
              </w:rPr>
              <w:t>Robin Watson</w:t>
            </w:r>
          </w:p>
        </w:tc>
        <w:tc>
          <w:tcPr>
            <w:tcW w:w="20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472,404,726</w:t>
            </w:r>
          </w:p>
        </w:tc>
        <w:tc>
          <w:tcPr>
            <w:tcW w:w="100" w:type="dxa"/>
            <w:vAlign w:val="bottom"/>
          </w:tcPr>
          <w:p>
            <w:pPr>
              <w:spacing w:after="0"/>
              <w:rPr>
                <w:sz w:val="20"/>
                <w:szCs w:val="20"/>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  5,585,489</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1,303,258</w:t>
            </w:r>
          </w:p>
        </w:tc>
        <w:tc>
          <w:tcPr>
            <w:tcW w:w="8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66,560,788</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Stephen Williamson</w:t>
            </w:r>
          </w:p>
        </w:tc>
        <w:tc>
          <w:tcPr>
            <w:tcW w:w="20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9"/>
              </w:rPr>
              <w:t>473,170,813</w:t>
            </w:r>
          </w:p>
        </w:tc>
        <w:tc>
          <w:tcPr>
            <w:tcW w:w="1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  4,725,167</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1,397,493</w:t>
            </w: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66,560,788</w:t>
            </w:r>
          </w:p>
        </w:tc>
      </w:tr>
    </w:tbl>
    <w:p>
      <w:pPr>
        <w:spacing w:after="0" w:line="224" w:lineRule="exact"/>
        <w:rPr>
          <w:sz w:val="20"/>
          <w:szCs w:val="20"/>
          <w:color w:val="auto"/>
        </w:rPr>
      </w:pPr>
    </w:p>
    <w:p>
      <w:pPr>
        <w:ind w:left="760" w:right="200" w:hanging="332"/>
        <w:spacing w:after="0" w:line="271"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shareowners approved, on a non-binding advisory basis, the compensation of the Company’s named executive officers as disclosed in the 2026 Proxy Statement. The voting results are set forth below:</w:t>
      </w:r>
    </w:p>
    <w:p>
      <w:pPr>
        <w:spacing w:after="0" w:line="181" w:lineRule="exact"/>
        <w:rPr>
          <w:sz w:val="20"/>
          <w:szCs w:val="20"/>
          <w:color w:val="auto"/>
        </w:rPr>
      </w:pPr>
    </w:p>
    <w:tbl>
      <w:tblPr>
        <w:tblLayout w:type="fixed"/>
        <w:tblInd w:w="440" w:type="dxa"/>
        <w:tblCellMar>
          <w:top w:w="0" w:type="dxa"/>
          <w:left w:w="0" w:type="dxa"/>
          <w:bottom w:w="0" w:type="dxa"/>
          <w:right w:w="0" w:type="dxa"/>
        </w:tblCellMar>
      </w:tblPr>
      <w:tr>
        <w:trPr>
          <w:trHeight w:val="235"/>
        </w:trPr>
        <w:tc>
          <w:tcPr>
            <w:tcW w:w="2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For</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Against</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Abstain</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8"/>
              </w:rPr>
              <w:t>Broker Non Votes</w:t>
            </w:r>
          </w:p>
        </w:tc>
      </w:tr>
      <w:tr>
        <w:trPr>
          <w:trHeight w:val="196"/>
        </w:trPr>
        <w:tc>
          <w:tcPr>
            <w:tcW w:w="2440" w:type="dxa"/>
            <w:vAlign w:val="bottom"/>
            <w:tcBorders>
              <w:top w:val="single" w:sz="8" w:color="auto"/>
            </w:tcBorders>
            <w:shd w:val="clear" w:color="auto" w:fill="CCEEFF"/>
          </w:tcPr>
          <w:p>
            <w:pPr>
              <w:jc w:val="right"/>
              <w:ind w:right="630"/>
              <w:spacing w:after="0" w:line="196" w:lineRule="exact"/>
              <w:rPr>
                <w:sz w:val="20"/>
                <w:szCs w:val="20"/>
                <w:color w:val="auto"/>
              </w:rPr>
            </w:pPr>
            <w:r>
              <w:rPr>
                <w:rFonts w:ascii="Arial" w:cs="Arial" w:eastAsia="Arial" w:hAnsi="Arial"/>
                <w:sz w:val="18"/>
                <w:szCs w:val="18"/>
                <w:color w:val="auto"/>
              </w:rPr>
              <w:t>445,365,387</w:t>
            </w:r>
          </w:p>
        </w:tc>
        <w:tc>
          <w:tcPr>
            <w:tcW w:w="12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jc w:val="right"/>
              <w:ind w:right="670"/>
              <w:spacing w:after="0" w:line="196" w:lineRule="exact"/>
              <w:rPr>
                <w:sz w:val="20"/>
                <w:szCs w:val="20"/>
                <w:color w:val="auto"/>
              </w:rPr>
            </w:pPr>
            <w:r>
              <w:rPr>
                <w:rFonts w:ascii="Arial" w:cs="Arial" w:eastAsia="Arial" w:hAnsi="Arial"/>
                <w:sz w:val="18"/>
                <w:szCs w:val="18"/>
                <w:color w:val="auto"/>
              </w:rPr>
              <w:t>31,184,267</w:t>
            </w:r>
          </w:p>
        </w:tc>
        <w:tc>
          <w:tcPr>
            <w:tcW w:w="10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jc w:val="right"/>
              <w:ind w:right="770"/>
              <w:spacing w:after="0" w:line="196" w:lineRule="exact"/>
              <w:rPr>
                <w:sz w:val="20"/>
                <w:szCs w:val="20"/>
                <w:color w:val="auto"/>
              </w:rPr>
            </w:pPr>
            <w:r>
              <w:rPr>
                <w:rFonts w:ascii="Arial" w:cs="Arial" w:eastAsia="Arial" w:hAnsi="Arial"/>
                <w:sz w:val="18"/>
                <w:szCs w:val="18"/>
                <w:color w:val="auto"/>
              </w:rPr>
              <w:t>2,743,819</w:t>
            </w:r>
          </w:p>
        </w:tc>
        <w:tc>
          <w:tcPr>
            <w:tcW w:w="10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jc w:val="right"/>
              <w:ind w:right="670"/>
              <w:spacing w:after="0" w:line="196" w:lineRule="exact"/>
              <w:rPr>
                <w:sz w:val="20"/>
                <w:szCs w:val="20"/>
                <w:color w:val="auto"/>
              </w:rPr>
            </w:pPr>
            <w:r>
              <w:rPr>
                <w:rFonts w:ascii="Arial" w:cs="Arial" w:eastAsia="Arial" w:hAnsi="Arial"/>
                <w:sz w:val="18"/>
                <w:szCs w:val="18"/>
                <w:color w:val="auto"/>
              </w:rPr>
              <w:t>66,560,788</w:t>
            </w:r>
          </w:p>
        </w:tc>
      </w:tr>
    </w:tbl>
    <w:p>
      <w:pPr>
        <w:spacing w:after="0" w:line="224" w:lineRule="exact"/>
        <w:rPr>
          <w:sz w:val="20"/>
          <w:szCs w:val="20"/>
          <w:color w:val="auto"/>
        </w:rPr>
      </w:pPr>
    </w:p>
    <w:p>
      <w:pPr>
        <w:ind w:left="760" w:right="180" w:hanging="332"/>
        <w:spacing w:after="0" w:line="27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shareowners approved the appointment of Deloitte &amp; Touche LLP as independent accountants for 2026. The voting results are set forth below:</w:t>
      </w:r>
    </w:p>
    <w:p>
      <w:pPr>
        <w:spacing w:after="0" w:line="181" w:lineRule="exact"/>
        <w:rPr>
          <w:sz w:val="20"/>
          <w:szCs w:val="20"/>
          <w:color w:val="auto"/>
        </w:rPr>
      </w:pPr>
    </w:p>
    <w:tbl>
      <w:tblPr>
        <w:tblLayout w:type="fixed"/>
        <w:tblInd w:w="440" w:type="dxa"/>
        <w:tblCellMar>
          <w:top w:w="0" w:type="dxa"/>
          <w:left w:w="0" w:type="dxa"/>
          <w:bottom w:w="0" w:type="dxa"/>
          <w:right w:w="0" w:type="dxa"/>
        </w:tblCellMar>
      </w:tblPr>
      <w:tr>
        <w:trPr>
          <w:trHeight w:val="235"/>
        </w:trPr>
        <w:tc>
          <w:tcPr>
            <w:tcW w:w="3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For</w:t>
            </w:r>
          </w:p>
        </w:tc>
        <w:tc>
          <w:tcPr>
            <w:tcW w:w="3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Against</w:t>
            </w:r>
          </w:p>
        </w:tc>
        <w:tc>
          <w:tcPr>
            <w:tcW w:w="3240" w:type="dxa"/>
            <w:vAlign w:val="bottom"/>
          </w:tcPr>
          <w:p>
            <w:pPr>
              <w:ind w:left="1300"/>
              <w:spacing w:after="0"/>
              <w:rPr>
                <w:sz w:val="20"/>
                <w:szCs w:val="20"/>
                <w:color w:val="auto"/>
              </w:rPr>
            </w:pPr>
            <w:r>
              <w:rPr>
                <w:rFonts w:ascii="Arial" w:cs="Arial" w:eastAsia="Arial" w:hAnsi="Arial"/>
                <w:sz w:val="18"/>
                <w:szCs w:val="18"/>
                <w:b w:val="1"/>
                <w:bCs w:val="1"/>
                <w:color w:val="auto"/>
              </w:rPr>
              <w:t>Abstain</w:t>
            </w:r>
          </w:p>
        </w:tc>
      </w:tr>
      <w:tr>
        <w:trPr>
          <w:trHeight w:val="196"/>
        </w:trPr>
        <w:tc>
          <w:tcPr>
            <w:tcW w:w="3440" w:type="dxa"/>
            <w:vAlign w:val="bottom"/>
            <w:tcBorders>
              <w:top w:val="single" w:sz="8" w:color="auto"/>
            </w:tcBorders>
            <w:shd w:val="clear" w:color="auto" w:fill="CCEEFF"/>
          </w:tcPr>
          <w:p>
            <w:pPr>
              <w:jc w:val="right"/>
              <w:ind w:right="1130"/>
              <w:spacing w:after="0" w:line="196" w:lineRule="exact"/>
              <w:rPr>
                <w:sz w:val="20"/>
                <w:szCs w:val="20"/>
                <w:color w:val="auto"/>
              </w:rPr>
            </w:pPr>
            <w:r>
              <w:rPr>
                <w:rFonts w:ascii="Arial" w:cs="Arial" w:eastAsia="Arial" w:hAnsi="Arial"/>
                <w:sz w:val="18"/>
                <w:szCs w:val="18"/>
                <w:color w:val="auto"/>
              </w:rPr>
              <w:t>539,328,514</w:t>
            </w:r>
          </w:p>
        </w:tc>
        <w:tc>
          <w:tcPr>
            <w:tcW w:w="120" w:type="dxa"/>
            <w:vAlign w:val="bottom"/>
            <w:tcBorders>
              <w:top w:val="single" w:sz="8" w:color="CCEEFF"/>
            </w:tcBorders>
            <w:shd w:val="clear" w:color="auto" w:fill="CCEEFF"/>
          </w:tcPr>
          <w:p>
            <w:pPr>
              <w:spacing w:after="0"/>
              <w:rPr>
                <w:sz w:val="17"/>
                <w:szCs w:val="17"/>
                <w:color w:val="auto"/>
              </w:rPr>
            </w:pPr>
          </w:p>
        </w:tc>
        <w:tc>
          <w:tcPr>
            <w:tcW w:w="3240" w:type="dxa"/>
            <w:vAlign w:val="bottom"/>
            <w:tcBorders>
              <w:top w:val="single" w:sz="8" w:color="auto"/>
            </w:tcBorders>
            <w:shd w:val="clear" w:color="auto" w:fill="CCEEFF"/>
          </w:tcPr>
          <w:p>
            <w:pPr>
              <w:jc w:val="right"/>
              <w:ind w:right="1130"/>
              <w:spacing w:after="0" w:line="196" w:lineRule="exact"/>
              <w:rPr>
                <w:sz w:val="20"/>
                <w:szCs w:val="20"/>
                <w:color w:val="auto"/>
              </w:rPr>
            </w:pPr>
            <w:r>
              <w:rPr>
                <w:rFonts w:ascii="Arial" w:cs="Arial" w:eastAsia="Arial" w:hAnsi="Arial"/>
                <w:sz w:val="18"/>
                <w:szCs w:val="18"/>
                <w:color w:val="auto"/>
              </w:rPr>
              <w:t>5,581,867</w:t>
            </w:r>
          </w:p>
        </w:tc>
        <w:tc>
          <w:tcPr>
            <w:tcW w:w="80" w:type="dxa"/>
            <w:vAlign w:val="bottom"/>
            <w:tcBorders>
              <w:top w:val="single" w:sz="8" w:color="CCEEFF"/>
            </w:tcBorders>
            <w:shd w:val="clear" w:color="auto" w:fill="CCEEFF"/>
          </w:tcPr>
          <w:p>
            <w:pPr>
              <w:spacing w:after="0"/>
              <w:rPr>
                <w:sz w:val="17"/>
                <w:szCs w:val="17"/>
                <w:color w:val="auto"/>
              </w:rPr>
            </w:pPr>
          </w:p>
        </w:tc>
        <w:tc>
          <w:tcPr>
            <w:tcW w:w="3240" w:type="dxa"/>
            <w:vAlign w:val="bottom"/>
            <w:tcBorders>
              <w:top w:val="single" w:sz="8" w:color="auto"/>
            </w:tcBorders>
            <w:shd w:val="clear" w:color="auto" w:fill="CCEEFF"/>
          </w:tcPr>
          <w:p>
            <w:pPr>
              <w:ind w:left="1300"/>
              <w:spacing w:after="0" w:line="196" w:lineRule="exact"/>
              <w:rPr>
                <w:sz w:val="20"/>
                <w:szCs w:val="20"/>
                <w:color w:val="auto"/>
              </w:rPr>
            </w:pPr>
            <w:r>
              <w:rPr>
                <w:rFonts w:ascii="Arial" w:cs="Arial" w:eastAsia="Arial" w:hAnsi="Arial"/>
                <w:sz w:val="18"/>
                <w:szCs w:val="18"/>
                <w:color w:val="auto"/>
              </w:rPr>
              <w:t>943,880</w:t>
            </w:r>
          </w:p>
        </w:tc>
      </w:tr>
    </w:tbl>
    <w:p>
      <w:pPr>
        <w:spacing w:after="0" w:line="224" w:lineRule="exact"/>
        <w:rPr>
          <w:sz w:val="20"/>
          <w:szCs w:val="20"/>
          <w:color w:val="auto"/>
        </w:rPr>
      </w:pPr>
    </w:p>
    <w:p>
      <w:pPr>
        <w:ind w:left="420"/>
        <w:spacing w:after="0"/>
        <w:tabs>
          <w:tab w:leader="none" w:pos="74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7"/>
          <w:szCs w:val="17"/>
          <w:color w:val="auto"/>
        </w:rPr>
        <w:t>The shareowners approved the Reverse Stock Split Proposal. The voting results are set forth below:</w:t>
      </w:r>
    </w:p>
    <w:p>
      <w:pPr>
        <w:spacing w:after="0" w:line="239" w:lineRule="exact"/>
        <w:rPr>
          <w:sz w:val="20"/>
          <w:szCs w:val="20"/>
          <w:color w:val="auto"/>
        </w:rPr>
      </w:pPr>
    </w:p>
    <w:tbl>
      <w:tblPr>
        <w:tblLayout w:type="fixed"/>
        <w:tblInd w:w="440" w:type="dxa"/>
        <w:tblCellMar>
          <w:top w:w="0" w:type="dxa"/>
          <w:left w:w="0" w:type="dxa"/>
          <w:bottom w:w="0" w:type="dxa"/>
          <w:right w:w="0" w:type="dxa"/>
        </w:tblCellMar>
      </w:tblPr>
      <w:tr>
        <w:trPr>
          <w:trHeight w:val="235"/>
        </w:trPr>
        <w:tc>
          <w:tcPr>
            <w:tcW w:w="3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For</w:t>
            </w:r>
          </w:p>
        </w:tc>
        <w:tc>
          <w:tcPr>
            <w:tcW w:w="3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Against</w:t>
            </w:r>
          </w:p>
        </w:tc>
        <w:tc>
          <w:tcPr>
            <w:tcW w:w="3240" w:type="dxa"/>
            <w:vAlign w:val="bottom"/>
          </w:tcPr>
          <w:p>
            <w:pPr>
              <w:jc w:val="center"/>
              <w:spacing w:after="0"/>
              <w:rPr>
                <w:sz w:val="20"/>
                <w:szCs w:val="20"/>
                <w:color w:val="auto"/>
              </w:rPr>
            </w:pPr>
            <w:r>
              <w:rPr>
                <w:rFonts w:ascii="Arial" w:cs="Arial" w:eastAsia="Arial" w:hAnsi="Arial"/>
                <w:sz w:val="18"/>
                <w:szCs w:val="18"/>
                <w:b w:val="1"/>
                <w:bCs w:val="1"/>
                <w:color w:val="auto"/>
                <w:w w:val="99"/>
              </w:rPr>
              <w:t>Abstain</w:t>
            </w:r>
          </w:p>
        </w:tc>
      </w:tr>
      <w:tr>
        <w:trPr>
          <w:trHeight w:val="196"/>
        </w:trPr>
        <w:tc>
          <w:tcPr>
            <w:tcW w:w="3440" w:type="dxa"/>
            <w:vAlign w:val="bottom"/>
            <w:tcBorders>
              <w:top w:val="single" w:sz="8" w:color="auto"/>
            </w:tcBorders>
            <w:shd w:val="clear" w:color="auto" w:fill="CCEEFF"/>
          </w:tcPr>
          <w:p>
            <w:pPr>
              <w:jc w:val="right"/>
              <w:ind w:right="1130"/>
              <w:spacing w:after="0" w:line="196" w:lineRule="exact"/>
              <w:rPr>
                <w:sz w:val="20"/>
                <w:szCs w:val="20"/>
                <w:color w:val="auto"/>
              </w:rPr>
            </w:pPr>
            <w:r>
              <w:rPr>
                <w:rFonts w:ascii="Arial" w:cs="Arial" w:eastAsia="Arial" w:hAnsi="Arial"/>
                <w:sz w:val="18"/>
                <w:szCs w:val="18"/>
                <w:color w:val="auto"/>
              </w:rPr>
              <w:t>533,779,509</w:t>
            </w:r>
          </w:p>
        </w:tc>
        <w:tc>
          <w:tcPr>
            <w:tcW w:w="120" w:type="dxa"/>
            <w:vAlign w:val="bottom"/>
            <w:tcBorders>
              <w:top w:val="single" w:sz="8" w:color="CCEEFF"/>
            </w:tcBorders>
            <w:shd w:val="clear" w:color="auto" w:fill="CCEEFF"/>
          </w:tcPr>
          <w:p>
            <w:pPr>
              <w:spacing w:after="0"/>
              <w:rPr>
                <w:sz w:val="17"/>
                <w:szCs w:val="17"/>
                <w:color w:val="auto"/>
              </w:rPr>
            </w:pPr>
          </w:p>
        </w:tc>
        <w:tc>
          <w:tcPr>
            <w:tcW w:w="3240" w:type="dxa"/>
            <w:vAlign w:val="bottom"/>
            <w:tcBorders>
              <w:top w:val="single" w:sz="8" w:color="auto"/>
            </w:tcBorders>
            <w:shd w:val="clear" w:color="auto" w:fill="CCEEFF"/>
          </w:tcPr>
          <w:p>
            <w:pPr>
              <w:jc w:val="right"/>
              <w:ind w:right="1130"/>
              <w:spacing w:after="0" w:line="196" w:lineRule="exact"/>
              <w:rPr>
                <w:sz w:val="20"/>
                <w:szCs w:val="20"/>
                <w:color w:val="auto"/>
              </w:rPr>
            </w:pPr>
            <w:r>
              <w:rPr>
                <w:rFonts w:ascii="Arial" w:cs="Arial" w:eastAsia="Arial" w:hAnsi="Arial"/>
                <w:sz w:val="18"/>
                <w:szCs w:val="18"/>
                <w:color w:val="auto"/>
              </w:rPr>
              <w:t>9,513,554</w:t>
            </w:r>
          </w:p>
        </w:tc>
        <w:tc>
          <w:tcPr>
            <w:tcW w:w="80" w:type="dxa"/>
            <w:vAlign w:val="bottom"/>
            <w:tcBorders>
              <w:top w:val="single" w:sz="8" w:color="CCEEFF"/>
            </w:tcBorders>
            <w:shd w:val="clear" w:color="auto" w:fill="CCEEFF"/>
          </w:tcPr>
          <w:p>
            <w:pPr>
              <w:spacing w:after="0"/>
              <w:rPr>
                <w:sz w:val="17"/>
                <w:szCs w:val="17"/>
                <w:color w:val="auto"/>
              </w:rPr>
            </w:pPr>
          </w:p>
        </w:tc>
        <w:tc>
          <w:tcPr>
            <w:tcW w:w="3240" w:type="dxa"/>
            <w:vAlign w:val="bottom"/>
            <w:tcBorders>
              <w:top w:val="single" w:sz="8" w:color="auto"/>
            </w:tcBorders>
            <w:shd w:val="clear" w:color="auto" w:fill="CCEEFF"/>
          </w:tcPr>
          <w:p>
            <w:pPr>
              <w:jc w:val="right"/>
              <w:ind w:right="1130"/>
              <w:spacing w:after="0" w:line="196" w:lineRule="exact"/>
              <w:rPr>
                <w:sz w:val="20"/>
                <w:szCs w:val="20"/>
                <w:color w:val="auto"/>
              </w:rPr>
            </w:pPr>
            <w:r>
              <w:rPr>
                <w:rFonts w:ascii="Arial" w:cs="Arial" w:eastAsia="Arial" w:hAnsi="Arial"/>
                <w:sz w:val="18"/>
                <w:szCs w:val="18"/>
                <w:color w:val="auto"/>
              </w:rPr>
              <w:t>2,561,198</w:t>
            </w:r>
          </w:p>
        </w:tc>
      </w:tr>
    </w:tbl>
    <w:p>
      <w:pPr>
        <w:spacing w:after="0" w:line="224" w:lineRule="exact"/>
        <w:rPr>
          <w:sz w:val="20"/>
          <w:szCs w:val="20"/>
          <w:color w:val="auto"/>
        </w:rPr>
      </w:pPr>
    </w:p>
    <w:p>
      <w:pPr>
        <w:ind w:left="760" w:right="540" w:hanging="332"/>
        <w:spacing w:after="0" w:line="27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shareowners did not approve the shareowner proposal titled “Shareholder right to Act by Written Consent.” The voting results are set forth below:</w:t>
      </w:r>
    </w:p>
    <w:p>
      <w:pPr>
        <w:spacing w:after="0" w:line="181" w:lineRule="exact"/>
        <w:rPr>
          <w:sz w:val="20"/>
          <w:szCs w:val="20"/>
          <w:color w:val="auto"/>
        </w:rPr>
      </w:pPr>
    </w:p>
    <w:tbl>
      <w:tblPr>
        <w:tblLayout w:type="fixed"/>
        <w:tblInd w:w="440" w:type="dxa"/>
        <w:tblCellMar>
          <w:top w:w="0" w:type="dxa"/>
          <w:left w:w="0" w:type="dxa"/>
          <w:bottom w:w="0" w:type="dxa"/>
          <w:right w:w="0" w:type="dxa"/>
        </w:tblCellMar>
      </w:tblPr>
      <w:tr>
        <w:trPr>
          <w:trHeight w:val="235"/>
        </w:trPr>
        <w:tc>
          <w:tcPr>
            <w:tcW w:w="2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For</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Against</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Abstain</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8"/>
              </w:rPr>
              <w:t>Broker Non Votes</w:t>
            </w:r>
          </w:p>
        </w:tc>
      </w:tr>
      <w:tr>
        <w:trPr>
          <w:trHeight w:val="196"/>
        </w:trPr>
        <w:tc>
          <w:tcPr>
            <w:tcW w:w="2440" w:type="dxa"/>
            <w:vAlign w:val="bottom"/>
            <w:tcBorders>
              <w:top w:val="single" w:sz="8" w:color="auto"/>
            </w:tcBorders>
            <w:shd w:val="clear" w:color="auto" w:fill="CCEEFF"/>
          </w:tcPr>
          <w:p>
            <w:pPr>
              <w:jc w:val="right"/>
              <w:ind w:right="630"/>
              <w:spacing w:after="0" w:line="196" w:lineRule="exact"/>
              <w:rPr>
                <w:sz w:val="20"/>
                <w:szCs w:val="20"/>
                <w:color w:val="auto"/>
              </w:rPr>
            </w:pPr>
            <w:r>
              <w:rPr>
                <w:rFonts w:ascii="Arial" w:cs="Arial" w:eastAsia="Arial" w:hAnsi="Arial"/>
                <w:sz w:val="18"/>
                <w:szCs w:val="18"/>
                <w:color w:val="auto"/>
              </w:rPr>
              <w:t>152,897,633</w:t>
            </w:r>
          </w:p>
        </w:tc>
        <w:tc>
          <w:tcPr>
            <w:tcW w:w="12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jc w:val="right"/>
              <w:ind w:right="630"/>
              <w:spacing w:after="0" w:line="196" w:lineRule="exact"/>
              <w:rPr>
                <w:sz w:val="20"/>
                <w:szCs w:val="20"/>
                <w:color w:val="auto"/>
              </w:rPr>
            </w:pPr>
            <w:r>
              <w:rPr>
                <w:rFonts w:ascii="Arial" w:cs="Arial" w:eastAsia="Arial" w:hAnsi="Arial"/>
                <w:sz w:val="18"/>
                <w:szCs w:val="18"/>
                <w:color w:val="auto"/>
              </w:rPr>
              <w:t>323,102,671</w:t>
            </w:r>
          </w:p>
        </w:tc>
        <w:tc>
          <w:tcPr>
            <w:tcW w:w="10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jc w:val="right"/>
              <w:ind w:right="770"/>
              <w:spacing w:after="0" w:line="196" w:lineRule="exact"/>
              <w:rPr>
                <w:sz w:val="20"/>
                <w:szCs w:val="20"/>
                <w:color w:val="auto"/>
              </w:rPr>
            </w:pPr>
            <w:r>
              <w:rPr>
                <w:rFonts w:ascii="Arial" w:cs="Arial" w:eastAsia="Arial" w:hAnsi="Arial"/>
                <w:sz w:val="18"/>
                <w:szCs w:val="18"/>
                <w:color w:val="auto"/>
              </w:rPr>
              <w:t>3,293,169</w:t>
            </w:r>
          </w:p>
        </w:tc>
        <w:tc>
          <w:tcPr>
            <w:tcW w:w="10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jc w:val="right"/>
              <w:ind w:right="670"/>
              <w:spacing w:after="0" w:line="196" w:lineRule="exact"/>
              <w:rPr>
                <w:sz w:val="20"/>
                <w:szCs w:val="20"/>
                <w:color w:val="auto"/>
              </w:rPr>
            </w:pPr>
            <w:r>
              <w:rPr>
                <w:rFonts w:ascii="Arial" w:cs="Arial" w:eastAsia="Arial" w:hAnsi="Arial"/>
                <w:sz w:val="18"/>
                <w:szCs w:val="18"/>
                <w:color w:val="auto"/>
              </w:rPr>
              <w:t>66,560,788</w:t>
            </w:r>
          </w:p>
        </w:tc>
      </w:tr>
    </w:tbl>
    <w:p>
      <w:pPr>
        <w:sectPr>
          <w:pgSz w:w="11900" w:h="16838" w:orient="portrait"/>
          <w:cols w:equalWidth="0" w:num="1">
            <w:col w:w="11020"/>
          </w:cols>
          <w:pgMar w:left="440" w:top="296"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12"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Date:   May 27, 2026</w:t>
      </w:r>
      <w:r>
        <w:rPr>
          <w:sz w:val="20"/>
          <w:szCs w:val="20"/>
          <w:color w:val="auto"/>
        </w:rPr>
        <w:tab/>
      </w:r>
      <w:r>
        <w:rPr>
          <w:rFonts w:ascii="Arial" w:cs="Arial" w:eastAsia="Arial" w:hAnsi="Arial"/>
          <w:sz w:val="17"/>
          <w:szCs w:val="17"/>
          <w:color w:val="auto"/>
        </w:rPr>
        <w:t>HONEYWELL INTERNATIONAL INC.</w:t>
      </w:r>
    </w:p>
    <w:p>
      <w:pPr>
        <w:spacing w:after="0" w:line="32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Su Ping Lu</w:t>
      </w:r>
    </w:p>
    <w:p>
      <w:pPr>
        <w:spacing w:after="0" w:line="1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Su Ping Lu</w:t>
      </w:r>
    </w:p>
    <w:p>
      <w:pPr>
        <w:spacing w:after="0" w:line="8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Senior Vice President, General Counsel and</w:t>
      </w:r>
    </w:p>
    <w:p>
      <w:pPr>
        <w:spacing w:after="0" w:line="1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Corporate Secretary</w:t>
      </w:r>
    </w:p>
    <w:sectPr>
      <w:pgSz w:w="11900" w:h="16838" w:orient="portrait"/>
      <w:cols w:equalWidth="0" w:num="1">
        <w:col w:w="11000"/>
      </w:cols>
      <w:pgMar w:left="440" w:top="29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2026-05-27T16:12:02Z</dcterms:created>
  <dcterms:modified xsi:type="dcterms:W3CDTF">2026-05-27T16:12:02Z</dcterms:modified>
</cp:coreProperties>
</file>