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8022d8k.htm"/>
      <w:bookmarkStart w:id="1" w:name="ksd78802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 March 1, 2024</w:t>
      </w:r>
    </w:p>
    <w:p>
      <w:pPr>
        <w:pStyle w:val="TextBody"/>
        <w:bidi w:val="0"/>
        <w:spacing w:before="0" w:after="0"/>
        <w:jc w:val="center"/>
        <w:rPr>
          <w:rFonts w:ascii="Times New Roman" w:hAnsi="Times New Roman"/>
          <w:b/>
          <w:sz w:val="24"/>
        </w:rPr>
      </w:pPr>
      <w:r>
        <w:rPr>
          <w:rFonts w:ascii="Times New Roman" w:hAnsi="Times New Roman"/>
          <w:b/>
          <w:sz w:val="24"/>
        </w:rPr>
        <w:t>(Date of earliest event reported)</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HONEYWELL INTERNATIONAL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1985"/>
        <w:gridCol w:w="60"/>
        <w:gridCol w:w="980"/>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1-8974</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22-2640650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855 South Mint Street, Charlotte, NC</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28202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(704) 627-6200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35" w:type="dxa"/>
        <w:jc w:val="left"/>
        <w:tblInd w:w="0" w:type="dxa"/>
        <w:tblLayout w:type="fixed"/>
        <w:tblCellMar>
          <w:top w:w="0" w:type="dxa"/>
          <w:left w:w="0" w:type="dxa"/>
          <w:bottom w:w="0" w:type="dxa"/>
          <w:right w:w="0" w:type="dxa"/>
        </w:tblCellMar>
      </w:tblPr>
      <w:tblGrid>
        <w:gridCol w:w="3725"/>
        <w:gridCol w:w="60"/>
        <w:gridCol w:w="1040"/>
        <w:gridCol w:w="60"/>
        <w:gridCol w:w="3050"/>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725" w:type="dxa"/>
            <w:tcBorders/>
            <w:vAlign w:val="center"/>
          </w:tcPr>
          <w:p>
            <w:pPr>
              <w:pStyle w:val="TableContents"/>
              <w:bidi w:val="0"/>
              <w:spacing w:before="0" w:after="283"/>
              <w:jc w:val="center"/>
              <w:rPr/>
            </w:pPr>
            <w:r>
              <w:rPr/>
              <w:t>Common Stock, par value $1 per share</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HON</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3725" w:type="dxa"/>
            <w:tcBorders/>
            <w:vAlign w:val="center"/>
          </w:tcPr>
          <w:p>
            <w:pPr>
              <w:pStyle w:val="TableContents"/>
              <w:bidi w:val="0"/>
              <w:spacing w:before="0" w:after="283"/>
              <w:jc w:val="center"/>
              <w:rPr/>
            </w:pPr>
            <w:r>
              <w:rPr/>
              <w:t>0.000% Senior Notes due 2024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HON 24A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3725" w:type="dxa"/>
            <w:tcBorders/>
            <w:vAlign w:val="center"/>
          </w:tcPr>
          <w:p>
            <w:pPr>
              <w:pStyle w:val="TableContents"/>
              <w:bidi w:val="0"/>
              <w:spacing w:before="0" w:after="283"/>
              <w:jc w:val="center"/>
              <w:rPr/>
            </w:pPr>
            <w:r>
              <w:rPr/>
              <w:t>3.500% Senior Notes due 2027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HON 27</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3725" w:type="dxa"/>
            <w:tcBorders/>
            <w:vAlign w:val="center"/>
          </w:tcPr>
          <w:p>
            <w:pPr>
              <w:pStyle w:val="TableContents"/>
              <w:bidi w:val="0"/>
              <w:spacing w:before="0" w:after="283"/>
              <w:jc w:val="center"/>
              <w:rPr/>
            </w:pPr>
            <w:r>
              <w:rPr/>
              <w:t>2.250% Senior Notes due 2028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HON 28A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3725" w:type="dxa"/>
            <w:tcBorders/>
            <w:vAlign w:val="center"/>
          </w:tcPr>
          <w:p>
            <w:pPr>
              <w:pStyle w:val="TableContents"/>
              <w:bidi w:val="0"/>
              <w:spacing w:before="0" w:after="283"/>
              <w:jc w:val="center"/>
              <w:rPr/>
            </w:pPr>
            <w:r>
              <w:rPr/>
              <w:t>0.750% Senior Notes due 2032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HON 32</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3725" w:type="dxa"/>
            <w:tcBorders/>
            <w:vAlign w:val="center"/>
          </w:tcPr>
          <w:p>
            <w:pPr>
              <w:pStyle w:val="TableContents"/>
              <w:bidi w:val="0"/>
              <w:spacing w:before="0" w:after="283"/>
              <w:jc w:val="center"/>
              <w:rPr/>
            </w:pPr>
            <w:r>
              <w:rPr/>
              <w:t>3.750% Senior Notes due 2032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HON 32A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3725" w:type="dxa"/>
            <w:tcBorders/>
            <w:vAlign w:val="center"/>
          </w:tcPr>
          <w:p>
            <w:pPr>
              <w:pStyle w:val="TableContents"/>
              <w:bidi w:val="0"/>
              <w:spacing w:before="0" w:after="283"/>
              <w:jc w:val="center"/>
              <w:rPr/>
            </w:pPr>
            <w:r>
              <w:rPr/>
              <w:t>4.125% Senior Notes due 2034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HON 34</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ITEM 2.03 </w:t>
      </w:r>
      <w:r>
        <w:rPr>
          <w:rFonts w:ascii="Times New Roman" w:hAnsi="Times New Roman"/>
          <w:sz w:val="20"/>
          <w:u w:val="single"/>
        </w:rPr>
        <w:t>Creation of a Direct Financial Obligation or an Obligation Under an Off-balance Sheet Arrangement of a Registrant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March 1, 2024, Honeywell International Inc. (the “Company”) completed public offerings of €750,000,000 aggregate principal amount of its 3.375% Senior Notes due 2030 and €750,000,000 aggregate principal amount of its 3.750% Senior Notes due 2036 (collectively, the “Euro Notes”) and $500,000,000 aggregate principal amount of its 4.875% Senior Notes due 2029, $500,000,000 aggregate principal amount of its 4.950% Senior Notes due 2031, $750,000,000 aggregate principal amount of its 5.000% Senior Notes due 2035, $1,750,000,000 aggregate principal amount of its 5.250% Senior Notes due 2054 and $650,000,000 aggregate principal amount of its 5.350% Senior Notes due 2064 (collectively, the “U.S. Notes” and, together with the Euro Notes, the “Notes”). </w:t>
      </w:r>
    </w:p>
    <w:p>
      <w:pPr>
        <w:pStyle w:val="TextBody"/>
        <w:bidi w:val="0"/>
        <w:spacing w:before="240" w:after="0"/>
        <w:jc w:val="left"/>
        <w:rPr>
          <w:rFonts w:ascii="Times New Roman" w:hAnsi="Times New Roman"/>
          <w:sz w:val="20"/>
        </w:rPr>
      </w:pPr>
      <w:r>
        <w:rPr>
          <w:rFonts w:ascii="Times New Roman" w:hAnsi="Times New Roman"/>
          <w:sz w:val="20"/>
        </w:rPr>
        <w:t xml:space="preserve">The offerings of the Notes were made pursuant to the Company’s shelf registration statement on Form S-3 (Registration No. 333-260437) filed with the Securities and Exchange Commission on October 22, 2021.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pursuant to the terms of the indenture, dated as of March 1, 2007, between the Company and Deutsche Bank Trust Company Americas, as trustee, as amended by the first supplemental indenture dated as of October 27, 2017, the second supplemental indenture dated March 10, 2020 and the third supplemental indenture dated as of October 22, 2021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is qualified in its entirety by reference to the text of the Indenture and the respective forms of global notes for the offerings, which are filed as exhibits to this Current Report on Form 8-K and are incorporated herein by reference. </w:t>
      </w:r>
    </w:p>
    <w:p>
      <w:pPr>
        <w:pStyle w:val="TextBody"/>
        <w:bidi w:val="0"/>
        <w:spacing w:before="360" w:after="0"/>
        <w:jc w:val="left"/>
        <w:rPr>
          <w:rFonts w:ascii="Times New Roman" w:hAnsi="Times New Roman"/>
          <w:sz w:val="20"/>
        </w:rPr>
      </w:pPr>
      <w:r>
        <w:rPr>
          <w:rFonts w:ascii="Times New Roman" w:hAnsi="Times New Roman"/>
          <w:sz w:val="20"/>
        </w:rPr>
        <w:t xml:space="preserve">ITEM 9.01 </w:t>
      </w:r>
      <w:r>
        <w:rPr>
          <w:rFonts w:ascii="Times New Roman" w:hAnsi="Times New Roman"/>
          <w:sz w:val="20"/>
          <w:u w:val="single"/>
        </w:rPr>
        <w:t>Financial Statements and 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Copies of the opinions of the Deputy General Counsel of Honeywell International Inc. relating to the legality of the issuance and sale of the Company’s Notes are attached as Exhibits 5.1 and 5.2 hereto. </w:t>
      </w:r>
    </w:p>
    <w:p>
      <w:pPr>
        <w:pStyle w:val="TextBody"/>
        <w:bidi w:val="0"/>
        <w:spacing w:before="24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r:id="rId2">
              <w:r>
                <w:rPr>
                  <w:rStyle w:val="InternetLink"/>
                </w:rPr>
                <w:t xml:space="preserve">Indenture dated as of March 1, 2007 between Honeywell International Inc. and Deutsche Bank Trust Company Americas, as trustee (incorporated by reference to Exhibit 4.1 of Honeywell’s Registration Statement on Form S-3 (File No. 333-141013), filed March 1, 2007).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r:id="rId3">
              <w:r>
                <w:rPr>
                  <w:rStyle w:val="InternetLink"/>
                </w:rPr>
                <w:t xml:space="preserve">First Supplemental Indenture dated as of October 27, 2017 between Honeywell International Inc. and Deutsche Bank Trust Company Americas, as trustee (incorporated by reference to Exhibit 4.2 of Honeywell’s Form 8-K filed October 30, 2017).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4.3</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r:id="rId4">
              <w:r>
                <w:rPr>
                  <w:rStyle w:val="InternetLink"/>
                </w:rPr>
                <w:t xml:space="preserve">Second Supplemental Indenture dated as of March 10, 2020 between Honeywell International Inc. and Deutsche Bank Trust Company Americas, as trustee (incorporated by reference to Exhibit 4.3 of Honeywell’s Form 8-K filed March 10, 2020).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r:id="rId5">
              <w:r>
                <w:rPr>
                  <w:rStyle w:val="InternetLink"/>
                </w:rPr>
                <w:t xml:space="preserve">Third Supplemental Indenture dated as of October 22, 2021 between Honeywell International Inc. and Deutsche Bank Trust Company Americas, as trustee (incorporated by reference to Exhibit 4.8 of Honeywell’s Form S-3 filed October 22, 2021).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4.5</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45.htm">
              <w:r>
                <w:rPr>
                  <w:rStyle w:val="InternetLink"/>
                </w:rPr>
                <w:t xml:space="preserve">Form of 3.375% Senior Note Due 2030.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4.6</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46.htm">
              <w:r>
                <w:rPr>
                  <w:rStyle w:val="InternetLink"/>
                </w:rPr>
                <w:t xml:space="preserve">Form of 3.750% Senior Note Due 2036.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4.7</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47.htm">
              <w:r>
                <w:rPr>
                  <w:rStyle w:val="InternetLink"/>
                </w:rPr>
                <w:t xml:space="preserve">Form of 4.875% Senior Note Due 2029.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4.8</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48.htm">
              <w:r>
                <w:rPr>
                  <w:rStyle w:val="InternetLink"/>
                </w:rPr>
                <w:t xml:space="preserve">Form of 4.950% Senior Note Due 2031.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4.9</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49.htm">
              <w:r>
                <w:rPr>
                  <w:rStyle w:val="InternetLink"/>
                </w:rPr>
                <w:t xml:space="preserve">Form of 5.000% Senior Note Due 2035.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4.10</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410.htm">
              <w:r>
                <w:rPr>
                  <w:rStyle w:val="InternetLink"/>
                </w:rPr>
                <w:t xml:space="preserve">Form of 5.250% Senior Note Due 2054.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4.11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411.htm">
              <w:r>
                <w:rPr>
                  <w:rStyle w:val="InternetLink"/>
                </w:rPr>
                <w:t xml:space="preserve">Form of 5.350% Senior Note Due 2064.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5.1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51.htm">
              <w:r>
                <w:rPr>
                  <w:rStyle w:val="InternetLink"/>
                </w:rPr>
                <w:t xml:space="preserve">Opinion of Deputy General Counsel of Honeywell International Inc. with respect to the Euro Notes.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5.2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52.htm">
              <w:r>
                <w:rPr>
                  <w:rStyle w:val="InternetLink"/>
                </w:rPr>
                <w:t xml:space="preserve">Opinion of Deputy General Counsel of Honeywell International Inc. with respect to the U.S. Notes.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23.1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51.htm">
              <w:r>
                <w:rPr>
                  <w:rStyle w:val="InternetLink"/>
                </w:rPr>
                <w:t xml:space="preserve">Consent of Deputy General Counsel of Honeywell International Inc. with respect to the Euro Notes (included in Exhibit 5.1 hereto).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23.2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8022dex52.htm">
              <w:r>
                <w:rPr>
                  <w:rStyle w:val="InternetLink"/>
                </w:rPr>
                <w:t xml:space="preserve">Consent of Deputy General Counsel of Honeywell International Inc. with respect to the U.S. Notes (included in Exhibit 5.2 hereto).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316" w:type="dxa"/>
        <w:jc w:val="left"/>
        <w:tblInd w:w="0" w:type="dxa"/>
        <w:tblLayout w:type="fixed"/>
        <w:tblCellMar>
          <w:top w:w="0" w:type="dxa"/>
          <w:left w:w="0" w:type="dxa"/>
          <w:bottom w:w="0" w:type="dxa"/>
          <w:right w:w="0" w:type="dxa"/>
        </w:tblCellMar>
      </w:tblPr>
      <w:tblGrid>
        <w:gridCol w:w="2000"/>
        <w:gridCol w:w="60"/>
        <w:gridCol w:w="23"/>
        <w:gridCol w:w="60"/>
        <w:gridCol w:w="648"/>
        <w:gridCol w:w="106"/>
        <w:gridCol w:w="3419"/>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3419"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HONEYWELL INTERNATIONAL INC.</w:t>
            </w:r>
          </w:p>
        </w:tc>
      </w:tr>
      <w:tr>
        <w:trPr/>
        <w:tc>
          <w:tcPr>
            <w:tcW w:w="2000" w:type="dxa"/>
            <w:tcBorders/>
            <w:vAlign w:val="center"/>
          </w:tcPr>
          <w:p>
            <w:pPr>
              <w:pStyle w:val="TableContents"/>
              <w:bidi w:val="0"/>
              <w:spacing w:before="0" w:after="283"/>
              <w:jc w:val="left"/>
              <w:rPr/>
            </w:pPr>
            <w:r>
              <w:rPr/>
              <w:t>Date: March 1,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3419"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08" w:type="dxa"/>
            <w:gridSpan w:val="2"/>
            <w:tcBorders/>
            <w:vAlign w:val="center"/>
          </w:tcPr>
          <w:p>
            <w:pPr>
              <w:pStyle w:val="TableContents"/>
              <w:bidi w:val="0"/>
              <w:spacing w:before="0" w:after="283"/>
              <w:jc w:val="left"/>
              <w:rPr>
                <w:sz w:val="4"/>
                <w:szCs w:val="4"/>
              </w:rPr>
            </w:pPr>
            <w:r>
              <w:rPr>
                <w:sz w:val="4"/>
                <w:szCs w:val="4"/>
              </w:rPr>
            </w:r>
          </w:p>
        </w:tc>
        <w:tc>
          <w:tcPr>
            <w:tcW w:w="352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By:</w:t>
            </w:r>
          </w:p>
        </w:tc>
        <w:tc>
          <w:tcPr>
            <w:tcW w:w="106" w:type="dxa"/>
            <w:tcBorders/>
            <w:vAlign w:val="center"/>
          </w:tcPr>
          <w:p>
            <w:pPr>
              <w:pStyle w:val="TableContents"/>
              <w:bidi w:val="0"/>
              <w:spacing w:before="0" w:after="283"/>
              <w:jc w:val="left"/>
              <w:rPr/>
            </w:pPr>
            <w:r>
              <w:rPr/>
              <w:t> </w:t>
            </w:r>
          </w:p>
        </w:tc>
        <w:tc>
          <w:tcPr>
            <w:tcW w:w="341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 Ping Lu</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3419" w:type="dxa"/>
            <w:tcBorders/>
            <w:vAlign w:val="center"/>
          </w:tcPr>
          <w:p>
            <w:pPr>
              <w:pStyle w:val="TableContents"/>
              <w:bidi w:val="0"/>
              <w:spacing w:before="0" w:after="283"/>
              <w:jc w:val="left"/>
              <w:rPr/>
            </w:pPr>
            <w:r>
              <w:rPr/>
              <w:t>Corporate Secretary</w:t>
            </w:r>
          </w:p>
        </w:tc>
      </w:tr>
    </w:tbl>
    <w:p>
      <w:pPr>
        <w:pStyle w:val="TextBody"/>
        <w:bidi w:val="0"/>
        <w:spacing w:before="0" w:after="0"/>
        <w:jc w:val="right"/>
        <w:rPr>
          <w:rFonts w:ascii="Times New Roman" w:hAnsi="Times New Roman"/>
          <w:b/>
          <w:sz w:val="20"/>
        </w:rPr>
      </w:pPr>
      <w:bookmarkStart w:id="2" w:name="d788022dex45.htm"/>
      <w:bookmarkStart w:id="3" w:name="ksd788022dex45"/>
      <w:bookmarkEnd w:id="2"/>
      <w:bookmarkEnd w:id="3"/>
      <w:r>
        <w:rPr>
          <w:rFonts w:ascii="Times New Roman" w:hAnsi="Times New Roman"/>
          <w:b/>
          <w:sz w:val="20"/>
        </w:rPr>
        <w:t xml:space="preserve">Exhibit 4.5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DEUTSCHE BANK AG, LONDON BRANCH TO THE COMPANY OR ITS AGENT FOR REGISTRATION OF TRANSFER, EXCHANGE OR PAYMENT, AND ANY CERTIFICATE ISSUED IS REGISTERED IN THE NAME OF BT GLOBENET NOMINEES LIMITED OR IN SUCH OTHER NAME AS IS REQUESTED BY AN AUTHORIZED REPRESENTATIVE OF DEUTSCHE BANK AG, LONDON BRANCH (AND ANY PAYMENT HEREON IS MADE TO BT GLOBENET NOMINEES LIMITED OR TO SUCH OTHER ENTITY AS IS REQUESTED BY AN AUTHORIZED REPRESENTATIVE OF DEUTSCHE BANK AG, LONDON BRANCH), ANY TRANSFER, PLEDGE OR OTHER USE HEREOF FOR VALUE OR OTHERWISE BY OR TO ANY PERSON IS WRONGFUL SINCE THE REGISTERED OWNER HEREOF, BT GLOBENET NOMINEES LIMITED,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DEUTSCHE BANK AG, LONDON BRANCH OR TO A SUCCESSOR THEREOF OR SUCH SUCCESSORS NOMINEE. </w:t>
      </w:r>
    </w:p>
    <w:p>
      <w:pPr>
        <w:pStyle w:val="TextBody"/>
        <w:bidi w:val="0"/>
        <w:spacing w:before="240" w:after="0"/>
        <w:jc w:val="center"/>
        <w:rPr>
          <w:rFonts w:ascii="Times New Roman" w:hAnsi="Times New Roman"/>
          <w:sz w:val="20"/>
        </w:rPr>
      </w:pPr>
      <w:r>
        <w:rPr>
          <w:rFonts w:ascii="Times New Roman" w:hAnsi="Times New Roman"/>
          <w:sz w:val="20"/>
        </w:rPr>
        <w:t xml:space="preserve">HONEYWELL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3.375% Senior Note Due 2030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60"/>
        <w:gridCol w:w="125"/>
        <w:gridCol w:w="4720"/>
      </w:tblGrid>
      <w:tr>
        <w:trPr/>
        <w:tc>
          <w:tcPr>
            <w:tcW w:w="53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720" w:type="dxa"/>
            <w:tcBorders/>
            <w:vAlign w:val="center"/>
          </w:tcPr>
          <w:p>
            <w:pPr>
              <w:pStyle w:val="TableContents"/>
              <w:bidi w:val="0"/>
              <w:spacing w:before="0" w:after="283"/>
              <w:jc w:val="left"/>
              <w:rPr>
                <w:sz w:val="4"/>
                <w:szCs w:val="4"/>
              </w:rPr>
            </w:pPr>
            <w:r>
              <w:rPr>
                <w:sz w:val="4"/>
                <w:szCs w:val="4"/>
              </w:rPr>
            </w:r>
          </w:p>
        </w:tc>
      </w:tr>
      <w:tr>
        <w:trPr/>
        <w:tc>
          <w:tcPr>
            <w:tcW w:w="5360" w:type="dxa"/>
            <w:tcBorders/>
          </w:tcPr>
          <w:p>
            <w:pPr>
              <w:pStyle w:val="TableContents"/>
              <w:bidi w:val="0"/>
              <w:spacing w:before="0" w:after="283"/>
              <w:jc w:val="left"/>
              <w:rPr/>
            </w:pPr>
            <w:r>
              <w:rPr/>
              <w:t>REGISTERED No.</w:t>
            </w:r>
          </w:p>
        </w:tc>
        <w:tc>
          <w:tcPr>
            <w:tcW w:w="125" w:type="dxa"/>
            <w:tcBorders/>
            <w:vAlign w:val="bottom"/>
          </w:tcPr>
          <w:p>
            <w:pPr>
              <w:pStyle w:val="TableContents"/>
              <w:bidi w:val="0"/>
              <w:spacing w:before="0" w:after="283"/>
              <w:jc w:val="left"/>
              <w:rPr/>
            </w:pPr>
            <w:r>
              <w:rPr/>
              <w:t>  </w:t>
            </w:r>
          </w:p>
        </w:tc>
        <w:tc>
          <w:tcPr>
            <w:tcW w:w="4720" w:type="dxa"/>
            <w:tcBorders/>
          </w:tcPr>
          <w:p>
            <w:pPr>
              <w:pStyle w:val="TableContents"/>
              <w:bidi w:val="0"/>
              <w:spacing w:before="0" w:after="283"/>
              <w:jc w:val="left"/>
              <w:rPr>
                <w:sz w:val="4"/>
                <w:szCs w:val="4"/>
              </w:rPr>
            </w:pPr>
            <w:r>
              <w:rPr>
                <w:sz w:val="4"/>
                <w:szCs w:val="4"/>
              </w:rPr>
            </w:r>
          </w:p>
        </w:tc>
      </w:tr>
      <w:tr>
        <w:trPr/>
        <w:tc>
          <w:tcPr>
            <w:tcW w:w="5360" w:type="dxa"/>
            <w:tcBorders/>
          </w:tcPr>
          <w:p>
            <w:pPr>
              <w:pStyle w:val="TableContents"/>
              <w:bidi w:val="0"/>
              <w:spacing w:before="0" w:after="283"/>
              <w:jc w:val="left"/>
              <w:rPr/>
            </w:pPr>
            <w:r>
              <w:rPr/>
              <w:t>Registered CUSIP: 438516 CV6</w:t>
            </w:r>
          </w:p>
        </w:tc>
        <w:tc>
          <w:tcPr>
            <w:tcW w:w="125" w:type="dxa"/>
            <w:tcBorders/>
            <w:vAlign w:val="bottom"/>
          </w:tcPr>
          <w:p>
            <w:pPr>
              <w:pStyle w:val="TableContents"/>
              <w:bidi w:val="0"/>
              <w:spacing w:before="0" w:after="283"/>
              <w:jc w:val="left"/>
              <w:rPr/>
            </w:pPr>
            <w:r>
              <w:rPr/>
              <w:t>  </w:t>
            </w:r>
          </w:p>
        </w:tc>
        <w:tc>
          <w:tcPr>
            <w:tcW w:w="4720" w:type="dxa"/>
            <w:tcBorders/>
          </w:tcPr>
          <w:p>
            <w:pPr>
              <w:pStyle w:val="TableContents"/>
              <w:bidi w:val="0"/>
              <w:spacing w:before="0" w:after="283"/>
              <w:jc w:val="center"/>
              <w:rPr/>
            </w:pPr>
            <w:r>
              <w:rPr/>
              <w:t></w:t>
            </w:r>
          </w:p>
        </w:tc>
      </w:tr>
      <w:tr>
        <w:trPr/>
        <w:tc>
          <w:tcPr>
            <w:tcW w:w="5360" w:type="dxa"/>
            <w:tcBorders/>
          </w:tcPr>
          <w:p>
            <w:pPr>
              <w:pStyle w:val="TableContents"/>
              <w:bidi w:val="0"/>
              <w:spacing w:before="0" w:after="283"/>
              <w:jc w:val="left"/>
              <w:rPr/>
            </w:pPr>
            <w:r>
              <w:rPr/>
              <w:t>Registered ISIN: XS2776889995</w:t>
            </w:r>
          </w:p>
        </w:tc>
        <w:tc>
          <w:tcPr>
            <w:tcW w:w="125" w:type="dxa"/>
            <w:tcBorders/>
            <w:vAlign w:val="bottom"/>
          </w:tcPr>
          <w:p>
            <w:pPr>
              <w:pStyle w:val="TableContents"/>
              <w:bidi w:val="0"/>
              <w:spacing w:before="0" w:after="283"/>
              <w:jc w:val="left"/>
              <w:rPr/>
            </w:pPr>
            <w:r>
              <w:rPr/>
              <w:t>  </w:t>
            </w:r>
          </w:p>
        </w:tc>
        <w:tc>
          <w:tcPr>
            <w:tcW w:w="4720" w:type="dxa"/>
            <w:tcBorders/>
          </w:tcPr>
          <w:p>
            <w:pPr>
              <w:pStyle w:val="TableContents"/>
              <w:bidi w:val="0"/>
              <w:spacing w:before="0" w:after="283"/>
              <w:jc w:val="left"/>
              <w:rPr>
                <w:sz w:val="4"/>
                <w:szCs w:val="4"/>
              </w:rPr>
            </w:pPr>
            <w:r>
              <w:rPr>
                <w:sz w:val="4"/>
                <w:szCs w:val="4"/>
              </w:rPr>
            </w:r>
          </w:p>
        </w:tc>
      </w:tr>
      <w:tr>
        <w:trPr/>
        <w:tc>
          <w:tcPr>
            <w:tcW w:w="5360" w:type="dxa"/>
            <w:tcBorders/>
          </w:tcPr>
          <w:p>
            <w:pPr>
              <w:pStyle w:val="TableContents"/>
              <w:bidi w:val="0"/>
              <w:spacing w:before="0" w:after="283"/>
              <w:jc w:val="left"/>
              <w:rPr/>
            </w:pPr>
            <w:r>
              <w:rPr/>
              <w:t>Common Code No.: 277688999</w:t>
            </w:r>
          </w:p>
        </w:tc>
        <w:tc>
          <w:tcPr>
            <w:tcW w:w="125" w:type="dxa"/>
            <w:tcBorders/>
            <w:vAlign w:val="bottom"/>
          </w:tcPr>
          <w:p>
            <w:pPr>
              <w:pStyle w:val="TableContents"/>
              <w:bidi w:val="0"/>
              <w:spacing w:before="0" w:after="283"/>
              <w:jc w:val="left"/>
              <w:rPr/>
            </w:pPr>
            <w:r>
              <w:rPr/>
              <w:t>  </w:t>
            </w:r>
          </w:p>
        </w:tc>
        <w:tc>
          <w:tcPr>
            <w:tcW w:w="472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HONEYWELL INTERNATIONAL INC., a Delaware corporation (the Company, which term includes any successor corporation under the Indenture described herein), for value received, hereby promises to pay to BT GLOBENET NOMINEES LIMITED or its registered assigns, the principal sum of     EUROS (     ) on March 1, 2030 (the Maturity Date), and to pay interest on said principal sum annually in arrears on March 1 of each year, commencing March 1, 2025 (each such date on which the Company is required to pay interest being referred to herein as an Interest Payment Date), at the rate of 3.375% per annum from March 1, 2024, or from the most recent date in respect of which interest has been paid or duly provided for, until payment of said principal sum has been made or duly provided for. </w:t>
      </w:r>
    </w:p>
    <w:p>
      <w:pPr>
        <w:pStyle w:val="TextBody"/>
        <w:bidi w:val="0"/>
        <w:spacing w:before="240" w:after="0"/>
        <w:jc w:val="left"/>
        <w:rPr>
          <w:rFonts w:ascii="Times New Roman" w:hAnsi="Times New Roman"/>
          <w:sz w:val="20"/>
        </w:rPr>
      </w:pPr>
      <w:r>
        <w:rPr>
          <w:rFonts w:ascii="Times New Roman" w:hAnsi="Times New Roman"/>
          <w:sz w:val="20"/>
        </w:rPr>
        <w:t xml:space="preserve">Interest payable on any Interest Payment Date, Redemption Date (as defined below) or Maturity Date shall be the amount of interest accrued from, and including, the next preceding Interest Payment Date in respect of which interest has been paid or duly provided for (or from and including the original issue date of this Note, if no interest has been paid or duly provided for) to, but excluding, such Interest Payment Date, Redemption Date or Maturity Date, as the case may be. This payment convention is referred to as ACTUAL/ACTUAL (ICMA) as defined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rulebook of the International Capital Markets Association. If any Interest Payment Date falls on a day that is not a Business Day, the interest payment will be made on the next succeeding day that is a Business Day, but no additional interest will accrue as a result of the delay in payment. If the Maturity Date or any Redemption Date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The rights of holders of beneficial interests of Notes (as defined below) to receive the payments of interest on such Notes are subject to the applicable procedures of Clearstream Banking S.A. (Clearstream), and Euroclear Bank, SA/NV (Euroclear). </w:t>
      </w:r>
    </w:p>
    <w:p>
      <w:pPr>
        <w:pStyle w:val="TextBody"/>
        <w:bidi w:val="0"/>
        <w:spacing w:before="240" w:after="0"/>
        <w:jc w:val="left"/>
        <w:rPr>
          <w:rFonts w:ascii="Times New Roman" w:hAnsi="Times New Roman"/>
          <w:sz w:val="20"/>
        </w:rPr>
      </w:pPr>
      <w:r>
        <w:rPr>
          <w:rFonts w:ascii="Times New Roman" w:hAnsi="Times New Roman"/>
          <w:sz w:val="20"/>
        </w:rPr>
        <w:t xml:space="preserve">The interest so payable, and punctually paid or duly provided for, on any Interest Payment Date will, as provided in the Indenture, be paid to the person in whose name this Note (or one or more predecessor Notes) is registered at the close of business on the 15th calendar day (whether or not a Business Day) immediately preceding the related Interest Payment Date or, if the Notes are represented by one or more Global Securities, the close of business on the Business Day (for this purpose a day on which Clearstream and Euroclear are open for business) immediately preceding such Interest Payment Date (each being referred to herein as a Regular Record Date); provided, however, that interest payable on the Maturity Date or any Redemption Date shall be payable to the person to whom the principal shall be payable. As used herein,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 </w:t>
      </w:r>
    </w:p>
    <w:p>
      <w:pPr>
        <w:pStyle w:val="TextBody"/>
        <w:bidi w:val="0"/>
        <w:spacing w:before="240" w:after="0"/>
        <w:jc w:val="left"/>
        <w:rPr>
          <w:rFonts w:ascii="Times New Roman" w:hAnsi="Times New Roman"/>
          <w:sz w:val="20"/>
        </w:rPr>
      </w:pPr>
      <w:r>
        <w:rPr>
          <w:rFonts w:ascii="Times New Roman" w:hAnsi="Times New Roman"/>
          <w:sz w:val="20"/>
        </w:rPr>
        <w:t xml:space="preserve">The payments of interest, principal and premium, if any, will be made at the office or agency of the Company maintained for that purpose in London, England, which shall initially be Deutsche Bank Trust Company Americas; provided, however, that at the option of the Company, payment of interest may be made by check mailed to the address of the Person entitled thereto as such address shall appear in the Security Register; provided further, that all payments of interest, principal and premium, if any, with respect to the Notes of this series represented by one or more Global Securities deposited with, or on behalf of, a common depositary, and registered in the name of the nominee of the common depositary for the accounts of Clearstream and Euroclear shall be made through the facilities of the common depositary. </w:t>
      </w:r>
    </w:p>
    <w:p>
      <w:pPr>
        <w:pStyle w:val="TextBody"/>
        <w:bidi w:val="0"/>
        <w:spacing w:before="240" w:after="0"/>
        <w:jc w:val="left"/>
        <w:rPr>
          <w:rFonts w:ascii="Times New Roman" w:hAnsi="Times New Roman"/>
          <w:sz w:val="20"/>
        </w:rPr>
      </w:pPr>
      <w:r>
        <w:rPr>
          <w:rFonts w:ascii="Times New Roman" w:hAnsi="Times New Roman"/>
          <w:sz w:val="20"/>
        </w:rPr>
        <w:t xml:space="preserve">All payments of interest, principal and premium, if any, will be made in euros. If the euro is unavailable to the Company due to the imposition of exchange controls or other circumstances beyond its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this Note will be made in U.S. dollars until the euro is again available to the Company or so used. The amount payable on any date in euros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Times New Roman" w:hAnsi="Times New Roman"/>
          <w:i/>
          <w:sz w:val="20"/>
        </w:rPr>
        <w:t>The Wall Street Journal</w:t>
      </w:r>
      <w:r>
        <w:rPr>
          <w:rFonts w:ascii="Times New Roman" w:hAnsi="Times New Roman"/>
          <w:sz w:val="20"/>
        </w:rPr>
        <w:t xml:space="preserve"> on or prior to the second Business Day prior to the relevant payment date. Any payments in respect of the Notes so made in U.S. dollars will not constitute an event of default under the terms of this Note or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Initially, Deutsche Bank Trust Company Americas will be the Paying Agent and the Registrar (the Note Registrar) for this Note. The Company reserves the rights at any time to remove any Paying Agent or Note Registrar without notice, to appoint additional or other Paying Agents and other Note Registrars without notice and to approve any change in the office through which any Paying Agent or Note Registrar acts;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there will at all times be a Paying Agent in London.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duly authorized series (the Series) of debt securities of the Company (hereinafter called the Securities), issued and to be issued under an indenture dated March 1, 2007, as supplemented by the First Supplemental Indenture dated as of October 27, 2017, the Second Supplemental Indenture dated as of March 10, 2020 and the Third Supplemental Indenture dated as of October 22, 2021 (collectively, the Indenture) between the Company and Deutsche Bank Trust Company Americas, as trustee (the Trustee), to which Indenture and all other indentures supplemental thereto reference is hereby made for a statement of the rights and limitations of rights thereunder of the Holders of the Securities and of the rights, obligations and duties of the Company, the Trustee and the Paying Agent for this Note, and the terms upon which the Securities are, and are to be, authenticated and delivered. The Securities may be issued in one or more series, which different series may be issued in various principal amounts, may mature at different times, may bear interest, if any, at different rates, may be subject to different redemption provisions, if any, may be subject to different covenants and Events of Default and may otherwise vary as provided or permitted in the Indenture. This Note is one of the series of Securities designated as 3.375% Senior Notes Due 2030 (herein called the Notes), initially limited in aggregate principal amount to 750,000,000. </w:t>
      </w:r>
    </w:p>
    <w:p>
      <w:pPr>
        <w:pStyle w:val="TextBody"/>
        <w:bidi w:val="0"/>
        <w:spacing w:before="240" w:after="0"/>
        <w:jc w:val="left"/>
        <w:rPr>
          <w:rFonts w:ascii="Times New Roman" w:hAnsi="Times New Roman"/>
          <w:sz w:val="20"/>
        </w:rPr>
      </w:pPr>
      <w:r>
        <w:rPr>
          <w:rFonts w:ascii="Times New Roman" w:hAnsi="Times New Roman"/>
          <w:sz w:val="20"/>
        </w:rPr>
        <w:t xml:space="preserve">Each capitalized term used herein and not otherwise defined herein shall have the meaning assigned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the consent of the Holders of the Notes, reopen this Series of Notes and issue additional Notes on separate dates, which shall form a single series and shall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in whole or in part, at any time prior to January 1, 2030 (the date that is two months prior to the Maturity Date), at a redemption price equal to the greater of (i) 100% of the principal amount of the Notes to be redeemed and (ii) the sum of the present values of the remaining scheduled payments of principal and interest on the Notes to be redeemed (exclusive of interest accrued to the date of redemption), discounted to the date of redemption (the Redemption Date) on an annual basis (ACTUAL/ACTUAL (ICMA)), at the applicable Comparable Government Bond Rate described below plus 20 basis points, plus accrued and unpaid interest on the principal amount of the Notes to be redeemed to the date of redemption. The Company will calculate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January 1, 2030 (the date that is two months prior to the Maturity Date), the Notes will be redeemable, in whole or in part, at a redemption price equal to 100% of the principal amount of the Notes being redeemed, plus accrued and unpaid interest on the principal amount of the Notes to be redeemed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Comparable Government Bond Rate means, with respect to any Redemption Date, the rate per annum equal to the yield to maturity, expressed as a percentage (rounded to three decimal places, with 0.0005 being rounded upwards), on the third Business Day prior to the date fixed for redemption, calculated in accordance with customary financial practice in pricing new issues of comparable corporate debt securities paying interest on an annual basis (ACTUAL/ACTUAL (ICMA)) of the Comparable Government Bond (as defined below), assuming a price for the Comparable Government Bond (expressed as a percentage of its principal amount) equal to the Comparable Government Bond Price for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Comparable Government Bond means, in relation to any Comparable Government Bond Rate calculation, the German government bond (Bundesanleihe) selected by an Independent Investment Banker as having an actual or interpolated maturity comparable to the remaining term of the Notes to be redeemed that would be utilized, at the time of selection and in accordance with customary financial practice, in pricing new issues of euro-denominated corporate debt securities of a comparable maturity to the remaining term of such Notes. </w:t>
      </w:r>
    </w:p>
    <w:p>
      <w:pPr>
        <w:pStyle w:val="TextBody"/>
        <w:bidi w:val="0"/>
        <w:spacing w:before="240" w:after="0"/>
        <w:jc w:val="left"/>
        <w:rPr>
          <w:rFonts w:ascii="Times New Roman" w:hAnsi="Times New Roman"/>
          <w:sz w:val="20"/>
        </w:rPr>
      </w:pPr>
      <w:r>
        <w:rPr>
          <w:rFonts w:ascii="Times New Roman" w:hAnsi="Times New Roman"/>
          <w:sz w:val="20"/>
        </w:rPr>
        <w:t xml:space="preserve">Independent Investment Banker means one of the Reference Government Bond Dealers selected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Comparable Government Bond Price means, with respect to any Redemption Date, (1) the arithmetic average of the Reference Government Bond Dealer Quotations for such Redemption Date, after excluding the highest and lowest such Reference Government Bond Dealer Quotations, or (2) if the Company obtains fewer than four such Reference Government Bond Dealer Quotations, the arithmetic average of all such quotations. </w:t>
      </w:r>
    </w:p>
    <w:p>
      <w:pPr>
        <w:pStyle w:val="TextBody"/>
        <w:bidi w:val="0"/>
        <w:spacing w:before="240" w:after="0"/>
        <w:jc w:val="left"/>
        <w:rPr>
          <w:rFonts w:ascii="Times New Roman" w:hAnsi="Times New Roman"/>
          <w:sz w:val="20"/>
        </w:rPr>
      </w:pPr>
      <w:r>
        <w:rPr>
          <w:rFonts w:ascii="Times New Roman" w:hAnsi="Times New Roman"/>
          <w:sz w:val="20"/>
        </w:rPr>
        <w:t xml:space="preserve">Reference Government Bond Dealer means each of (i) BNP Paribas, Deutsche Bank AG, London Branch, J.P. Morgan Securities plc, Merrill Lynch International and UniCredit Bank GmbH or any of their affiliates that are primary European government securities dealers, and their respective successors; provided that if any of the foregoing or any of their affiliates shall cease to be a primary European government securities dealer (Primary Dealer), the Company shall substitute therefor another Primary Dealer and (ii) three other Primary Dealers selected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Reference Government Bond Dealer Quotations means, with respect to each Reference Government Bond Dealer and any Redemption Date, the arithmetic average, as determined by the Company, of the bid and asked prices for the Comparable Government Bond (expressed in each case as a percentage of its principal amount) quoted in writing to the Company by such Reference Government Bond Dealer at 11:00 a.m., Brussels time, on the third Business Day preceding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at least 30 days but not more than 60 days before the Redemption Date to each holder of Notes to be redeemed. If the Company elects to redeem fewer than all the Notes, the trustee will select the particular Notes to be redeemed by such method that the trustee deems fair and appropriate; provided that if the Notes are represented by one or more Global Securities, beneficial interests therein will be selected for redemption by Clearstream and Euroclear in accordance with their respective applicable procedures therefor; and provided, further, that no Notes of a principal amount of 100,000 or less will be redeemed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redemption may, at the Companys discretion, be subject to one or more conditions precedent, which will be set forth in the related notice of redemption, including, but not limited to, completion of an offering or financing or other transaction or event. In addition, if such redemption is subject to satisfaction of one or more conditions precedent, such notice will describe each such condition, and if applicable, will state that, in the Companys discretion, the Redemption Date may be delayed until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Redemption Date will not be more than 60 days after the date of the notice of redemption) as any or all such conditions will be satisfied, or such redemption may not occur and such notice may be rescinded in the event that any or all such conditions will not have been satisfied by the Redemption Date, or by the Redemption Date as so delayed. </w:t>
      </w:r>
    </w:p>
    <w:p>
      <w:pPr>
        <w:pStyle w:val="TextBody"/>
        <w:bidi w:val="0"/>
        <w:spacing w:before="240" w:after="0"/>
        <w:jc w:val="left"/>
        <w:rPr>
          <w:rFonts w:ascii="Times New Roman" w:hAnsi="Times New Roman"/>
          <w:sz w:val="20"/>
        </w:rPr>
      </w:pPr>
      <w:r>
        <w:rPr>
          <w:rFonts w:ascii="Times New Roman" w:hAnsi="Times New Roman"/>
          <w:sz w:val="20"/>
        </w:rPr>
        <w:t xml:space="preserve">If any such condition precedent has not been satisfied, the Company will provide written notice to the Trustee prior to the close of business one business day prior to the Redemption Date. Upon receipt of such notice, the notice of redemption will be rescinded or delayed, and the redemption of the notes will be rescinded or delayed as provided in such notice. Upon receipt, the Trustee will provide such notice to each holder in the same manner in which the notice of redemption was given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On or before a Redemption Date, the Company will deposit with a paying agent (or the Trustee) money sufficient to pay the redemption price of and accrued interest on the Notes to be redeemed on that date. This Note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exceptions and limitations set forth below, the Company will pay as additional interest on the Notes such additional amounts as are necessary in order that the net payment by the Company or a Paying Agent of the principal, premium and interest with respect to the Notes to a holder that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will not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that would not have been imposed but for the holder, a fiduciary, settlor, beneficiary, member or shareholder of the holder, or a person holding a power over an estate or trust administered by a fiduciary holder, being treated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or having been present in, or engaged in a trade or business in, the United States, being treated as having been present in, or engaged in a trade or business in, the United States, or having or having had a permanent establishment in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having a current or former connection with the United States (other than a connection arising solely as a result of the ownership of the Notes, the receipt of any payment in respect of the Notes or the enforcement of any rights under the indenture), including being or having been a citizen or resident of the United States or treated as being or having been a resident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or having been a personal holding company, a passive foreign investment company or a controlled foreign corporation for U.S. federal income tax purposes, a foreign tax exempt organization, or a corporation that has accumulated earnings to avoid United States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or having been a 10-percent shareholder, as defined in section 871(h)(3) of the United States Internal Revenue Code of 1986, as amended (the Code), or any successor provision,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a bank receiving payments on an extension of credit made pursuant to a loan agreement entered into in the ordinary course of its trade or business, within the meaning of section 881(c)(3) of the Code or any successor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holder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that is imposed otherwise than by withholding by the Company or a paying agent from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estate, inheritance, gift, sales, excise, transfer, wealth, capital gains or personal property tax or similar tax, assessment or other governmental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imposed by reason of the failure of the beneficial owner to fulfill the statement requirements of Section 871(h) or Section 881(c)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imposed pursuant to Section 871(h)(6) or 881(c)(6) of the Code (or any amended or successor provisions);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combination of items (1) through (10).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specifically provided above, the Company will not be required to pay additional amounts in respect of any tax, assessment or other governmental charge. References in this Note to any payment on the Notes include the related payment of additional amounts,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term United States means the United States of America, any state thereof, and the District of Columbia, and the term United States person means (i) any individual who is a citizen or resident of the United States for U.S. federal income tax purposes, (ii) a corporation, partnership or other entity created or organized in or under the laws of the United States, any state thereof or the District of Columbia (other than a partnership that is not treated as a United States person for U.S. federal income tax purposes), (iii) any estate the income of which is subject to U.S. federal income taxation regardless of its source, or (iv) any trust if a U.S. court can exercise primary supervision over the administration of the trust and one or more United States persons can control all substantial trust decisions, or if a valid election is in place to treat the trust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If, as a result of any change in, or amendment to, the laws of the United States or the official interpretation thereof that is announced or becomes effective on or after February 26, 2024, the Company becomes or, based upon a written opinion of independent counsel selected by the Company, will become obligated to pay additional amounts as described above with respect to the Notes, then the Company may at any time at the Companys option redeem, in whole, but not in part, the Notes of this series on not less than 10 nor more than 60 days prior notice, at a redemption price equal to 100% of their principal amount, plus accrued and unpaid interest on the Notes to be redeemed to the date of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in the case of a defeasance, 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and in the Indenture prescribed.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Indenture, the Company may satisfy and discharge its obligations with respect to the Notes by depositing in trust for the Holders of the Outstanding Notes an amount in cash or the equivalent in securities of the government which issued the currency in which the Notes are denominated or government agencies backed by the full faith and credit of such government sufficient to pay and discharge the entire indebtedness on the Notes for principal of and premium, if any, and interest then due or to become due to the Stated Maturity of the principal of the Notes (a defeasance). In such event, a Company will be released and discharged from its obligations to pay interest on the Notes and to pay the principal thereof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Note may be registered on the Note Register of the Company upon surrender of this Note for registration of transfer at the office or agency of the Company in London duly endorsed by, or accompanied by a written instrument of transfer in form satisfactory to the Company and the Note Registrar duly executed by, the Holder hereof or by his attorney duly authorized in writing, and thereupon one or more new Notes in registered form, of authorized denominations and for the same aggregate principal amount, will be issued in the name or names of the designated transferee or transferees and delivered at the office of the Note Registrar in London, or mailed, at the request, risk and expense of such transferee or transferees, to the address or addresses shown in the Note Register for such transferee or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due presentment of this Note for registration of transfer, the Company, the Trustee, the Note Registrar and any agent of the Company, the Trustee or the Note Registrar may treat the person in whose name this Note is registered as the owner hereof for all purposes, whether or not this Note is overdue, and neither the Company, the Trustee, the Note Registrar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Note is issuable only in fully registered form, without coupons, in minimum denominations of 100,000 and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 transfer or exchange of the Notes,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This Note (the Global Note) is a Global Security as referred to in the Indenture and is not exchangeable for one or more certificated Notes; provided, however, that if at any time the Depository notifies the Company that it is unwilling or unable to continue as Depository or if at any time the Depository shall no longer be eligible or in good standing under the Securities Exchange Act of 1934, as amended, or any other applicable statute or regulation, the Company shall appoint a successor Depository. If a successor Depository is not appointed by the Company within 90 days after the Company receives such notice or becomes aware of such ineligibility,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at any time and in its sole discretion determine that the Notes represented by this Global Note shall no longer be represented by this Global Note. In such event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all the obligations of the Company hereunder are direct, senior unsecured and unsubordinated obligations of the Company and rank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all other senior unsecured and unsubordinated indebtedness of the Company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manually executed by or on behalf of the Trustee under the Indenture, this Note shall not be entitled to any benefits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HONEYWELL INTERNATIONAL INC. has caused this Note to be manually executed under its corporate 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60"/>
        <w:gridCol w:w="124"/>
        <w:gridCol w:w="514"/>
        <w:gridCol w:w="124"/>
        <w:gridCol w:w="1677"/>
        <w:gridCol w:w="209"/>
        <w:gridCol w:w="3597"/>
      </w:tblGrid>
      <w:tr>
        <w:trPr/>
        <w:tc>
          <w:tcPr>
            <w:tcW w:w="39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960" w:type="dxa"/>
            <w:tcBorders/>
          </w:tcPr>
          <w:p>
            <w:pPr>
              <w:pStyle w:val="TableContents"/>
              <w:bidi w:val="0"/>
              <w:spacing w:before="0" w:after="283"/>
              <w:jc w:val="left"/>
              <w:rPr/>
            </w:pPr>
            <w:r>
              <w:rPr/>
              <w:t>Dated: March 1, 2024</w:t>
            </w:r>
          </w:p>
        </w:tc>
        <w:tc>
          <w:tcPr>
            <w:tcW w:w="124"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677" w:type="dxa"/>
            <w:tcBorders/>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sz w:val="4"/>
                <w:szCs w:val="4"/>
              </w:rPr>
            </w:pPr>
            <w:r>
              <w:rPr>
                <w:sz w:val="4"/>
                <w:szCs w:val="4"/>
              </w:rPr>
            </w:r>
          </w:p>
        </w:tc>
      </w:tr>
      <w:tr>
        <w:trPr>
          <w:trHeight w:val="240" w:hRule="atLeast"/>
        </w:trPr>
        <w:tc>
          <w:tcPr>
            <w:tcW w:w="3960" w:type="dxa"/>
            <w:tcBorders/>
            <w:vAlign w:val="center"/>
          </w:tcPr>
          <w:p>
            <w:pPr>
              <w:pStyle w:val="TableContents"/>
              <w:bidi w:val="0"/>
              <w:spacing w:before="0" w:after="283"/>
              <w:jc w:val="left"/>
              <w:rPr>
                <w:sz w:val="4"/>
                <w:szCs w:val="4"/>
              </w:rPr>
            </w:pPr>
            <w:r>
              <w:rPr>
                <w:sz w:val="4"/>
                <w:szCs w:val="4"/>
              </w:rPr>
            </w:r>
          </w:p>
        </w:tc>
        <w:tc>
          <w:tcPr>
            <w:tcW w:w="638" w:type="dxa"/>
            <w:gridSpan w:val="2"/>
            <w:tcBorders/>
            <w:vAlign w:val="center"/>
          </w:tcPr>
          <w:p>
            <w:pPr>
              <w:pStyle w:val="TableContents"/>
              <w:bidi w:val="0"/>
              <w:spacing w:before="0" w:after="283"/>
              <w:jc w:val="left"/>
              <w:rPr>
                <w:sz w:val="4"/>
                <w:szCs w:val="4"/>
              </w:rPr>
            </w:pPr>
            <w:r>
              <w:rPr>
                <w:sz w:val="4"/>
                <w:szCs w:val="4"/>
              </w:rPr>
            </w:r>
          </w:p>
        </w:tc>
        <w:tc>
          <w:tcPr>
            <w:tcW w:w="5607" w:type="dxa"/>
            <w:gridSpan w:val="4"/>
            <w:tcBorders/>
            <w:vAlign w:val="center"/>
          </w:tcPr>
          <w:p>
            <w:pPr>
              <w:pStyle w:val="TableContents"/>
              <w:bidi w:val="0"/>
              <w:spacing w:before="0" w:after="283"/>
              <w:jc w:val="left"/>
              <w:rPr>
                <w:sz w:val="4"/>
                <w:szCs w:val="4"/>
              </w:rPr>
            </w:pPr>
            <w:r>
              <w:rPr>
                <w:sz w:val="4"/>
                <w:szCs w:val="4"/>
              </w:rPr>
            </w:r>
          </w:p>
        </w:tc>
      </w:tr>
      <w:tr>
        <w:trPr/>
        <w:tc>
          <w:tcPr>
            <w:tcW w:w="3960" w:type="dxa"/>
            <w:tcBorders/>
          </w:tcPr>
          <w:p>
            <w:pPr>
              <w:pStyle w:val="TableContents"/>
              <w:bidi w:val="0"/>
              <w:spacing w:before="0" w:after="283"/>
              <w:jc w:val="left"/>
              <w:rPr/>
            </w:pPr>
            <w:r>
              <w:rPr/>
              <w:t>[Seal]</w:t>
            </w:r>
          </w:p>
        </w:tc>
        <w:tc>
          <w:tcPr>
            <w:tcW w:w="124"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483" w:type="dxa"/>
            <w:gridSpan w:val="3"/>
            <w:tcBorders/>
          </w:tcPr>
          <w:p>
            <w:pPr>
              <w:pStyle w:val="TableContents"/>
              <w:bidi w:val="0"/>
              <w:spacing w:before="0" w:after="283"/>
              <w:jc w:val="left"/>
              <w:rPr/>
            </w:pPr>
            <w:r>
              <w:rPr/>
              <w:t>HONEYWELL INTERNATIONAL INC.</w:t>
            </w:r>
          </w:p>
        </w:tc>
      </w:tr>
      <w:tr>
        <w:trPr>
          <w:trHeight w:val="240" w:hRule="atLeast"/>
        </w:trPr>
        <w:tc>
          <w:tcPr>
            <w:tcW w:w="3960" w:type="dxa"/>
            <w:tcBorders/>
            <w:vAlign w:val="center"/>
          </w:tcPr>
          <w:p>
            <w:pPr>
              <w:pStyle w:val="TableContents"/>
              <w:bidi w:val="0"/>
              <w:spacing w:before="0" w:after="283"/>
              <w:jc w:val="left"/>
              <w:rPr>
                <w:sz w:val="4"/>
                <w:szCs w:val="4"/>
              </w:rPr>
            </w:pPr>
            <w:r>
              <w:rPr>
                <w:sz w:val="4"/>
                <w:szCs w:val="4"/>
              </w:rPr>
            </w:r>
          </w:p>
        </w:tc>
        <w:tc>
          <w:tcPr>
            <w:tcW w:w="638" w:type="dxa"/>
            <w:gridSpan w:val="2"/>
            <w:tcBorders/>
            <w:vAlign w:val="center"/>
          </w:tcPr>
          <w:p>
            <w:pPr>
              <w:pStyle w:val="TableContents"/>
              <w:bidi w:val="0"/>
              <w:spacing w:before="0" w:after="283"/>
              <w:jc w:val="left"/>
              <w:rPr>
                <w:sz w:val="4"/>
                <w:szCs w:val="4"/>
              </w:rPr>
            </w:pPr>
            <w:r>
              <w:rPr>
                <w:sz w:val="4"/>
                <w:szCs w:val="4"/>
              </w:rPr>
            </w:r>
          </w:p>
        </w:tc>
        <w:tc>
          <w:tcPr>
            <w:tcW w:w="1801" w:type="dxa"/>
            <w:gridSpan w:val="2"/>
            <w:tcBorders/>
            <w:vAlign w:val="center"/>
          </w:tcPr>
          <w:p>
            <w:pPr>
              <w:pStyle w:val="TableContents"/>
              <w:bidi w:val="0"/>
              <w:spacing w:before="0" w:after="283"/>
              <w:jc w:val="left"/>
              <w:rPr>
                <w:sz w:val="4"/>
                <w:szCs w:val="4"/>
              </w:rPr>
            </w:pPr>
            <w:r>
              <w:rPr>
                <w:sz w:val="4"/>
                <w:szCs w:val="4"/>
              </w:rPr>
            </w:r>
          </w:p>
        </w:tc>
        <w:tc>
          <w:tcPr>
            <w:tcW w:w="3806" w:type="dxa"/>
            <w:gridSpan w:val="2"/>
            <w:tcBorders/>
            <w:vAlign w:val="center"/>
          </w:tcPr>
          <w:p>
            <w:pPr>
              <w:pStyle w:val="TableContents"/>
              <w:bidi w:val="0"/>
              <w:spacing w:before="0" w:after="283"/>
              <w:jc w:val="left"/>
              <w:rPr>
                <w:sz w:val="4"/>
                <w:szCs w:val="4"/>
              </w:rPr>
            </w:pPr>
            <w:r>
              <w:rPr>
                <w:sz w:val="4"/>
                <w:szCs w:val="4"/>
              </w:rPr>
            </w:r>
          </w:p>
        </w:tc>
      </w:tr>
      <w:tr>
        <w:trPr/>
        <w:tc>
          <w:tcPr>
            <w:tcW w:w="396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677" w:type="dxa"/>
            <w:tcBorders/>
          </w:tcPr>
          <w:p>
            <w:pPr>
              <w:pStyle w:val="TableContents"/>
              <w:bidi w:val="0"/>
              <w:spacing w:before="0" w:after="283"/>
              <w:jc w:val="left"/>
              <w:rPr/>
            </w:pPr>
            <w:r>
              <w:rPr/>
              <w:t>By:</w:t>
            </w:r>
          </w:p>
        </w:tc>
        <w:tc>
          <w:tcPr>
            <w:tcW w:w="209" w:type="dxa"/>
            <w:tcBorders/>
            <w:vAlign w:val="bottom"/>
          </w:tcPr>
          <w:p>
            <w:pPr>
              <w:pStyle w:val="TableContents"/>
              <w:bidi w:val="0"/>
              <w:spacing w:before="0" w:after="283"/>
              <w:jc w:val="left"/>
              <w:rPr/>
            </w:pPr>
            <w:r>
              <w:rPr/>
              <w:t> </w:t>
            </w:r>
          </w:p>
        </w:tc>
        <w:tc>
          <w:tcPr>
            <w:tcW w:w="3597" w:type="dxa"/>
            <w:tcBorders/>
          </w:tcPr>
          <w:p>
            <w:pPr>
              <w:pStyle w:val="TableContents"/>
              <w:pBdr>
                <w:bottom w:val="single" w:sz="2" w:space="1" w:color="000000"/>
              </w:pBdr>
              <w:bidi w:val="0"/>
              <w:spacing w:before="0" w:after="20"/>
              <w:jc w:val="left"/>
              <w:rPr/>
            </w:pPr>
            <w:r>
              <w:rPr/>
              <w:t> </w:t>
            </w:r>
          </w:p>
        </w:tc>
      </w:tr>
      <w:tr>
        <w:trPr/>
        <w:tc>
          <w:tcPr>
            <w:tcW w:w="396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677" w:type="dxa"/>
            <w:tcBorders/>
          </w:tcPr>
          <w:p>
            <w:pPr>
              <w:pStyle w:val="TableContents"/>
              <w:bidi w:val="0"/>
              <w:spacing w:before="0" w:after="283"/>
              <w:jc w:val="left"/>
              <w:rPr/>
            </w:pPr>
            <w:r>
              <w:rPr/>
              <w:t>Name:</w:t>
            </w:r>
          </w:p>
        </w:tc>
        <w:tc>
          <w:tcPr>
            <w:tcW w:w="209"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sz w:val="4"/>
                <w:szCs w:val="4"/>
              </w:rPr>
            </w:pPr>
            <w:r>
              <w:rPr>
                <w:sz w:val="4"/>
                <w:szCs w:val="4"/>
              </w:rPr>
            </w:r>
          </w:p>
        </w:tc>
      </w:tr>
      <w:tr>
        <w:trPr/>
        <w:tc>
          <w:tcPr>
            <w:tcW w:w="396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677" w:type="dxa"/>
            <w:tcBorders/>
          </w:tcPr>
          <w:p>
            <w:pPr>
              <w:pStyle w:val="TableContents"/>
              <w:bidi w:val="0"/>
              <w:spacing w:before="0" w:after="283"/>
              <w:jc w:val="left"/>
              <w:rPr/>
            </w:pPr>
            <w:r>
              <w:rPr/>
              <w:t>Title:</w:t>
            </w:r>
          </w:p>
        </w:tc>
        <w:tc>
          <w:tcPr>
            <w:tcW w:w="209"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11"/>
        <w:gridCol w:w="81"/>
        <w:gridCol w:w="3090"/>
      </w:tblGrid>
      <w:tr>
        <w:trPr/>
        <w:tc>
          <w:tcPr>
            <w:tcW w:w="91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911" w:type="dxa"/>
            <w:tcBorders/>
            <w:vAlign w:val="center"/>
          </w:tcPr>
          <w:p>
            <w:pPr>
              <w:pStyle w:val="TableContents"/>
              <w:bidi w:val="0"/>
              <w:spacing w:before="0" w:after="283"/>
              <w:jc w:val="left"/>
              <w:rPr>
                <w:sz w:val="4"/>
                <w:szCs w:val="4"/>
              </w:rPr>
            </w:pPr>
            <w:r>
              <w:rPr>
                <w:sz w:val="4"/>
                <w:szCs w:val="4"/>
              </w:rPr>
            </w:r>
          </w:p>
        </w:tc>
        <w:tc>
          <w:tcPr>
            <w:tcW w:w="3171"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pBdr>
                <w:bottom w:val="single" w:sz="2" w:space="1" w:color="000000"/>
              </w:pBdr>
              <w:bidi w:val="0"/>
              <w:spacing w:before="0" w:after="20"/>
              <w:jc w:val="left"/>
              <w:rPr/>
            </w:pPr>
            <w:r>
              <w:rPr/>
              <w:t> </w:t>
            </w:r>
          </w:p>
        </w:tc>
      </w:tr>
      <w:tr>
        <w:trPr/>
        <w:tc>
          <w:tcPr>
            <w:tcW w:w="911" w:type="dxa"/>
            <w:tcBorders/>
          </w:tcPr>
          <w:p>
            <w:pPr>
              <w:pStyle w:val="TableContents"/>
              <w:bidi w:val="0"/>
              <w:spacing w:before="0" w:after="283"/>
              <w:jc w:val="left"/>
              <w:rPr/>
            </w:pPr>
            <w:r>
              <w:rPr/>
              <w:t>Name:</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Title:</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240" w:after="0"/>
        <w:jc w:val="left"/>
        <w:rPr>
          <w:rFonts w:ascii="Times New Roman" w:hAnsi="Times New Roman"/>
          <w:sz w:val="20"/>
        </w:rPr>
      </w:pPr>
      <w:r>
        <w:rPr>
          <w:rFonts w:ascii="Times New Roman" w:hAnsi="Times New Roman"/>
          <w:b/>
          <w:sz w:val="20"/>
        </w:rPr>
        <w:t>TEN COM</w:t>
      </w:r>
      <w:r>
        <w:rPr>
          <w:rFonts w:ascii="Times New Roman" w:hAnsi="Times New Roman"/>
          <w:sz w:val="20"/>
        </w:rPr>
        <w:t xml:space="preserve">as tenants in common </w:t>
      </w:r>
    </w:p>
    <w:p>
      <w:pPr>
        <w:pStyle w:val="TextBody"/>
        <w:bidi w:val="0"/>
        <w:spacing w:before="240" w:after="0"/>
        <w:jc w:val="left"/>
        <w:rPr>
          <w:rFonts w:ascii="Times New Roman" w:hAnsi="Times New Roman"/>
          <w:sz w:val="20"/>
        </w:rPr>
      </w:pPr>
      <w:r>
        <w:rPr>
          <w:rFonts w:ascii="Times New Roman" w:hAnsi="Times New Roman"/>
          <w:b/>
          <w:sz w:val="20"/>
        </w:rPr>
        <w:t>UNIF GIFT MIN ACT_____________________</w:t>
      </w:r>
      <w:r>
        <w:rPr>
          <w:rFonts w:ascii="Times New Roman" w:hAnsi="Times New Roman"/>
          <w:sz w:val="20"/>
        </w:rPr>
        <w:t xml:space="preserve">Custodian_________________________ </w:t>
      </w:r>
    </w:p>
    <w:p>
      <w:pPr>
        <w:pStyle w:val="TextBody"/>
        <w:bidi w:val="0"/>
        <w:spacing w:before="240" w:after="0"/>
        <w:jc w:val="center"/>
        <w:rPr>
          <w:rFonts w:ascii="Times New Roman" w:hAnsi="Times New Roman"/>
          <w:sz w:val="20"/>
        </w:rPr>
      </w:pPr>
      <w:r>
        <w:rPr>
          <w:rFonts w:ascii="Times New Roman" w:hAnsi="Times New Roman"/>
          <w:sz w:val="20"/>
        </w:rPr>
        <w:t xml:space="preserve">Under Uniform Gifts to Minors Act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b/>
          <w:sz w:val="20"/>
        </w:rPr>
        <w:t>TEN ENT</w:t>
      </w:r>
      <w:r>
        <w:rPr>
          <w:rFonts w:ascii="Times New Roman" w:hAnsi="Times New Roman"/>
          <w:sz w:val="20"/>
        </w:rPr>
        <w:t xml:space="preserve">as tenants by the entireties </w:t>
      </w:r>
    </w:p>
    <w:p>
      <w:pPr>
        <w:pStyle w:val="TextBody"/>
        <w:bidi w:val="0"/>
        <w:spacing w:before="240" w:after="0"/>
        <w:jc w:val="left"/>
        <w:rPr>
          <w:rFonts w:ascii="Times New Roman" w:hAnsi="Times New Roman"/>
          <w:sz w:val="20"/>
        </w:rPr>
      </w:pPr>
      <w:r>
        <w:rPr>
          <w:rFonts w:ascii="Times New Roman" w:hAnsi="Times New Roman"/>
          <w:b/>
          <w:sz w:val="20"/>
        </w:rPr>
        <w:t>JT TEN</w:t>
      </w:r>
      <w:r>
        <w:rPr>
          <w:rFonts w:ascii="Times New Roman" w:hAnsi="Times New Roman"/>
          <w:sz w:val="20"/>
        </w:rPr>
        <w:t xml:space="preserve">as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left"/>
        <w:rPr>
          <w:rFonts w:ascii="Times New Roman" w:hAnsi="Times New Roman"/>
          <w:sz w:val="20"/>
        </w:rPr>
      </w:pPr>
      <w:r>
        <w:rPr>
          <w:rFonts w:ascii="Times New Roman" w:hAnsi="Times New Roman"/>
          <w:sz w:val="20"/>
        </w:rPr>
        <w:t xml:space="preserve">FOR THE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pPr>
      <w:r>
        <w:rPr/>
        <w:t> </w:t>
      </w:r>
    </w:p>
    <w:p>
      <w:pPr>
        <w:pStyle w:val="TextBody"/>
        <w:bidi w:val="0"/>
        <w:spacing w:before="12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PLEASE PRINT OR TYPEWRITE NAME AND ADDRESS </w:t>
      </w:r>
    </w:p>
    <w:p>
      <w:pPr>
        <w:pStyle w:val="TextBody"/>
        <w:bidi w:val="0"/>
        <w:spacing w:before="0" w:after="0"/>
        <w:jc w:val="center"/>
        <w:rPr>
          <w:rFonts w:ascii="Times New Roman" w:hAnsi="Times New Roman"/>
          <w:sz w:val="20"/>
        </w:rPr>
      </w:pPr>
      <w:r>
        <w:rPr>
          <w:rFonts w:ascii="Times New Roman" w:hAnsi="Times New Roman"/>
          <w:sz w:val="20"/>
        </w:rPr>
        <w:t xml:space="preserve">INCLUDING ZIP CODE OF ASSIGNEE: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within Note and all rights thereunder, hereby irrevocably constituting and appointing ___________ attorney to transfer said Note on the books of the Company,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Dated: </w:t>
            </w:r>
            <w:r>
              <w:rPr>
                <w:u w:val="single"/>
              </w:rPr>
              <w:t>                 </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NOTICE: The signature to this assignment must correspond with the name as written upon the face of the within instrument in every particular, without alteration or enlargement, or any change whatever.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of one of its authorized signatories, this Note shall not be entitled to any benefit under the Indenture or be valid or obligatory for any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25"/>
        <w:gridCol w:w="122"/>
        <w:gridCol w:w="343"/>
        <w:gridCol w:w="122"/>
        <w:gridCol w:w="716"/>
        <w:gridCol w:w="173"/>
        <w:gridCol w:w="4604"/>
      </w:tblGrid>
      <w:tr>
        <w:trPr/>
        <w:tc>
          <w:tcPr>
            <w:tcW w:w="41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pPr>
            <w:r>
              <w:rPr/>
              <w:t>Dated: March 1, 2024</w:t>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CERTIFICATE OF AUTHENTICATION</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This is one of the Securities of the series</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designated therein referred to in the</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within-mentioned Indenture.</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Deutsche Bank Trust Company Americas, as Trustee</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838" w:type="dxa"/>
            <w:gridSpan w:val="2"/>
            <w:tcBorders/>
            <w:vAlign w:val="center"/>
          </w:tcPr>
          <w:p>
            <w:pPr>
              <w:pStyle w:val="TableContents"/>
              <w:bidi w:val="0"/>
              <w:spacing w:before="0" w:after="283"/>
              <w:jc w:val="left"/>
              <w:rPr>
                <w:sz w:val="4"/>
                <w:szCs w:val="4"/>
              </w:rPr>
            </w:pPr>
            <w:r>
              <w:rPr>
                <w:sz w:val="4"/>
                <w:szCs w:val="4"/>
              </w:rPr>
            </w:r>
          </w:p>
        </w:tc>
        <w:tc>
          <w:tcPr>
            <w:tcW w:w="4777" w:type="dxa"/>
            <w:gridSpan w:val="2"/>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pPr>
            <w:r>
              <w:rPr/>
              <w:t>By:</w:t>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pBdr>
                <w:bottom w:val="single" w:sz="2" w:space="1" w:color="000000"/>
              </w:pBdr>
              <w:bidi w:val="0"/>
              <w:spacing w:before="0" w:after="20"/>
              <w:jc w:val="left"/>
              <w:rPr/>
            </w:pPr>
            <w:r>
              <w:rPr/>
              <w:t> </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Name:</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 Global Note] </w:t>
      </w:r>
    </w:p>
    <w:p>
      <w:pPr>
        <w:pStyle w:val="TextBody"/>
        <w:bidi w:val="0"/>
        <w:spacing w:before="0" w:after="0"/>
        <w:jc w:val="right"/>
        <w:rPr>
          <w:rFonts w:ascii="Times New Roman" w:hAnsi="Times New Roman"/>
          <w:b/>
          <w:sz w:val="20"/>
        </w:rPr>
      </w:pPr>
      <w:bookmarkStart w:id="4" w:name="d788022dex46.htm"/>
      <w:bookmarkStart w:id="5" w:name="ksd788022dex46"/>
      <w:bookmarkEnd w:id="4"/>
      <w:bookmarkEnd w:id="5"/>
      <w:r>
        <w:rPr>
          <w:rFonts w:ascii="Times New Roman" w:hAnsi="Times New Roman"/>
          <w:b/>
          <w:sz w:val="20"/>
        </w:rPr>
        <w:t xml:space="preserve">Exhibit 4.6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DEUTSCHE BANK AG, LONDON BRANCH TO THE COMPANY OR ITS AGENT FOR REGISTRATION OF TRANSFER, EXCHANGE OR PAYMENT, AND ANY CERTIFICATE ISSUED IS REGISTERED IN THE NAME OF BT GLOBENET NOMINEES LIMITED OR IN SUCH OTHER NAME AS IS REQUESTED BY AN AUTHORIZED REPRESENTATIVE OF DEUTSCHE BANK AG, LONDON BRANCH (AND ANY PAYMENT HEREON IS MADE TO BT GLOBENET NOMINEES LIMITED OR TO SUCH OTHER ENTITY AS IS REQUESTED BY AN AUTHORIZED REPRESENTATIVE OF DEUTSCHE BANK AG, LONDON BRANCH), ANY TRANSFER, PLEDGE OR OTHER USE HEREOF FOR VALUE OR OTHERWISE BY OR TO ANY PERSON IS WRONGFUL SINCE THE REGISTERED OWNER HEREOF, BT GLOBENET NOMINEES LIMITED,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DEUTSCHE BANK AG, LONDON BRANCH OR TO A SUCCESSOR THEREOF OR SUCH SUCCESSORS NOMINEE. </w:t>
      </w:r>
    </w:p>
    <w:p>
      <w:pPr>
        <w:pStyle w:val="TextBody"/>
        <w:bidi w:val="0"/>
        <w:spacing w:before="240" w:after="0"/>
        <w:jc w:val="center"/>
        <w:rPr>
          <w:rFonts w:ascii="Times New Roman" w:hAnsi="Times New Roman"/>
          <w:sz w:val="20"/>
        </w:rPr>
      </w:pPr>
      <w:r>
        <w:rPr>
          <w:rFonts w:ascii="Times New Roman" w:hAnsi="Times New Roman"/>
          <w:sz w:val="20"/>
        </w:rPr>
        <w:t xml:space="preserve">HONEYWELL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3.750% Senior Note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60"/>
        <w:gridCol w:w="125"/>
        <w:gridCol w:w="4720"/>
      </w:tblGrid>
      <w:tr>
        <w:trPr/>
        <w:tc>
          <w:tcPr>
            <w:tcW w:w="53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720" w:type="dxa"/>
            <w:tcBorders/>
            <w:vAlign w:val="center"/>
          </w:tcPr>
          <w:p>
            <w:pPr>
              <w:pStyle w:val="TableContents"/>
              <w:bidi w:val="0"/>
              <w:spacing w:before="0" w:after="283"/>
              <w:jc w:val="left"/>
              <w:rPr>
                <w:sz w:val="4"/>
                <w:szCs w:val="4"/>
              </w:rPr>
            </w:pPr>
            <w:r>
              <w:rPr>
                <w:sz w:val="4"/>
                <w:szCs w:val="4"/>
              </w:rPr>
            </w:r>
          </w:p>
        </w:tc>
      </w:tr>
      <w:tr>
        <w:trPr/>
        <w:tc>
          <w:tcPr>
            <w:tcW w:w="5360" w:type="dxa"/>
            <w:tcBorders/>
          </w:tcPr>
          <w:p>
            <w:pPr>
              <w:pStyle w:val="TableContents"/>
              <w:bidi w:val="0"/>
              <w:spacing w:before="0" w:after="283"/>
              <w:jc w:val="left"/>
              <w:rPr/>
            </w:pPr>
            <w:r>
              <w:rPr/>
              <w:t>REGISTERED No.</w:t>
            </w:r>
          </w:p>
        </w:tc>
        <w:tc>
          <w:tcPr>
            <w:tcW w:w="125" w:type="dxa"/>
            <w:tcBorders/>
            <w:vAlign w:val="bottom"/>
          </w:tcPr>
          <w:p>
            <w:pPr>
              <w:pStyle w:val="TableContents"/>
              <w:bidi w:val="0"/>
              <w:spacing w:before="0" w:after="283"/>
              <w:jc w:val="left"/>
              <w:rPr/>
            </w:pPr>
            <w:r>
              <w:rPr/>
              <w:t>  </w:t>
            </w:r>
          </w:p>
        </w:tc>
        <w:tc>
          <w:tcPr>
            <w:tcW w:w="4720" w:type="dxa"/>
            <w:tcBorders/>
          </w:tcPr>
          <w:p>
            <w:pPr>
              <w:pStyle w:val="TableContents"/>
              <w:bidi w:val="0"/>
              <w:spacing w:before="0" w:after="283"/>
              <w:jc w:val="left"/>
              <w:rPr>
                <w:sz w:val="4"/>
                <w:szCs w:val="4"/>
              </w:rPr>
            </w:pPr>
            <w:r>
              <w:rPr>
                <w:sz w:val="4"/>
                <w:szCs w:val="4"/>
              </w:rPr>
            </w:r>
          </w:p>
        </w:tc>
      </w:tr>
      <w:tr>
        <w:trPr/>
        <w:tc>
          <w:tcPr>
            <w:tcW w:w="5360" w:type="dxa"/>
            <w:tcBorders/>
          </w:tcPr>
          <w:p>
            <w:pPr>
              <w:pStyle w:val="TableContents"/>
              <w:bidi w:val="0"/>
              <w:spacing w:before="0" w:after="283"/>
              <w:jc w:val="left"/>
              <w:rPr/>
            </w:pPr>
            <w:r>
              <w:rPr/>
              <w:t>Registered CUSIP: 438516 CW4</w:t>
            </w:r>
          </w:p>
        </w:tc>
        <w:tc>
          <w:tcPr>
            <w:tcW w:w="125" w:type="dxa"/>
            <w:tcBorders/>
            <w:vAlign w:val="bottom"/>
          </w:tcPr>
          <w:p>
            <w:pPr>
              <w:pStyle w:val="TableContents"/>
              <w:bidi w:val="0"/>
              <w:spacing w:before="0" w:after="283"/>
              <w:jc w:val="left"/>
              <w:rPr/>
            </w:pPr>
            <w:r>
              <w:rPr/>
              <w:t>  </w:t>
            </w:r>
          </w:p>
        </w:tc>
        <w:tc>
          <w:tcPr>
            <w:tcW w:w="4720" w:type="dxa"/>
            <w:tcBorders/>
          </w:tcPr>
          <w:p>
            <w:pPr>
              <w:pStyle w:val="TableContents"/>
              <w:bidi w:val="0"/>
              <w:spacing w:before="0" w:after="283"/>
              <w:jc w:val="left"/>
              <w:rPr/>
            </w:pPr>
            <w:r>
              <w:rPr/>
              <w:t></w:t>
            </w:r>
          </w:p>
        </w:tc>
      </w:tr>
      <w:tr>
        <w:trPr/>
        <w:tc>
          <w:tcPr>
            <w:tcW w:w="5360" w:type="dxa"/>
            <w:tcBorders/>
          </w:tcPr>
          <w:p>
            <w:pPr>
              <w:pStyle w:val="TableContents"/>
              <w:bidi w:val="0"/>
              <w:spacing w:before="0" w:after="283"/>
              <w:jc w:val="left"/>
              <w:rPr/>
            </w:pPr>
            <w:r>
              <w:rPr/>
              <w:t>Registered ISIN: XS2776890068</w:t>
            </w:r>
          </w:p>
        </w:tc>
        <w:tc>
          <w:tcPr>
            <w:tcW w:w="125" w:type="dxa"/>
            <w:tcBorders/>
            <w:vAlign w:val="bottom"/>
          </w:tcPr>
          <w:p>
            <w:pPr>
              <w:pStyle w:val="TableContents"/>
              <w:bidi w:val="0"/>
              <w:spacing w:before="0" w:after="283"/>
              <w:jc w:val="left"/>
              <w:rPr/>
            </w:pPr>
            <w:r>
              <w:rPr/>
              <w:t>  </w:t>
            </w:r>
          </w:p>
        </w:tc>
        <w:tc>
          <w:tcPr>
            <w:tcW w:w="4720" w:type="dxa"/>
            <w:tcBorders/>
          </w:tcPr>
          <w:p>
            <w:pPr>
              <w:pStyle w:val="TableContents"/>
              <w:bidi w:val="0"/>
              <w:spacing w:before="0" w:after="283"/>
              <w:jc w:val="left"/>
              <w:rPr>
                <w:sz w:val="4"/>
                <w:szCs w:val="4"/>
              </w:rPr>
            </w:pPr>
            <w:r>
              <w:rPr>
                <w:sz w:val="4"/>
                <w:szCs w:val="4"/>
              </w:rPr>
            </w:r>
          </w:p>
        </w:tc>
      </w:tr>
      <w:tr>
        <w:trPr/>
        <w:tc>
          <w:tcPr>
            <w:tcW w:w="5360" w:type="dxa"/>
            <w:tcBorders/>
          </w:tcPr>
          <w:p>
            <w:pPr>
              <w:pStyle w:val="TableContents"/>
              <w:bidi w:val="0"/>
              <w:spacing w:before="0" w:after="283"/>
              <w:jc w:val="left"/>
              <w:rPr/>
            </w:pPr>
            <w:r>
              <w:rPr/>
              <w:t>Common Code No.: 277689006</w:t>
            </w:r>
          </w:p>
        </w:tc>
        <w:tc>
          <w:tcPr>
            <w:tcW w:w="125" w:type="dxa"/>
            <w:tcBorders/>
            <w:vAlign w:val="bottom"/>
          </w:tcPr>
          <w:p>
            <w:pPr>
              <w:pStyle w:val="TableContents"/>
              <w:bidi w:val="0"/>
              <w:spacing w:before="0" w:after="283"/>
              <w:jc w:val="left"/>
              <w:rPr/>
            </w:pPr>
            <w:r>
              <w:rPr/>
              <w:t>  </w:t>
            </w:r>
          </w:p>
        </w:tc>
        <w:tc>
          <w:tcPr>
            <w:tcW w:w="472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HONEYWELL INTERNATIONAL INC., a Delaware corporation (the Company, which term includes any successor corporation under the Indenture described herein), for value received, hereby promises to pay to BT GLOBENET NOMINEES LIMITED or its registered assigns, the principal sum of    EUROS (    ) on March 1, 2036 (the Maturity Date), and to pay interest on said principal sum annually in arrears on March 1 of each year, commencing March 1, 2025 (each such date on which the Company is required to pay interest being referred to herein as an Interest Payment Date), at the rate of 3.750% per annum from March 1, 2024, or from the most recent date in respect of which interest has been paid or duly provided for, until payment of said principal sum has been made or duly provided for. </w:t>
      </w:r>
    </w:p>
    <w:p>
      <w:pPr>
        <w:pStyle w:val="TextBody"/>
        <w:bidi w:val="0"/>
        <w:spacing w:before="240" w:after="0"/>
        <w:jc w:val="left"/>
        <w:rPr>
          <w:rFonts w:ascii="Times New Roman" w:hAnsi="Times New Roman"/>
          <w:sz w:val="20"/>
        </w:rPr>
      </w:pPr>
      <w:r>
        <w:rPr>
          <w:rFonts w:ascii="Times New Roman" w:hAnsi="Times New Roman"/>
          <w:sz w:val="20"/>
        </w:rPr>
        <w:t xml:space="preserve">Interest payable on any Interest Payment Date, Redemption Date (as defined below) or Maturity Date shall be the amount of interest accrued from, and including, the next preceding Interest Payment Date in respect of which interest has been paid or duly provided for (or from and including the original issue date of this Note, if no interest has been paid or duly provided for) to, but excluding, such Interest Payment Date, Redemption Date or Maturity Date, as the case may be. This payment convention is referred to as ACTUAL/ACTUAL (ICMA) as defined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rulebook of the International Capital Markets Association. If any Interest Payment Date falls on a day that is not a Business Day, the interest payment will be made on the next succeeding day that is a Business Day, but no additional interest will accrue as a result of the delay in payment. If the Maturity Date or any Redemption Date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The rights of holders of beneficial interests of Notes (as defined below) to receive the payments of interest on such Notes are subject to the applicable procedures of Clearstream Banking S.A. (Clearstream), and Euroclear Bank, SA/NV (Euroclear). </w:t>
      </w:r>
    </w:p>
    <w:p>
      <w:pPr>
        <w:pStyle w:val="TextBody"/>
        <w:bidi w:val="0"/>
        <w:spacing w:before="240" w:after="0"/>
        <w:jc w:val="left"/>
        <w:rPr>
          <w:rFonts w:ascii="Times New Roman" w:hAnsi="Times New Roman"/>
          <w:sz w:val="20"/>
        </w:rPr>
      </w:pPr>
      <w:r>
        <w:rPr>
          <w:rFonts w:ascii="Times New Roman" w:hAnsi="Times New Roman"/>
          <w:sz w:val="20"/>
        </w:rPr>
        <w:t xml:space="preserve">The interest so payable, and punctually paid or duly provided for, on any Interest Payment Date will, as provided in the Indenture, be paid to the person in whose name this Note (or one or more predecessor Notes) is registered at the close of business on the 15th calendar day (whether or not a Business Day) immediately preceding the related Interest Payment Date or, if the Notes are represented by one or more Global Securities, the close of business on the Business Day (for this purpose a day on which Clearstream and Euroclear are open for business) immediately preceding such Interest Payment Date (each being referred to herein as a Regular Record Date); provided, however, that interest payable on the Maturity Date or any Redemption Date shall be payable to the person to whom the principal shall be payable. As used herein,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 </w:t>
      </w:r>
    </w:p>
    <w:p>
      <w:pPr>
        <w:pStyle w:val="TextBody"/>
        <w:bidi w:val="0"/>
        <w:spacing w:before="240" w:after="0"/>
        <w:jc w:val="left"/>
        <w:rPr>
          <w:rFonts w:ascii="Times New Roman" w:hAnsi="Times New Roman"/>
          <w:sz w:val="20"/>
        </w:rPr>
      </w:pPr>
      <w:r>
        <w:rPr>
          <w:rFonts w:ascii="Times New Roman" w:hAnsi="Times New Roman"/>
          <w:sz w:val="20"/>
        </w:rPr>
        <w:t xml:space="preserve">The payments of interest, principal and premium, if any, will be made at the office or agency of the Company maintained for that purpose in London, England, which shall initially be Deutsche Bank Trust Company Americas; provided, however, that at the option of the Company, payment of interest may be made by check mailed to the address of the Person entitled thereto as such address shall appear in the Security Register; provided further, that all payments of interest, principal and premium, if any, with respect to the Notes of this series represented by one or more Global Securities deposited with, or on behalf of, a common depositary, and registered in the name of the nominee of the common depositary for the accounts of Clearstream and Euroclear shall be made through the facilities of the common depositary. </w:t>
      </w:r>
    </w:p>
    <w:p>
      <w:pPr>
        <w:pStyle w:val="TextBody"/>
        <w:bidi w:val="0"/>
        <w:spacing w:before="240" w:after="0"/>
        <w:jc w:val="left"/>
        <w:rPr>
          <w:rFonts w:ascii="Times New Roman" w:hAnsi="Times New Roman"/>
          <w:sz w:val="20"/>
        </w:rPr>
      </w:pPr>
      <w:r>
        <w:rPr>
          <w:rFonts w:ascii="Times New Roman" w:hAnsi="Times New Roman"/>
          <w:sz w:val="20"/>
        </w:rPr>
        <w:t xml:space="preserve">All payments of interest, principal and premium, if any, will be made in euros. If the euro is unavailable to the Company due to the imposition of exchange controls or other circumstances beyond its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this Note will be made in U.S. dollars until the euro is again available to the Company or so used. The amount payable on any date in euros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Times New Roman" w:hAnsi="Times New Roman"/>
          <w:i/>
          <w:sz w:val="20"/>
        </w:rPr>
        <w:t>The Wall Street Journal</w:t>
      </w:r>
      <w:r>
        <w:rPr>
          <w:rFonts w:ascii="Times New Roman" w:hAnsi="Times New Roman"/>
          <w:sz w:val="20"/>
        </w:rPr>
        <w:t xml:space="preserve"> on or prior to the second Business Day prior to the relevant payment date. Any payments in respect of the Notes so made in U.S. dollars will not constitute an event of default under the terms of this Note or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Initially, Deutsche Bank Trust Company Americas will be the Paying Agent and the Registrar (the Note Registrar) for this Note. The Company reserves the rights at any time to remove any Paying Agent or Note Registrar without notice, to appoint additional or other Paying Agents and other Note Registrars without notice and to approve any change in the office through which any Paying Agent or Note Registrar acts;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there will at all times be a Paying Agent in London.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duly authorized series (the Series) of debt securities of the Company (hereinafter called the Securities), issued and to be issued under an indenture dated March 1, 2007, as supplemented by the First Supplemental Indenture dated as of October 27, 2017, the Second Supplemental Indenture dated as of March 10, 2020 and the Third Supplemental Indenture dated as of October 22, 2021 (collectively, the Indenture) between the Company and Deutsche Bank Trust Company Americas, as trustee (the Trustee), to which Indenture and all other indentures supplemental thereto reference is hereby made for a statement of the rights and limitations of rights thereunder of the Holders of the Securities and of the rights, obligations and duties of the Company, the Trustee and the Paying Agent for this Note, and the terms upon which the Securities are, and are to be, authenticated and delivered. The Securities may be issued in one or more series, which different series may be issued in various principal amounts, may mature at different times, may bear interest, if any, at different rates, may be subject to different redemption provisions, if any, may be subject to different covenants and Events of Default and may otherwise vary as provided or permitted in the Indenture. This Note is one of the series of Securities designated as 3.750% Senior Notes Due 2036 (herein called the Notes), initially limited in aggregate principal amount to 750,000,000. </w:t>
      </w:r>
    </w:p>
    <w:p>
      <w:pPr>
        <w:pStyle w:val="TextBody"/>
        <w:bidi w:val="0"/>
        <w:spacing w:before="240" w:after="0"/>
        <w:jc w:val="left"/>
        <w:rPr>
          <w:rFonts w:ascii="Times New Roman" w:hAnsi="Times New Roman"/>
          <w:sz w:val="20"/>
        </w:rPr>
      </w:pPr>
      <w:r>
        <w:rPr>
          <w:rFonts w:ascii="Times New Roman" w:hAnsi="Times New Roman"/>
          <w:sz w:val="20"/>
        </w:rPr>
        <w:t xml:space="preserve">Each capitalized term used herein and not otherwise defined herein shall have the meaning assigned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the consent of the Holders of the Notes, reopen this Series of Notes and issue additional Notes on separate dates, which shall form a single series and shall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in whole or in part, at any time prior to December 1, 2035 (the date that is three months prior to the Maturity Date), at a redemption price equal to the greater of (i) 100% of the principal amount of the Notes to be redeemed and (ii) the sum of the present values of the remaining scheduled payments of principal and interest on the Notes to be redeemed (exclusive of interest accrued to the date of redemption), discounted to the date of redemption (the Redemption Date) on an annual basis (ACTUAL/ACTUAL (ICMA)), at the applicable Comparable Government Bond Rate described below plus 25 basis points, plus accrued and unpaid interest on the principal amount of the Notes to be redeemed to the date of redemption. The Company will calculate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December 1, 2035 (the date that is three months prior to the Maturity Date), the Notes will be redeemable, in whole or in part, at a redemption price equal to 100% of the principal amount of the Notes being redeemed, plus accrued and unpaid interest on the principal amount of the Notes to be redeemed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Comparable Government Bond Rate means, with respect to any Redemption Date, the rate per annum equal to the yield to maturity, expressed as a percentage (rounded to three decimal places, with 0.0005 being rounded upwards), on the third Business Day prior to the date fixed for redemption, calculated in accordance with customary financial practice in pricing new issues of comparable corporate debt securities paying interest on an annual basis (ACTUAL/ACTUAL (ICMA)) of the Comparable Government Bond (as defined below), assuming a price for the Comparable Government Bond (expressed as a percentage of its principal amount) equal to the Comparable Government Bond Price for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Comparable Government Bond means, in relation to any Comparable Government Bond Rate calculation, the German government bond (Bundesanleihe) selected by an Independent Investment Banker as having an actual or interpolated maturity comparable to the remaining term of the Notes to be redeemed that would be utilized, at the time of selection and in accordance with customary financial practice, in pricing new issues of euro-denominated corporate debt securities of a comparable maturity to the remaining term of such Notes. </w:t>
      </w:r>
    </w:p>
    <w:p>
      <w:pPr>
        <w:pStyle w:val="TextBody"/>
        <w:bidi w:val="0"/>
        <w:spacing w:before="240" w:after="0"/>
        <w:jc w:val="left"/>
        <w:rPr>
          <w:rFonts w:ascii="Times New Roman" w:hAnsi="Times New Roman"/>
          <w:sz w:val="20"/>
        </w:rPr>
      </w:pPr>
      <w:r>
        <w:rPr>
          <w:rFonts w:ascii="Times New Roman" w:hAnsi="Times New Roman"/>
          <w:sz w:val="20"/>
        </w:rPr>
        <w:t xml:space="preserve">Independent Investment Banker means one of the Reference Government Bond Dealers selected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Comparable Government Bond Price means, with respect to any Redemption Date, (1) the arithmetic average of the Reference Government Bond Dealer Quotations for such Redemption Date, after excluding the highest and lowest such Reference Government Bond Dealer Quotations, or (2) if the Company obtains fewer than four such Reference Government Bond Dealer Quotations, the arithmetic average of all such quotations. </w:t>
      </w:r>
    </w:p>
    <w:p>
      <w:pPr>
        <w:pStyle w:val="TextBody"/>
        <w:bidi w:val="0"/>
        <w:spacing w:before="240" w:after="0"/>
        <w:jc w:val="left"/>
        <w:rPr>
          <w:rFonts w:ascii="Times New Roman" w:hAnsi="Times New Roman"/>
          <w:sz w:val="20"/>
        </w:rPr>
      </w:pPr>
      <w:r>
        <w:rPr>
          <w:rFonts w:ascii="Times New Roman" w:hAnsi="Times New Roman"/>
          <w:sz w:val="20"/>
        </w:rPr>
        <w:t xml:space="preserve">Reference Government Bond Dealer means each of (i) BNP Paribas, Deutsche Bank AG, London Branch, J.P. Morgan Securities plc, Merrill Lynch International and UniCredit Bank GmbH or any of their affiliates that are primary European government securities dealers, and their respective successors; provided that if any of the foregoing or any of their affiliates shall cease to be a primary European government securities dealer (Primary Dealer), the Company shall substitute therefor another Primary Dealer and (ii) three other Primary Dealers selected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Reference Government Bond Dealer Quotations means, with respect to each Reference Government Bond Dealer and any Redemption Date, the arithmetic average, as determined by the Company, of the bid and asked prices for the Comparable Government Bond (expressed in each case as a percentage of its principal amount) quoted in writing to the Company by such Reference Government Bond Dealer at 11:00 a.m., Brussels time, on the third Business Day preceding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at least 30 days but not more than 60 days before the Redemption Date to each holder of Notes to be redeemed. If the Company elects to redeem fewer than all the Notes, the trustee will select the particular Notes to be redeemed by such method that the trustee deems fair and appropriate; provided that if the Notes are represented by one or more Global Securities, beneficial interests therein will be selected for redemption by Clearstream and Euroclear in accordance with their respective applicable procedures therefor; and provided, further, that no Notes of a principal amount of 100,000 or less will be redeemed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redemption may, at the Companys discretion, be subject to one or more conditions precedent, which will be set forth in the related notice of redemption, including, but not limited to, completion of an offering or financing or other transaction or event. In addition, if such redemption is subject to satisfaction of one or more conditions precedent, such notice will describe each such condition, and if applicable, will state that, in the Companys discretion, the Redemption Date may be delayed until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Redemption Date will not be more than 60 days after the date of the notice of redemption) as any or all such conditions will be satisfied, or such redemption may not occur and such notice may be rescinded in the event that any or all such conditions will not have been satisfied by the Redemption Date, or by the Redemption Date as so delayed. </w:t>
      </w:r>
    </w:p>
    <w:p>
      <w:pPr>
        <w:pStyle w:val="TextBody"/>
        <w:bidi w:val="0"/>
        <w:spacing w:before="240" w:after="0"/>
        <w:jc w:val="left"/>
        <w:rPr>
          <w:rFonts w:ascii="Times New Roman" w:hAnsi="Times New Roman"/>
          <w:sz w:val="20"/>
        </w:rPr>
      </w:pPr>
      <w:r>
        <w:rPr>
          <w:rFonts w:ascii="Times New Roman" w:hAnsi="Times New Roman"/>
          <w:sz w:val="20"/>
        </w:rPr>
        <w:t xml:space="preserve">If any such condition precedent has not been satisfied, the Company will provide written notice to the Trustee prior to the close of business one business day prior to the Redemption Date. Upon receipt of such notice, the notice of redemption will be rescinded or delayed, and the redemption of the notes will be rescinded or delayed as provided in such notice. Upon receipt, the Trustee will provide such notice to each holder in the same manner in which the notice of redemption was given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On or before a Redemption Date, the Company will deposit with a paying agent (or the Trustee) money sufficient to pay the redemption price of and accrued interest on the Notes to be redeemed on that date. This Note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exceptions and limitations set forth below, the Company will pay as additional interest on the Notes such additional amounts as are necessary in order that the net payment by the Company or a Paying Agent of the principal, premium and interest with respect to the Notes to a holder that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will not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that would not have been imposed but for the holder, a fiduciary, settlor, beneficiary, member or shareholder of the holder, or a person holding a power over an estate or trust administered by a fiduciary holder, being treated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or having been present in, or engaged in a trade or business in, the United States, being treated as having been present in, or engaged in a trade or business in, the United States, or having or having had a permanent establishment in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having a current or former connection with the United States (other than a connection arising solely as a result of the ownership of the Notes, the receipt of any payment in respect of the Notes or the enforcement of any rights under the indenture), including being or having been a citizen or resident of the United States or treated as being or having been a resident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or having been a personal holding company, a passive foreign investment company or a controlled foreign corporation for U.S. federal income tax purposes, a foreign tax exempt organization, or a corporation that has accumulated earnings to avoid United States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or having been a 10-percent shareholder, as defined in section 871(h)(3) of the United States Internal Revenue Code of 1986, as amended (the Code), or any successor provision,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a bank receiving payments on an extension of credit made pursuant to a loan agreement entered into in the ordinary course of its trade or business, within the meaning of section 881(c)(3) of the Code or any successor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holder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that is imposed otherwise than by withholding by the Company or a paying agent from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estate, inheritance, gift, sales, excise, transfer, wealth, capital gains or personal property tax or similar tax, assessment or other governmental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7.</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imposed by reason of the failure of the beneficial owner to fulfill the statement requirements of Section 871(h) or Section 881(c)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imposed pursuant to Section 871(h)(6) or 881(c)(6) of the Code (or any amended or successor provisions);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combination of items (1) through (10).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specifically provided above, the Company will not be required to pay additional amounts in respect of any tax, assessment or other governmental charge. References in this Note to any payment on the Notes include the related payment of additional amounts,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term United States means the United States of America, any state thereof, and the District of Columbia, and the term United States person means (i) any individual who is a citizen or resident of the United States for U.S. federal income tax purposes, (ii) a corporation, partnership or other entity created or organized in or under the laws of the United States, any state thereof or the District of Columbia (other than a partnership that is not treated as a United States person for U.S. federal income tax purposes), (iii) any estate the income of which is subject to U.S. federal income taxation regardless of its source, or (iv) any trust if a U.S. court can exercise primary supervision over the administration of the trust and one or more United States persons can control all substantial trust decisions, or if a valid election is in place to treat the trust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If, as a result of any change in, or amendment to, the laws of the United States or the official interpretation thereof that is announced or becomes effective on or after February 26, 2024, the Company becomes or, based upon a written opinion of independent counsel selected by the Company, will become obligated to pay additional amounts as described above with respect to the Notes, then the Company may at any time at the Companys option redeem, in whole, but not in part, the Notes of this series on not less than 10 nor more than 60 days prior notice, at a redemption price equal to 100% of their principal amount, plus accrued and unpaid interest on the Notes to be redeemed to the date of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in the case of a defeasance, 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and in the Indenture prescribed.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Indenture, the Company may satisfy and discharge its obligations with respect to the Notes by depositing in trust for the Holders of the Outstanding Notes an amount in cash or the equivalent in securities of the government which issued the currency in which the Notes are denominated or government agencies backed by the full faith and credit of such government sufficient to pay and discharge the entire indebtedness on the Notes for principal of and premium, if any, and interest then due or to become due to the Stated Maturity of the principal of the Notes (a defeasance). In such event, a Company will be released and discharged from its obligations to pay interest on the Notes and to pay the principal thereof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Note may be registered on the Note Register of the Company upon surrender of this Note for registration of transfer at the office or agency of the Company in London duly endorsed by, or accompanied by a written instrument of transfer in form satisfactory to the Company and the Note Registrar duly executed by, the Holder hereof or by his attorney duly authorized in writing, and thereupon one or more new Notes in registered form, of authorized denominations and for the same aggregate principal amount, will be issued in the name or names of the designated transferee or transferees and delivered at the office of the Note Registrar in London, or mailed, at the request, risk and expense of such transferee or transferees, to the address or addresses shown in the Note Register for such transferee or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due presentment of this Note for registration of transfer, the Company, the Trustee, the Note Registrar and any agent of the Company, the Trustee or the Note Registrar may treat the person in whose name this Note is registered as the owner hereof for all purposes, whether or not this Note is overdue, and neither the Company, the Trustee, the Note Registrar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Note is issuable only in fully registered form, without coupons, in minimum denominations of 100,000 and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 transfer or exchange of the Notes,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This Note (the Global Note) is a Global Security as referred to in the Indenture and is not exchangeable for one or more certificated Notes; provided, however, that if at any time the Depository notifies the Company that it is unwilling or unable to continue as Depository or if at any time the Depository shall no longer be eligible or in good standing under the Securities Exchange Act of 1934, as amended, or any other applicable statute or regulation, the Company shall appoint a successor Depository. If a successor Depository is not appointed by the Company within 90 days after the Company receives such notice or becomes aware of such ineligibility,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at any time and in its sole discretion determine that the Notes represented by this Global Note shall no longer be represented by this Global Note. In such event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all the obligations of the Company hereunder are direct, senior unsecured and unsubordinated obligations of the Company and rank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all other senior unsecured and unsubordinated indebtedness of the Company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manually executed by or on behalf of the Trustee under the Indenture, this Note shall not be entitled to any benefits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HONEYWELL INTERNATIONAL INC. has caused this Note to be manually executed under its corporate 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70"/>
        <w:gridCol w:w="123"/>
        <w:gridCol w:w="3120"/>
        <w:gridCol w:w="123"/>
        <w:gridCol w:w="325"/>
        <w:gridCol w:w="123"/>
        <w:gridCol w:w="1697"/>
        <w:gridCol w:w="210"/>
        <w:gridCol w:w="3214"/>
      </w:tblGrid>
      <w:tr>
        <w:trPr/>
        <w:tc>
          <w:tcPr>
            <w:tcW w:w="12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Pr>
          <w:p>
            <w:pPr>
              <w:pStyle w:val="TableContents"/>
              <w:bidi w:val="0"/>
              <w:spacing w:before="0" w:after="283"/>
              <w:jc w:val="left"/>
              <w:rPr/>
            </w:pPr>
            <w:r>
              <w:rPr/>
              <w:t>Dated: March 1, 2024</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rHeight w:val="240" w:hRule="atLeast"/>
        </w:trPr>
        <w:tc>
          <w:tcPr>
            <w:tcW w:w="1270"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5244" w:type="dxa"/>
            <w:gridSpan w:val="4"/>
            <w:tcBorders/>
            <w:vAlign w:val="center"/>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pPr>
            <w:r>
              <w:rPr/>
              <w:t>[Seal]</w:t>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121" w:type="dxa"/>
            <w:gridSpan w:val="3"/>
            <w:tcBorders/>
          </w:tcPr>
          <w:p>
            <w:pPr>
              <w:pStyle w:val="TableContents"/>
              <w:bidi w:val="0"/>
              <w:spacing w:before="0" w:after="283"/>
              <w:jc w:val="left"/>
              <w:rPr/>
            </w:pPr>
            <w:r>
              <w:rPr/>
              <w:t>HONEYWELL INTERNATIONAL INC.</w:t>
            </w:r>
          </w:p>
        </w:tc>
      </w:tr>
      <w:tr>
        <w:trPr>
          <w:trHeight w:val="240" w:hRule="atLeast"/>
        </w:trPr>
        <w:tc>
          <w:tcPr>
            <w:tcW w:w="1270"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By:</w:t>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pBdr>
                <w:bottom w:val="single" w:sz="2" w:space="1" w:color="000000"/>
              </w:pBdr>
              <w:bidi w:val="0"/>
              <w:spacing w:before="0" w:after="20"/>
              <w:jc w:val="left"/>
              <w:rPr/>
            </w:pPr>
            <w:r>
              <w:rPr/>
              <w:t> </w:t>
            </w:r>
          </w:p>
        </w:tc>
      </w:tr>
      <w:tr>
        <w:trPr/>
        <w:tc>
          <w:tcPr>
            <w:tcW w:w="12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Name:</w:t>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Title:</w:t>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pPr>
            <w:r>
              <w:rPr/>
              <w:t>ATTEST:</w:t>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rHeight w:val="240" w:hRule="atLeast"/>
        </w:trPr>
        <w:tc>
          <w:tcPr>
            <w:tcW w:w="1270"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pPr>
            <w:r>
              <w:rPr/>
              <w:t>Name:</w:t>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pPr>
            <w:r>
              <w:rPr/>
              <w:t>Title:</w:t>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240" w:after="0"/>
        <w:jc w:val="left"/>
        <w:rPr>
          <w:rFonts w:ascii="Times New Roman" w:hAnsi="Times New Roman"/>
          <w:sz w:val="20"/>
        </w:rPr>
      </w:pPr>
      <w:r>
        <w:rPr>
          <w:rFonts w:ascii="Times New Roman" w:hAnsi="Times New Roman"/>
          <w:b/>
          <w:sz w:val="20"/>
        </w:rPr>
        <w:t>TEN COM</w:t>
      </w:r>
      <w:r>
        <w:rPr>
          <w:rFonts w:ascii="Times New Roman" w:hAnsi="Times New Roman"/>
          <w:sz w:val="20"/>
        </w:rPr>
        <w:t xml:space="preserve">as tenants in common </w:t>
      </w:r>
    </w:p>
    <w:p>
      <w:pPr>
        <w:pStyle w:val="TextBody"/>
        <w:bidi w:val="0"/>
        <w:spacing w:before="240" w:after="0"/>
        <w:jc w:val="left"/>
        <w:rPr>
          <w:rFonts w:ascii="Times New Roman" w:hAnsi="Times New Roman"/>
          <w:sz w:val="20"/>
        </w:rPr>
      </w:pPr>
      <w:r>
        <w:rPr>
          <w:rFonts w:ascii="Times New Roman" w:hAnsi="Times New Roman"/>
          <w:b/>
          <w:sz w:val="20"/>
        </w:rPr>
        <w:t>UNIF GIFT MIN ACT</w:t>
      </w:r>
      <w:r>
        <w:rPr>
          <w:rFonts w:ascii="Times New Roman" w:hAnsi="Times New Roman"/>
          <w:b/>
          <w:sz w:val="20"/>
          <w:u w:val="single"/>
        </w:rPr>
        <w:t>         </w:t>
      </w:r>
      <w:r>
        <w:rPr>
          <w:rFonts w:ascii="Times New Roman" w:hAnsi="Times New Roman"/>
          <w:sz w:val="20"/>
        </w:rPr>
        <w:t>Custodian</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Under Uniform Gifts to Minors Act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b/>
          <w:sz w:val="20"/>
        </w:rPr>
        <w:t>TEN ENT</w:t>
      </w:r>
      <w:r>
        <w:rPr>
          <w:rFonts w:ascii="Times New Roman" w:hAnsi="Times New Roman"/>
          <w:sz w:val="20"/>
        </w:rPr>
        <w:t xml:space="preserve">as tenants by the entireties </w:t>
      </w:r>
    </w:p>
    <w:p>
      <w:pPr>
        <w:pStyle w:val="TextBody"/>
        <w:bidi w:val="0"/>
        <w:spacing w:before="240" w:after="0"/>
        <w:jc w:val="left"/>
        <w:rPr>
          <w:rFonts w:ascii="Times New Roman" w:hAnsi="Times New Roman"/>
          <w:sz w:val="20"/>
        </w:rPr>
      </w:pPr>
      <w:r>
        <w:rPr>
          <w:rFonts w:ascii="Times New Roman" w:hAnsi="Times New Roman"/>
          <w:b/>
          <w:sz w:val="20"/>
        </w:rPr>
        <w:t>JT TEN</w:t>
      </w:r>
      <w:r>
        <w:rPr>
          <w:rFonts w:ascii="Times New Roman" w:hAnsi="Times New Roman"/>
          <w:sz w:val="20"/>
        </w:rPr>
        <w:t xml:space="preserve">as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left"/>
        <w:rPr>
          <w:rFonts w:ascii="Times New Roman" w:hAnsi="Times New Roman"/>
          <w:sz w:val="20"/>
        </w:rPr>
      </w:pPr>
      <w:r>
        <w:rPr>
          <w:rFonts w:ascii="Times New Roman" w:hAnsi="Times New Roman"/>
          <w:sz w:val="20"/>
        </w:rPr>
        <w:t xml:space="preserve">FOR THE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PLEASE PRINT OR TYPEWRITE NAME AND ADDRESS </w:t>
      </w:r>
    </w:p>
    <w:p>
      <w:pPr>
        <w:pStyle w:val="TextBody"/>
        <w:bidi w:val="0"/>
        <w:spacing w:before="0" w:after="0"/>
        <w:jc w:val="center"/>
        <w:rPr>
          <w:rFonts w:ascii="Times New Roman" w:hAnsi="Times New Roman"/>
          <w:sz w:val="20"/>
        </w:rPr>
      </w:pPr>
      <w:r>
        <w:rPr>
          <w:rFonts w:ascii="Times New Roman" w:hAnsi="Times New Roman"/>
          <w:sz w:val="20"/>
        </w:rPr>
        <w:t xml:space="preserve">INCLUDING ZIP CODE OF ASSIGNEE: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within Note and all rights thereunder, hereby irrevocably constituting and appointing ___________ attorney to transfer said Note on the books of the Company,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8"/>
        <w:gridCol w:w="101"/>
        <w:gridCol w:w="406"/>
        <w:gridCol w:w="101"/>
        <w:gridCol w:w="4799"/>
      </w:tblGrid>
      <w:tr>
        <w:trPr/>
        <w:tc>
          <w:tcPr>
            <w:tcW w:w="479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r>
      <w:tr>
        <w:trPr/>
        <w:tc>
          <w:tcPr>
            <w:tcW w:w="4798" w:type="dxa"/>
            <w:tcBorders/>
          </w:tcPr>
          <w:p>
            <w:pPr>
              <w:pStyle w:val="TableContents"/>
              <w:bidi w:val="0"/>
              <w:spacing w:before="0" w:after="283"/>
              <w:jc w:val="left"/>
              <w:rPr/>
            </w:pPr>
            <w:r>
              <w:rPr/>
              <w:t>Dated:</w:t>
            </w:r>
            <w:r>
              <w:rPr>
                <w:u w:val="single"/>
              </w:rPr>
              <w:t>                                                                                                                </w:t>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9"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NOTICE: The signature to this assignment must correspond with the name as written upon the face of the within instrument in every particular, without alteration or enlargement, or any change whatever.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of one of its authorized signatories, this Note shall not be entitled to any benefit under the Indenture or be valid or obligatory for any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25"/>
        <w:gridCol w:w="122"/>
        <w:gridCol w:w="343"/>
        <w:gridCol w:w="122"/>
        <w:gridCol w:w="716"/>
        <w:gridCol w:w="173"/>
        <w:gridCol w:w="4604"/>
      </w:tblGrid>
      <w:tr>
        <w:trPr/>
        <w:tc>
          <w:tcPr>
            <w:tcW w:w="41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pPr>
            <w:r>
              <w:rPr/>
              <w:t>Dated: March 1, 2024</w:t>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CERTIFICATE OF AUTHENTICATION</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This is one of the Securities of the series</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designated therein referred to in the</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within-mentioned Indenture.</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Deutsche Bank Trust Company Americas, as Trustee</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838" w:type="dxa"/>
            <w:gridSpan w:val="2"/>
            <w:tcBorders/>
            <w:vAlign w:val="center"/>
          </w:tcPr>
          <w:p>
            <w:pPr>
              <w:pStyle w:val="TableContents"/>
              <w:bidi w:val="0"/>
              <w:spacing w:before="0" w:after="283"/>
              <w:jc w:val="left"/>
              <w:rPr>
                <w:sz w:val="4"/>
                <w:szCs w:val="4"/>
              </w:rPr>
            </w:pPr>
            <w:r>
              <w:rPr>
                <w:sz w:val="4"/>
                <w:szCs w:val="4"/>
              </w:rPr>
            </w:r>
          </w:p>
        </w:tc>
        <w:tc>
          <w:tcPr>
            <w:tcW w:w="4777" w:type="dxa"/>
            <w:gridSpan w:val="2"/>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pPr>
            <w:r>
              <w:rPr/>
              <w:t>By:</w:t>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pBdr>
                <w:bottom w:val="single" w:sz="2" w:space="1" w:color="000000"/>
              </w:pBdr>
              <w:bidi w:val="0"/>
              <w:spacing w:before="0" w:after="20"/>
              <w:jc w:val="left"/>
              <w:rPr/>
            </w:pPr>
            <w:r>
              <w:rPr/>
              <w:t> </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Name:</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p>
    <w:p>
      <w:pPr>
        <w:pStyle w:val="TextBody"/>
        <w:bidi w:val="0"/>
        <w:spacing w:before="0" w:after="0"/>
        <w:jc w:val="right"/>
        <w:rPr>
          <w:rFonts w:ascii="Times New Roman" w:hAnsi="Times New Roman"/>
          <w:b/>
          <w:sz w:val="20"/>
        </w:rPr>
      </w:pPr>
      <w:bookmarkStart w:id="6" w:name="d788022dex47.htm"/>
      <w:bookmarkStart w:id="7" w:name="ksd788022dex47"/>
      <w:bookmarkEnd w:id="6"/>
      <w:bookmarkEnd w:id="7"/>
      <w:r>
        <w:rPr>
          <w:rFonts w:ascii="Times New Roman" w:hAnsi="Times New Roman"/>
          <w:b/>
          <w:sz w:val="20"/>
        </w:rPr>
        <w:t xml:space="preserve">Exhibit 4.7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WHICH MAY BE TREATED BY THE COMPANY, THE TRUSTEE AND ANY AGENT THEREOF AS OWNER AND HOLDER OF THIS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THE DEPOSITORY TRUST COMPANY OR TO A SUCCESSOR THEREOF OR SUCH SUCCESSORS NOMINEE. </w:t>
      </w:r>
    </w:p>
    <w:p>
      <w:pPr>
        <w:pStyle w:val="TextBody"/>
        <w:bidi w:val="0"/>
        <w:spacing w:before="240" w:after="0"/>
        <w:jc w:val="center"/>
        <w:rPr>
          <w:rFonts w:ascii="Times New Roman" w:hAnsi="Times New Roman"/>
          <w:sz w:val="20"/>
        </w:rPr>
      </w:pPr>
      <w:r>
        <w:rPr>
          <w:rFonts w:ascii="Times New Roman" w:hAnsi="Times New Roman"/>
          <w:sz w:val="20"/>
        </w:rPr>
        <w:t xml:space="preserve">HONEYWELL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4.875% Senior Note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7"/>
        <w:gridCol w:w="122"/>
        <w:gridCol w:w="4786"/>
      </w:tblGrid>
      <w:tr>
        <w:trPr/>
        <w:tc>
          <w:tcPr>
            <w:tcW w:w="529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5297" w:type="dxa"/>
            <w:tcBorders/>
          </w:tcPr>
          <w:p>
            <w:pPr>
              <w:pStyle w:val="TableContents"/>
              <w:bidi w:val="0"/>
              <w:spacing w:before="0" w:after="283"/>
              <w:jc w:val="left"/>
              <w:rPr/>
            </w:pPr>
            <w:r>
              <w:rPr/>
              <w:t>REGISTERED No.</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left"/>
              <w:rPr/>
            </w:pPr>
            <w:r>
              <w:rPr/>
              <w:t>U.S. $</w:t>
            </w:r>
          </w:p>
        </w:tc>
      </w:tr>
      <w:tr>
        <w:trPr/>
        <w:tc>
          <w:tcPr>
            <w:tcW w:w="5297" w:type="dxa"/>
            <w:tcBorders/>
          </w:tcPr>
          <w:p>
            <w:pPr>
              <w:pStyle w:val="TableContents"/>
              <w:bidi w:val="0"/>
              <w:spacing w:before="0" w:after="283"/>
              <w:jc w:val="left"/>
              <w:rPr/>
            </w:pPr>
            <w:r>
              <w:rPr/>
              <w:t>Registered CUSIP: 438516CQ7</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left"/>
              <w:rPr>
                <w:sz w:val="4"/>
                <w:szCs w:val="4"/>
              </w:rPr>
            </w:pPr>
            <w:r>
              <w:rPr>
                <w:sz w:val="4"/>
                <w:szCs w:val="4"/>
              </w:rPr>
            </w:r>
          </w:p>
        </w:tc>
      </w:tr>
      <w:tr>
        <w:trPr/>
        <w:tc>
          <w:tcPr>
            <w:tcW w:w="5297" w:type="dxa"/>
            <w:tcBorders/>
          </w:tcPr>
          <w:p>
            <w:pPr>
              <w:pStyle w:val="TableContents"/>
              <w:bidi w:val="0"/>
              <w:spacing w:before="0" w:after="283"/>
              <w:jc w:val="left"/>
              <w:rPr/>
            </w:pPr>
            <w:r>
              <w:rPr/>
              <w:t>Registered ISIN: US438516CQ72</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HONEYWELL INTERNATIONAL INC., a Delaware corporation (the Company, which term includes any successor corporation under the Indenture described herein), for value received, hereby promises to pay to CEDE &amp; CO. or its registered assigns, the principal sum of      U.S. DOLLARS (U.S. $     ) on September 1, 2029 (the Maturity Date), and to pay interest on said principal sum semiannually in arrears on March 1 and September 1 of each year, commencing September 1, 2024 (each such date on which the Company is required to pay interest being referred to herein as an Interest Payment Date), at the rate of 4.875% per annum from March 1, 2024,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February 15 or August 15 (each being referred to herein as a Regular Record Date), as the case may be, next preceding such Interest Payment Date. As used herein, Business Day means any day, other than Saturday or Sunday, on which banks are not required or authorized by law or executive order to close in New York City.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of interest, principal and premium, if any, on this Note will be made (except as specified below) by wire transfer in same day funds to the Registered Holder at such Holders address appearing on the Note Register on the relevant Regular Record Date. In the event the Notes are issued in fully certificated registered form, such payments will be made at the corporate trust office of the Trustee in New York City, or at the option of the Company, by mailing a check to such Registered Holder. </w:t>
      </w:r>
    </w:p>
    <w:p>
      <w:pPr>
        <w:pStyle w:val="TextBody"/>
        <w:bidi w:val="0"/>
        <w:spacing w:before="240" w:after="0"/>
        <w:jc w:val="left"/>
        <w:rPr>
          <w:rFonts w:ascii="Times New Roman" w:hAnsi="Times New Roman"/>
          <w:sz w:val="20"/>
        </w:rPr>
      </w:pPr>
      <w:r>
        <w:rPr>
          <w:rFonts w:ascii="Times New Roman" w:hAnsi="Times New Roman"/>
          <w:sz w:val="20"/>
        </w:rPr>
        <w:t xml:space="preserve">Initially, Deutsche Bank Trust Company Americas will be the Paying Agent and the Registrar (the Note Registrar) for this Note. The Company reserves the rights at any time to remove any Paying Agent or Note Registrar without notice, to appoint additional or other Paying Agents and other Note Registrars without notice and to approve any change in the office through which any Paying Agent or Note Registrar acts;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there will at all times be a Paying Agent in New York City.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duly authorized series (the Series) of debt securities of the Company (hereinafter called the Securities), issued and to be issued under an indenture dated March 1, 2007, as supplemented by the First Supplemental Indenture dated as of October 27, 2017, the Second Supplemental Indenture dated as of March 10, 2020 and the Third Supplemental Indenture dated as of October 22, 2021 (collectively, the Indenture) between the Company and Deutsche Bank Trust Company Americas, as trustee (the Trustee), to which Indenture and all other indentures supplemental thereto reference is hereby made for a statement of the rights and limitations of rights thereunder of the Holders of the Securities and of the rights, obligations and duties of the Company, the Trustee and the Paying Agent for this Note, and the terms upon which the Securities are, and are to be, authenticated and delivered. The Securities may be issued in one or more series, which different series may be issued in various principal amounts, may mature at different times, may bear interest, if any, at different rates, may be subject to different redemption provisions, if any, may be subject to different covenants and Events of Default and may otherwise vary as provided or permitted in the Indenture. This Note is one of the series of Securities designated as 4.875% Senior Notes Due 2029 (herein called the Notes), initially limited in aggregate principal amount to $500,000,000. </w:t>
      </w:r>
    </w:p>
    <w:p>
      <w:pPr>
        <w:pStyle w:val="TextBody"/>
        <w:bidi w:val="0"/>
        <w:spacing w:before="240" w:after="0"/>
        <w:jc w:val="left"/>
        <w:rPr>
          <w:rFonts w:ascii="Times New Roman" w:hAnsi="Times New Roman"/>
          <w:sz w:val="20"/>
        </w:rPr>
      </w:pPr>
      <w:r>
        <w:rPr>
          <w:rFonts w:ascii="Times New Roman" w:hAnsi="Times New Roman"/>
          <w:sz w:val="20"/>
        </w:rPr>
        <w:t xml:space="preserve">Each capitalized term used herein and not otherwise defined herein shall have the meaning assigned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the consent of the Holders of the Notes, reopen this Series of Notes and issue additional notes on separate dates, which shall form a single series and shall have the same terms; </w:t>
      </w:r>
      <w:r>
        <w:rPr>
          <w:rFonts w:ascii="Times New Roman" w:hAnsi="Times New Roman"/>
          <w:sz w:val="20"/>
          <w:u w:val="single"/>
        </w:rPr>
        <w:t>provided</w:t>
      </w:r>
      <w:r>
        <w:rPr>
          <w:rFonts w:ascii="Times New Roman" w:hAnsi="Times New Roman"/>
          <w:sz w:val="20"/>
        </w:rPr>
        <w:t xml:space="preserve"> that such additional notes shall not be issued with the same CUSIP number as the Notes unless such additional notes are issued for U.S. federal income tax purposes in a qualified reopening or are otherwise treated as part of the same issue for U.S. federal income tax purposes. Such further notes will be consolidated and form a single series with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Note is subject to redemption, in whole or in part, at the option of the Company at any time or from time to time, upon mailed notice to the registered address of each holder of notes to be redeemed at least 10 days but not more than 60 days prior to the redemption. Prior to August 1, 2029 (one month prior to the maturity date of the Notes (the Par Call Date)), the make-whole premium redemption price will be equal to the greater of (1) 100% of the principal amount of the notes to be redeemed and (2)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10 basis points less (b) interest accrued to the date of redemption. Accrued interest will be paid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the Par Call Date, the Notes are redeemable, in whole or in part, at any time and from time to time, at the Companys option at a redemption price equal to 100% of the principal amount of such notes to be redeemed plus accrued interest to, but not including, the redemption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Any redemption may, at the Companys discretion, be subject to one or more conditions precedent, which will be set forth in the related notice of redemption, including, but not limited to, completion of an offering or financing or other transaction or event. In addition, if such redemption is subject to satisfaction of one or more conditions precedent, such notice will describe each such condition, and if applicable, will state that, in the Companys discretion, the redemption date may be delayed until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redemption date will not be more than 60 days after the date of the notice of redemption) as any or all such conditions will be satisfied, or such redemption may not occur and such notice may be rescinded in the event that any or all such conditions will not have been satisfied by the redemption date, or by the redemption date as so delayed.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(the Depository) (or another depository), the redemption of the notes shall be done in accordance with the policies and procedures of the depository. </w:t>
      </w:r>
    </w:p>
    <w:p>
      <w:pPr>
        <w:pStyle w:val="TextBody"/>
        <w:bidi w:val="0"/>
        <w:spacing w:before="240" w:after="0"/>
        <w:jc w:val="left"/>
        <w:rPr>
          <w:rFonts w:ascii="Times New Roman" w:hAnsi="Times New Roman"/>
          <w:sz w:val="20"/>
        </w:rPr>
      </w:pPr>
      <w:r>
        <w:rPr>
          <w:rFonts w:ascii="Times New Roman" w:hAnsi="Times New Roman"/>
          <w:sz w:val="20"/>
        </w:rPr>
        <w:t xml:space="preserve">If any such condition precedent has not been satisfied, the Company will provide written notice to the Trustee prior to the close of business one business day prior to the redemption date. Upon receipt of such notice, the notice of redemption will be rescinded or delayed, and the redemption of the notes will be rescinded or delayed as provided in such notice. Upon receipt, the Trustee will provide such notice to each holder in the same manner in which the notice of redemption was given. </w:t>
      </w:r>
    </w:p>
    <w:p>
      <w:pPr>
        <w:pStyle w:val="TextBody"/>
        <w:bidi w:val="0"/>
        <w:spacing w:before="240" w:after="0"/>
        <w:jc w:val="left"/>
        <w:rPr>
          <w:rFonts w:ascii="Times New Roman" w:hAnsi="Times New Roman"/>
          <w:sz w:val="20"/>
        </w:rPr>
      </w:pPr>
      <w:r>
        <w:rPr>
          <w:rFonts w:ascii="Times New Roman" w:hAnsi="Times New Roman"/>
          <w:sz w:val="20"/>
        </w:rPr>
        <w:t xml:space="preserve">On and after a redemption date, interest will cease to accrue on the notes called for redemption (unless the Company defaults in the payment of the redemption price and accrued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a redemption date, the Company will deposit with a paying agent (or the Trustee) money sufficient to pay the redemption price of and accrued interest on the notes to be redeemed on that date. This Note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in the case of a defeasance, 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and in the Indenture prescribed.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Indenture, the Company may satisfy and discharge its obligations with respect to the Notes by depositing in trust for the Holders of the Outstanding Notes an amount in cash or the equivalent in securities of the government which issued the currency in which the Notes are denominated or government agencies backed by the full faith and credit of such government sufficient to pay and discharge the entire indebtedness on the Notes for principal of and premium, if any, and interest then due or to become due to the Stated Maturity of the principal of the Notes (a defeasance). In such event, a Company will be released and discharged from its obligations to pay interest on the Notes and to pay the principal thereof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Note may be registered on the Note Register of the Company upon surrender of this Note for registration of transfer at the office or agency of the Company in New York City duly endorsed by, or accompanied by a written instrument of transfer in form satisfactory to the Company and the Note Registrar duly executed by, the Holder hereof or by his attorney duly authorized in writing, and thereupon one or more new Notes in registered form, of authorized denominations and for the same aggregate principal amount, will be issued in the name or names of the designated transferee or transferees and delivered at the office of the Note Registrar in New York City, or mailed, at the request, risk and expense of such transferee or transferees, to the address or addresses shown in the Note Register for such transferee or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due presentment of this Note for registration of transfer, the Company, the Trustee, the Note Registrar and any agent of the Company, the Trustee or the Note Registrar may treat the person in whose name this Note is registered as the owner hereof for all purposes, whether or not this Note is overdue, and neither the Company, the Trustee, the Note Registrar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Note is issuable only in fully registered form, without coupons, in minimum denominations of $2,000 and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 transfer or exchange of the Notes,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This Note (the Global Note) is a Global Security as referred to in the Indenture and is not exchangeable for one or more certificated Notes; provided, however, that if at any time the Depository notifies the Company that it is unwilling or unable to continue as Depository or if at any time the Depository shall no longer be eligible or in good standing under the Securities Exchange Act of 1934, as amended, or any other applicable statute or regulation, the Company shall appoint a successor Depository. If a successor Depository is not appointed by the Company within 90 days after the Company receives such notice or becomes aware of such ineligibility,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at any time and in its sole discretion determine that the Notes represented by this Global Note shall no longer be represented by this Global Note. In such event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all the obligations of the Company hereunder are direct, senior unsecured and unsubordinated obligations of the Company and rank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all other senior unsecured and unsubordinated indebtedness of the Company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manually executed by or on behalf of the Trustee under the Indenture, this Note shall not be entitled to any benefits under the Indenture or be valid or obligatory for any purpose.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HONEYWELL INTERNATIONAL INC. has caused this Note to be manually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March 1,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39"/>
        <w:gridCol w:w="171"/>
        <w:gridCol w:w="2172"/>
      </w:tblGrid>
      <w:tr>
        <w:trPr/>
        <w:tc>
          <w:tcPr>
            <w:tcW w:w="1739"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HONEYWELL INTERNATIONAL INC.</w:t>
            </w:r>
          </w:p>
        </w:tc>
      </w:tr>
      <w:tr>
        <w:trPr>
          <w:trHeight w:val="240" w:hRule="atLeast"/>
        </w:trPr>
        <w:tc>
          <w:tcPr>
            <w:tcW w:w="1739" w:type="dxa"/>
            <w:tcBorders/>
            <w:vAlign w:val="center"/>
          </w:tcPr>
          <w:p>
            <w:pPr>
              <w:pStyle w:val="TableContents"/>
              <w:bidi w:val="0"/>
              <w:spacing w:before="0" w:after="283"/>
              <w:jc w:val="left"/>
              <w:rPr>
                <w:sz w:val="4"/>
                <w:szCs w:val="4"/>
              </w:rPr>
            </w:pPr>
            <w:r>
              <w:rPr>
                <w:sz w:val="4"/>
                <w:szCs w:val="4"/>
              </w:rPr>
            </w:r>
          </w:p>
        </w:tc>
        <w:tc>
          <w:tcPr>
            <w:tcW w:w="2343" w:type="dxa"/>
            <w:gridSpan w:val="2"/>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By:</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pBdr>
                <w:bottom w:val="single" w:sz="2" w:space="1" w:color="000000"/>
              </w:pBdr>
              <w:bidi w:val="0"/>
              <w:spacing w:before="0" w:after="20"/>
              <w:jc w:val="left"/>
              <w:rPr/>
            </w:pPr>
            <w:r>
              <w:rPr/>
              <w:t> </w:t>
            </w:r>
          </w:p>
        </w:tc>
      </w:tr>
      <w:tr>
        <w:trPr/>
        <w:tc>
          <w:tcPr>
            <w:tcW w:w="1739" w:type="dxa"/>
            <w:tcBorders/>
          </w:tcPr>
          <w:p>
            <w:pPr>
              <w:pStyle w:val="TableContents"/>
              <w:bidi w:val="0"/>
              <w:spacing w:before="0" w:after="283"/>
              <w:jc w:val="left"/>
              <w:rPr/>
            </w:pPr>
            <w:r>
              <w:rPr/>
              <w:t>Name:</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Title:</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11"/>
        <w:gridCol w:w="81"/>
        <w:gridCol w:w="3090"/>
      </w:tblGrid>
      <w:tr>
        <w:trPr/>
        <w:tc>
          <w:tcPr>
            <w:tcW w:w="91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911" w:type="dxa"/>
            <w:tcBorders/>
            <w:vAlign w:val="center"/>
          </w:tcPr>
          <w:p>
            <w:pPr>
              <w:pStyle w:val="TableContents"/>
              <w:bidi w:val="0"/>
              <w:spacing w:before="0" w:after="283"/>
              <w:jc w:val="left"/>
              <w:rPr>
                <w:sz w:val="4"/>
                <w:szCs w:val="4"/>
              </w:rPr>
            </w:pPr>
            <w:r>
              <w:rPr>
                <w:sz w:val="4"/>
                <w:szCs w:val="4"/>
              </w:rPr>
            </w:r>
          </w:p>
        </w:tc>
        <w:tc>
          <w:tcPr>
            <w:tcW w:w="3171"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pBdr>
                <w:bottom w:val="single" w:sz="2" w:space="1" w:color="000000"/>
              </w:pBdr>
              <w:bidi w:val="0"/>
              <w:spacing w:before="0" w:after="20"/>
              <w:jc w:val="left"/>
              <w:rPr/>
            </w:pPr>
            <w:r>
              <w:rPr/>
              <w:t> </w:t>
            </w:r>
          </w:p>
        </w:tc>
      </w:tr>
      <w:tr>
        <w:trPr/>
        <w:tc>
          <w:tcPr>
            <w:tcW w:w="911" w:type="dxa"/>
            <w:tcBorders/>
          </w:tcPr>
          <w:p>
            <w:pPr>
              <w:pStyle w:val="TableContents"/>
              <w:bidi w:val="0"/>
              <w:spacing w:before="0" w:after="283"/>
              <w:jc w:val="left"/>
              <w:rPr/>
            </w:pPr>
            <w:r>
              <w:rPr/>
              <w:t>Name:</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Title:</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240" w:after="0"/>
        <w:jc w:val="left"/>
        <w:rPr>
          <w:rFonts w:ascii="Times New Roman" w:hAnsi="Times New Roman"/>
          <w:sz w:val="20"/>
        </w:rPr>
      </w:pPr>
      <w:r>
        <w:rPr>
          <w:rFonts w:ascii="Times New Roman" w:hAnsi="Times New Roman"/>
          <w:b/>
          <w:sz w:val="20"/>
        </w:rPr>
        <w:t>TEN COM</w:t>
      </w:r>
      <w:r>
        <w:rPr>
          <w:rFonts w:ascii="Times New Roman" w:hAnsi="Times New Roman"/>
          <w:sz w:val="20"/>
        </w:rPr>
        <w:t xml:space="preserve">as tenants in common </w:t>
      </w:r>
    </w:p>
    <w:p>
      <w:pPr>
        <w:pStyle w:val="TextBody"/>
        <w:bidi w:val="0"/>
        <w:spacing w:before="240" w:after="0"/>
        <w:jc w:val="left"/>
        <w:rPr>
          <w:rFonts w:ascii="Times New Roman" w:hAnsi="Times New Roman"/>
          <w:sz w:val="20"/>
        </w:rPr>
      </w:pPr>
      <w:r>
        <w:rPr>
          <w:rFonts w:ascii="Times New Roman" w:hAnsi="Times New Roman"/>
          <w:b/>
          <w:sz w:val="20"/>
        </w:rPr>
        <w:t>UNIF GIFT MIN ACT</w:t>
      </w: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Custodian</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Under Uniform Gifts to Minors Act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b/>
          <w:sz w:val="20"/>
        </w:rPr>
        <w:t>TEN ENT</w:t>
      </w:r>
      <w:r>
        <w:rPr>
          <w:rFonts w:ascii="Times New Roman" w:hAnsi="Times New Roman"/>
          <w:sz w:val="20"/>
        </w:rPr>
        <w:t xml:space="preserve">as tenants by the entireties </w:t>
      </w:r>
    </w:p>
    <w:p>
      <w:pPr>
        <w:pStyle w:val="TextBody"/>
        <w:bidi w:val="0"/>
        <w:spacing w:before="240" w:after="0"/>
        <w:jc w:val="left"/>
        <w:rPr>
          <w:rFonts w:ascii="Times New Roman" w:hAnsi="Times New Roman"/>
          <w:sz w:val="20"/>
        </w:rPr>
      </w:pPr>
      <w:r>
        <w:rPr>
          <w:rFonts w:ascii="Times New Roman" w:hAnsi="Times New Roman"/>
          <w:b/>
          <w:sz w:val="20"/>
        </w:rPr>
        <w:t>JT TEN</w:t>
      </w:r>
      <w:r>
        <w:rPr>
          <w:rFonts w:ascii="Times New Roman" w:hAnsi="Times New Roman"/>
          <w:sz w:val="20"/>
        </w:rPr>
        <w:t xml:space="preserve"> as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left"/>
        <w:rPr>
          <w:rFonts w:ascii="Times New Roman" w:hAnsi="Times New Roman"/>
          <w:sz w:val="20"/>
        </w:rPr>
      </w:pPr>
      <w:r>
        <w:rPr>
          <w:rFonts w:ascii="Times New Roman" w:hAnsi="Times New Roman"/>
          <w:sz w:val="20"/>
        </w:rPr>
        <w:t xml:space="preserve">FOR THE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PLEASE PRINT OR TYPEWRITE NAME AND ADDRESS </w:t>
      </w:r>
    </w:p>
    <w:p>
      <w:pPr>
        <w:pStyle w:val="TextBody"/>
        <w:bidi w:val="0"/>
        <w:spacing w:before="0" w:after="0"/>
        <w:jc w:val="center"/>
        <w:rPr>
          <w:rFonts w:ascii="Times New Roman" w:hAnsi="Times New Roman"/>
          <w:sz w:val="20"/>
        </w:rPr>
      </w:pPr>
      <w:r>
        <w:rPr>
          <w:rFonts w:ascii="Times New Roman" w:hAnsi="Times New Roman"/>
          <w:sz w:val="20"/>
        </w:rPr>
        <w:t xml:space="preserve">INCLUDING ZIP CODE OF ASSIGNEE: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the within Note and all rights thereunder, hereby irrevocably constituting and appointing ___________ attorney to transfer said Note on the books of the Company,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65"/>
        <w:gridCol w:w="102"/>
        <w:gridCol w:w="341"/>
        <w:gridCol w:w="102"/>
        <w:gridCol w:w="4095"/>
      </w:tblGrid>
      <w:tr>
        <w:trPr/>
        <w:tc>
          <w:tcPr>
            <w:tcW w:w="55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5565" w:type="dxa"/>
            <w:tcBorders/>
          </w:tcPr>
          <w:p>
            <w:pPr>
              <w:pStyle w:val="TableContents"/>
              <w:bidi w:val="0"/>
              <w:spacing w:before="0" w:after="283"/>
              <w:jc w:val="left"/>
              <w:rPr/>
            </w:pPr>
            <w:r>
              <w:rPr/>
              <w:t>Dated:</w:t>
            </w:r>
            <w:r>
              <w:rPr>
                <w:u w:val="single"/>
              </w:rPr>
              <w:t>                       </w:t>
            </w:r>
          </w:p>
        </w:tc>
        <w:tc>
          <w:tcPr>
            <w:tcW w:w="102" w:type="dxa"/>
            <w:tcBorders/>
            <w:vAlign w:val="bottom"/>
          </w:tcPr>
          <w:p>
            <w:pPr>
              <w:pStyle w:val="TableContents"/>
              <w:bidi w:val="0"/>
              <w:spacing w:before="0" w:after="283"/>
              <w:jc w:val="left"/>
              <w:rPr/>
            </w:pPr>
            <w:r>
              <w:rPr/>
              <w:t> </w:t>
            </w:r>
          </w:p>
        </w:tc>
        <w:tc>
          <w:tcPr>
            <w:tcW w:w="34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95"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NOTICE: The signature to this assignment must correspond with the name as written upon the face of the within instrument in every particular, without alteration or enlargement, or any change whatever.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of one of its authorized signatories, this Note shall not be entitled to any benefit under the Indenture or be valid or obligatory for any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59"/>
        <w:gridCol w:w="102"/>
        <w:gridCol w:w="403"/>
        <w:gridCol w:w="102"/>
        <w:gridCol w:w="313"/>
        <w:gridCol w:w="102"/>
        <w:gridCol w:w="4624"/>
      </w:tblGrid>
      <w:tr>
        <w:trPr/>
        <w:tc>
          <w:tcPr>
            <w:tcW w:w="455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24" w:type="dxa"/>
            <w:tcBorders/>
            <w:vAlign w:val="center"/>
          </w:tcPr>
          <w:p>
            <w:pPr>
              <w:pStyle w:val="TableContents"/>
              <w:bidi w:val="0"/>
              <w:spacing w:before="0" w:after="283"/>
              <w:jc w:val="left"/>
              <w:rPr>
                <w:sz w:val="4"/>
                <w:szCs w:val="4"/>
              </w:rPr>
            </w:pPr>
            <w:r>
              <w:rPr>
                <w:sz w:val="4"/>
                <w:szCs w:val="4"/>
              </w:rPr>
            </w:r>
          </w:p>
        </w:tc>
      </w:tr>
      <w:tr>
        <w:trPr/>
        <w:tc>
          <w:tcPr>
            <w:tcW w:w="4559" w:type="dxa"/>
            <w:tcBorders/>
          </w:tcPr>
          <w:p>
            <w:pPr>
              <w:pStyle w:val="TableContents"/>
              <w:bidi w:val="0"/>
              <w:spacing w:before="0" w:after="283"/>
              <w:jc w:val="left"/>
              <w:rPr/>
            </w:pPr>
            <w:r>
              <w:rPr/>
              <w:t>Dated: March 1, 2024</w:t>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24" w:type="dxa"/>
            <w:tcBorders/>
          </w:tcPr>
          <w:p>
            <w:pPr>
              <w:pStyle w:val="TableContents"/>
              <w:bidi w:val="0"/>
              <w:spacing w:before="0" w:after="283"/>
              <w:jc w:val="left"/>
              <w:rPr/>
            </w:pPr>
            <w:r>
              <w:rPr/>
              <w:t>CERTIFICATE OF AUTHENTICATION</w:t>
            </w:r>
          </w:p>
        </w:tc>
      </w:tr>
      <w:tr>
        <w:trPr>
          <w:trHeight w:val="240" w:hRule="atLeast"/>
        </w:trPr>
        <w:tc>
          <w:tcPr>
            <w:tcW w:w="4559" w:type="dxa"/>
            <w:tcBorders/>
            <w:vAlign w:val="center"/>
          </w:tcPr>
          <w:p>
            <w:pPr>
              <w:pStyle w:val="TableContents"/>
              <w:bidi w:val="0"/>
              <w:spacing w:before="0" w:after="283"/>
              <w:jc w:val="left"/>
              <w:rPr>
                <w:sz w:val="4"/>
                <w:szCs w:val="4"/>
              </w:rPr>
            </w:pPr>
            <w:r>
              <w:rPr>
                <w:sz w:val="4"/>
                <w:szCs w:val="4"/>
              </w:rPr>
            </w:r>
          </w:p>
        </w:tc>
        <w:tc>
          <w:tcPr>
            <w:tcW w:w="505" w:type="dxa"/>
            <w:gridSpan w:val="2"/>
            <w:tcBorders/>
            <w:vAlign w:val="center"/>
          </w:tcPr>
          <w:p>
            <w:pPr>
              <w:pStyle w:val="TableContents"/>
              <w:bidi w:val="0"/>
              <w:spacing w:before="0" w:after="283"/>
              <w:jc w:val="left"/>
              <w:rPr>
                <w:sz w:val="4"/>
                <w:szCs w:val="4"/>
              </w:rPr>
            </w:pPr>
            <w:r>
              <w:rPr>
                <w:sz w:val="4"/>
                <w:szCs w:val="4"/>
              </w:rPr>
            </w:r>
          </w:p>
        </w:tc>
        <w:tc>
          <w:tcPr>
            <w:tcW w:w="415" w:type="dxa"/>
            <w:gridSpan w:val="2"/>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r>
      <w:tr>
        <w:trPr/>
        <w:tc>
          <w:tcPr>
            <w:tcW w:w="45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24" w:type="dxa"/>
            <w:tcBorders/>
          </w:tcPr>
          <w:p>
            <w:pPr>
              <w:pStyle w:val="TableContents"/>
              <w:bidi w:val="0"/>
              <w:spacing w:before="0" w:after="283"/>
              <w:jc w:val="left"/>
              <w:rPr/>
            </w:pPr>
            <w:r>
              <w:rPr/>
              <w:t>This is one of the Securities of the series</w:t>
            </w:r>
          </w:p>
        </w:tc>
      </w:tr>
      <w:tr>
        <w:trPr/>
        <w:tc>
          <w:tcPr>
            <w:tcW w:w="45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24" w:type="dxa"/>
            <w:tcBorders/>
          </w:tcPr>
          <w:p>
            <w:pPr>
              <w:pStyle w:val="TableContents"/>
              <w:bidi w:val="0"/>
              <w:spacing w:before="0" w:after="283"/>
              <w:jc w:val="left"/>
              <w:rPr/>
            </w:pPr>
            <w:r>
              <w:rPr/>
              <w:t>designated therein referred to in the</w:t>
            </w:r>
          </w:p>
        </w:tc>
      </w:tr>
      <w:tr>
        <w:trPr/>
        <w:tc>
          <w:tcPr>
            <w:tcW w:w="45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24" w:type="dxa"/>
            <w:tcBorders/>
          </w:tcPr>
          <w:p>
            <w:pPr>
              <w:pStyle w:val="TableContents"/>
              <w:bidi w:val="0"/>
              <w:spacing w:before="0" w:after="283"/>
              <w:jc w:val="left"/>
              <w:rPr/>
            </w:pPr>
            <w:r>
              <w:rPr/>
              <w:t>within-mentioned Indenture.</w:t>
            </w:r>
          </w:p>
        </w:tc>
      </w:tr>
      <w:tr>
        <w:trPr>
          <w:trHeight w:val="240" w:hRule="atLeast"/>
        </w:trPr>
        <w:tc>
          <w:tcPr>
            <w:tcW w:w="4559" w:type="dxa"/>
            <w:tcBorders/>
            <w:vAlign w:val="center"/>
          </w:tcPr>
          <w:p>
            <w:pPr>
              <w:pStyle w:val="TableContents"/>
              <w:bidi w:val="0"/>
              <w:spacing w:before="0" w:after="283"/>
              <w:jc w:val="left"/>
              <w:rPr>
                <w:sz w:val="4"/>
                <w:szCs w:val="4"/>
              </w:rPr>
            </w:pPr>
            <w:r>
              <w:rPr>
                <w:sz w:val="4"/>
                <w:szCs w:val="4"/>
              </w:rPr>
            </w:r>
          </w:p>
        </w:tc>
        <w:tc>
          <w:tcPr>
            <w:tcW w:w="505" w:type="dxa"/>
            <w:gridSpan w:val="2"/>
            <w:tcBorders/>
            <w:vAlign w:val="center"/>
          </w:tcPr>
          <w:p>
            <w:pPr>
              <w:pStyle w:val="TableContents"/>
              <w:bidi w:val="0"/>
              <w:spacing w:before="0" w:after="283"/>
              <w:jc w:val="left"/>
              <w:rPr>
                <w:sz w:val="4"/>
                <w:szCs w:val="4"/>
              </w:rPr>
            </w:pPr>
            <w:r>
              <w:rPr>
                <w:sz w:val="4"/>
                <w:szCs w:val="4"/>
              </w:rPr>
            </w:r>
          </w:p>
        </w:tc>
        <w:tc>
          <w:tcPr>
            <w:tcW w:w="415" w:type="dxa"/>
            <w:gridSpan w:val="2"/>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r>
      <w:tr>
        <w:trPr/>
        <w:tc>
          <w:tcPr>
            <w:tcW w:w="45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24" w:type="dxa"/>
            <w:tcBorders/>
          </w:tcPr>
          <w:p>
            <w:pPr>
              <w:pStyle w:val="TableContents"/>
              <w:bidi w:val="0"/>
              <w:spacing w:before="0" w:after="283"/>
              <w:jc w:val="left"/>
              <w:rPr/>
            </w:pPr>
            <w:r>
              <w:rPr/>
              <w:t>Deutsche Bank Trust Company Americas, as Trustee</w:t>
            </w:r>
          </w:p>
        </w:tc>
      </w:tr>
      <w:tr>
        <w:trPr/>
        <w:tc>
          <w:tcPr>
            <w:tcW w:w="45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24" w:type="dxa"/>
            <w:tcBorders/>
          </w:tcPr>
          <w:p>
            <w:pPr>
              <w:pStyle w:val="TableContents"/>
              <w:pBdr>
                <w:bottom w:val="single" w:sz="2" w:space="1" w:color="000000"/>
              </w:pBdr>
              <w:bidi w:val="0"/>
              <w:spacing w:before="0" w:after="20"/>
              <w:jc w:val="left"/>
              <w:rPr/>
            </w:pPr>
            <w:r>
              <w:rPr/>
              <w:t> </w:t>
            </w:r>
          </w:p>
        </w:tc>
      </w:tr>
      <w:tr>
        <w:trPr/>
        <w:tc>
          <w:tcPr>
            <w:tcW w:w="45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24" w:type="dxa"/>
            <w:tcBorders/>
          </w:tcPr>
          <w:p>
            <w:pPr>
              <w:pStyle w:val="TableContents"/>
              <w:bidi w:val="0"/>
              <w:spacing w:before="0" w:after="283"/>
              <w:jc w:val="left"/>
              <w:rPr/>
            </w:pPr>
            <w:r>
              <w:rPr/>
              <w:t>Name:</w:t>
            </w:r>
          </w:p>
        </w:tc>
      </w:tr>
      <w:tr>
        <w:trPr/>
        <w:tc>
          <w:tcPr>
            <w:tcW w:w="455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24"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p>
    <w:p>
      <w:pPr>
        <w:pStyle w:val="TextBody"/>
        <w:bidi w:val="0"/>
        <w:spacing w:before="0" w:after="0"/>
        <w:jc w:val="right"/>
        <w:rPr>
          <w:rFonts w:ascii="Times New Roman" w:hAnsi="Times New Roman"/>
          <w:b/>
          <w:sz w:val="20"/>
        </w:rPr>
      </w:pPr>
      <w:bookmarkStart w:id="8" w:name="d788022dex48.htm"/>
      <w:bookmarkStart w:id="9" w:name="ksd788022dex48"/>
      <w:bookmarkEnd w:id="8"/>
      <w:bookmarkEnd w:id="9"/>
      <w:r>
        <w:rPr>
          <w:rFonts w:ascii="Times New Roman" w:hAnsi="Times New Roman"/>
          <w:b/>
          <w:sz w:val="20"/>
        </w:rPr>
        <w:t xml:space="preserve">Exhibit 4.8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WHICH MAY BE TREATED BY THE COMPANY, THE TRUSTEE AND ANY AGENT THEREOF AS OWNER AND HOLDER OF THIS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THE DEPOSITORY TRUST COMPANY OR TO A SUCCESSOR THEREOF OR SUCH SUCCESSORS NOMINEE. </w:t>
      </w:r>
    </w:p>
    <w:p>
      <w:pPr>
        <w:pStyle w:val="TextBody"/>
        <w:bidi w:val="0"/>
        <w:spacing w:before="240" w:after="0"/>
        <w:jc w:val="center"/>
        <w:rPr>
          <w:rFonts w:ascii="Times New Roman" w:hAnsi="Times New Roman"/>
          <w:sz w:val="20"/>
        </w:rPr>
      </w:pPr>
      <w:r>
        <w:rPr>
          <w:rFonts w:ascii="Times New Roman" w:hAnsi="Times New Roman"/>
          <w:sz w:val="20"/>
        </w:rPr>
        <w:t xml:space="preserve">HONEYWELL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4.950% Senior Note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86"/>
        <w:gridCol w:w="120"/>
        <w:gridCol w:w="5199"/>
      </w:tblGrid>
      <w:tr>
        <w:trPr/>
        <w:tc>
          <w:tcPr>
            <w:tcW w:w="48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99" w:type="dxa"/>
            <w:tcBorders/>
            <w:vAlign w:val="center"/>
          </w:tcPr>
          <w:p>
            <w:pPr>
              <w:pStyle w:val="TableContents"/>
              <w:bidi w:val="0"/>
              <w:spacing w:before="0" w:after="283"/>
              <w:jc w:val="left"/>
              <w:rPr>
                <w:sz w:val="4"/>
                <w:szCs w:val="4"/>
              </w:rPr>
            </w:pPr>
            <w:r>
              <w:rPr>
                <w:sz w:val="4"/>
                <w:szCs w:val="4"/>
              </w:rPr>
            </w:r>
          </w:p>
        </w:tc>
      </w:tr>
      <w:tr>
        <w:trPr/>
        <w:tc>
          <w:tcPr>
            <w:tcW w:w="4886" w:type="dxa"/>
            <w:tcBorders/>
          </w:tcPr>
          <w:p>
            <w:pPr>
              <w:pStyle w:val="TableContents"/>
              <w:bidi w:val="0"/>
              <w:spacing w:before="0" w:after="283"/>
              <w:jc w:val="left"/>
              <w:rPr/>
            </w:pPr>
            <w:r>
              <w:rPr/>
              <w:t>REGISTERED No.</w:t>
            </w:r>
          </w:p>
        </w:tc>
        <w:tc>
          <w:tcPr>
            <w:tcW w:w="120" w:type="dxa"/>
            <w:tcBorders/>
            <w:vAlign w:val="bottom"/>
          </w:tcPr>
          <w:p>
            <w:pPr>
              <w:pStyle w:val="TableContents"/>
              <w:bidi w:val="0"/>
              <w:spacing w:before="0" w:after="283"/>
              <w:jc w:val="left"/>
              <w:rPr/>
            </w:pPr>
            <w:r>
              <w:rPr/>
              <w:t>  </w:t>
            </w:r>
          </w:p>
        </w:tc>
        <w:tc>
          <w:tcPr>
            <w:tcW w:w="5199" w:type="dxa"/>
            <w:tcBorders/>
          </w:tcPr>
          <w:p>
            <w:pPr>
              <w:pStyle w:val="TableContents"/>
              <w:bidi w:val="0"/>
              <w:spacing w:before="0" w:after="283"/>
              <w:jc w:val="left"/>
              <w:rPr/>
            </w:pPr>
            <w:r>
              <w:rPr/>
              <w:t>             </w:t>
            </w:r>
            <w:r>
              <w:rPr/>
              <w:t>U.S. $</w:t>
            </w:r>
          </w:p>
        </w:tc>
      </w:tr>
      <w:tr>
        <w:trPr/>
        <w:tc>
          <w:tcPr>
            <w:tcW w:w="4886" w:type="dxa"/>
            <w:tcBorders/>
          </w:tcPr>
          <w:p>
            <w:pPr>
              <w:pStyle w:val="TableContents"/>
              <w:bidi w:val="0"/>
              <w:spacing w:before="0" w:after="283"/>
              <w:jc w:val="left"/>
              <w:rPr/>
            </w:pPr>
            <w:r>
              <w:rPr/>
              <w:t>Registered CUSIP: 438516CR5</w:t>
            </w:r>
          </w:p>
        </w:tc>
        <w:tc>
          <w:tcPr>
            <w:tcW w:w="120" w:type="dxa"/>
            <w:tcBorders/>
            <w:vAlign w:val="bottom"/>
          </w:tcPr>
          <w:p>
            <w:pPr>
              <w:pStyle w:val="TableContents"/>
              <w:bidi w:val="0"/>
              <w:spacing w:before="0" w:after="283"/>
              <w:jc w:val="left"/>
              <w:rPr/>
            </w:pPr>
            <w:r>
              <w:rPr/>
              <w:t>  </w:t>
            </w:r>
          </w:p>
        </w:tc>
        <w:tc>
          <w:tcPr>
            <w:tcW w:w="5199" w:type="dxa"/>
            <w:tcBorders/>
          </w:tcPr>
          <w:p>
            <w:pPr>
              <w:pStyle w:val="TableContents"/>
              <w:bidi w:val="0"/>
              <w:spacing w:before="0" w:after="283"/>
              <w:jc w:val="left"/>
              <w:rPr>
                <w:sz w:val="4"/>
                <w:szCs w:val="4"/>
              </w:rPr>
            </w:pPr>
            <w:r>
              <w:rPr>
                <w:sz w:val="4"/>
                <w:szCs w:val="4"/>
              </w:rPr>
            </w:r>
          </w:p>
        </w:tc>
      </w:tr>
      <w:tr>
        <w:trPr/>
        <w:tc>
          <w:tcPr>
            <w:tcW w:w="4886" w:type="dxa"/>
            <w:tcBorders/>
          </w:tcPr>
          <w:p>
            <w:pPr>
              <w:pStyle w:val="TableContents"/>
              <w:bidi w:val="0"/>
              <w:spacing w:before="0" w:after="283"/>
              <w:jc w:val="left"/>
              <w:rPr/>
            </w:pPr>
            <w:r>
              <w:rPr/>
              <w:t>Registered ISIN: US438516CR55</w:t>
            </w:r>
          </w:p>
        </w:tc>
        <w:tc>
          <w:tcPr>
            <w:tcW w:w="120" w:type="dxa"/>
            <w:tcBorders/>
            <w:vAlign w:val="bottom"/>
          </w:tcPr>
          <w:p>
            <w:pPr>
              <w:pStyle w:val="TableContents"/>
              <w:bidi w:val="0"/>
              <w:spacing w:before="0" w:after="283"/>
              <w:jc w:val="left"/>
              <w:rPr/>
            </w:pPr>
            <w:r>
              <w:rPr/>
              <w:t>  </w:t>
            </w:r>
          </w:p>
        </w:tc>
        <w:tc>
          <w:tcPr>
            <w:tcW w:w="519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HONEYWELL INTERNATIONAL INC., a Delaware corporation (the Company, which term includes any successor corporation under the Indenture described herein), for value received, hereby promises to pay to CEDE &amp; CO. or its registered assigns, the principal sum of       U.S. DOLLARS (U.S. $      ) on September 1, 2031 (the Maturity Date), and to pay interest on said principal sum semiannually in arrears on March 1 and September 1 of each year, commencing September 1, 2024 (each such date on which the Company is required to pay interest being referred to herein as an Interest Payment Date), at the rate of 4.950% per annum from March 1, 2024,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February 15 or August 15 (each being referred to herein as a Regular Record Date), as the case may be, next preceding such Interest Payment Date. As used herein, Business Day means any day, other than Saturday or Sunday, on which banks are not required or authorized by law or executive order to close in New York City.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of interest, principal and premium, if any, on this Note will be made (except as specified below) by wire transfer in same day funds to the Registered Holder at such Holders address appearing on the Note Register on the relevant Regular Record Date. In the event the Notes are issued in fully certificated registered form, such payments will be made at the corporate trust office of the Trustee in New York City, or at the option of the Company, by mailing a check to such Registered Holder. </w:t>
      </w:r>
    </w:p>
    <w:p>
      <w:pPr>
        <w:pStyle w:val="TextBody"/>
        <w:bidi w:val="0"/>
        <w:spacing w:before="240" w:after="0"/>
        <w:jc w:val="left"/>
        <w:rPr>
          <w:rFonts w:ascii="Times New Roman" w:hAnsi="Times New Roman"/>
          <w:sz w:val="20"/>
        </w:rPr>
      </w:pPr>
      <w:r>
        <w:rPr>
          <w:rFonts w:ascii="Times New Roman" w:hAnsi="Times New Roman"/>
          <w:sz w:val="20"/>
        </w:rPr>
        <w:t xml:space="preserve">Initially, Deutsche Bank Trust Company Americas will be the Paying Agent and the Registrar (the Note Registrar) for this Note. The Company reserves the rights at any time to remove any Paying Agent or Note Registrar without notice, to appoint additional or other Paying Agents and other Note Registrars without notice and to approve any change in the office through which any Paying Agent or Note Registrar acts;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there will at all times be a Paying Agent in New York City.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duly authorized series (the Series) of debt securities of the Company (hereinafter called the Securities), issued and to be issued under an indenture dated March 1, 2007, as supplemented by the First Supplemental Indenture dated as of October 27, 2017, the Second Supplemental Indenture dated as of March 10, 2020 and the Third Supplemental Indenture dated as of October 22, 2021 (collectively, the Indenture) between the Company and Deutsche Bank Trust Company Americas, as trustee (the Trustee), to which Indenture and all other indentures supplemental thereto reference is hereby made for a statement of the rights and limitations of rights thereunder of the Holders of the Securities and of the rights, obligations and duties of the Company, the Trustee and the Paying Agent for this Note, and the terms upon which the Securities are, and are to be, authenticated and delivered. The Securities may be issued in one or more series, which different series may be issued in various principal amounts, may mature at different times, may bear interest, if any, at different rates, may be subject to different redemption provisions, if any, may be subject to different covenants and Events of Default and may otherwise vary as provided or permitted in the Indenture. This Note is one of the series of Securities designated as 4.950% Senior Notes Due 2031 (herein called the Notes), initially limited in aggregate principal amount to $500,000,000. </w:t>
      </w:r>
    </w:p>
    <w:p>
      <w:pPr>
        <w:pStyle w:val="TextBody"/>
        <w:bidi w:val="0"/>
        <w:spacing w:before="240" w:after="0"/>
        <w:jc w:val="left"/>
        <w:rPr>
          <w:rFonts w:ascii="Times New Roman" w:hAnsi="Times New Roman"/>
          <w:sz w:val="20"/>
        </w:rPr>
      </w:pPr>
      <w:r>
        <w:rPr>
          <w:rFonts w:ascii="Times New Roman" w:hAnsi="Times New Roman"/>
          <w:sz w:val="20"/>
        </w:rPr>
        <w:t xml:space="preserve">Each capitalized term used herein and not otherwise defined herein shall have the meaning assigned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the consent of the Holders of the Notes, reopen this Series of Notes and issue additional notes on separate dates, which shall form a single series and shall have the same terms; </w:t>
      </w:r>
      <w:r>
        <w:rPr>
          <w:rFonts w:ascii="Times New Roman" w:hAnsi="Times New Roman"/>
          <w:sz w:val="20"/>
          <w:u w:val="single"/>
        </w:rPr>
        <w:t>provided</w:t>
      </w:r>
      <w:r>
        <w:rPr>
          <w:rFonts w:ascii="Times New Roman" w:hAnsi="Times New Roman"/>
          <w:sz w:val="20"/>
        </w:rPr>
        <w:t xml:space="preserve"> that such additional notes shall not be issued with the same CUSIP number as the Notes unless such additional notes are issued for U.S. federal income tax purposes in a qualified reopening or are otherwise treated as part of the same issue for U.S. federal income tax purposes. Such further notes will be consolidated and form a single series with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Note is subject to redemption, in whole or in part, at the option of the Company at any time or from time to time, upon mailed notice to the registered address of each holder of notes to be redeemed at least 10 days but not more than 60 days prior to the redemption. Prior to July 1, 2031 (two months prior to the maturity date of the Notes (the Par Call Date)), the make-whole premium redemption price will be equal to the greater of (1) 100% of the principal amount of the notes to be redeemed and (2)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10 basis points less (b) interest accrued to the date of redemption. Accrued interest will be paid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the Par Call Date, the Notes are redeemable, in whole or in part, at any time and from time to time, at the Companys option at a redemption price equal to 100% of the principal amount of such notes to be redeemed plus accrued interest to, but not including, the redemption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Any redemption may, at the Companys discretion, be subject to one or more conditions precedent, which will be set forth in the related notice of redemption, including, but not limited to, completion of an offering or financing or other transaction or event. In addition, if such redemption is subject to satisfaction of one or more conditions precedent, such notice will describe each such condition, and if applicable, will state that, in the Companys discretion, the redemption date may be delayed until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redemption date will not be more than 60 days after the date of the notice of redemption) as any or all such conditions will be satisfied, or such redemption may not occur and such notice may be rescinded in the event that any or all such conditions will not have been satisfied by the redemption date, or by the redemption date as so delayed.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(the Depository) (or another depository), the redemption of the notes shall be done in accordance with the policies and procedures of the depository. </w:t>
      </w:r>
    </w:p>
    <w:p>
      <w:pPr>
        <w:pStyle w:val="TextBody"/>
        <w:bidi w:val="0"/>
        <w:spacing w:before="240" w:after="0"/>
        <w:jc w:val="left"/>
        <w:rPr>
          <w:rFonts w:ascii="Times New Roman" w:hAnsi="Times New Roman"/>
          <w:sz w:val="20"/>
        </w:rPr>
      </w:pPr>
      <w:r>
        <w:rPr>
          <w:rFonts w:ascii="Times New Roman" w:hAnsi="Times New Roman"/>
          <w:sz w:val="20"/>
        </w:rPr>
        <w:t xml:space="preserve">If any such condition precedent has not been satisfied, the Company will provide written notice to the Trustee prior to the close of business one business day prior to the redemption date. Upon receipt of such notice, the notice of redemption will be rescinded or delayed, and the redemption of the notes will be rescinded or delayed as provided in such notice. Upon receipt, the Trustee will provide such notice to each holder in the same manner in which the notice of redemption was given. </w:t>
      </w:r>
    </w:p>
    <w:p>
      <w:pPr>
        <w:pStyle w:val="TextBody"/>
        <w:bidi w:val="0"/>
        <w:spacing w:before="240" w:after="0"/>
        <w:jc w:val="left"/>
        <w:rPr>
          <w:rFonts w:ascii="Times New Roman" w:hAnsi="Times New Roman"/>
          <w:sz w:val="20"/>
        </w:rPr>
      </w:pPr>
      <w:r>
        <w:rPr>
          <w:rFonts w:ascii="Times New Roman" w:hAnsi="Times New Roman"/>
          <w:sz w:val="20"/>
        </w:rPr>
        <w:t xml:space="preserve">On and after a redemption date, interest will cease to accrue on the notes called for redemption (unless the Company defaults in the payment of the redemption price and accrued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a redemption date, the Company will deposit with a paying agent (or the Trustee) money sufficient to pay the redemption price of and accrued interest on the notes to be redeemed on that date. This Note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in the case of a defeasance, 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and in the Indenture prescribed.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Indenture, the Company may satisfy and discharge its obligations with respect to the Notes by depositing in trust for the Holders of the Outstanding Notes an amount in cash or the equivalent in securities of the government which issued the currency in which the Notes are denominated or government agencies backed by the full faith and credit of such government sufficient to pay and discharge the entire indebtedness on the Notes for principal of and premium, if any, and interest then due or to become due to the Stated Maturity of the principal of the Notes (a defeasance). In such event, a Company will be released and discharged from its obligations to pay interest on the Notes and to pay the principal thereof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Note may be registered on the Note Register of the Company upon surrender of this Note for registration of transfer at the office or agency of the Company in New York City duly endorsed by, or accompanied by a written instrument of transfer in form satisfactory to the Company and the Note Registrar duly executed by, the Holder hereof or by his attorney duly authorized in writing, and thereupon one or more new Notes in registered form, of authorized denominations and for the same aggregate principal amount, will be issued in the name or names of the designated transferee or transferees and delivered at the office of the Note Registrar in New York City, or mailed, at the request, risk and expense of such transferee or transferees, to the address or addresses shown in the Note Register for such transferee or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due presentment of this Note for registration of transfer, the Company, the Trustee, the Note Registrar and any agent of the Company, the Trustee or the Note Registrar may treat the person in whose name this Note is registered as the owner hereof for all purposes, whether or not this Note is overdue, and neither the Company, the Trustee, the Note Registrar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Note is issuable only in fully registered form, without coupons, in minimum denominations of $2,000 and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 transfer or exchange of the Notes,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This Note (the Global Note) is a Global Security as referred to in the Indenture and is not exchangeable for one or more certificated Notes; provided, however, that if at any time the Depository notifies the Company that it is unwilling or unable to continue as Depository or if at any time the Depository shall no longer be eligible or in good standing under the Securities Exchange Act of 1934, as amended, or any other applicable statute or regulation, the Company shall appoint a successor Depository. If a successor Depository is not appointed by the Company within 90 days after the Company receives such notice or becomes aware of such ineligibility,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at any time and in its sole discretion determine that the Notes represented by this Global Note shall no longer be represented by this Global Note. In such event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all the obligations of the Company hereunder are direct, senior unsecured and unsubordinated obligations of the Company and rank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all other senior unsecured and unsubordinated indebtedness of the Company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manually executed by or on behalf of the Trustee under the Indenture, this Note shall not be entitled to any benefits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HONEYWELL INTERNATIONAL INC. has caused this Note to be manually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March 1,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79"/>
        <w:gridCol w:w="124"/>
        <w:gridCol w:w="2679"/>
      </w:tblGrid>
      <w:tr>
        <w:trPr/>
        <w:tc>
          <w:tcPr>
            <w:tcW w:w="127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HONEYWELL INTERNATIONAL INC.</w:t>
            </w:r>
          </w:p>
        </w:tc>
      </w:tr>
      <w:tr>
        <w:trPr>
          <w:trHeight w:val="240" w:hRule="atLeast"/>
        </w:trPr>
        <w:tc>
          <w:tcPr>
            <w:tcW w:w="1279" w:type="dxa"/>
            <w:tcBorders/>
            <w:vAlign w:val="center"/>
          </w:tcPr>
          <w:p>
            <w:pPr>
              <w:pStyle w:val="TableContents"/>
              <w:bidi w:val="0"/>
              <w:spacing w:before="0" w:after="283"/>
              <w:jc w:val="left"/>
              <w:rPr>
                <w:sz w:val="4"/>
                <w:szCs w:val="4"/>
              </w:rPr>
            </w:pPr>
            <w:r>
              <w:rPr>
                <w:sz w:val="4"/>
                <w:szCs w:val="4"/>
              </w:rPr>
            </w:r>
          </w:p>
        </w:tc>
        <w:tc>
          <w:tcPr>
            <w:tcW w:w="2803" w:type="dxa"/>
            <w:gridSpan w:val="2"/>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283"/>
              <w:jc w:val="left"/>
              <w:rPr/>
            </w:pPr>
            <w:r>
              <w:rPr/>
              <w:t>By:</w:t>
            </w:r>
          </w:p>
        </w:tc>
        <w:tc>
          <w:tcPr>
            <w:tcW w:w="124" w:type="dxa"/>
            <w:tcBorders/>
            <w:vAlign w:val="bottom"/>
          </w:tcPr>
          <w:p>
            <w:pPr>
              <w:pStyle w:val="TableContents"/>
              <w:bidi w:val="0"/>
              <w:spacing w:before="0" w:after="283"/>
              <w:jc w:val="left"/>
              <w:rPr/>
            </w:pPr>
            <w:r>
              <w:rPr/>
              <w:t> </w:t>
            </w:r>
          </w:p>
        </w:tc>
        <w:tc>
          <w:tcPr>
            <w:tcW w:w="2679" w:type="dxa"/>
            <w:tcBorders/>
          </w:tcPr>
          <w:p>
            <w:pPr>
              <w:pStyle w:val="TableContents"/>
              <w:pBdr>
                <w:bottom w:val="single" w:sz="2" w:space="1" w:color="000000"/>
              </w:pBdr>
              <w:bidi w:val="0"/>
              <w:spacing w:before="0" w:after="20"/>
              <w:jc w:val="left"/>
              <w:rPr/>
            </w:pPr>
            <w:r>
              <w:rPr/>
              <w:t>   </w:t>
            </w:r>
          </w:p>
        </w:tc>
      </w:tr>
      <w:tr>
        <w:trPr/>
        <w:tc>
          <w:tcPr>
            <w:tcW w:w="1279" w:type="dxa"/>
            <w:tcBorders/>
          </w:tcPr>
          <w:p>
            <w:pPr>
              <w:pStyle w:val="TableContents"/>
              <w:bidi w:val="0"/>
              <w:spacing w:before="0" w:after="283"/>
              <w:jc w:val="left"/>
              <w:rPr/>
            </w:pPr>
            <w:r>
              <w:rPr/>
              <w:t>Name:</w:t>
            </w:r>
          </w:p>
        </w:tc>
        <w:tc>
          <w:tcPr>
            <w:tcW w:w="124" w:type="dxa"/>
            <w:tcBorders/>
            <w:vAlign w:val="bottom"/>
          </w:tcPr>
          <w:p>
            <w:pPr>
              <w:pStyle w:val="TableContents"/>
              <w:bidi w:val="0"/>
              <w:spacing w:before="0" w:after="283"/>
              <w:jc w:val="left"/>
              <w:rPr/>
            </w:pPr>
            <w:r>
              <w:rPr/>
              <w:t> </w:t>
            </w:r>
          </w:p>
        </w:tc>
        <w:tc>
          <w:tcPr>
            <w:tcW w:w="2679" w:type="dxa"/>
            <w:tcBorders/>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283"/>
              <w:jc w:val="left"/>
              <w:rPr/>
            </w:pPr>
            <w:r>
              <w:rPr/>
              <w:t>Title:</w:t>
            </w:r>
          </w:p>
        </w:tc>
        <w:tc>
          <w:tcPr>
            <w:tcW w:w="124" w:type="dxa"/>
            <w:tcBorders/>
            <w:vAlign w:val="bottom"/>
          </w:tcPr>
          <w:p>
            <w:pPr>
              <w:pStyle w:val="TableContents"/>
              <w:bidi w:val="0"/>
              <w:spacing w:before="0" w:after="283"/>
              <w:jc w:val="left"/>
              <w:rPr/>
            </w:pPr>
            <w:r>
              <w:rPr/>
              <w:t> </w:t>
            </w:r>
          </w:p>
        </w:tc>
        <w:tc>
          <w:tcPr>
            <w:tcW w:w="267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11"/>
        <w:gridCol w:w="81"/>
        <w:gridCol w:w="3090"/>
      </w:tblGrid>
      <w:tr>
        <w:trPr/>
        <w:tc>
          <w:tcPr>
            <w:tcW w:w="91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911" w:type="dxa"/>
            <w:tcBorders/>
            <w:vAlign w:val="center"/>
          </w:tcPr>
          <w:p>
            <w:pPr>
              <w:pStyle w:val="TableContents"/>
              <w:bidi w:val="0"/>
              <w:spacing w:before="0" w:after="283"/>
              <w:jc w:val="left"/>
              <w:rPr>
                <w:sz w:val="4"/>
                <w:szCs w:val="4"/>
              </w:rPr>
            </w:pPr>
            <w:r>
              <w:rPr>
                <w:sz w:val="4"/>
                <w:szCs w:val="4"/>
              </w:rPr>
            </w:r>
          </w:p>
        </w:tc>
        <w:tc>
          <w:tcPr>
            <w:tcW w:w="3171"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pBdr>
                <w:bottom w:val="single" w:sz="2" w:space="1" w:color="000000"/>
              </w:pBdr>
              <w:bidi w:val="0"/>
              <w:spacing w:before="0" w:after="20"/>
              <w:jc w:val="left"/>
              <w:rPr/>
            </w:pPr>
            <w:r>
              <w:rPr/>
              <w:t> </w:t>
            </w:r>
          </w:p>
        </w:tc>
      </w:tr>
      <w:tr>
        <w:trPr/>
        <w:tc>
          <w:tcPr>
            <w:tcW w:w="911" w:type="dxa"/>
            <w:tcBorders/>
          </w:tcPr>
          <w:p>
            <w:pPr>
              <w:pStyle w:val="TableContents"/>
              <w:bidi w:val="0"/>
              <w:spacing w:before="0" w:after="283"/>
              <w:jc w:val="left"/>
              <w:rPr/>
            </w:pPr>
            <w:r>
              <w:rPr/>
              <w:t>Name:</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Title:</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2"/>
        <w:gridCol w:w="1090"/>
        <w:gridCol w:w="7953"/>
      </w:tblGrid>
      <w:tr>
        <w:trPr/>
        <w:tc>
          <w:tcPr>
            <w:tcW w:w="1162" w:type="dxa"/>
            <w:tcBorders/>
            <w:vAlign w:val="center"/>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795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b/>
              </w:rPr>
              <w:t>TEN COM</w:t>
            </w:r>
            <w:r>
              <w:rPr/>
              <w:t>as tenants in common</w:t>
            </w:r>
          </w:p>
        </w:tc>
      </w:tr>
      <w:tr>
        <w:trPr/>
        <w:tc>
          <w:tcPr>
            <w:tcW w:w="10205" w:type="dxa"/>
            <w:gridSpan w:val="3"/>
            <w:tcBorders/>
          </w:tcPr>
          <w:p>
            <w:pPr>
              <w:pStyle w:val="TableContents"/>
              <w:bidi w:val="0"/>
              <w:spacing w:before="0" w:after="283"/>
              <w:jc w:val="left"/>
              <w:rPr/>
            </w:pPr>
            <w:r>
              <w:rPr>
                <w:b/>
              </w:rPr>
              <w:t>UNIF GIFT MIN ACT</w:t>
            </w:r>
            <w:r>
              <w:rPr/>
              <w:t xml:space="preserve"> </w:t>
            </w:r>
            <w:r>
              <w:rPr>
                <w:b/>
              </w:rPr>
              <w:t>_____________________</w:t>
            </w:r>
            <w:r>
              <w:rPr/>
              <w:t>Custodian_________________________</w:t>
            </w:r>
          </w:p>
        </w:tc>
      </w:tr>
    </w:tbl>
    <w:p>
      <w:pPr>
        <w:pStyle w:val="TextBody"/>
        <w:bidi w:val="0"/>
        <w:spacing w:before="240" w:after="0"/>
        <w:jc w:val="center"/>
        <w:rPr>
          <w:rFonts w:ascii="Times New Roman" w:hAnsi="Times New Roman"/>
          <w:sz w:val="20"/>
        </w:rPr>
      </w:pPr>
      <w:r>
        <w:rPr>
          <w:rFonts w:ascii="Times New Roman" w:hAnsi="Times New Roman"/>
          <w:sz w:val="20"/>
        </w:rPr>
        <w:t xml:space="preserve">Under Uniform Gifts to Minors Act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b/>
          <w:sz w:val="20"/>
        </w:rPr>
        <w:t>TEN ENT</w:t>
      </w:r>
      <w:r>
        <w:rPr>
          <w:rFonts w:ascii="Times New Roman" w:hAnsi="Times New Roman"/>
          <w:sz w:val="20"/>
        </w:rPr>
        <w:t xml:space="preserve">as tenants by the entireties </w:t>
      </w:r>
    </w:p>
    <w:p>
      <w:pPr>
        <w:pStyle w:val="TextBody"/>
        <w:bidi w:val="0"/>
        <w:spacing w:before="240" w:after="0"/>
        <w:jc w:val="left"/>
        <w:rPr>
          <w:rFonts w:ascii="Times New Roman" w:hAnsi="Times New Roman"/>
          <w:sz w:val="20"/>
        </w:rPr>
      </w:pPr>
      <w:r>
        <w:rPr>
          <w:rFonts w:ascii="Times New Roman" w:hAnsi="Times New Roman"/>
          <w:b/>
          <w:sz w:val="20"/>
        </w:rPr>
        <w:t>JT TEN</w:t>
      </w:r>
      <w:r>
        <w:rPr>
          <w:rFonts w:ascii="Times New Roman" w:hAnsi="Times New Roman"/>
          <w:sz w:val="20"/>
        </w:rPr>
        <w:t xml:space="preserve">as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left"/>
        <w:rPr>
          <w:rFonts w:ascii="Times New Roman" w:hAnsi="Times New Roman"/>
          <w:sz w:val="20"/>
        </w:rPr>
      </w:pPr>
      <w:r>
        <w:rPr>
          <w:rFonts w:ascii="Times New Roman" w:hAnsi="Times New Roman"/>
          <w:sz w:val="20"/>
        </w:rPr>
        <w:t xml:space="preserve">FOR THE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Identifying Number of Assignee: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PLEASE PRINT OR TYPEWRITE NAME AND ADDRESS </w:t>
      </w:r>
    </w:p>
    <w:p>
      <w:pPr>
        <w:pStyle w:val="TextBody"/>
        <w:bidi w:val="0"/>
        <w:spacing w:before="0" w:after="0"/>
        <w:jc w:val="center"/>
        <w:rPr>
          <w:rFonts w:ascii="Times New Roman" w:hAnsi="Times New Roman"/>
          <w:sz w:val="20"/>
        </w:rPr>
      </w:pPr>
      <w:r>
        <w:rPr>
          <w:rFonts w:ascii="Times New Roman" w:hAnsi="Times New Roman"/>
          <w:sz w:val="20"/>
        </w:rPr>
        <w:t xml:space="preserve">INCLUDING ZIP CODE OF ASSIGNEE: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within Note and all rights thereunder, hereby irrevocably constituting and appointing ___________ attorney to transfer said Note on the books of the Company,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3"/>
        <w:gridCol w:w="101"/>
        <w:gridCol w:w="715"/>
        <w:gridCol w:w="101"/>
        <w:gridCol w:w="4695"/>
      </w:tblGrid>
      <w:tr>
        <w:trPr/>
        <w:tc>
          <w:tcPr>
            <w:tcW w:w="459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w:t>
            </w:r>
            <w:r>
              <w:rPr>
                <w:rFonts w:ascii="Times New Roman" w:hAnsi="Times New Roman"/>
                <w:sz w:val="20"/>
              </w:rPr>
              <w:t xml:space="preserve"> </w:t>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NOTICE: The signature to this assignment must correspond with the name as written upon the face of the within instrument in every particular, without alteration or enlargement, or any change whatever.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of one of its authorized signatories, this Note shall not be entitled to any benefit under the Indenture or be valid or obligatory for any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25"/>
        <w:gridCol w:w="122"/>
        <w:gridCol w:w="343"/>
        <w:gridCol w:w="122"/>
        <w:gridCol w:w="716"/>
        <w:gridCol w:w="173"/>
        <w:gridCol w:w="4604"/>
      </w:tblGrid>
      <w:tr>
        <w:trPr/>
        <w:tc>
          <w:tcPr>
            <w:tcW w:w="41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pPr>
            <w:r>
              <w:rPr/>
              <w:t>Dated: March 1, 2024</w:t>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CERTIFICATE OF AUTHENTICATION</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This is one of the Securities of the series designated therein referred to in the within-mentioned Indenture.</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Deutsche Bank Trust Company Americas, as Trustee</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838" w:type="dxa"/>
            <w:gridSpan w:val="2"/>
            <w:tcBorders/>
            <w:vAlign w:val="center"/>
          </w:tcPr>
          <w:p>
            <w:pPr>
              <w:pStyle w:val="TableContents"/>
              <w:bidi w:val="0"/>
              <w:spacing w:before="0" w:after="283"/>
              <w:jc w:val="left"/>
              <w:rPr>
                <w:sz w:val="4"/>
                <w:szCs w:val="4"/>
              </w:rPr>
            </w:pPr>
            <w:r>
              <w:rPr>
                <w:sz w:val="4"/>
                <w:szCs w:val="4"/>
              </w:rPr>
            </w:r>
          </w:p>
        </w:tc>
        <w:tc>
          <w:tcPr>
            <w:tcW w:w="4777" w:type="dxa"/>
            <w:gridSpan w:val="2"/>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pPr>
            <w:r>
              <w:rPr/>
              <w:t>By:</w:t>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pBdr>
                <w:bottom w:val="single" w:sz="2" w:space="1" w:color="000000"/>
              </w:pBdr>
              <w:bidi w:val="0"/>
              <w:spacing w:before="0" w:after="20"/>
              <w:jc w:val="left"/>
              <w:rPr/>
            </w:pPr>
            <w:r>
              <w:rPr/>
              <w:t>   </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Name:</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p>
    <w:p>
      <w:pPr>
        <w:pStyle w:val="TextBody"/>
        <w:bidi w:val="0"/>
        <w:spacing w:before="0" w:after="0"/>
        <w:jc w:val="right"/>
        <w:rPr>
          <w:rFonts w:ascii="Times New Roman" w:hAnsi="Times New Roman"/>
          <w:b/>
          <w:sz w:val="20"/>
        </w:rPr>
      </w:pPr>
      <w:bookmarkStart w:id="10" w:name="d788022dex49.htm"/>
      <w:bookmarkStart w:id="11" w:name="ksd788022dex49"/>
      <w:bookmarkEnd w:id="10"/>
      <w:bookmarkEnd w:id="11"/>
      <w:r>
        <w:rPr>
          <w:rFonts w:ascii="Times New Roman" w:hAnsi="Times New Roman"/>
          <w:b/>
          <w:sz w:val="20"/>
        </w:rPr>
        <w:t xml:space="preserve">Exhibit 4.9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WHICH MAY BE TREATED BY THE COMPANY, THE TRUSTEE AND ANY AGENT THEREOF AS OWNER AND HOLDER OF THIS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THE DEPOSITORY TRUST COMPANY OR TO A SUCCESSOR THEREOF OR SUCH SUCCESSORS NOMINEE. </w:t>
      </w:r>
    </w:p>
    <w:p>
      <w:pPr>
        <w:pStyle w:val="TextBody"/>
        <w:bidi w:val="0"/>
        <w:spacing w:before="240" w:after="0"/>
        <w:jc w:val="center"/>
        <w:rPr>
          <w:rFonts w:ascii="Times New Roman" w:hAnsi="Times New Roman"/>
          <w:sz w:val="20"/>
        </w:rPr>
      </w:pPr>
      <w:r>
        <w:rPr>
          <w:rFonts w:ascii="Times New Roman" w:hAnsi="Times New Roman"/>
          <w:sz w:val="20"/>
        </w:rPr>
        <w:t xml:space="preserve">HONEYWELL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5.000% Senior Note Due 2035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7"/>
        <w:gridCol w:w="122"/>
        <w:gridCol w:w="4786"/>
      </w:tblGrid>
      <w:tr>
        <w:trPr/>
        <w:tc>
          <w:tcPr>
            <w:tcW w:w="529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5297" w:type="dxa"/>
            <w:tcBorders/>
          </w:tcPr>
          <w:p>
            <w:pPr>
              <w:pStyle w:val="TableContents"/>
              <w:bidi w:val="0"/>
              <w:spacing w:before="0" w:after="283"/>
              <w:jc w:val="left"/>
              <w:rPr/>
            </w:pPr>
            <w:r>
              <w:rPr/>
              <w:t>REGISTERED No.</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left"/>
              <w:rPr/>
            </w:pPr>
            <w:r>
              <w:rPr/>
              <w:t>U.S. $</w:t>
            </w:r>
          </w:p>
        </w:tc>
      </w:tr>
      <w:tr>
        <w:trPr/>
        <w:tc>
          <w:tcPr>
            <w:tcW w:w="5297" w:type="dxa"/>
            <w:tcBorders/>
          </w:tcPr>
          <w:p>
            <w:pPr>
              <w:pStyle w:val="TableContents"/>
              <w:bidi w:val="0"/>
              <w:spacing w:before="0" w:after="283"/>
              <w:jc w:val="left"/>
              <w:rPr/>
            </w:pPr>
            <w:r>
              <w:rPr/>
              <w:t>Registered CUSIP: 438516CS3</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left"/>
              <w:rPr>
                <w:sz w:val="4"/>
                <w:szCs w:val="4"/>
              </w:rPr>
            </w:pPr>
            <w:r>
              <w:rPr>
                <w:sz w:val="4"/>
                <w:szCs w:val="4"/>
              </w:rPr>
            </w:r>
          </w:p>
        </w:tc>
      </w:tr>
      <w:tr>
        <w:trPr/>
        <w:tc>
          <w:tcPr>
            <w:tcW w:w="5297" w:type="dxa"/>
            <w:tcBorders/>
          </w:tcPr>
          <w:p>
            <w:pPr>
              <w:pStyle w:val="TableContents"/>
              <w:bidi w:val="0"/>
              <w:spacing w:before="0" w:after="283"/>
              <w:jc w:val="left"/>
              <w:rPr/>
            </w:pPr>
            <w:r>
              <w:rPr/>
              <w:t>Registered ISIN: US438516CS39</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HONEYWELL INTERNATIONAL INC., a Delaware corporation (the Company, which term includes any successor corporation under the Indenture described herein), for value received, hereby promises to pay to CEDE &amp; CO. or its registered assigns, the principal sum of      U.S. DOLLARS (U.S. $     ) on March 1, 2035 (the Maturity Date), and to pay interest on said principal sum semiannually in arrears on March 1 and September 1 of each year, commencing September 1, 2024 (each such date on which the Company is required to pay interest being referred to herein as an Interest Payment Date), at the rate of 5.000% per annum from March 1, 2024,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February 15 or August 15 (each being referred to herein as a Regular Record Date), as the case may be, next preceding such Interest Payment Date. As used herein, Business Day means any day, other than Saturday or Sunday, on which banks are not required or authorized by law or executive order to close in New York City.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of interest, principal and premium, if any, on this Note will be made (except as specified below) by wire transfer in same day funds to the Registered Holder at such Holders address appearing on the Note Register on the relevant Regular Record Date. In the event the Notes are issued in fully certificated registered form, such payments will be made at the corporate trust office of the Trustee in New York City, or at the option of the Company, by mailing a check to such Registered Holder. </w:t>
      </w:r>
    </w:p>
    <w:p>
      <w:pPr>
        <w:pStyle w:val="TextBody"/>
        <w:bidi w:val="0"/>
        <w:spacing w:before="240" w:after="0"/>
        <w:jc w:val="left"/>
        <w:rPr>
          <w:rFonts w:ascii="Times New Roman" w:hAnsi="Times New Roman"/>
          <w:sz w:val="20"/>
        </w:rPr>
      </w:pPr>
      <w:r>
        <w:rPr>
          <w:rFonts w:ascii="Times New Roman" w:hAnsi="Times New Roman"/>
          <w:sz w:val="20"/>
        </w:rPr>
        <w:t xml:space="preserve">Initially, Deutsche Bank Trust Company Americas will be the Paying Agent and the Registrar (the Note Registrar) for this Note. The Company reserves the rights at any time to remove any Paying Agent or Note Registrar without notice, to appoint additional or other Paying Agents and other Note Registrars without notice and to approve any change in the office through which any Paying Agent or Note Registrar acts;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there will at all times be a Paying Agent in New York City.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duly authorized series (the Series) of debt securities of the Company (hereinafter called the Securities), issued and to be issued under an indenture dated March 1, 2007, as supplemented by the First Supplemental Indenture dated as of October 27, 2017, the Second Supplemental Indenture dated as of March 10, 2020 and the Third Supplemental Indenture dated as of October 22, 2021 (collectively, the Indenture) between the Company and Deutsche Bank Trust Company Americas, as trustee (the Trustee), to which Indenture and all other indentures supplemental thereto reference is hereby made for a statement of the rights and limitations of rights thereunder of the Holders of the Securities and of the rights, obligations and duties of the Company, the Trustee and the Paying Agent for this Note, and the terms upon which the Securities are, and are to be, authenticated and delivered. The Securities may be issued in one or more series, which different series may be issued in various principal amounts, may mature at different times, may bear interest, if any, at different rates, may be subject to different redemption provisions, if any, may be subject to different covenants and Events of Default and may otherwise vary as provided or permitted in the Indenture. This Note is one of the series of Securities designated as 5.000% Senior Notes Due 2035 (herein called the Notes), initially limited in aggregate principal amount to $750,000,000. </w:t>
      </w:r>
    </w:p>
    <w:p>
      <w:pPr>
        <w:pStyle w:val="TextBody"/>
        <w:bidi w:val="0"/>
        <w:spacing w:before="240" w:after="0"/>
        <w:jc w:val="left"/>
        <w:rPr>
          <w:rFonts w:ascii="Times New Roman" w:hAnsi="Times New Roman"/>
          <w:sz w:val="20"/>
        </w:rPr>
      </w:pPr>
      <w:r>
        <w:rPr>
          <w:rFonts w:ascii="Times New Roman" w:hAnsi="Times New Roman"/>
          <w:sz w:val="20"/>
        </w:rPr>
        <w:t xml:space="preserve">Each capitalized term used herein and not otherwise defined herein shall have the meaning assigned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the consent of the Holders of the Notes, reopen this Series of Notes and issue additional notes on separate dates, which shall form a single series and shall have the same terms; </w:t>
      </w:r>
      <w:r>
        <w:rPr>
          <w:rFonts w:ascii="Times New Roman" w:hAnsi="Times New Roman"/>
          <w:sz w:val="20"/>
          <w:u w:val="single"/>
        </w:rPr>
        <w:t>provided</w:t>
      </w:r>
      <w:r>
        <w:rPr>
          <w:rFonts w:ascii="Times New Roman" w:hAnsi="Times New Roman"/>
          <w:sz w:val="20"/>
        </w:rPr>
        <w:t xml:space="preserve"> that such additional notes shall not be issued with the same CUSIP number as the Notes unless such additional notes are issued for U.S. federal income tax purposes in a qualified reopening or are otherwise treated as part of the same issue for U.S. federal income tax purposes. Such further notes will be consolidated and form a single series with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Note is subject to redemption, in whole or in part, at the option of the Company at any time or from time to time, upon mailed notice to the registered address of each holder of notes to be redeemed at least 10 days but not more than 60 days prior to the redemption. Prior to December 1, 2034 (three months prior to the maturity date of the Notes (the Par Call Date)), the make-whole premium redemption price will be equal to the greater of (1) 100% of the principal amount of the notes to be redeemed and (2)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Accrued interest will be paid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the Par Call Date, the Notes are redeemable, in whole or in part, at any time and from time to time, at the Companys option at a redemption price equal to 100% of the principal amount of such notes to be redeemed plus accrued interest to, but not including, the redemption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Any redemption may, at the Companys discretion, be subject to one or more conditions precedent, which will be set forth in the related notice of redemption, including, but not limited to, completion of an offering or financing or other transaction or event. In addition, if such redemption is subject to satisfaction of one or more conditions precedent, such notice will describe each such condition, and if applicable, will state that, in the Companys discretion, the redemption date may be delayed until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redemption date will not be more than 60 days after the date of the notice of redemption) as any or all such conditions will be satisfied, or such redemption may not occur and such notice may be rescinded in the event that any or all such conditions will not have been satisfied by the redemption date, or by the redemption date as so delayed.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(the Depository) (or another depository), the redemption of the notes shall be done in accordance with the policies and procedures of the depository. </w:t>
      </w:r>
    </w:p>
    <w:p>
      <w:pPr>
        <w:pStyle w:val="TextBody"/>
        <w:bidi w:val="0"/>
        <w:spacing w:before="240" w:after="0"/>
        <w:jc w:val="left"/>
        <w:rPr>
          <w:rFonts w:ascii="Times New Roman" w:hAnsi="Times New Roman"/>
          <w:sz w:val="20"/>
        </w:rPr>
      </w:pPr>
      <w:r>
        <w:rPr>
          <w:rFonts w:ascii="Times New Roman" w:hAnsi="Times New Roman"/>
          <w:sz w:val="20"/>
        </w:rPr>
        <w:t xml:space="preserve">If any such condition precedent has not been satisfied, the Company will provide written notice to the Trustee prior to the close of business one business day prior to the redemption date. Upon receipt of such notice, the notice of redemption will be rescinded or delayed, and the redemption of the notes will be rescinded or delayed as provided in such notice. Upon receipt, the Trustee will provide such notice to each holder in the same manner in which the notice of redemption was given. </w:t>
      </w:r>
    </w:p>
    <w:p>
      <w:pPr>
        <w:pStyle w:val="TextBody"/>
        <w:bidi w:val="0"/>
        <w:spacing w:before="240" w:after="0"/>
        <w:jc w:val="left"/>
        <w:rPr>
          <w:rFonts w:ascii="Times New Roman" w:hAnsi="Times New Roman"/>
          <w:sz w:val="20"/>
        </w:rPr>
      </w:pPr>
      <w:r>
        <w:rPr>
          <w:rFonts w:ascii="Times New Roman" w:hAnsi="Times New Roman"/>
          <w:sz w:val="20"/>
        </w:rPr>
        <w:t xml:space="preserve">On and after a redemption date, interest will cease to accrue on the notes called for redemption (unless the Company defaults in the payment of the redemption price and accrued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a redemption date, the Company will deposit with a paying agent (or the Trustee) money sufficient to pay the redemption price of and accrued interest on the notes to be redeemed on that date. This Note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in the case of a defeasance, 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and in the Indenture prescribed.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Indenture, the Company may satisfy and discharge its obligations with respect to the Notes by depositing in trust for the Holders of the Outstanding Notes an amount in cash or the equivalent in securities of the government which issued the currency in which the Notes are denominated or government agencies backed by the full faith and credit of such government sufficient to pay and discharge the entire indebtedness on the Notes for principal of and premium, if any, and interest then due or to become due to the Stated Maturity of the principal of the Notes (a defeasance). In such event, a Company will be released and discharged from its obligations to pay interest on the Notes and to pay the principal thereof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Note may be registered on the Note Register of the Company upon surrender of this Note for registration of transfer at the office or agency of the Company in New York City duly endorsed by, or accompanied by a written instrument of transfer in form satisfactory to the Company and the Note Registrar duly executed by, the Holder hereof or by his attorney duly authorized in writing, and thereupon one or more new Notes in registered form, of authorized denominations and for the same aggregate principal amount, will be issued in the name or names of the designated transferee or transferees and delivered at the office of the Note Registrar in New York City, or mailed, at the request, risk and expense of such transferee or transferees, to the address or addresses shown in the Note Register for such transferee or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due presentment of this Note for registration of transfer, the Company, the Trustee, the Note Registrar and any agent of the Company, the Trustee or the Note Registrar may treat the person in whose name this Note is registered as the owner hereof for all purposes, whether or not this Note is overdue, and neither the Company, the Trustee, the Note Registrar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Note is issuable only in fully registered form, without coupons, in minimum denominations of $2,000 and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 transfer or exchange of the Notes,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This Note (the Global Note) is a Global Security as referred to in the Indenture and is not exchangeable for one or more certificated Notes; provided, however, that if at any time the Depository notifies the Company that it is unwilling or unable to continue as Depository or if at any time the Depository shall no longer be eligible or in good standing under the Securities Exchange Act of 1934, as amended, or any other applicable statute or regulation, the Company shall appoint a successor Depository. If a successor Depository is not appointed by the Company within 90 days after the Company receives such notice or becomes aware of such ineligibility,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at any time and in its sole discretion determine that the Notes represented by this Global Note shall no longer be represented by this Global Note. In such event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all the obligations of the Company hereunder are direct, senior unsecured and unsubordinated obligations of the Company and rank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all other senior unsecured and unsubordinated indebtedness of the Company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manually executed by or on behalf of the Trustee under the Indenture, this Note shall not be entitled to any benefits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HONEYWELL INTERNATIONAL INC. has caused this Note to be manually executed.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70"/>
        <w:gridCol w:w="123"/>
        <w:gridCol w:w="3120"/>
        <w:gridCol w:w="123"/>
        <w:gridCol w:w="325"/>
        <w:gridCol w:w="123"/>
        <w:gridCol w:w="1697"/>
        <w:gridCol w:w="210"/>
        <w:gridCol w:w="3214"/>
      </w:tblGrid>
      <w:tr>
        <w:trPr/>
        <w:tc>
          <w:tcPr>
            <w:tcW w:w="12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Pr>
          <w:p>
            <w:pPr>
              <w:pStyle w:val="TableContents"/>
              <w:bidi w:val="0"/>
              <w:spacing w:before="0" w:after="283"/>
              <w:jc w:val="left"/>
              <w:rPr/>
            </w:pPr>
            <w:r>
              <w:rPr/>
              <w:t>Dated: March 1, 2024</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121" w:type="dxa"/>
            <w:gridSpan w:val="3"/>
            <w:tcBorders/>
          </w:tcPr>
          <w:p>
            <w:pPr>
              <w:pStyle w:val="TableContents"/>
              <w:bidi w:val="0"/>
              <w:spacing w:before="0" w:after="283"/>
              <w:jc w:val="left"/>
              <w:rPr/>
            </w:pPr>
            <w:r>
              <w:rPr/>
              <w:t>HONEYWELL INTERNATIONAL INC.</w:t>
            </w:r>
          </w:p>
        </w:tc>
      </w:tr>
      <w:tr>
        <w:trPr>
          <w:trHeight w:val="240" w:hRule="atLeast"/>
        </w:trPr>
        <w:tc>
          <w:tcPr>
            <w:tcW w:w="1270"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By:</w:t>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pBdr>
                <w:bottom w:val="single" w:sz="2" w:space="1" w:color="000000"/>
              </w:pBdr>
              <w:bidi w:val="0"/>
              <w:spacing w:before="0" w:after="20"/>
              <w:jc w:val="left"/>
              <w:rPr/>
            </w:pPr>
            <w:r>
              <w:rPr/>
              <w:t> </w:t>
            </w:r>
          </w:p>
        </w:tc>
      </w:tr>
      <w:tr>
        <w:trPr/>
        <w:tc>
          <w:tcPr>
            <w:tcW w:w="12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Name:</w:t>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Title:</w:t>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pPr>
            <w:r>
              <w:rPr/>
              <w:t>ATTEST:</w:t>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rHeight w:val="240" w:hRule="atLeast"/>
        </w:trPr>
        <w:tc>
          <w:tcPr>
            <w:tcW w:w="1270"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pPr>
            <w:r>
              <w:rPr/>
              <w:t>Name:</w:t>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283"/>
              <w:jc w:val="left"/>
              <w:rPr/>
            </w:pPr>
            <w:r>
              <w:rPr/>
              <w:t>Title:</w:t>
            </w:r>
          </w:p>
        </w:tc>
        <w:tc>
          <w:tcPr>
            <w:tcW w:w="123" w:type="dxa"/>
            <w:tcBorders/>
            <w:vAlign w:val="bottom"/>
          </w:tcPr>
          <w:p>
            <w:pPr>
              <w:pStyle w:val="TableContents"/>
              <w:bidi w:val="0"/>
              <w:spacing w:before="0" w:after="283"/>
              <w:jc w:val="left"/>
              <w:rPr/>
            </w:pPr>
            <w:r>
              <w:rPr/>
              <w:t> </w:t>
            </w:r>
          </w:p>
        </w:tc>
        <w:tc>
          <w:tcPr>
            <w:tcW w:w="31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240" w:after="0"/>
        <w:jc w:val="left"/>
        <w:rPr>
          <w:rFonts w:ascii="Times New Roman" w:hAnsi="Times New Roman"/>
          <w:sz w:val="20"/>
        </w:rPr>
      </w:pPr>
      <w:r>
        <w:rPr>
          <w:rFonts w:ascii="Times New Roman" w:hAnsi="Times New Roman"/>
          <w:b/>
          <w:sz w:val="20"/>
        </w:rPr>
        <w:t>TEN COM</w:t>
      </w:r>
      <w:r>
        <w:rPr>
          <w:rFonts w:ascii="Times New Roman" w:hAnsi="Times New Roman"/>
          <w:sz w:val="20"/>
        </w:rPr>
        <w:t xml:space="preserve">as tenants in common </w:t>
      </w:r>
    </w:p>
    <w:p>
      <w:pPr>
        <w:pStyle w:val="TextBody"/>
        <w:bidi w:val="0"/>
        <w:spacing w:before="240" w:after="0"/>
        <w:jc w:val="left"/>
        <w:rPr>
          <w:rFonts w:ascii="Times New Roman" w:hAnsi="Times New Roman"/>
          <w:sz w:val="20"/>
        </w:rPr>
      </w:pPr>
      <w:r>
        <w:rPr>
          <w:rFonts w:ascii="Times New Roman" w:hAnsi="Times New Roman"/>
          <w:b/>
          <w:sz w:val="20"/>
        </w:rPr>
        <w:t>UNIF GIFT MIN ACT</w:t>
      </w:r>
      <w:r>
        <w:rPr>
          <w:rFonts w:ascii="Times New Roman" w:hAnsi="Times New Roman"/>
          <w:b/>
          <w:sz w:val="20"/>
          <w:u w:val="single"/>
        </w:rPr>
        <w:t>         </w:t>
      </w:r>
      <w:r>
        <w:rPr>
          <w:rFonts w:ascii="Times New Roman" w:hAnsi="Times New Roman"/>
          <w:sz w:val="20"/>
        </w:rPr>
        <w:t>Custodian</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Under Uniform Gifts to Minors Act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b/>
          <w:sz w:val="20"/>
        </w:rPr>
        <w:t>TEN ENT</w:t>
      </w:r>
      <w:r>
        <w:rPr>
          <w:rFonts w:ascii="Times New Roman" w:hAnsi="Times New Roman"/>
          <w:sz w:val="20"/>
        </w:rPr>
        <w:t xml:space="preserve">as tenants by the entireties </w:t>
      </w:r>
    </w:p>
    <w:p>
      <w:pPr>
        <w:pStyle w:val="TextBody"/>
        <w:bidi w:val="0"/>
        <w:spacing w:before="240" w:after="0"/>
        <w:jc w:val="left"/>
        <w:rPr>
          <w:rFonts w:ascii="Times New Roman" w:hAnsi="Times New Roman"/>
          <w:sz w:val="20"/>
        </w:rPr>
      </w:pPr>
      <w:r>
        <w:rPr>
          <w:rFonts w:ascii="Times New Roman" w:hAnsi="Times New Roman"/>
          <w:b/>
          <w:sz w:val="20"/>
        </w:rPr>
        <w:t>JT TEN</w:t>
      </w:r>
      <w:r>
        <w:rPr>
          <w:rFonts w:ascii="Times New Roman" w:hAnsi="Times New Roman"/>
          <w:sz w:val="20"/>
        </w:rPr>
        <w:t xml:space="preserve">as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left"/>
        <w:rPr>
          <w:rFonts w:ascii="Times New Roman" w:hAnsi="Times New Roman"/>
          <w:sz w:val="20"/>
        </w:rPr>
      </w:pPr>
      <w:r>
        <w:rPr>
          <w:rFonts w:ascii="Times New Roman" w:hAnsi="Times New Roman"/>
          <w:sz w:val="20"/>
        </w:rPr>
        <w:t xml:space="preserve">FOR THE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PLEASE PRINT OR TYPEWRITE NAME AND ADDRESS </w:t>
      </w:r>
    </w:p>
    <w:p>
      <w:pPr>
        <w:pStyle w:val="TextBody"/>
        <w:bidi w:val="0"/>
        <w:spacing w:before="0" w:after="0"/>
        <w:jc w:val="center"/>
        <w:rPr>
          <w:rFonts w:ascii="Times New Roman" w:hAnsi="Times New Roman"/>
          <w:sz w:val="20"/>
        </w:rPr>
      </w:pPr>
      <w:r>
        <w:rPr>
          <w:rFonts w:ascii="Times New Roman" w:hAnsi="Times New Roman"/>
          <w:sz w:val="20"/>
        </w:rPr>
        <w:t xml:space="preserve">INCLUDING ZIP CODE OF ASSIGNEE: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within Note and all rights thereunder, hereby irrevocably constituting and appointing ___________ attorney to transfer said Note on the books of the Company,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72"/>
        <w:gridCol w:w="101"/>
        <w:gridCol w:w="347"/>
        <w:gridCol w:w="101"/>
        <w:gridCol w:w="4084"/>
      </w:tblGrid>
      <w:tr>
        <w:trPr/>
        <w:tc>
          <w:tcPr>
            <w:tcW w:w="5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5572" w:type="dxa"/>
            <w:tcBorders/>
          </w:tcPr>
          <w:p>
            <w:pPr>
              <w:pStyle w:val="TableContents"/>
              <w:bidi w:val="0"/>
              <w:spacing w:before="0" w:after="283"/>
              <w:jc w:val="left"/>
              <w:rPr/>
            </w:pPr>
            <w:r>
              <w:rPr/>
              <w:t>Dated:</w:t>
            </w:r>
            <w:r>
              <w:rPr>
                <w:u w:val="single"/>
              </w:rPr>
              <w:t>                       </w:t>
            </w:r>
          </w:p>
        </w:tc>
        <w:tc>
          <w:tcPr>
            <w:tcW w:w="101" w:type="dxa"/>
            <w:tcBorders/>
            <w:vAlign w:val="bottom"/>
          </w:tcPr>
          <w:p>
            <w:pPr>
              <w:pStyle w:val="TableContents"/>
              <w:bidi w:val="0"/>
              <w:spacing w:before="0" w:after="283"/>
              <w:jc w:val="left"/>
              <w:rPr/>
            </w:pPr>
            <w:r>
              <w:rPr/>
              <w:t> </w:t>
            </w:r>
          </w:p>
        </w:tc>
        <w:tc>
          <w:tcPr>
            <w:tcW w:w="34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NOTICE: The signature to this assignment must correspond with the name as written upon the face of the within instrument in every particular, without alteration or enlargement, or any change whatever.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of one of its authorized signatories, this Note shall not be entitled to any benefit under the Indenture or be valid or obligatory for any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25"/>
        <w:gridCol w:w="122"/>
        <w:gridCol w:w="343"/>
        <w:gridCol w:w="122"/>
        <w:gridCol w:w="716"/>
        <w:gridCol w:w="173"/>
        <w:gridCol w:w="4604"/>
      </w:tblGrid>
      <w:tr>
        <w:trPr/>
        <w:tc>
          <w:tcPr>
            <w:tcW w:w="41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pPr>
            <w:r>
              <w:rPr/>
              <w:t>Dated: March 1, 2024</w:t>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CERTIFICATE OF AUTHENTICATION</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This is one of the Securities of the series</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designated therein referred to in the</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within-mentioned Indenture.</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Deutsche Bank Trust Company Americas, as Trustee</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838" w:type="dxa"/>
            <w:gridSpan w:val="2"/>
            <w:tcBorders/>
            <w:vAlign w:val="center"/>
          </w:tcPr>
          <w:p>
            <w:pPr>
              <w:pStyle w:val="TableContents"/>
              <w:bidi w:val="0"/>
              <w:spacing w:before="0" w:after="283"/>
              <w:jc w:val="left"/>
              <w:rPr>
                <w:sz w:val="4"/>
                <w:szCs w:val="4"/>
              </w:rPr>
            </w:pPr>
            <w:r>
              <w:rPr>
                <w:sz w:val="4"/>
                <w:szCs w:val="4"/>
              </w:rPr>
            </w:r>
          </w:p>
        </w:tc>
        <w:tc>
          <w:tcPr>
            <w:tcW w:w="4777" w:type="dxa"/>
            <w:gridSpan w:val="2"/>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pPr>
            <w:r>
              <w:rPr/>
              <w:t>By:</w:t>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pBdr>
                <w:bottom w:val="single" w:sz="2" w:space="1" w:color="000000"/>
              </w:pBdr>
              <w:bidi w:val="0"/>
              <w:spacing w:before="0" w:after="20"/>
              <w:jc w:val="left"/>
              <w:rPr/>
            </w:pPr>
            <w:r>
              <w:rPr/>
              <w:t> </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Name:</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p>
    <w:p>
      <w:pPr>
        <w:pStyle w:val="TextBody"/>
        <w:bidi w:val="0"/>
        <w:spacing w:before="0" w:after="0"/>
        <w:jc w:val="right"/>
        <w:rPr>
          <w:rFonts w:ascii="Times New Roman" w:hAnsi="Times New Roman"/>
          <w:b/>
          <w:sz w:val="20"/>
        </w:rPr>
      </w:pPr>
      <w:bookmarkStart w:id="12" w:name="d788022dex410.htm"/>
      <w:bookmarkStart w:id="13" w:name="ksd788022dex410"/>
      <w:bookmarkEnd w:id="12"/>
      <w:bookmarkEnd w:id="13"/>
      <w:r>
        <w:rPr>
          <w:rFonts w:ascii="Times New Roman" w:hAnsi="Times New Roman"/>
          <w:b/>
          <w:sz w:val="20"/>
        </w:rPr>
        <w:t xml:space="preserve">Exhibit 4.10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WHICH MAY BE TREATED BY THE COMPANY, THE TRUSTEE AND ANY AGENT THEREOF AS OWNER AND HOLDER OF THIS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THE DEPOSITORY TRUST COMPANY OR TO A SUCCESSOR THEREOF OR SUCH SUCCESSORS NOMINEE. </w:t>
      </w:r>
    </w:p>
    <w:p>
      <w:pPr>
        <w:pStyle w:val="TextBody"/>
        <w:bidi w:val="0"/>
        <w:spacing w:before="240" w:after="0"/>
        <w:jc w:val="center"/>
        <w:rPr>
          <w:rFonts w:ascii="Times New Roman" w:hAnsi="Times New Roman"/>
          <w:sz w:val="20"/>
        </w:rPr>
      </w:pPr>
      <w:r>
        <w:rPr>
          <w:rFonts w:ascii="Times New Roman" w:hAnsi="Times New Roman"/>
          <w:sz w:val="20"/>
        </w:rPr>
        <w:t xml:space="preserve">HONEYWELL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5.250% Senior Note Due 2054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7"/>
        <w:gridCol w:w="122"/>
        <w:gridCol w:w="4786"/>
      </w:tblGrid>
      <w:tr>
        <w:trPr/>
        <w:tc>
          <w:tcPr>
            <w:tcW w:w="529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86" w:type="dxa"/>
            <w:tcBorders/>
            <w:vAlign w:val="center"/>
          </w:tcPr>
          <w:p>
            <w:pPr>
              <w:pStyle w:val="TableContents"/>
              <w:bidi w:val="0"/>
              <w:spacing w:before="0" w:after="283"/>
              <w:jc w:val="left"/>
              <w:rPr>
                <w:sz w:val="4"/>
                <w:szCs w:val="4"/>
              </w:rPr>
            </w:pPr>
            <w:r>
              <w:rPr>
                <w:sz w:val="4"/>
                <w:szCs w:val="4"/>
              </w:rPr>
            </w:r>
          </w:p>
        </w:tc>
      </w:tr>
      <w:tr>
        <w:trPr/>
        <w:tc>
          <w:tcPr>
            <w:tcW w:w="5297" w:type="dxa"/>
            <w:tcBorders/>
          </w:tcPr>
          <w:p>
            <w:pPr>
              <w:pStyle w:val="TableContents"/>
              <w:bidi w:val="0"/>
              <w:spacing w:before="0" w:after="283"/>
              <w:jc w:val="left"/>
              <w:rPr/>
            </w:pPr>
            <w:r>
              <w:rPr/>
              <w:t>REGISTERED No.</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left"/>
              <w:rPr/>
            </w:pPr>
            <w:r>
              <w:rPr/>
              <w:t>U.S. $</w:t>
            </w:r>
          </w:p>
        </w:tc>
      </w:tr>
      <w:tr>
        <w:trPr/>
        <w:tc>
          <w:tcPr>
            <w:tcW w:w="5297" w:type="dxa"/>
            <w:tcBorders/>
          </w:tcPr>
          <w:p>
            <w:pPr>
              <w:pStyle w:val="TableContents"/>
              <w:bidi w:val="0"/>
              <w:spacing w:before="0" w:after="283"/>
              <w:jc w:val="left"/>
              <w:rPr/>
            </w:pPr>
            <w:r>
              <w:rPr/>
              <w:t>Registered CUSIP: 438516CT1</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left"/>
              <w:rPr>
                <w:sz w:val="4"/>
                <w:szCs w:val="4"/>
              </w:rPr>
            </w:pPr>
            <w:r>
              <w:rPr>
                <w:sz w:val="4"/>
                <w:szCs w:val="4"/>
              </w:rPr>
            </w:r>
          </w:p>
        </w:tc>
      </w:tr>
      <w:tr>
        <w:trPr/>
        <w:tc>
          <w:tcPr>
            <w:tcW w:w="5297" w:type="dxa"/>
            <w:tcBorders/>
          </w:tcPr>
          <w:p>
            <w:pPr>
              <w:pStyle w:val="TableContents"/>
              <w:bidi w:val="0"/>
              <w:spacing w:before="0" w:after="283"/>
              <w:jc w:val="left"/>
              <w:rPr/>
            </w:pPr>
            <w:r>
              <w:rPr/>
              <w:t>Registered ISIN: US438516CT12</w:t>
            </w:r>
          </w:p>
        </w:tc>
        <w:tc>
          <w:tcPr>
            <w:tcW w:w="122" w:type="dxa"/>
            <w:tcBorders/>
            <w:vAlign w:val="bottom"/>
          </w:tcPr>
          <w:p>
            <w:pPr>
              <w:pStyle w:val="TableContents"/>
              <w:bidi w:val="0"/>
              <w:spacing w:before="0" w:after="283"/>
              <w:jc w:val="left"/>
              <w:rPr/>
            </w:pPr>
            <w:r>
              <w:rPr/>
              <w:t>  </w:t>
            </w:r>
          </w:p>
        </w:tc>
        <w:tc>
          <w:tcPr>
            <w:tcW w:w="478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HONEYWELL INTERNATIONAL INC., a Delaware corporation (the Company, which term includes any successor corporation under the Indenture described herein), for value received, hereby promises to pay to CEDE &amp; CO. or its registered assigns, the principal sum of     U.S. DOLLARS (U.S. $    ) on March 1, 2054 (the Maturity Date), and to pay interest on said principal sum semiannually in arrears on March 1 and September 1 of each year, commencing September 1, 2024 (each such date on which the Company is required to pay interest being referred to herein as an Interest Payment Date), at the rate of 5.250% per annum from March 1, 2024,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February 15 or August 15 (each being referred to herein as a Regular Record Date), as the case may be, next preceding such Interest Payment Date. As used herein, Business Day means any day, other than Saturday or Sunday, on which banks are not required or authorized by law or executive order to close in New York City.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of interest, principal and premium, if any, on this Note will be made (except as specified below) by wire transfer in same day funds to the Registered Holder at such Holders address appearing on the Note Register on the relevant Regular Record Date. In the event the Notes are issued in fully certificated registered form, such payments will be made at the corporate trust office of the Trustee in New York City, or at the option of the Company, by mailing a check to such Registered Holder. </w:t>
      </w:r>
    </w:p>
    <w:p>
      <w:pPr>
        <w:pStyle w:val="TextBody"/>
        <w:bidi w:val="0"/>
        <w:spacing w:before="240" w:after="0"/>
        <w:jc w:val="left"/>
        <w:rPr>
          <w:rFonts w:ascii="Times New Roman" w:hAnsi="Times New Roman"/>
          <w:sz w:val="20"/>
        </w:rPr>
      </w:pPr>
      <w:r>
        <w:rPr>
          <w:rFonts w:ascii="Times New Roman" w:hAnsi="Times New Roman"/>
          <w:sz w:val="20"/>
        </w:rPr>
        <w:t xml:space="preserve">Initially, Deutsche Bank Trust Company Americas will be the Paying Agent and the Registrar (the Note Registrar) for this Note. The Company reserves the rights at any time to remove any Paying Agent or Note Registrar without notice, to appoint additional or other Paying Agents and other Note Registrars without notice and to approve any change in the office through which any Paying Agent or Note Registrar acts;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there will at all times be a Paying Agent in New York City.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duly authorized series (the Series) of debt securities of the Company (hereinafter called the Securities), issued and to be issued under an indenture dated March 1, 2007, as supplemented by the First Supplemental Indenture dated as of October 27, 2017, the Second Supplemental Indenture dated as of March 10, 2020 and the Third Supplemental Indenture dated as of October 22, 2021 (collectively, the Indenture) between the Company and Deutsche Bank Trust Company Americas, as trustee (the Trustee), to which Indenture and all other indentures supplemental thereto reference is hereby made for a statement of the rights and limitations of rights thereunder of the Holders of the Securities and of the rights, obligations and duties of the Company, the Trustee and the Paying Agent for this Note, and the terms upon which the Securities are, and are to be, authenticated and delivered. The Securities may be issued in one or more series, which different series may be issued in various principal amounts, may mature at different times, may bear interest, if any, at different rates, may be subject to different redemption provisions, if any, may be subject to different covenants and Events of Default and may otherwise vary as provided or permitted in the Indenture. This Note is one of the series of Securities designated as 5.250% Senior Notes Due 2054 (herein called the Notes), initially limited in aggregate principal amount to $1,750,000,000. </w:t>
      </w:r>
    </w:p>
    <w:p>
      <w:pPr>
        <w:pStyle w:val="TextBody"/>
        <w:bidi w:val="0"/>
        <w:spacing w:before="240" w:after="0"/>
        <w:jc w:val="left"/>
        <w:rPr>
          <w:rFonts w:ascii="Times New Roman" w:hAnsi="Times New Roman"/>
          <w:sz w:val="20"/>
        </w:rPr>
      </w:pPr>
      <w:r>
        <w:rPr>
          <w:rFonts w:ascii="Times New Roman" w:hAnsi="Times New Roman"/>
          <w:sz w:val="20"/>
        </w:rPr>
        <w:t xml:space="preserve">Each capitalized term used herein and not otherwise defined herein shall have the meaning assigned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the consent of the Holders of the Notes, reopen this Series of Notes and issue additional notes on separate dates, which shall form a single series and shall have the same terms; </w:t>
      </w:r>
      <w:r>
        <w:rPr>
          <w:rFonts w:ascii="Times New Roman" w:hAnsi="Times New Roman"/>
          <w:sz w:val="20"/>
          <w:u w:val="single"/>
        </w:rPr>
        <w:t>provided</w:t>
      </w:r>
      <w:r>
        <w:rPr>
          <w:rFonts w:ascii="Times New Roman" w:hAnsi="Times New Roman"/>
          <w:sz w:val="20"/>
        </w:rPr>
        <w:t xml:space="preserve"> that such additional notes shall not be issued with the same CUSIP number as the Notes unless such additional notes are issued for U.S. federal income tax purposes in a qualified reopening or are otherwise treated as part of the same issue for U.S. federal income tax purposes. Such further notes will be consolidated and form a single series with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Note is subject to redemption, in whole or in part, at the option of the Company at any time or from time to time, upon mailed notice to the registered address of each holder of notes to be redeemed at least 10 days but not more than 60 days prior to the redemption. Prior to September 1, 2053 (six months prior to the maturity date of the Notes (the Par Call Date)), the make-whole premium redemption price will be equal to the greater of (1) 100% of the principal amount of the notes to be redeemed and (2)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Accrued interest will be paid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the Par Call Date, the Notes are redeemable, in whole or in part, at any time and from time to time, at the Companys option at a redemption price equal to 100% of the principal amount of such notes to be redeemed plus accrued interest to, but not including, the redemption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Any redemption may, at the Companys discretion, be subject to one or more conditions precedent, which will be set forth in the related notice of redemption, including, but not limited to, completion of an offering or financing or other transaction or event. In addition, if such redemption is subject to satisfaction of one or more conditions precedent, such notice will describe each such condition, and if applicable, will state that, in the Companys discretion, the redemption date may be delayed until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redemption date will not be more than 60 days after the date of the notice of redemption) as any or all such conditions will be satisfied, or such redemption may not occur and such notice may be rescinded in the event that any or all such conditions will not have been satisfied by the redemption date, or by the redemption date as so delayed.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(the Depository) (or another depository), the redemption of the notes shall be done in accordance with the policies and procedures of the depository. </w:t>
      </w:r>
    </w:p>
    <w:p>
      <w:pPr>
        <w:pStyle w:val="TextBody"/>
        <w:bidi w:val="0"/>
        <w:spacing w:before="240" w:after="0"/>
        <w:jc w:val="left"/>
        <w:rPr>
          <w:rFonts w:ascii="Times New Roman" w:hAnsi="Times New Roman"/>
          <w:sz w:val="20"/>
        </w:rPr>
      </w:pPr>
      <w:r>
        <w:rPr>
          <w:rFonts w:ascii="Times New Roman" w:hAnsi="Times New Roman"/>
          <w:sz w:val="20"/>
        </w:rPr>
        <w:t xml:space="preserve">If any such condition precedent has not been satisfied, the Company will provide written notice to the Trustee prior to the close of business one business day prior to the redemption date. Upon receipt of such notice, the notice of redemption will be rescinded or delayed, and the redemption of the notes will be rescinded or delayed as provided in such notice. Upon receipt, the Trustee will provide such notice to each holder in the same manner in which the notice of redemption was given. </w:t>
      </w:r>
    </w:p>
    <w:p>
      <w:pPr>
        <w:pStyle w:val="TextBody"/>
        <w:bidi w:val="0"/>
        <w:spacing w:before="240" w:after="0"/>
        <w:jc w:val="left"/>
        <w:rPr>
          <w:rFonts w:ascii="Times New Roman" w:hAnsi="Times New Roman"/>
          <w:sz w:val="20"/>
        </w:rPr>
      </w:pPr>
      <w:r>
        <w:rPr>
          <w:rFonts w:ascii="Times New Roman" w:hAnsi="Times New Roman"/>
          <w:sz w:val="20"/>
        </w:rPr>
        <w:t xml:space="preserve">On and after a redemption date, interest will cease to accrue on the notes called for redemption (unless the Company defaults in the payment of the redemption price and accrued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a redemption date, the Company will deposit with a paying agent (or the Trustee) money sufficient to pay the redemption price of and accrued interest on the notes to be redeemed on that date. This Note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in the case of a defeasance, 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and in the Indenture prescribed.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Indenture, the Company may satisfy and discharge its obligations with respect to the Notes by depositing in trust for the Holders of the Outstanding Notes an amount in cash or the equivalent in securities of the government which issued the currency in which the Notes are denominated or government agencies backed by the full faith and credit of such government sufficient to pay and discharge the entire indebtedness on the Notes for principal of and premium, if any, and interest then due or to become due to the Stated Maturity of the principal of the Notes (a defeasance). In such event, a Company will be released and discharged from its obligations to pay interest on the Notes and to pay the principal thereof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Note may be registered on the Note Register of the Company upon surrender of this Note for registration of transfer at the office or agency of the Company in New York City duly endorsed by, or accompanied by a written instrument of transfer in form satisfactory to the Company and the Note Registrar duly executed by, the Holder hereof or by his attorney duly authorized in writing, and thereupon one or more new Notes in registered form, of authorized denominations and for the same aggregate principal amount, will be issued in the name or names of the designated transferee or transferees and delivered at the office of the Note Registrar in New York City, or mailed, at the request, risk and expense of such transferee or transferees, to the address or addresses shown in the Note Register for such transferee or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due presentment of this Note for registration of transfer, the Company, the Trustee, the Note Registrar and any agent of the Company, the Trustee or the Note Registrar may treat the person in whose name this Note is registered as the owner hereof for all purposes, whether or not this Note is overdue, and neither the Company, the Trustee, the Note Registrar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Note is issuable only in fully registered form, without coupons, in minimum denominations of $2,000 and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 transfer or exchange of the Notes,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This Note (the Global Note) is a Global Security as referred to in the Indenture and is not exchangeable for one or more certificated Notes; provided, however, that if at any time the Depository notifies the Company that it is unwilling or unable to continue as Depository or if at any time the Depository shall no longer be eligible or in good standing under the Securities Exchange Act of 1934, as amended, or any other applicable statute or regulation, the Company shall appoint a successor Depository. If a successor Depository is not appointed by the Company within 90 days after the Company receives such notice or becomes aware of such ineligibility,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at any time and in its sole discretion determine that the Notes represented by this Global Note shall no longer be represented by this Global Note. In such event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all the obligations of the Company hereunder are direct, senior unsecured and unsubordinated obligations of the Company and rank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all other senior unsecured and unsubordinated indebtedness of the Company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manually executed by or on behalf of the Trustee under the Indenture, this Note shall not be entitled to any benefits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HONEYWELL INTERNATIONAL INC. has caused this Note to be manually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March 1, 2024 </w:t>
      </w:r>
    </w:p>
    <w:tbl>
      <w:tblPr>
        <w:tblW w:w="2000" w:type="pct"/>
        <w:jc w:val="right"/>
        <w:tblInd w:w="0" w:type="dxa"/>
        <w:tblLayout w:type="fixed"/>
        <w:tblCellMar>
          <w:top w:w="0" w:type="dxa"/>
          <w:left w:w="0" w:type="dxa"/>
          <w:bottom w:w="0" w:type="dxa"/>
          <w:right w:w="0" w:type="dxa"/>
        </w:tblCellMar>
      </w:tblPr>
      <w:tblGrid>
        <w:gridCol w:w="1739"/>
        <w:gridCol w:w="171"/>
        <w:gridCol w:w="2172"/>
      </w:tblGrid>
      <w:tr>
        <w:trPr/>
        <w:tc>
          <w:tcPr>
            <w:tcW w:w="1739"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HONEYWELL INTERNATIONAL INC.</w:t>
            </w:r>
          </w:p>
        </w:tc>
      </w:tr>
      <w:tr>
        <w:trPr>
          <w:trHeight w:val="240" w:hRule="atLeast"/>
        </w:trPr>
        <w:tc>
          <w:tcPr>
            <w:tcW w:w="1739" w:type="dxa"/>
            <w:tcBorders/>
            <w:vAlign w:val="center"/>
          </w:tcPr>
          <w:p>
            <w:pPr>
              <w:pStyle w:val="TableContents"/>
              <w:bidi w:val="0"/>
              <w:spacing w:before="0" w:after="283"/>
              <w:jc w:val="left"/>
              <w:rPr>
                <w:sz w:val="4"/>
                <w:szCs w:val="4"/>
              </w:rPr>
            </w:pPr>
            <w:r>
              <w:rPr>
                <w:sz w:val="4"/>
                <w:szCs w:val="4"/>
              </w:rPr>
            </w:r>
          </w:p>
        </w:tc>
        <w:tc>
          <w:tcPr>
            <w:tcW w:w="2343" w:type="dxa"/>
            <w:gridSpan w:val="2"/>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By:</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pBdr>
                <w:bottom w:val="single" w:sz="2" w:space="1" w:color="000000"/>
              </w:pBdr>
              <w:bidi w:val="0"/>
              <w:spacing w:before="0" w:after="20"/>
              <w:jc w:val="left"/>
              <w:rPr/>
            </w:pPr>
            <w:r>
              <w:rPr/>
              <w:t> </w:t>
            </w:r>
          </w:p>
        </w:tc>
      </w:tr>
      <w:tr>
        <w:trPr/>
        <w:tc>
          <w:tcPr>
            <w:tcW w:w="1739" w:type="dxa"/>
            <w:tcBorders/>
          </w:tcPr>
          <w:p>
            <w:pPr>
              <w:pStyle w:val="TableContents"/>
              <w:bidi w:val="0"/>
              <w:spacing w:before="0" w:after="283"/>
              <w:jc w:val="left"/>
              <w:rPr/>
            </w:pPr>
            <w:r>
              <w:rPr/>
              <w:t>Name:</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pPr>
            <w:r>
              <w:rPr/>
              <w:t>Title:</w:t>
            </w:r>
          </w:p>
        </w:tc>
        <w:tc>
          <w:tcPr>
            <w:tcW w:w="171"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11"/>
        <w:gridCol w:w="81"/>
        <w:gridCol w:w="3090"/>
      </w:tblGrid>
      <w:tr>
        <w:trPr/>
        <w:tc>
          <w:tcPr>
            <w:tcW w:w="91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911" w:type="dxa"/>
            <w:tcBorders/>
            <w:vAlign w:val="center"/>
          </w:tcPr>
          <w:p>
            <w:pPr>
              <w:pStyle w:val="TableContents"/>
              <w:bidi w:val="0"/>
              <w:spacing w:before="0" w:after="283"/>
              <w:jc w:val="left"/>
              <w:rPr>
                <w:sz w:val="4"/>
                <w:szCs w:val="4"/>
              </w:rPr>
            </w:pPr>
            <w:r>
              <w:rPr>
                <w:sz w:val="4"/>
                <w:szCs w:val="4"/>
              </w:rPr>
            </w:r>
          </w:p>
        </w:tc>
        <w:tc>
          <w:tcPr>
            <w:tcW w:w="3171"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pBdr>
                <w:bottom w:val="single" w:sz="2" w:space="1" w:color="000000"/>
              </w:pBdr>
              <w:bidi w:val="0"/>
              <w:spacing w:before="0" w:after="20"/>
              <w:jc w:val="left"/>
              <w:rPr/>
            </w:pPr>
            <w:r>
              <w:rPr/>
              <w:t> </w:t>
            </w:r>
          </w:p>
        </w:tc>
      </w:tr>
      <w:tr>
        <w:trPr/>
        <w:tc>
          <w:tcPr>
            <w:tcW w:w="911" w:type="dxa"/>
            <w:tcBorders/>
          </w:tcPr>
          <w:p>
            <w:pPr>
              <w:pStyle w:val="TableContents"/>
              <w:bidi w:val="0"/>
              <w:spacing w:before="0" w:after="283"/>
              <w:jc w:val="left"/>
              <w:rPr/>
            </w:pPr>
            <w:r>
              <w:rPr/>
              <w:t>Name:</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Title:</w:t>
            </w:r>
          </w:p>
        </w:tc>
        <w:tc>
          <w:tcPr>
            <w:tcW w:w="81" w:type="dxa"/>
            <w:tcBorders/>
            <w:vAlign w:val="bottom"/>
          </w:tcPr>
          <w:p>
            <w:pPr>
              <w:pStyle w:val="TableContents"/>
              <w:bidi w:val="0"/>
              <w:spacing w:before="0" w:after="283"/>
              <w:jc w:val="left"/>
              <w:rPr/>
            </w:pPr>
            <w:r>
              <w:rPr/>
              <w:t> </w:t>
            </w:r>
          </w:p>
        </w:tc>
        <w:tc>
          <w:tcPr>
            <w:tcW w:w="309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360" w:after="0"/>
        <w:jc w:val="left"/>
        <w:rPr>
          <w:rFonts w:ascii="Times New Roman" w:hAnsi="Times New Roman"/>
          <w:sz w:val="20"/>
        </w:rPr>
      </w:pPr>
      <w:r>
        <w:rPr>
          <w:rFonts w:ascii="Times New Roman" w:hAnsi="Times New Roman"/>
          <w:b/>
          <w:sz w:val="20"/>
        </w:rPr>
        <w:t>TEN COM</w:t>
      </w:r>
      <w:r>
        <w:rPr>
          <w:rFonts w:ascii="Times New Roman" w:hAnsi="Times New Roman"/>
          <w:sz w:val="20"/>
        </w:rPr>
        <w:t xml:space="preserve">as tenants in common </w:t>
      </w:r>
    </w:p>
    <w:p>
      <w:pPr>
        <w:pStyle w:val="TextBody"/>
        <w:bidi w:val="0"/>
        <w:spacing w:before="120" w:after="0"/>
        <w:jc w:val="left"/>
        <w:rPr>
          <w:rFonts w:ascii="Times New Roman" w:hAnsi="Times New Roman"/>
          <w:sz w:val="20"/>
        </w:rPr>
      </w:pPr>
      <w:r>
        <w:rPr>
          <w:rFonts w:ascii="Times New Roman" w:hAnsi="Times New Roman"/>
          <w:b/>
          <w:sz w:val="20"/>
        </w:rPr>
        <w:t>UNIF GIFT MIN ACT_____________________</w:t>
      </w:r>
      <w:r>
        <w:rPr>
          <w:rFonts w:ascii="Times New Roman" w:hAnsi="Times New Roman"/>
          <w:sz w:val="20"/>
        </w:rPr>
        <w:t xml:space="preserve">Custodian_________________________ </w:t>
      </w:r>
    </w:p>
    <w:p>
      <w:pPr>
        <w:pStyle w:val="TextBody"/>
        <w:bidi w:val="0"/>
        <w:spacing w:before="240" w:after="0"/>
        <w:jc w:val="center"/>
        <w:rPr>
          <w:rFonts w:ascii="Times New Roman" w:hAnsi="Times New Roman"/>
          <w:sz w:val="20"/>
        </w:rPr>
      </w:pPr>
      <w:r>
        <w:rPr>
          <w:rFonts w:ascii="Times New Roman" w:hAnsi="Times New Roman"/>
          <w:sz w:val="20"/>
        </w:rPr>
        <w:t xml:space="preserve">Under Uniform Gifts to Minors Act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b/>
          <w:sz w:val="20"/>
        </w:rPr>
        <w:t>TEN ENT</w:t>
      </w:r>
      <w:r>
        <w:rPr>
          <w:rFonts w:ascii="Times New Roman" w:hAnsi="Times New Roman"/>
          <w:sz w:val="20"/>
        </w:rPr>
        <w:t xml:space="preserve">as tenants by the entireties </w:t>
      </w:r>
    </w:p>
    <w:p>
      <w:pPr>
        <w:pStyle w:val="TextBody"/>
        <w:bidi w:val="0"/>
        <w:spacing w:before="240" w:after="0"/>
        <w:jc w:val="left"/>
        <w:rPr>
          <w:rFonts w:ascii="Times New Roman" w:hAnsi="Times New Roman"/>
          <w:sz w:val="20"/>
        </w:rPr>
      </w:pPr>
      <w:r>
        <w:rPr>
          <w:rFonts w:ascii="Times New Roman" w:hAnsi="Times New Roman"/>
          <w:b/>
          <w:sz w:val="20"/>
        </w:rPr>
        <w:t>JT TEN</w:t>
      </w:r>
      <w:r>
        <w:rPr>
          <w:rFonts w:ascii="Times New Roman" w:hAnsi="Times New Roman"/>
          <w:sz w:val="20"/>
        </w:rPr>
        <w:t xml:space="preserve">as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left"/>
        <w:rPr>
          <w:rFonts w:ascii="Times New Roman" w:hAnsi="Times New Roman"/>
          <w:sz w:val="20"/>
        </w:rPr>
      </w:pPr>
      <w:r>
        <w:rPr>
          <w:rFonts w:ascii="Times New Roman" w:hAnsi="Times New Roman"/>
          <w:sz w:val="20"/>
        </w:rPr>
        <w:t xml:space="preserve">FOR THE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PLEASE PRINT OR TYPEWRITE NAME AND ADDRESS </w:t>
      </w:r>
    </w:p>
    <w:p>
      <w:pPr>
        <w:pStyle w:val="TextBody"/>
        <w:bidi w:val="0"/>
        <w:spacing w:before="0" w:after="0"/>
        <w:jc w:val="center"/>
        <w:rPr>
          <w:rFonts w:ascii="Times New Roman" w:hAnsi="Times New Roman"/>
          <w:sz w:val="20"/>
        </w:rPr>
      </w:pPr>
      <w:r>
        <w:rPr>
          <w:rFonts w:ascii="Times New Roman" w:hAnsi="Times New Roman"/>
          <w:sz w:val="20"/>
        </w:rPr>
        <w:t xml:space="preserve">INCLUDING ZIP CODE OF ASSIGNEE: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within Note and all rights thereunder, hereby irrevocably constituting and appointing ___________ attorney to transfer said Note on the books of the Company,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65"/>
        <w:gridCol w:w="102"/>
        <w:gridCol w:w="341"/>
        <w:gridCol w:w="102"/>
        <w:gridCol w:w="4095"/>
      </w:tblGrid>
      <w:tr>
        <w:trPr/>
        <w:tc>
          <w:tcPr>
            <w:tcW w:w="55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5565" w:type="dxa"/>
            <w:tcBorders/>
          </w:tcPr>
          <w:p>
            <w:pPr>
              <w:pStyle w:val="TableContents"/>
              <w:bidi w:val="0"/>
              <w:spacing w:before="0" w:after="283"/>
              <w:jc w:val="left"/>
              <w:rPr/>
            </w:pPr>
            <w:r>
              <w:rPr/>
              <w:t>Dated:</w:t>
            </w:r>
            <w:r>
              <w:rPr>
                <w:u w:val="single"/>
              </w:rPr>
              <w:t>                       </w:t>
            </w:r>
          </w:p>
        </w:tc>
        <w:tc>
          <w:tcPr>
            <w:tcW w:w="102" w:type="dxa"/>
            <w:tcBorders/>
            <w:vAlign w:val="bottom"/>
          </w:tcPr>
          <w:p>
            <w:pPr>
              <w:pStyle w:val="TableContents"/>
              <w:bidi w:val="0"/>
              <w:spacing w:before="0" w:after="283"/>
              <w:jc w:val="left"/>
              <w:rPr/>
            </w:pPr>
            <w:r>
              <w:rPr/>
              <w:t> </w:t>
            </w:r>
          </w:p>
        </w:tc>
        <w:tc>
          <w:tcPr>
            <w:tcW w:w="34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95"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NOTICE: The signature to this assignment must correspond with the name as written upon the face of the within instrument in every particular, without alteration or enlargement, or any change whatever.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of one of its authorized signatories, this Note shall not be entitled to any benefit under the Indenture or be valid or obligatory for any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25"/>
        <w:gridCol w:w="122"/>
        <w:gridCol w:w="343"/>
        <w:gridCol w:w="122"/>
        <w:gridCol w:w="716"/>
        <w:gridCol w:w="173"/>
        <w:gridCol w:w="4604"/>
      </w:tblGrid>
      <w:tr>
        <w:trPr/>
        <w:tc>
          <w:tcPr>
            <w:tcW w:w="41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pPr>
            <w:r>
              <w:rPr/>
              <w:t>Dated: March 1, 2024</w:t>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CERTIFICATE OF AUTHENTICATION</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This is one of the Securities of the series designated therein referred to in the within-mentioned Indenture.</w:t>
            </w:r>
          </w:p>
        </w:tc>
      </w:tr>
      <w:tr>
        <w:trPr>
          <w:trHeight w:val="240" w:hRule="atLeast"/>
        </w:trPr>
        <w:tc>
          <w:tcPr>
            <w:tcW w:w="4125"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5615" w:type="dxa"/>
            <w:gridSpan w:val="4"/>
            <w:tcBorders/>
            <w:vAlign w:val="center"/>
          </w:tcPr>
          <w:p>
            <w:pPr>
              <w:pStyle w:val="TableContents"/>
              <w:bidi w:val="0"/>
              <w:spacing w:before="0" w:after="283"/>
              <w:jc w:val="left"/>
              <w:rPr>
                <w:sz w:val="4"/>
                <w:szCs w:val="4"/>
              </w:rPr>
            </w:pPr>
            <w:r>
              <w:rPr>
                <w:sz w:val="4"/>
                <w:szCs w:val="4"/>
              </w:rPr>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Deutsche Bank Trust Company Americas, as Trustee</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pPr>
            <w:r>
              <w:rPr/>
              <w:t>By:</w:t>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pBdr>
                <w:bottom w:val="single" w:sz="2" w:space="1" w:color="000000"/>
              </w:pBdr>
              <w:bidi w:val="0"/>
              <w:spacing w:before="0" w:after="20"/>
              <w:jc w:val="left"/>
              <w:rPr/>
            </w:pPr>
            <w:r>
              <w:rPr/>
              <w:t> </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Name:</w:t>
            </w:r>
          </w:p>
        </w:tc>
      </w:tr>
      <w:tr>
        <w:trPr/>
        <w:tc>
          <w:tcPr>
            <w:tcW w:w="41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p>
    <w:p>
      <w:pPr>
        <w:pStyle w:val="TextBody"/>
        <w:bidi w:val="0"/>
        <w:spacing w:before="0" w:after="0"/>
        <w:jc w:val="right"/>
        <w:rPr>
          <w:rFonts w:ascii="Times New Roman" w:hAnsi="Times New Roman"/>
          <w:b/>
          <w:sz w:val="20"/>
        </w:rPr>
      </w:pPr>
      <w:bookmarkStart w:id="14" w:name="d788022dex411.htm"/>
      <w:bookmarkStart w:id="15" w:name="ksd788022dex411"/>
      <w:bookmarkEnd w:id="14"/>
      <w:bookmarkEnd w:id="15"/>
      <w:r>
        <w:rPr>
          <w:rFonts w:ascii="Times New Roman" w:hAnsi="Times New Roman"/>
          <w:b/>
          <w:sz w:val="20"/>
        </w:rPr>
        <w:t xml:space="preserve">Exhibit 4.11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WHICH MAY BE TREATED BY THE COMPANY, THE TRUSTEE AND ANY AGENT THEREOF AS OWNER AND HOLDER OF THIS SECURITY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THE DEPOSITORY TRUST COMPANY OR TO A SUCCESSOR THEREOF OR SUCH SUCCESSORS NOMINEE. </w:t>
      </w:r>
    </w:p>
    <w:p>
      <w:pPr>
        <w:pStyle w:val="TextBody"/>
        <w:bidi w:val="0"/>
        <w:spacing w:before="240" w:after="0"/>
        <w:jc w:val="center"/>
        <w:rPr>
          <w:rFonts w:ascii="Times New Roman" w:hAnsi="Times New Roman"/>
          <w:sz w:val="20"/>
        </w:rPr>
      </w:pPr>
      <w:r>
        <w:rPr>
          <w:rFonts w:ascii="Times New Roman" w:hAnsi="Times New Roman"/>
          <w:sz w:val="20"/>
        </w:rPr>
        <w:t xml:space="preserve">HONEYWELL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5.350% Senior Note Due 2064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86"/>
        <w:gridCol w:w="120"/>
        <w:gridCol w:w="5199"/>
      </w:tblGrid>
      <w:tr>
        <w:trPr/>
        <w:tc>
          <w:tcPr>
            <w:tcW w:w="48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99" w:type="dxa"/>
            <w:tcBorders/>
            <w:vAlign w:val="center"/>
          </w:tcPr>
          <w:p>
            <w:pPr>
              <w:pStyle w:val="TableContents"/>
              <w:bidi w:val="0"/>
              <w:spacing w:before="0" w:after="283"/>
              <w:jc w:val="left"/>
              <w:rPr>
                <w:sz w:val="4"/>
                <w:szCs w:val="4"/>
              </w:rPr>
            </w:pPr>
            <w:r>
              <w:rPr>
                <w:sz w:val="4"/>
                <w:szCs w:val="4"/>
              </w:rPr>
            </w:r>
          </w:p>
        </w:tc>
      </w:tr>
      <w:tr>
        <w:trPr/>
        <w:tc>
          <w:tcPr>
            <w:tcW w:w="4886" w:type="dxa"/>
            <w:tcBorders/>
          </w:tcPr>
          <w:p>
            <w:pPr>
              <w:pStyle w:val="TableContents"/>
              <w:bidi w:val="0"/>
              <w:spacing w:before="0" w:after="283"/>
              <w:jc w:val="left"/>
              <w:rPr/>
            </w:pPr>
            <w:r>
              <w:rPr/>
              <w:t>REGISTERED No.</w:t>
            </w:r>
          </w:p>
        </w:tc>
        <w:tc>
          <w:tcPr>
            <w:tcW w:w="120" w:type="dxa"/>
            <w:tcBorders/>
            <w:vAlign w:val="bottom"/>
          </w:tcPr>
          <w:p>
            <w:pPr>
              <w:pStyle w:val="TableContents"/>
              <w:bidi w:val="0"/>
              <w:spacing w:before="0" w:after="283"/>
              <w:jc w:val="left"/>
              <w:rPr/>
            </w:pPr>
            <w:r>
              <w:rPr/>
              <w:t>  </w:t>
            </w:r>
          </w:p>
        </w:tc>
        <w:tc>
          <w:tcPr>
            <w:tcW w:w="5199" w:type="dxa"/>
            <w:tcBorders/>
          </w:tcPr>
          <w:p>
            <w:pPr>
              <w:pStyle w:val="TableContents"/>
              <w:bidi w:val="0"/>
              <w:spacing w:before="0" w:after="283"/>
              <w:jc w:val="left"/>
              <w:rPr/>
            </w:pPr>
            <w:r>
              <w:rPr/>
              <w:t>             </w:t>
            </w:r>
            <w:r>
              <w:rPr/>
              <w:t>U.S. $</w:t>
            </w:r>
          </w:p>
        </w:tc>
      </w:tr>
      <w:tr>
        <w:trPr/>
        <w:tc>
          <w:tcPr>
            <w:tcW w:w="4886" w:type="dxa"/>
            <w:tcBorders/>
          </w:tcPr>
          <w:p>
            <w:pPr>
              <w:pStyle w:val="TableContents"/>
              <w:bidi w:val="0"/>
              <w:spacing w:before="0" w:after="283"/>
              <w:jc w:val="left"/>
              <w:rPr/>
            </w:pPr>
            <w:r>
              <w:rPr/>
              <w:t>Registered CUSIP: 438516CU8</w:t>
            </w:r>
          </w:p>
        </w:tc>
        <w:tc>
          <w:tcPr>
            <w:tcW w:w="120" w:type="dxa"/>
            <w:tcBorders/>
            <w:vAlign w:val="bottom"/>
          </w:tcPr>
          <w:p>
            <w:pPr>
              <w:pStyle w:val="TableContents"/>
              <w:bidi w:val="0"/>
              <w:spacing w:before="0" w:after="283"/>
              <w:jc w:val="left"/>
              <w:rPr/>
            </w:pPr>
            <w:r>
              <w:rPr/>
              <w:t>  </w:t>
            </w:r>
          </w:p>
        </w:tc>
        <w:tc>
          <w:tcPr>
            <w:tcW w:w="5199" w:type="dxa"/>
            <w:tcBorders/>
          </w:tcPr>
          <w:p>
            <w:pPr>
              <w:pStyle w:val="TableContents"/>
              <w:bidi w:val="0"/>
              <w:spacing w:before="0" w:after="283"/>
              <w:jc w:val="left"/>
              <w:rPr>
                <w:sz w:val="4"/>
                <w:szCs w:val="4"/>
              </w:rPr>
            </w:pPr>
            <w:r>
              <w:rPr>
                <w:sz w:val="4"/>
                <w:szCs w:val="4"/>
              </w:rPr>
            </w:r>
          </w:p>
        </w:tc>
      </w:tr>
      <w:tr>
        <w:trPr/>
        <w:tc>
          <w:tcPr>
            <w:tcW w:w="4886" w:type="dxa"/>
            <w:tcBorders/>
          </w:tcPr>
          <w:p>
            <w:pPr>
              <w:pStyle w:val="TableContents"/>
              <w:bidi w:val="0"/>
              <w:spacing w:before="0" w:after="283"/>
              <w:jc w:val="left"/>
              <w:rPr/>
            </w:pPr>
            <w:r>
              <w:rPr/>
              <w:t>Registered ISIN: US438516CU84</w:t>
            </w:r>
          </w:p>
        </w:tc>
        <w:tc>
          <w:tcPr>
            <w:tcW w:w="120" w:type="dxa"/>
            <w:tcBorders/>
            <w:vAlign w:val="bottom"/>
          </w:tcPr>
          <w:p>
            <w:pPr>
              <w:pStyle w:val="TableContents"/>
              <w:bidi w:val="0"/>
              <w:spacing w:before="0" w:after="283"/>
              <w:jc w:val="left"/>
              <w:rPr/>
            </w:pPr>
            <w:r>
              <w:rPr/>
              <w:t>  </w:t>
            </w:r>
          </w:p>
        </w:tc>
        <w:tc>
          <w:tcPr>
            <w:tcW w:w="519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HONEYWELL INTERNATIONAL INC., a Delaware corporation (the Company, which term includes any successor corporation under the Indenture described herein), for value received, hereby promises to pay to CEDE &amp; CO. or its registered assigns, the principal sum of U.S.    DOLLARS (U.S. $    ) on March 1, 2064 (the Maturity Date), and to pay interest on said principal sum semiannually in arrears on March 1 and September 1 of each year, commencing September 1, 2024 (each such date on which the Company is required to pay interest being referred to herein as an Interest Payment Date), at the rate of 5.350% per annum from March 1, 2024,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February 15 or August 15 (each being referred to herein as a Regular Record Date), as the case may be, next preceding such Interest Payment Date. As used herein, Business Day means any day, other than Saturday or Sunday, on which banks are not required or authorized by law or executive order to close in New York City.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of interest, principal and premium, if any, on this Note will be made (except as specified below) by wire transfer in same day funds to the Registered Holder at such Holders address appearing on the Note Register on the relevant Regular Record Date. In the event the Notes are issued in fully certificated registered form, such payments will be made at the corporate trust office of the Trustee in New York City, or at the option of the Company, by mailing a check to such Registered Holder. </w:t>
      </w:r>
    </w:p>
    <w:p>
      <w:pPr>
        <w:pStyle w:val="TextBody"/>
        <w:bidi w:val="0"/>
        <w:spacing w:before="240" w:after="0"/>
        <w:jc w:val="left"/>
        <w:rPr>
          <w:rFonts w:ascii="Times New Roman" w:hAnsi="Times New Roman"/>
          <w:sz w:val="20"/>
        </w:rPr>
      </w:pPr>
      <w:r>
        <w:rPr>
          <w:rFonts w:ascii="Times New Roman" w:hAnsi="Times New Roman"/>
          <w:sz w:val="20"/>
        </w:rPr>
        <w:t xml:space="preserve">Initially, Deutsche Bank Trust Company Americas will be the Paying Agent and the Registrar (the Note Registrar) for this Note. The Company reserves the rights at any time to remove any Paying Agent or Note Registrar without notice, to appoint additional or other Paying Agents and other Note Registrars without notice and to approve any change in the office through which any Paying Agent or Note Registrar acts;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there will at all times be a Paying Agent in New York City.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duly authorized series (the Series) of debt securities of the Company (hereinafter called the Securities), issued and to be issued under an indenture dated March 1, 2007, as supplemented by the First Supplemental Indenture dated as of October 27, 2017, the Second Supplemental Indenture dated as of March 10, 2020 and the Third Supplemental Indenture dated as of October 22, 2021 (collectively, the Indenture) between the Company and Deutsche Bank Trust Company Americas, as trustee (the Trustee), to which Indenture and all other indentures supplemental thereto reference is hereby made for a statement of the rights and limitations of rights thereunder of the Holders of the Securities and of the rights, obligations and duties of the Company, the Trustee and the Paying Agent for this Note, and the terms upon which the Securities are, and are to be, authenticated and delivered. The Securities may be issued in one or more series, which different series may be issued in various principal amounts, may mature at different times, may bear interest, if any, at different rates, may be subject to different redemption provisions, if any, may be subject to different covenants and Events of Default and may otherwise vary as provided or permitted in the Indenture. This Note is one of the series of Securities designated as 5.350% Senior Notes Due 2064 (herein called the Notes), initially limited in aggregate principal amount to $650,000,000. </w:t>
      </w:r>
    </w:p>
    <w:p>
      <w:pPr>
        <w:pStyle w:val="TextBody"/>
        <w:bidi w:val="0"/>
        <w:spacing w:before="240" w:after="0"/>
        <w:jc w:val="left"/>
        <w:rPr>
          <w:rFonts w:ascii="Times New Roman" w:hAnsi="Times New Roman"/>
          <w:sz w:val="20"/>
        </w:rPr>
      </w:pPr>
      <w:r>
        <w:rPr>
          <w:rFonts w:ascii="Times New Roman" w:hAnsi="Times New Roman"/>
          <w:sz w:val="20"/>
        </w:rPr>
        <w:t xml:space="preserve">Each capitalized term used herein and not otherwise defined herein shall have the meaning assigned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without the consent of the Holders of the Notes, reopen this Series of Notes and issue additional notes on separate dates, which shall form a single series and shall have the same terms; </w:t>
      </w:r>
      <w:r>
        <w:rPr>
          <w:rFonts w:ascii="Times New Roman" w:hAnsi="Times New Roman"/>
          <w:sz w:val="20"/>
          <w:u w:val="single"/>
        </w:rPr>
        <w:t>provided</w:t>
      </w:r>
      <w:r>
        <w:rPr>
          <w:rFonts w:ascii="Times New Roman" w:hAnsi="Times New Roman"/>
          <w:sz w:val="20"/>
        </w:rPr>
        <w:t xml:space="preserve"> that such additional notes shall not be issued with the same CUSIP number as the Notes unless such additional notes are issued for U.S. federal income tax purposes in a qualified reopening or are otherwise treated as part of the same issue for U.S. federal income tax purposes. Such further notes will be consolidated and form a single series with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Note is subject to redemption, in whole or in part, at the option of the Company at any time or from time to time, upon mailed notice to the registered address of each holder of notes to be redeemed at least 10 days but not more than 60 days prior to the redemption. Prior to September 1, 2063 (six months prior to the maturity date of the Notes (the Par Call Date)), the make-whole premium redemption price will be equal to the greater of (1) 100% of the principal amount of the notes to be redeemed and (2)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Accrued interest will be paid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the Par Call Date, the Notes are redeemable, in whole or in part, at any time and from time to time, at the Companys option at a redemption price equal to 100% of the principal amount of such notes to be redeemed plus accrued interest to, but not including, the redemption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Any redemption may, at the Companys discretion, be subject to one or more conditions precedent, which will be set forth in the related notice of redemption, including, but not limited to, completion of an offering or financing or other transaction or event. In addition, if such redemption is subject to satisfaction of one or more conditions precedent, such notice will describe each such condition, and if applicable, will state that, in the Companys discretion, the redemption date may be delayed until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redemption date will not be more than 60 days after the date of the notice of redemption) as any or all such conditions will be satisfied, or such redemption may not occur and such notice may be rescinded in the event that any or all such conditions will not have been satisfied by the redemption date, or by the redemption date as so delayed.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(the Depository) (or another depository), the redemption of the notes shall be done in accordance with the policies and procedures of the depository. </w:t>
      </w:r>
    </w:p>
    <w:p>
      <w:pPr>
        <w:pStyle w:val="TextBody"/>
        <w:bidi w:val="0"/>
        <w:spacing w:before="240" w:after="0"/>
        <w:jc w:val="left"/>
        <w:rPr>
          <w:rFonts w:ascii="Times New Roman" w:hAnsi="Times New Roman"/>
          <w:sz w:val="20"/>
        </w:rPr>
      </w:pPr>
      <w:r>
        <w:rPr>
          <w:rFonts w:ascii="Times New Roman" w:hAnsi="Times New Roman"/>
          <w:sz w:val="20"/>
        </w:rPr>
        <w:t xml:space="preserve">If any such condition precedent has not been satisfied, the Company will provide written notice to the Trustee prior to the close of business one business day prior to the redemption date. Upon receipt of such notice, the notice of redemption will be rescinded or delayed, and the redemption of the notes will be rescinded or delayed as provided in such notice. Upon receipt, the Trustee will provide such notice to each holder in the same manner in which the notice of redemption was given. </w:t>
      </w:r>
    </w:p>
    <w:p>
      <w:pPr>
        <w:pStyle w:val="TextBody"/>
        <w:bidi w:val="0"/>
        <w:spacing w:before="240" w:after="0"/>
        <w:jc w:val="left"/>
        <w:rPr>
          <w:rFonts w:ascii="Times New Roman" w:hAnsi="Times New Roman"/>
          <w:sz w:val="20"/>
        </w:rPr>
      </w:pPr>
      <w:r>
        <w:rPr>
          <w:rFonts w:ascii="Times New Roman" w:hAnsi="Times New Roman"/>
          <w:sz w:val="20"/>
        </w:rPr>
        <w:t xml:space="preserve">On and after a redemption date, interest will cease to accrue on the notes called for redemption (unless the Company defaults in the payment of the redemption price and accrued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a redemption date, the Company will deposit with a paying agent (or the Trustee) money sufficient to pay the redemption price of and accrued interest on the notes to be redeemed on that date. This Note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 shall occur and be continuing, the Trustee or the Holders of not less than 25% in principal amount of the Outstanding Notes may declare the principal of all the Notes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hereof or in lieu hereof, whether or not notation of such consent or waiver is made upon this Note.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in the case of a defeasance, 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and in the Indenture prescribed.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Indenture, the Company may satisfy and discharge its obligations with respect to the Notes by depositing in trust for the Holders of the Outstanding Notes an amount in cash or the equivalent in securities of the government which issued the currency in which the Notes are denominated or government agencies backed by the full faith and credit of such government sufficient to pay and discharge the entire indebtedness on the Notes for principal of and premium, if any, and interest then due or to become due to the Stated Maturity of the principal of the Notes (a defeasance). In such event, a Company will be released and discharged from its obligations to pay interest on the Notes and to pay the principal thereof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Note may be registered on the Note Register of the Company upon surrender of this Note for registration of transfer at the office or agency of the Company in New York City duly endorsed by, or accompanied by a written instrument of transfer in form satisfactory to the Company and the Note Registrar duly executed by, the Holder hereof or by his attorney duly authorized in writing, and thereupon one or more new Notes in registered form, of authorized denominations and for the same aggregate principal amount, will be issued in the name or names of the designated transferee or transferees and delivered at the office of the Note Registrar in New York City, or mailed, at the request, risk and expense of such transferee or transferees, to the address or addresses shown in the Note Register for such transferee or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due presentment of this Note for registration of transfer, the Company, the Trustee, the Note Registrar and any agent of the Company, the Trustee or the Note Registrar may treat the person in whose name this Note is registered as the owner hereof for all purposes, whether or not this Note is overdue, and neither the Company, the Trustee, the Note Registrar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This Note is issuable only in fully registered form, without coupons, in minimum denominations of $2,000 and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will be made for a transfer or exchange of the Notes, but the Company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This Note (the Global Note) is a Global Security as referred to in the Indenture and is not exchangeable for one or more certificated Notes; provided, however, that if at any time the Depository notifies the Company that it is unwilling or unable to continue as Depository or if at any time the Depository shall no longer be eligible or in good standing under the Securities Exchange Act of 1934, as amended, or any other applicable statute or regulation, the Company shall appoint a successor Depository. If a successor Depository is not appointed by the Company within 90 days after the Company receives such notice or becomes aware of such ineligibility,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may at any time and in its sole discretion determine that the Notes represented by this Global Note shall no longer be represented by this Global Note. In such event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all the obligations of the Company hereunder are direct, senior unsecured and unsubordinated obligations of the Company and rank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all other senior unsecured and unsubordinated indebtedness of the Company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manually executed by or on behalf of the Trustee under the Indenture, this Note shall not be entitled to any benefits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HONEYWELL INTERNATIONAL INC. has caused this Note to be manually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March 1,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79"/>
        <w:gridCol w:w="124"/>
        <w:gridCol w:w="2679"/>
      </w:tblGrid>
      <w:tr>
        <w:trPr/>
        <w:tc>
          <w:tcPr>
            <w:tcW w:w="127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HONEYWELL INTERNATIONAL INC.</w:t>
            </w:r>
          </w:p>
        </w:tc>
      </w:tr>
      <w:tr>
        <w:trPr>
          <w:trHeight w:val="240" w:hRule="atLeast"/>
        </w:trPr>
        <w:tc>
          <w:tcPr>
            <w:tcW w:w="1279" w:type="dxa"/>
            <w:tcBorders/>
            <w:vAlign w:val="center"/>
          </w:tcPr>
          <w:p>
            <w:pPr>
              <w:pStyle w:val="TableContents"/>
              <w:bidi w:val="0"/>
              <w:spacing w:before="0" w:after="283"/>
              <w:jc w:val="left"/>
              <w:rPr>
                <w:sz w:val="4"/>
                <w:szCs w:val="4"/>
              </w:rPr>
            </w:pPr>
            <w:r>
              <w:rPr>
                <w:sz w:val="4"/>
                <w:szCs w:val="4"/>
              </w:rPr>
            </w:r>
          </w:p>
        </w:tc>
        <w:tc>
          <w:tcPr>
            <w:tcW w:w="2803" w:type="dxa"/>
            <w:gridSpan w:val="2"/>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283"/>
              <w:jc w:val="left"/>
              <w:rPr/>
            </w:pPr>
            <w:r>
              <w:rPr/>
              <w:t>By:</w:t>
            </w:r>
          </w:p>
        </w:tc>
        <w:tc>
          <w:tcPr>
            <w:tcW w:w="124" w:type="dxa"/>
            <w:tcBorders/>
            <w:vAlign w:val="bottom"/>
          </w:tcPr>
          <w:p>
            <w:pPr>
              <w:pStyle w:val="TableContents"/>
              <w:bidi w:val="0"/>
              <w:spacing w:before="0" w:after="283"/>
              <w:jc w:val="left"/>
              <w:rPr/>
            </w:pPr>
            <w:r>
              <w:rPr/>
              <w:t> </w:t>
            </w:r>
          </w:p>
        </w:tc>
        <w:tc>
          <w:tcPr>
            <w:tcW w:w="2679" w:type="dxa"/>
            <w:tcBorders/>
          </w:tcPr>
          <w:p>
            <w:pPr>
              <w:pStyle w:val="TableContents"/>
              <w:pBdr>
                <w:bottom w:val="single" w:sz="2" w:space="1" w:color="000000"/>
              </w:pBdr>
              <w:bidi w:val="0"/>
              <w:spacing w:before="0" w:after="20"/>
              <w:jc w:val="left"/>
              <w:rPr/>
            </w:pPr>
            <w:r>
              <w:rPr/>
              <w:t>   </w:t>
            </w:r>
          </w:p>
        </w:tc>
      </w:tr>
      <w:tr>
        <w:trPr/>
        <w:tc>
          <w:tcPr>
            <w:tcW w:w="1279" w:type="dxa"/>
            <w:tcBorders/>
          </w:tcPr>
          <w:p>
            <w:pPr>
              <w:pStyle w:val="TableContents"/>
              <w:bidi w:val="0"/>
              <w:spacing w:before="0" w:after="283"/>
              <w:jc w:val="left"/>
              <w:rPr/>
            </w:pPr>
            <w:r>
              <w:rPr/>
              <w:t>Name:</w:t>
            </w:r>
          </w:p>
        </w:tc>
        <w:tc>
          <w:tcPr>
            <w:tcW w:w="124" w:type="dxa"/>
            <w:tcBorders/>
            <w:vAlign w:val="bottom"/>
          </w:tcPr>
          <w:p>
            <w:pPr>
              <w:pStyle w:val="TableContents"/>
              <w:bidi w:val="0"/>
              <w:spacing w:before="0" w:after="283"/>
              <w:jc w:val="left"/>
              <w:rPr/>
            </w:pPr>
            <w:r>
              <w:rPr/>
              <w:t> </w:t>
            </w:r>
          </w:p>
        </w:tc>
        <w:tc>
          <w:tcPr>
            <w:tcW w:w="2679" w:type="dxa"/>
            <w:tcBorders/>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283"/>
              <w:jc w:val="left"/>
              <w:rPr/>
            </w:pPr>
            <w:r>
              <w:rPr/>
              <w:t>Title:</w:t>
            </w:r>
          </w:p>
        </w:tc>
        <w:tc>
          <w:tcPr>
            <w:tcW w:w="124" w:type="dxa"/>
            <w:tcBorders/>
            <w:vAlign w:val="bottom"/>
          </w:tcPr>
          <w:p>
            <w:pPr>
              <w:pStyle w:val="TableContents"/>
              <w:bidi w:val="0"/>
              <w:spacing w:before="0" w:after="283"/>
              <w:jc w:val="left"/>
              <w:rPr/>
            </w:pPr>
            <w:r>
              <w:rPr/>
              <w:t> </w:t>
            </w:r>
          </w:p>
        </w:tc>
        <w:tc>
          <w:tcPr>
            <w:tcW w:w="267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10"/>
        <w:gridCol w:w="60"/>
        <w:gridCol w:w="3312"/>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710" w:type="dxa"/>
            <w:tcBorders/>
            <w:vAlign w:val="center"/>
          </w:tcPr>
          <w:p>
            <w:pPr>
              <w:pStyle w:val="TableContents"/>
              <w:bidi w:val="0"/>
              <w:spacing w:before="0" w:after="283"/>
              <w:jc w:val="left"/>
              <w:rPr>
                <w:sz w:val="4"/>
                <w:szCs w:val="4"/>
              </w:rPr>
            </w:pPr>
            <w:r>
              <w:rPr>
                <w:sz w:val="4"/>
                <w:szCs w:val="4"/>
              </w:rPr>
            </w:r>
          </w:p>
        </w:tc>
        <w:tc>
          <w:tcPr>
            <w:tcW w:w="3372"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2" w:type="dxa"/>
            <w:tcBorders/>
          </w:tcPr>
          <w:p>
            <w:pPr>
              <w:pStyle w:val="TableContents"/>
              <w:pBdr>
                <w:bottom w:val="single" w:sz="2" w:space="1" w:color="000000"/>
              </w:pBdr>
              <w:bidi w:val="0"/>
              <w:spacing w:before="0" w:after="20"/>
              <w:jc w:val="left"/>
              <w:rPr/>
            </w:pPr>
            <w:r>
              <w:rPr/>
              <w:t>   </w:t>
            </w:r>
          </w:p>
        </w:tc>
      </w:tr>
      <w:tr>
        <w:trPr/>
        <w:tc>
          <w:tcPr>
            <w:tcW w:w="71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2" w:type="dxa"/>
            <w:tcBorders/>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240" w:after="0"/>
        <w:jc w:val="left"/>
        <w:rPr>
          <w:rFonts w:ascii="Times New Roman" w:hAnsi="Times New Roman"/>
          <w:sz w:val="20"/>
        </w:rPr>
      </w:pPr>
      <w:r>
        <w:rPr>
          <w:rFonts w:ascii="Times New Roman" w:hAnsi="Times New Roman"/>
          <w:b/>
          <w:sz w:val="20"/>
        </w:rPr>
        <w:t>TEN COM</w:t>
      </w:r>
      <w:r>
        <w:rPr>
          <w:rFonts w:ascii="Times New Roman" w:hAnsi="Times New Roman"/>
          <w:sz w:val="20"/>
        </w:rPr>
        <w:t xml:space="preserve">as tenants in common </w:t>
      </w:r>
    </w:p>
    <w:p>
      <w:pPr>
        <w:pStyle w:val="TextBody"/>
        <w:bidi w:val="0"/>
        <w:spacing w:before="240" w:after="0"/>
        <w:jc w:val="left"/>
        <w:rPr>
          <w:rFonts w:ascii="Times New Roman" w:hAnsi="Times New Roman"/>
          <w:sz w:val="20"/>
        </w:rPr>
      </w:pPr>
      <w:r>
        <w:rPr>
          <w:rFonts w:ascii="Times New Roman" w:hAnsi="Times New Roman"/>
          <w:b/>
          <w:sz w:val="20"/>
        </w:rPr>
        <w:t>UNIF GIFT MIN ACT_____________________</w:t>
      </w:r>
      <w:r>
        <w:rPr>
          <w:rFonts w:ascii="Times New Roman" w:hAnsi="Times New Roman"/>
          <w:sz w:val="20"/>
        </w:rPr>
        <w:t xml:space="preserve">Custodian_________________________ </w:t>
      </w:r>
    </w:p>
    <w:p>
      <w:pPr>
        <w:pStyle w:val="TextBody"/>
        <w:bidi w:val="0"/>
        <w:spacing w:before="240" w:after="0"/>
        <w:jc w:val="center"/>
        <w:rPr>
          <w:rFonts w:ascii="Times New Roman" w:hAnsi="Times New Roman"/>
          <w:sz w:val="20"/>
        </w:rPr>
      </w:pPr>
      <w:r>
        <w:rPr>
          <w:rFonts w:ascii="Times New Roman" w:hAnsi="Times New Roman"/>
          <w:sz w:val="20"/>
        </w:rPr>
        <w:t xml:space="preserve">Under Uniform Gifts to Minors Act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b/>
          <w:sz w:val="20"/>
        </w:rPr>
        <w:t>TEN ENT</w:t>
      </w:r>
      <w:r>
        <w:rPr>
          <w:rFonts w:ascii="Times New Roman" w:hAnsi="Times New Roman"/>
          <w:sz w:val="20"/>
        </w:rPr>
        <w:t xml:space="preserve">as tenants by the entireties </w:t>
      </w:r>
    </w:p>
    <w:p>
      <w:pPr>
        <w:pStyle w:val="TextBody"/>
        <w:bidi w:val="0"/>
        <w:spacing w:before="240" w:after="0"/>
        <w:jc w:val="left"/>
        <w:rPr>
          <w:rFonts w:ascii="Times New Roman" w:hAnsi="Times New Roman"/>
          <w:sz w:val="20"/>
        </w:rPr>
      </w:pPr>
      <w:r>
        <w:rPr>
          <w:rFonts w:ascii="Times New Roman" w:hAnsi="Times New Roman"/>
          <w:b/>
          <w:sz w:val="20"/>
        </w:rPr>
        <w:t>JT TEN</w:t>
      </w:r>
      <w:r>
        <w:rPr>
          <w:rFonts w:ascii="Times New Roman" w:hAnsi="Times New Roman"/>
          <w:sz w:val="20"/>
        </w:rPr>
        <w:t xml:space="preserve">as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240" w:after="0"/>
        <w:jc w:val="left"/>
        <w:rPr>
          <w:rFonts w:ascii="Times New Roman" w:hAnsi="Times New Roman"/>
          <w:sz w:val="20"/>
        </w:rPr>
      </w:pPr>
      <w:r>
        <w:rPr>
          <w:rFonts w:ascii="Times New Roman" w:hAnsi="Times New Roman"/>
          <w:sz w:val="20"/>
        </w:rPr>
        <w:t xml:space="preserve">FOR THE VALUE RECEIVED, the undersigned hereby sell(s), assign(s) and transfer(s) unto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0"/>
              <w:jc w:val="left"/>
              <w:rPr>
                <w:rFonts w:ascii="Times New Roman" w:hAnsi="Times New Roman"/>
                <w:sz w:val="20"/>
              </w:rPr>
            </w:pPr>
            <w:r>
              <w:rPr>
                <w:rFonts w:ascii="Times New Roman" w:hAnsi="Times New Roman"/>
                <w:sz w:val="20"/>
              </w:rPr>
              <w:t>Please Insert Social Security or Other Identifying Number of Assignee:</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PLEASE PRINT OR TYPEWRITE NAME AND ADDRESS </w:t>
      </w:r>
    </w:p>
    <w:p>
      <w:pPr>
        <w:pStyle w:val="TextBody"/>
        <w:bidi w:val="0"/>
        <w:spacing w:before="0" w:after="0"/>
        <w:jc w:val="center"/>
        <w:rPr>
          <w:rFonts w:ascii="Times New Roman" w:hAnsi="Times New Roman"/>
          <w:sz w:val="20"/>
        </w:rPr>
      </w:pPr>
      <w:r>
        <w:rPr>
          <w:rFonts w:ascii="Times New Roman" w:hAnsi="Times New Roman"/>
          <w:sz w:val="20"/>
        </w:rPr>
        <w:t xml:space="preserve">INCLUDING ZIP CODE OF ASSIGNEE: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within Note and all rights thereunder, hereby irrevocably constituting and appointing ___________ attorney to transfer said Note on the books of the Company,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3"/>
        <w:gridCol w:w="102"/>
        <w:gridCol w:w="713"/>
        <w:gridCol w:w="101"/>
        <w:gridCol w:w="4696"/>
      </w:tblGrid>
      <w:tr>
        <w:trPr/>
        <w:tc>
          <w:tcPr>
            <w:tcW w:w="459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pPr>
            <w:r>
              <w:rPr/>
              <w:t>Dated: </w:t>
            </w:r>
            <w:r>
              <w:rPr>
                <w:u w:val="single"/>
              </w:rPr>
              <w:t>              </w:t>
            </w:r>
          </w:p>
        </w:tc>
        <w:tc>
          <w:tcPr>
            <w:tcW w:w="102"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NOTICE: The signature to this assignment must correspond with the name as written upon the face of the within instrument in every particular, without alteration or enlargement, or any change whatever.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of one of its authorized signatories, this Note shall not be entitled to any benefit under the Indenture or be valid or obligatory for any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9"/>
        <w:gridCol w:w="120"/>
        <w:gridCol w:w="496"/>
        <w:gridCol w:w="120"/>
        <w:gridCol w:w="714"/>
        <w:gridCol w:w="172"/>
        <w:gridCol w:w="4534"/>
      </w:tblGrid>
      <w:tr>
        <w:trPr/>
        <w:tc>
          <w:tcPr>
            <w:tcW w:w="40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4534" w:type="dxa"/>
            <w:tcBorders/>
            <w:vAlign w:val="center"/>
          </w:tcPr>
          <w:p>
            <w:pPr>
              <w:pStyle w:val="TableContents"/>
              <w:bidi w:val="0"/>
              <w:spacing w:before="0" w:after="283"/>
              <w:jc w:val="left"/>
              <w:rPr>
                <w:sz w:val="4"/>
                <w:szCs w:val="4"/>
              </w:rPr>
            </w:pPr>
            <w:r>
              <w:rPr>
                <w:sz w:val="4"/>
                <w:szCs w:val="4"/>
              </w:rPr>
            </w:r>
          </w:p>
        </w:tc>
      </w:tr>
      <w:tr>
        <w:trPr/>
        <w:tc>
          <w:tcPr>
            <w:tcW w:w="4049" w:type="dxa"/>
            <w:tcBorders/>
          </w:tcPr>
          <w:p>
            <w:pPr>
              <w:pStyle w:val="TableContents"/>
              <w:bidi w:val="0"/>
              <w:spacing w:before="0" w:after="283"/>
              <w:jc w:val="left"/>
              <w:rPr/>
            </w:pPr>
            <w:r>
              <w:rPr/>
              <w:t>Dated: March 1, 2024</w:t>
            </w:r>
          </w:p>
        </w:tc>
        <w:tc>
          <w:tcPr>
            <w:tcW w:w="120"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420" w:type="dxa"/>
            <w:gridSpan w:val="3"/>
            <w:tcBorders/>
          </w:tcPr>
          <w:p>
            <w:pPr>
              <w:pStyle w:val="TableContents"/>
              <w:bidi w:val="0"/>
              <w:spacing w:before="0" w:after="283"/>
              <w:jc w:val="left"/>
              <w:rPr/>
            </w:pPr>
            <w:r>
              <w:rPr/>
              <w:t>CERTIFICATE OF AUTHENTICATION</w:t>
            </w:r>
          </w:p>
        </w:tc>
      </w:tr>
      <w:tr>
        <w:trPr>
          <w:trHeight w:val="240" w:hRule="atLeast"/>
        </w:trPr>
        <w:tc>
          <w:tcPr>
            <w:tcW w:w="4049" w:type="dxa"/>
            <w:tcBorders/>
            <w:vAlign w:val="center"/>
          </w:tcPr>
          <w:p>
            <w:pPr>
              <w:pStyle w:val="TableContents"/>
              <w:bidi w:val="0"/>
              <w:spacing w:before="0" w:after="283"/>
              <w:jc w:val="left"/>
              <w:rPr>
                <w:sz w:val="4"/>
                <w:szCs w:val="4"/>
              </w:rPr>
            </w:pPr>
            <w:r>
              <w:rPr>
                <w:sz w:val="4"/>
                <w:szCs w:val="4"/>
              </w:rPr>
            </w:r>
          </w:p>
        </w:tc>
        <w:tc>
          <w:tcPr>
            <w:tcW w:w="616" w:type="dxa"/>
            <w:gridSpan w:val="2"/>
            <w:tcBorders/>
            <w:vAlign w:val="center"/>
          </w:tcPr>
          <w:p>
            <w:pPr>
              <w:pStyle w:val="TableContents"/>
              <w:bidi w:val="0"/>
              <w:spacing w:before="0" w:after="283"/>
              <w:jc w:val="left"/>
              <w:rPr>
                <w:sz w:val="4"/>
                <w:szCs w:val="4"/>
              </w:rPr>
            </w:pPr>
            <w:r>
              <w:rPr>
                <w:sz w:val="4"/>
                <w:szCs w:val="4"/>
              </w:rPr>
            </w:r>
          </w:p>
        </w:tc>
        <w:tc>
          <w:tcPr>
            <w:tcW w:w="5540" w:type="dxa"/>
            <w:gridSpan w:val="4"/>
            <w:tcBorders/>
            <w:vAlign w:val="center"/>
          </w:tcPr>
          <w:p>
            <w:pPr>
              <w:pStyle w:val="TableContents"/>
              <w:bidi w:val="0"/>
              <w:spacing w:before="0" w:after="283"/>
              <w:jc w:val="left"/>
              <w:rPr>
                <w:sz w:val="4"/>
                <w:szCs w:val="4"/>
              </w:rPr>
            </w:pPr>
            <w:r>
              <w:rPr>
                <w:sz w:val="4"/>
                <w:szCs w:val="4"/>
              </w:rPr>
            </w:r>
          </w:p>
        </w:tc>
      </w:tr>
      <w:tr>
        <w:trPr/>
        <w:tc>
          <w:tcPr>
            <w:tcW w:w="40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420" w:type="dxa"/>
            <w:gridSpan w:val="3"/>
            <w:tcBorders/>
          </w:tcPr>
          <w:p>
            <w:pPr>
              <w:pStyle w:val="TableContents"/>
              <w:bidi w:val="0"/>
              <w:spacing w:before="0" w:after="283"/>
              <w:jc w:val="left"/>
              <w:rPr/>
            </w:pPr>
            <w:r>
              <w:rPr/>
              <w:t>This is one of the Securities of the series designated therein referred to in the within-mentioned Indenture.</w:t>
            </w:r>
          </w:p>
        </w:tc>
      </w:tr>
      <w:tr>
        <w:trPr>
          <w:trHeight w:val="240" w:hRule="atLeast"/>
        </w:trPr>
        <w:tc>
          <w:tcPr>
            <w:tcW w:w="4049" w:type="dxa"/>
            <w:tcBorders/>
            <w:vAlign w:val="center"/>
          </w:tcPr>
          <w:p>
            <w:pPr>
              <w:pStyle w:val="TableContents"/>
              <w:bidi w:val="0"/>
              <w:spacing w:before="0" w:after="283"/>
              <w:jc w:val="left"/>
              <w:rPr>
                <w:sz w:val="4"/>
                <w:szCs w:val="4"/>
              </w:rPr>
            </w:pPr>
            <w:r>
              <w:rPr>
                <w:sz w:val="4"/>
                <w:szCs w:val="4"/>
              </w:rPr>
            </w:r>
          </w:p>
        </w:tc>
        <w:tc>
          <w:tcPr>
            <w:tcW w:w="616" w:type="dxa"/>
            <w:gridSpan w:val="2"/>
            <w:tcBorders/>
            <w:vAlign w:val="center"/>
          </w:tcPr>
          <w:p>
            <w:pPr>
              <w:pStyle w:val="TableContents"/>
              <w:bidi w:val="0"/>
              <w:spacing w:before="0" w:after="283"/>
              <w:jc w:val="left"/>
              <w:rPr>
                <w:sz w:val="4"/>
                <w:szCs w:val="4"/>
              </w:rPr>
            </w:pPr>
            <w:r>
              <w:rPr>
                <w:sz w:val="4"/>
                <w:szCs w:val="4"/>
              </w:rPr>
            </w:r>
          </w:p>
        </w:tc>
        <w:tc>
          <w:tcPr>
            <w:tcW w:w="5540" w:type="dxa"/>
            <w:gridSpan w:val="4"/>
            <w:tcBorders/>
            <w:vAlign w:val="center"/>
          </w:tcPr>
          <w:p>
            <w:pPr>
              <w:pStyle w:val="TableContents"/>
              <w:bidi w:val="0"/>
              <w:spacing w:before="0" w:after="283"/>
              <w:jc w:val="left"/>
              <w:rPr>
                <w:sz w:val="4"/>
                <w:szCs w:val="4"/>
              </w:rPr>
            </w:pPr>
            <w:r>
              <w:rPr>
                <w:sz w:val="4"/>
                <w:szCs w:val="4"/>
              </w:rPr>
            </w:r>
          </w:p>
        </w:tc>
      </w:tr>
      <w:tr>
        <w:trPr/>
        <w:tc>
          <w:tcPr>
            <w:tcW w:w="40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420" w:type="dxa"/>
            <w:gridSpan w:val="3"/>
            <w:tcBorders/>
          </w:tcPr>
          <w:p>
            <w:pPr>
              <w:pStyle w:val="TableContents"/>
              <w:bidi w:val="0"/>
              <w:spacing w:before="0" w:after="283"/>
              <w:jc w:val="left"/>
              <w:rPr/>
            </w:pPr>
            <w:r>
              <w:rPr/>
              <w:t>Deutsche Bank Trust Company Americas, as Trustee</w:t>
            </w:r>
          </w:p>
        </w:tc>
      </w:tr>
      <w:tr>
        <w:trPr>
          <w:trHeight w:val="240" w:hRule="atLeast"/>
        </w:trPr>
        <w:tc>
          <w:tcPr>
            <w:tcW w:w="4049" w:type="dxa"/>
            <w:tcBorders/>
            <w:vAlign w:val="center"/>
          </w:tcPr>
          <w:p>
            <w:pPr>
              <w:pStyle w:val="TableContents"/>
              <w:bidi w:val="0"/>
              <w:spacing w:before="0" w:after="283"/>
              <w:jc w:val="left"/>
              <w:rPr>
                <w:sz w:val="4"/>
                <w:szCs w:val="4"/>
              </w:rPr>
            </w:pPr>
            <w:r>
              <w:rPr>
                <w:sz w:val="4"/>
                <w:szCs w:val="4"/>
              </w:rPr>
            </w:r>
          </w:p>
        </w:tc>
        <w:tc>
          <w:tcPr>
            <w:tcW w:w="616" w:type="dxa"/>
            <w:gridSpan w:val="2"/>
            <w:tcBorders/>
            <w:vAlign w:val="center"/>
          </w:tcPr>
          <w:p>
            <w:pPr>
              <w:pStyle w:val="TableContents"/>
              <w:bidi w:val="0"/>
              <w:spacing w:before="0" w:after="283"/>
              <w:jc w:val="left"/>
              <w:rPr>
                <w:sz w:val="4"/>
                <w:szCs w:val="4"/>
              </w:rPr>
            </w:pPr>
            <w:r>
              <w:rPr>
                <w:sz w:val="4"/>
                <w:szCs w:val="4"/>
              </w:rPr>
            </w:r>
          </w:p>
        </w:tc>
        <w:tc>
          <w:tcPr>
            <w:tcW w:w="834" w:type="dxa"/>
            <w:gridSpan w:val="2"/>
            <w:tcBorders/>
            <w:vAlign w:val="center"/>
          </w:tcPr>
          <w:p>
            <w:pPr>
              <w:pStyle w:val="TableContents"/>
              <w:bidi w:val="0"/>
              <w:spacing w:before="0" w:after="283"/>
              <w:jc w:val="left"/>
              <w:rPr>
                <w:sz w:val="4"/>
                <w:szCs w:val="4"/>
              </w:rPr>
            </w:pPr>
            <w:r>
              <w:rPr>
                <w:sz w:val="4"/>
                <w:szCs w:val="4"/>
              </w:rPr>
            </w:r>
          </w:p>
        </w:tc>
        <w:tc>
          <w:tcPr>
            <w:tcW w:w="4706" w:type="dxa"/>
            <w:gridSpan w:val="2"/>
            <w:tcBorders/>
            <w:vAlign w:val="center"/>
          </w:tcPr>
          <w:p>
            <w:pPr>
              <w:pStyle w:val="TableContents"/>
              <w:bidi w:val="0"/>
              <w:spacing w:before="0" w:after="283"/>
              <w:jc w:val="left"/>
              <w:rPr>
                <w:sz w:val="4"/>
                <w:szCs w:val="4"/>
              </w:rPr>
            </w:pPr>
            <w:r>
              <w:rPr>
                <w:sz w:val="4"/>
                <w:szCs w:val="4"/>
              </w:rPr>
            </w:r>
          </w:p>
        </w:tc>
      </w:tr>
      <w:tr>
        <w:trPr/>
        <w:tc>
          <w:tcPr>
            <w:tcW w:w="40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By:</w:t>
            </w:r>
          </w:p>
        </w:tc>
        <w:tc>
          <w:tcPr>
            <w:tcW w:w="172" w:type="dxa"/>
            <w:tcBorders/>
            <w:vAlign w:val="bottom"/>
          </w:tcPr>
          <w:p>
            <w:pPr>
              <w:pStyle w:val="TableContents"/>
              <w:bidi w:val="0"/>
              <w:spacing w:before="0" w:after="283"/>
              <w:jc w:val="left"/>
              <w:rPr/>
            </w:pPr>
            <w:r>
              <w:rPr/>
              <w:t> </w:t>
            </w:r>
          </w:p>
        </w:tc>
        <w:tc>
          <w:tcPr>
            <w:tcW w:w="4534" w:type="dxa"/>
            <w:tcBorders/>
          </w:tcPr>
          <w:p>
            <w:pPr>
              <w:pStyle w:val="TableContents"/>
              <w:pBdr>
                <w:bottom w:val="single" w:sz="2" w:space="1" w:color="000000"/>
              </w:pBdr>
              <w:bidi w:val="0"/>
              <w:spacing w:before="0" w:after="20"/>
              <w:jc w:val="left"/>
              <w:rPr/>
            </w:pPr>
            <w:r>
              <w:rPr/>
              <w:t>   </w:t>
            </w:r>
          </w:p>
        </w:tc>
      </w:tr>
      <w:tr>
        <w:trPr/>
        <w:tc>
          <w:tcPr>
            <w:tcW w:w="40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4534" w:type="dxa"/>
            <w:tcBorders/>
          </w:tcPr>
          <w:p>
            <w:pPr>
              <w:pStyle w:val="TableContents"/>
              <w:bidi w:val="0"/>
              <w:spacing w:before="0" w:after="283"/>
              <w:jc w:val="left"/>
              <w:rPr/>
            </w:pPr>
            <w:r>
              <w:rPr/>
              <w:t>Name:</w:t>
            </w:r>
          </w:p>
        </w:tc>
      </w:tr>
      <w:tr>
        <w:trPr/>
        <w:tc>
          <w:tcPr>
            <w:tcW w:w="40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4534"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 Global Note] </w:t>
      </w:r>
    </w:p>
    <w:p>
      <w:pPr>
        <w:pStyle w:val="TextBody"/>
        <w:bidi w:val="0"/>
        <w:spacing w:before="0" w:after="0"/>
        <w:jc w:val="right"/>
        <w:rPr>
          <w:rFonts w:ascii="Times New Roman" w:hAnsi="Times New Roman"/>
          <w:b/>
          <w:sz w:val="20"/>
        </w:rPr>
      </w:pPr>
      <w:bookmarkStart w:id="16" w:name="d788022dex51.htm"/>
      <w:bookmarkStart w:id="17" w:name="ksd788022dex51"/>
      <w:bookmarkEnd w:id="16"/>
      <w:bookmarkEnd w:id="1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716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371600" cy="266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6"/>
        <w:gridCol w:w="120"/>
        <w:gridCol w:w="3882"/>
        <w:gridCol w:w="120"/>
        <w:gridCol w:w="3497"/>
      </w:tblGrid>
      <w:tr>
        <w:trPr/>
        <w:tc>
          <w:tcPr>
            <w:tcW w:w="25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97" w:type="dxa"/>
            <w:tcBorders/>
            <w:vAlign w:val="center"/>
          </w:tcPr>
          <w:p>
            <w:pPr>
              <w:pStyle w:val="TableContents"/>
              <w:bidi w:val="0"/>
              <w:spacing w:before="0" w:after="283"/>
              <w:jc w:val="left"/>
              <w:rPr>
                <w:sz w:val="4"/>
                <w:szCs w:val="4"/>
              </w:rPr>
            </w:pPr>
            <w:r>
              <w:rPr>
                <w:sz w:val="4"/>
                <w:szCs w:val="4"/>
              </w:rPr>
            </w:r>
          </w:p>
        </w:tc>
      </w:tr>
      <w:tr>
        <w:trPr/>
        <w:tc>
          <w:tcPr>
            <w:tcW w:w="2586" w:type="dxa"/>
            <w:tcBorders/>
          </w:tcPr>
          <w:p>
            <w:pPr>
              <w:pStyle w:val="TableContents"/>
              <w:bidi w:val="0"/>
              <w:spacing w:before="0" w:after="283"/>
              <w:jc w:val="left"/>
              <w:rPr>
                <w:b/>
              </w:rPr>
            </w:pPr>
            <w:r>
              <w:rPr>
                <w:b/>
              </w:rPr>
              <w:t>Su Ping Lu</w:t>
            </w:r>
          </w:p>
        </w:tc>
        <w:tc>
          <w:tcPr>
            <w:tcW w:w="120" w:type="dxa"/>
            <w:tcBorders/>
            <w:vAlign w:val="bottom"/>
          </w:tcPr>
          <w:p>
            <w:pPr>
              <w:pStyle w:val="TableContents"/>
              <w:bidi w:val="0"/>
              <w:spacing w:before="0" w:after="283"/>
              <w:jc w:val="left"/>
              <w:rPr/>
            </w:pPr>
            <w:r>
              <w:rPr/>
              <w:t>  </w:t>
            </w:r>
          </w:p>
        </w:tc>
        <w:tc>
          <w:tcPr>
            <w:tcW w:w="3882" w:type="dxa"/>
            <w:tcBorders/>
          </w:tcPr>
          <w:p>
            <w:pPr>
              <w:pStyle w:val="TableContents"/>
              <w:bidi w:val="0"/>
              <w:spacing w:before="0" w:after="283"/>
              <w:jc w:val="left"/>
              <w:rPr>
                <w:b/>
              </w:rPr>
            </w:pPr>
            <w:r>
              <w:rPr>
                <w:b/>
              </w:rPr>
              <w:t>Honeywell</w:t>
            </w:r>
          </w:p>
        </w:tc>
        <w:tc>
          <w:tcPr>
            <w:tcW w:w="120" w:type="dxa"/>
            <w:tcBorders/>
            <w:vAlign w:val="bottom"/>
          </w:tcPr>
          <w:p>
            <w:pPr>
              <w:pStyle w:val="TableContents"/>
              <w:bidi w:val="0"/>
              <w:spacing w:before="0" w:after="283"/>
              <w:jc w:val="left"/>
              <w:rPr/>
            </w:pPr>
            <w:r>
              <w:rPr/>
              <w:t>  </w:t>
            </w:r>
          </w:p>
        </w:tc>
        <w:tc>
          <w:tcPr>
            <w:tcW w:w="3497" w:type="dxa"/>
            <w:tcBorders/>
          </w:tcPr>
          <w:p>
            <w:pPr>
              <w:pStyle w:val="TableContents"/>
              <w:bidi w:val="0"/>
              <w:spacing w:before="0" w:after="283"/>
              <w:jc w:val="left"/>
              <w:rPr>
                <w:sz w:val="4"/>
                <w:szCs w:val="4"/>
              </w:rPr>
            </w:pPr>
            <w:r>
              <w:rPr>
                <w:sz w:val="4"/>
                <w:szCs w:val="4"/>
              </w:rPr>
            </w:r>
          </w:p>
        </w:tc>
      </w:tr>
      <w:tr>
        <w:trPr/>
        <w:tc>
          <w:tcPr>
            <w:tcW w:w="258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Corporate</w:t>
            </w:r>
          </w:p>
          <w:p>
            <w:pPr>
              <w:pStyle w:val="TableContents"/>
              <w:bidi w:val="0"/>
              <w:spacing w:before="0" w:after="20"/>
              <w:jc w:val="left"/>
              <w:rPr>
                <w:rFonts w:ascii="Times New Roman" w:hAnsi="Times New Roman"/>
                <w:sz w:val="20"/>
              </w:rPr>
            </w:pPr>
            <w:r>
              <w:rPr>
                <w:rFonts w:ascii="Times New Roman" w:hAnsi="Times New Roman"/>
                <w:sz w:val="20"/>
              </w:rPr>
              <w:t>Secretary and Deputy General</w:t>
            </w:r>
          </w:p>
        </w:tc>
        <w:tc>
          <w:tcPr>
            <w:tcW w:w="120" w:type="dxa"/>
            <w:tcBorders/>
            <w:vAlign w:val="bottom"/>
          </w:tcPr>
          <w:p>
            <w:pPr>
              <w:pStyle w:val="TableContents"/>
              <w:bidi w:val="0"/>
              <w:spacing w:before="0" w:after="283"/>
              <w:jc w:val="left"/>
              <w:rPr/>
            </w:pPr>
            <w:r>
              <w:rPr/>
              <w:t>  </w:t>
            </w:r>
          </w:p>
        </w:tc>
        <w:tc>
          <w:tcPr>
            <w:tcW w:w="3882" w:type="dxa"/>
            <w:tcBorders/>
          </w:tcPr>
          <w:p>
            <w:pPr>
              <w:pStyle w:val="TableContents"/>
              <w:bidi w:val="0"/>
              <w:spacing w:before="0" w:after="0"/>
              <w:jc w:val="left"/>
              <w:rPr>
                <w:rFonts w:ascii="Times New Roman" w:hAnsi="Times New Roman"/>
                <w:sz w:val="20"/>
              </w:rPr>
            </w:pPr>
            <w:r>
              <w:rPr>
                <w:rFonts w:ascii="Times New Roman" w:hAnsi="Times New Roman"/>
                <w:sz w:val="20"/>
              </w:rPr>
              <w:t>855 South Mint Street</w:t>
            </w:r>
          </w:p>
          <w:p>
            <w:pPr>
              <w:pStyle w:val="TableContents"/>
              <w:bidi w:val="0"/>
              <w:spacing w:before="0" w:after="20"/>
              <w:jc w:val="left"/>
              <w:rPr>
                <w:rFonts w:ascii="Times New Roman" w:hAnsi="Times New Roman"/>
                <w:sz w:val="20"/>
              </w:rPr>
            </w:pPr>
            <w:r>
              <w:rPr>
                <w:rFonts w:ascii="Times New Roman" w:hAnsi="Times New Roman"/>
                <w:sz w:val="20"/>
              </w:rPr>
              <w:t>Charlotte, NC 28202</w:t>
            </w:r>
          </w:p>
        </w:tc>
        <w:tc>
          <w:tcPr>
            <w:tcW w:w="120" w:type="dxa"/>
            <w:tcBorders/>
            <w:vAlign w:val="bottom"/>
          </w:tcPr>
          <w:p>
            <w:pPr>
              <w:pStyle w:val="TableContents"/>
              <w:bidi w:val="0"/>
              <w:spacing w:before="0" w:after="283"/>
              <w:jc w:val="left"/>
              <w:rPr/>
            </w:pPr>
            <w:r>
              <w:rPr/>
              <w:t>  </w:t>
            </w:r>
          </w:p>
        </w:tc>
        <w:tc>
          <w:tcPr>
            <w:tcW w:w="3497" w:type="dxa"/>
            <w:tcBorders/>
          </w:tcPr>
          <w:p>
            <w:pPr>
              <w:pStyle w:val="TableContents"/>
              <w:bidi w:val="0"/>
              <w:spacing w:before="0" w:after="283"/>
              <w:jc w:val="left"/>
              <w:rPr>
                <w:sz w:val="4"/>
                <w:szCs w:val="4"/>
              </w:rPr>
            </w:pPr>
            <w:r>
              <w:rPr>
                <w:sz w:val="4"/>
                <w:szCs w:val="4"/>
              </w:rPr>
            </w:r>
          </w:p>
        </w:tc>
      </w:tr>
      <w:tr>
        <w:trPr/>
        <w:tc>
          <w:tcPr>
            <w:tcW w:w="2586" w:type="dxa"/>
            <w:tcBorders/>
          </w:tcPr>
          <w:p>
            <w:pPr>
              <w:pStyle w:val="TableContents"/>
              <w:bidi w:val="0"/>
              <w:spacing w:before="0" w:after="283"/>
              <w:jc w:val="left"/>
              <w:rPr/>
            </w:pPr>
            <w:r>
              <w:rPr/>
              <w:t>Counsel</w:t>
            </w:r>
          </w:p>
        </w:tc>
        <w:tc>
          <w:tcPr>
            <w:tcW w:w="120" w:type="dxa"/>
            <w:tcBorders/>
            <w:vAlign w:val="bottom"/>
          </w:tcPr>
          <w:p>
            <w:pPr>
              <w:pStyle w:val="TableContents"/>
              <w:bidi w:val="0"/>
              <w:spacing w:before="0" w:after="283"/>
              <w:jc w:val="left"/>
              <w:rPr/>
            </w:pPr>
            <w:r>
              <w:rPr/>
              <w:t>  </w:t>
            </w:r>
          </w:p>
        </w:tc>
        <w:tc>
          <w:tcPr>
            <w:tcW w:w="3882" w:type="dxa"/>
            <w:tcBorders/>
          </w:tcPr>
          <w:p>
            <w:pPr>
              <w:pStyle w:val="TableContents"/>
              <w:bidi w:val="0"/>
              <w:spacing w:before="0" w:after="283"/>
              <w:jc w:val="left"/>
              <w:rPr>
                <w:b/>
              </w:rPr>
            </w:pPr>
            <w:r>
              <w:rPr>
                <w:b/>
              </w:rPr>
              <w:t>www.honeywell.com</w:t>
            </w:r>
          </w:p>
        </w:tc>
        <w:tc>
          <w:tcPr>
            <w:tcW w:w="120" w:type="dxa"/>
            <w:tcBorders/>
            <w:vAlign w:val="bottom"/>
          </w:tcPr>
          <w:p>
            <w:pPr>
              <w:pStyle w:val="TableContents"/>
              <w:bidi w:val="0"/>
              <w:spacing w:before="0" w:after="283"/>
              <w:jc w:val="left"/>
              <w:rPr/>
            </w:pPr>
            <w:r>
              <w:rPr/>
              <w:t>  </w:t>
            </w:r>
          </w:p>
        </w:tc>
        <w:tc>
          <w:tcPr>
            <w:tcW w:w="3497" w:type="dxa"/>
            <w:tcBorders/>
          </w:tcPr>
          <w:p>
            <w:pPr>
              <w:pStyle w:val="TableContents"/>
              <w:bidi w:val="0"/>
              <w:spacing w:before="0" w:after="0"/>
              <w:jc w:val="right"/>
              <w:rPr>
                <w:rFonts w:ascii="Times New Roman" w:hAnsi="Times New Roman"/>
                <w:sz w:val="20"/>
              </w:rPr>
            </w:pPr>
            <w:r>
              <w:rPr>
                <w:rFonts w:ascii="Times New Roman" w:hAnsi="Times New Roman"/>
                <w:sz w:val="20"/>
              </w:rPr>
              <w:t>March 1, 2024</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Honeywell International Inc. </w:t>
      </w:r>
    </w:p>
    <w:p>
      <w:pPr>
        <w:pStyle w:val="TextBody"/>
        <w:bidi w:val="0"/>
        <w:spacing w:before="0" w:after="0"/>
        <w:jc w:val="left"/>
        <w:rPr>
          <w:rFonts w:ascii="Times New Roman" w:hAnsi="Times New Roman"/>
          <w:sz w:val="20"/>
        </w:rPr>
      </w:pPr>
      <w:r>
        <w:rPr>
          <w:rFonts w:ascii="Times New Roman" w:hAnsi="Times New Roman"/>
          <w:sz w:val="20"/>
        </w:rPr>
        <w:t xml:space="preserve">855 South Mint Street </w:t>
      </w:r>
    </w:p>
    <w:p>
      <w:pPr>
        <w:pStyle w:val="TextBody"/>
        <w:bidi w:val="0"/>
        <w:spacing w:before="0" w:after="0"/>
        <w:jc w:val="left"/>
        <w:rPr>
          <w:rFonts w:ascii="Times New Roman" w:hAnsi="Times New Roman"/>
          <w:sz w:val="20"/>
        </w:rPr>
      </w:pPr>
      <w:r>
        <w:rPr>
          <w:rFonts w:ascii="Times New Roman" w:hAnsi="Times New Roman"/>
          <w:sz w:val="20"/>
        </w:rPr>
        <w:t xml:space="preserve">Charlotte, NC 28202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Re: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Honeywell International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I am Vice President, Corporate Secretary and Deputy General Counsel of Honeywell International Inc., a Delaware corporation (the Company). This opinion is being rendered in connection with the issuance and sale of the Companys 750,000,000 3.375% Senior Notes Due 2030 and 750,000,000 3.750% Senior Notes Due 2036 (collectively, the Notes) in accordance with Rule 415 under the Securities Act of 1933, as amended (the Securities Act), pursuant to the Registration Statement on Form S-3 (File No. 333-260437)(the Registration Statement) filed with the Securities and Exchange Commission (the Commission) under the Securities Act. The Registration Statement contains a prospectus (the Shelf Prospectus) relating to the issuance and sale by the Company from time to time, as shall be set forth in one or more supplements to the Shelf Prospectus, of the Companys debt. </w:t>
      </w:r>
    </w:p>
    <w:p>
      <w:pPr>
        <w:pStyle w:val="TextBody"/>
        <w:bidi w:val="0"/>
        <w:spacing w:before="240" w:after="0"/>
        <w:jc w:val="left"/>
        <w:rPr>
          <w:rFonts w:ascii="Times New Roman" w:hAnsi="Times New Roman"/>
          <w:sz w:val="20"/>
        </w:rPr>
      </w:pPr>
      <w:r>
        <w:rPr>
          <w:rFonts w:ascii="Times New Roman" w:hAnsi="Times New Roman"/>
          <w:sz w:val="20"/>
        </w:rPr>
        <w:t xml:space="preserve">As counsel for the Company, I have examined such documents, including the Registration Statement, the Indenture between the Company and Deutsche Bank Trust Company Americas, as trustee, as may be supplemented from time to time (the Indenture), the Amended and Restated Certificate of Incorporation and By-laws, as amended, of the Company and certain resolutions of the Board of Directors of the Company (the Board) relating to issuance of the Notes (the Resolutions). I have also reviewed such questions of law as I have considered necessary and appropriate for the purposes of the opinions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below, I have assumed the authenticity of all documents submitted to me as originals, the genuineness of all signatures and the conformity to authentic originals of all documents submitted to me as copies. I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this opinion, I have relied upon certificates of officers of the Company and of public officials. I have also assumed that, at the time of the authentication and delivery of the Notes, the Resolutions will not have been modified or rescinded, there will not have occurred any change in the law affecting the authorization, execution, delivery, validity or enforceability of such Notes, the Registration Statement will be effective and will continue to be effective, none of the particular terms of such Notes will violate any applicable law and neither the issuance and sale thereof nor the compliance by the Company with the terms thereof will result in a violation of any agreement or instrument then binding upon the Company or any order of any court or governmental body having jurisdiction over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and subject to the qualifications and limitations stated herein, I am of the opinion that: </w:t>
      </w:r>
    </w:p>
    <w:p>
      <w:pPr>
        <w:pStyle w:val="TextBody"/>
        <w:bidi w:val="0"/>
        <w:spacing w:before="240" w:after="0"/>
        <w:jc w:val="left"/>
        <w:rPr>
          <w:rFonts w:ascii="Times New Roman" w:hAnsi="Times New Roman"/>
          <w:sz w:val="20"/>
        </w:rPr>
      </w:pPr>
      <w:r>
        <w:rPr>
          <w:rFonts w:ascii="Times New Roman" w:hAnsi="Times New Roman"/>
          <w:sz w:val="20"/>
        </w:rPr>
        <w:t xml:space="preserve">1. The Company has been duly incorporated and is a validly existing corporation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2. The Notes have been duly authorized by all requisite corporate action and constitute valid and binding obligations of the Company, enforceable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subject to the following qualifications and exceptions: </w:t>
      </w:r>
    </w:p>
    <w:p>
      <w:pPr>
        <w:pStyle w:val="TextBody"/>
        <w:bidi w:val="0"/>
        <w:spacing w:before="240" w:after="0"/>
        <w:jc w:val="left"/>
        <w:rPr>
          <w:rFonts w:ascii="Times New Roman" w:hAnsi="Times New Roman"/>
          <w:sz w:val="20"/>
        </w:rPr>
      </w:pPr>
      <w:r>
        <w:rPr>
          <w:rFonts w:ascii="Times New Roman" w:hAnsi="Times New Roman"/>
          <w:sz w:val="20"/>
        </w:rPr>
        <w:t xml:space="preserve">(a) The opinion is subject to the effect of any applicable bankruptcy, insolvency, reorganization, moratorium or other similar law of general application affecting creditors rights. </w:t>
      </w:r>
    </w:p>
    <w:p>
      <w:pPr>
        <w:pStyle w:val="TextBody"/>
        <w:bidi w:val="0"/>
        <w:spacing w:before="240" w:after="0"/>
        <w:jc w:val="left"/>
        <w:rPr>
          <w:rFonts w:ascii="Times New Roman" w:hAnsi="Times New Roman"/>
          <w:sz w:val="20"/>
        </w:rPr>
      </w:pPr>
      <w:r>
        <w:rPr>
          <w:rFonts w:ascii="Times New Roman" w:hAnsi="Times New Roman"/>
          <w:sz w:val="20"/>
        </w:rPr>
        <w:t xml:space="preserve">(b) The opinion is subject to the effect of general principles of equity, including (without limitation) concepts of materiality, reasonableness, good faith and fair dealing, and other similar doctrines affecting the enforceability of agreements generally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opinion, a judgment for money in an action based on a Debt Security denominated in a foreign currency or currency unit in a federal or state court in the United States ordinarily would be enforced in the United States only in United States dollars. The date used to determine the rate of conversion into United States dollars of the foreign currency or currency unit in which a particular Debt Security is denominated will depend on various factors, including which court renders the judgment. Under Section 27 of the New York Judiciary Law, a state court in the State of New York rendering a judgment on a Debt Security would be required to render such judgment in the foreign currency or currency unit in which such Debt Security is denominated, and such judgment would be converted into United States dollars at the exchange rate prevailing on the date of entry of the judgment. </w:t>
      </w:r>
    </w:p>
    <w:p>
      <w:pPr>
        <w:pStyle w:val="TextBody"/>
        <w:bidi w:val="0"/>
        <w:spacing w:before="240" w:after="0"/>
        <w:jc w:val="left"/>
        <w:rPr>
          <w:rFonts w:ascii="Times New Roman" w:hAnsi="Times New Roman"/>
          <w:sz w:val="20"/>
        </w:rPr>
      </w:pPr>
      <w:r>
        <w:rPr>
          <w:rFonts w:ascii="Times New Roman" w:hAnsi="Times New Roman"/>
          <w:sz w:val="20"/>
        </w:rPr>
        <w:t xml:space="preserve">My opinion expressed above is limited to the laws of the State of New York, the General Corporation Law of the State of Delaware (including the applicable provisions of the Delaware Constitution and reported judicial decisions interpreting the Law) and the federal laws of the United States of America, and I express no opinion as to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 hereby consent to the inclusion of this opinion letter as an exhibit to the Registration Statement and the reference to me under the caption Legal Matters. In giving such consent, I do not thereby admit that I am in the category of persons whose consent is required under Section 7 of the Securities Act of 1933.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7160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371600" cy="266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5"/>
        <w:gridCol w:w="207"/>
        <w:gridCol w:w="7553"/>
      </w:tblGrid>
      <w:tr>
        <w:trPr/>
        <w:tc>
          <w:tcPr>
            <w:tcW w:w="2445"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7553" w:type="dxa"/>
            <w:tcBorders/>
            <w:vAlign w:val="center"/>
          </w:tcPr>
          <w:p>
            <w:pPr>
              <w:pStyle w:val="TableContents"/>
              <w:bidi w:val="0"/>
              <w:spacing w:before="0" w:after="283"/>
              <w:jc w:val="left"/>
              <w:rPr>
                <w:sz w:val="4"/>
                <w:szCs w:val="4"/>
              </w:rPr>
            </w:pPr>
            <w:r>
              <w:rPr>
                <w:sz w:val="4"/>
                <w:szCs w:val="4"/>
              </w:rPr>
            </w:r>
          </w:p>
        </w:tc>
      </w:tr>
      <w:tr>
        <w:trPr/>
        <w:tc>
          <w:tcPr>
            <w:tcW w:w="2445" w:type="dxa"/>
            <w:tcBorders/>
          </w:tcPr>
          <w:p>
            <w:pPr>
              <w:pStyle w:val="TableContents"/>
              <w:bidi w:val="0"/>
              <w:spacing w:before="0" w:after="283"/>
              <w:jc w:val="left"/>
              <w:rPr>
                <w:b/>
              </w:rPr>
            </w:pPr>
            <w:r>
              <w:rPr>
                <w:b/>
              </w:rPr>
              <w:t>Su Ping Lu</w:t>
            </w:r>
          </w:p>
        </w:tc>
        <w:tc>
          <w:tcPr>
            <w:tcW w:w="207"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283"/>
              <w:jc w:val="left"/>
              <w:rPr>
                <w:b/>
              </w:rPr>
            </w:pPr>
            <w:r>
              <w:rPr>
                <w:b/>
              </w:rPr>
              <w:t>Honeywell</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Corporate</w:t>
            </w:r>
          </w:p>
          <w:p>
            <w:pPr>
              <w:pStyle w:val="TableContents"/>
              <w:bidi w:val="0"/>
              <w:spacing w:before="0" w:after="20"/>
              <w:jc w:val="left"/>
              <w:rPr>
                <w:rFonts w:ascii="Times New Roman" w:hAnsi="Times New Roman"/>
                <w:sz w:val="20"/>
              </w:rPr>
            </w:pPr>
            <w:r>
              <w:rPr>
                <w:rFonts w:ascii="Times New Roman" w:hAnsi="Times New Roman"/>
                <w:sz w:val="20"/>
              </w:rPr>
              <w:t>Secretary and Deputy General</w:t>
            </w:r>
          </w:p>
        </w:tc>
        <w:tc>
          <w:tcPr>
            <w:tcW w:w="207"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855 South Mint Street</w:t>
            </w:r>
          </w:p>
          <w:p>
            <w:pPr>
              <w:pStyle w:val="TableContents"/>
              <w:bidi w:val="0"/>
              <w:spacing w:before="0" w:after="20"/>
              <w:jc w:val="left"/>
              <w:rPr>
                <w:rFonts w:ascii="Times New Roman" w:hAnsi="Times New Roman"/>
                <w:sz w:val="20"/>
              </w:rPr>
            </w:pPr>
            <w:r>
              <w:rPr>
                <w:rFonts w:ascii="Times New Roman" w:hAnsi="Times New Roman"/>
                <w:sz w:val="20"/>
              </w:rPr>
              <w:t>Charlotte, NC 28202</w:t>
            </w:r>
          </w:p>
        </w:tc>
      </w:tr>
      <w:tr>
        <w:trPr/>
        <w:tc>
          <w:tcPr>
            <w:tcW w:w="2445" w:type="dxa"/>
            <w:tcBorders/>
          </w:tcPr>
          <w:p>
            <w:pPr>
              <w:pStyle w:val="TableContents"/>
              <w:bidi w:val="0"/>
              <w:spacing w:before="0" w:after="283"/>
              <w:jc w:val="left"/>
              <w:rPr/>
            </w:pPr>
            <w:r>
              <w:rPr/>
              <w:t>Counsel</w:t>
            </w:r>
          </w:p>
        </w:tc>
        <w:tc>
          <w:tcPr>
            <w:tcW w:w="207"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283"/>
              <w:jc w:val="left"/>
              <w:rPr>
                <w:b/>
              </w:rPr>
            </w:pPr>
            <w:r>
              <w:rPr>
                <w:b/>
              </w:rPr>
              <w:t>www.honeywell.com</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54"/>
        <w:gridCol w:w="311"/>
        <w:gridCol w:w="1158"/>
        <w:gridCol w:w="130"/>
        <w:gridCol w:w="1129"/>
      </w:tblGrid>
      <w:tr>
        <w:trPr/>
        <w:tc>
          <w:tcPr>
            <w:tcW w:w="1354"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Very truly yours,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 Ping Lu</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Su Ping Lu</w:t>
            </w:r>
          </w:p>
        </w:tc>
      </w:tr>
      <w:tr>
        <w:trPr/>
        <w:tc>
          <w:tcPr>
            <w:tcW w:w="4082" w:type="dxa"/>
            <w:gridSpan w:val="5"/>
            <w:tcBorders/>
          </w:tcPr>
          <w:p>
            <w:pPr>
              <w:pStyle w:val="TableContents"/>
              <w:bidi w:val="0"/>
              <w:spacing w:before="0" w:after="283"/>
              <w:jc w:val="left"/>
              <w:rPr/>
            </w:pPr>
            <w:r>
              <w:rPr/>
              <w:t>Corporate Secretary</w:t>
            </w:r>
          </w:p>
        </w:tc>
      </w:tr>
    </w:tbl>
    <w:p>
      <w:pPr>
        <w:pStyle w:val="TextBody"/>
        <w:bidi w:val="0"/>
        <w:spacing w:before="0" w:after="0"/>
        <w:jc w:val="right"/>
        <w:rPr>
          <w:rFonts w:ascii="Times New Roman" w:hAnsi="Times New Roman"/>
          <w:b/>
          <w:sz w:val="20"/>
        </w:rPr>
      </w:pPr>
      <w:bookmarkStart w:id="18" w:name="d788022dex52.htm"/>
      <w:bookmarkStart w:id="19" w:name="ksd788022dex52"/>
      <w:bookmarkEnd w:id="18"/>
      <w:bookmarkEnd w:id="19"/>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7160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371600" cy="266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9"/>
        <w:gridCol w:w="121"/>
        <w:gridCol w:w="7405"/>
      </w:tblGrid>
      <w:tr>
        <w:trPr/>
        <w:tc>
          <w:tcPr>
            <w:tcW w:w="26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405" w:type="dxa"/>
            <w:tcBorders/>
            <w:vAlign w:val="center"/>
          </w:tcPr>
          <w:p>
            <w:pPr>
              <w:pStyle w:val="TableContents"/>
              <w:bidi w:val="0"/>
              <w:spacing w:before="0" w:after="283"/>
              <w:jc w:val="left"/>
              <w:rPr>
                <w:sz w:val="4"/>
                <w:szCs w:val="4"/>
              </w:rPr>
            </w:pPr>
            <w:r>
              <w:rPr>
                <w:sz w:val="4"/>
                <w:szCs w:val="4"/>
              </w:rPr>
            </w:r>
          </w:p>
        </w:tc>
      </w:tr>
      <w:tr>
        <w:trPr/>
        <w:tc>
          <w:tcPr>
            <w:tcW w:w="2679" w:type="dxa"/>
            <w:tcBorders/>
          </w:tcPr>
          <w:p>
            <w:pPr>
              <w:pStyle w:val="TableContents"/>
              <w:bidi w:val="0"/>
              <w:spacing w:before="0" w:after="283"/>
              <w:jc w:val="left"/>
              <w:rPr>
                <w:b/>
              </w:rPr>
            </w:pPr>
            <w:r>
              <w:rPr>
                <w:b/>
              </w:rPr>
              <w:t>Su Ping Lu</w:t>
            </w:r>
          </w:p>
        </w:tc>
        <w:tc>
          <w:tcPr>
            <w:tcW w:w="121" w:type="dxa"/>
            <w:tcBorders/>
            <w:vAlign w:val="bottom"/>
          </w:tcPr>
          <w:p>
            <w:pPr>
              <w:pStyle w:val="TableContents"/>
              <w:bidi w:val="0"/>
              <w:spacing w:before="0" w:after="283"/>
              <w:jc w:val="left"/>
              <w:rPr/>
            </w:pPr>
            <w:r>
              <w:rPr/>
              <w:t>  </w:t>
            </w:r>
          </w:p>
        </w:tc>
        <w:tc>
          <w:tcPr>
            <w:tcW w:w="7405" w:type="dxa"/>
            <w:tcBorders/>
          </w:tcPr>
          <w:p>
            <w:pPr>
              <w:pStyle w:val="TableContents"/>
              <w:bidi w:val="0"/>
              <w:spacing w:before="0" w:after="283"/>
              <w:jc w:val="left"/>
              <w:rPr>
                <w:b/>
              </w:rPr>
            </w:pPr>
            <w:r>
              <w:rPr>
                <w:b/>
              </w:rPr>
              <w:t>Honeywell</w:t>
            </w:r>
          </w:p>
        </w:tc>
      </w:tr>
      <w:tr>
        <w:trPr/>
        <w:tc>
          <w:tcPr>
            <w:tcW w:w="2679" w:type="dxa"/>
            <w:tcBorders/>
          </w:tcPr>
          <w:p>
            <w:pPr>
              <w:pStyle w:val="TableContents"/>
              <w:bidi w:val="0"/>
              <w:spacing w:before="0" w:after="283"/>
              <w:jc w:val="left"/>
              <w:rPr/>
            </w:pPr>
            <w:r>
              <w:rPr/>
              <w:t>Vice President, Corporate</w:t>
            </w:r>
          </w:p>
        </w:tc>
        <w:tc>
          <w:tcPr>
            <w:tcW w:w="121" w:type="dxa"/>
            <w:tcBorders/>
            <w:vAlign w:val="bottom"/>
          </w:tcPr>
          <w:p>
            <w:pPr>
              <w:pStyle w:val="TableContents"/>
              <w:bidi w:val="0"/>
              <w:spacing w:before="0" w:after="283"/>
              <w:jc w:val="left"/>
              <w:rPr/>
            </w:pPr>
            <w:r>
              <w:rPr/>
              <w:t>  </w:t>
            </w:r>
          </w:p>
        </w:tc>
        <w:tc>
          <w:tcPr>
            <w:tcW w:w="7405" w:type="dxa"/>
            <w:tcBorders/>
          </w:tcPr>
          <w:p>
            <w:pPr>
              <w:pStyle w:val="TableContents"/>
              <w:bidi w:val="0"/>
              <w:spacing w:before="0" w:after="283"/>
              <w:jc w:val="left"/>
              <w:rPr/>
            </w:pPr>
            <w:r>
              <w:rPr/>
              <w:t>855 South Mint Street</w:t>
            </w:r>
          </w:p>
        </w:tc>
      </w:tr>
      <w:tr>
        <w:trPr/>
        <w:tc>
          <w:tcPr>
            <w:tcW w:w="2679" w:type="dxa"/>
            <w:tcBorders/>
          </w:tcPr>
          <w:p>
            <w:pPr>
              <w:pStyle w:val="TableContents"/>
              <w:bidi w:val="0"/>
              <w:spacing w:before="0" w:after="283"/>
              <w:jc w:val="left"/>
              <w:rPr/>
            </w:pPr>
            <w:r>
              <w:rPr/>
              <w:t>Secretary and Deputy</w:t>
            </w:r>
          </w:p>
        </w:tc>
        <w:tc>
          <w:tcPr>
            <w:tcW w:w="121" w:type="dxa"/>
            <w:tcBorders/>
            <w:vAlign w:val="bottom"/>
          </w:tcPr>
          <w:p>
            <w:pPr>
              <w:pStyle w:val="TableContents"/>
              <w:bidi w:val="0"/>
              <w:spacing w:before="0" w:after="283"/>
              <w:jc w:val="left"/>
              <w:rPr/>
            </w:pPr>
            <w:r>
              <w:rPr/>
              <w:t>  </w:t>
            </w:r>
          </w:p>
        </w:tc>
        <w:tc>
          <w:tcPr>
            <w:tcW w:w="7405" w:type="dxa"/>
            <w:tcBorders/>
          </w:tcPr>
          <w:p>
            <w:pPr>
              <w:pStyle w:val="TableContents"/>
              <w:bidi w:val="0"/>
              <w:spacing w:before="0" w:after="283"/>
              <w:jc w:val="left"/>
              <w:rPr/>
            </w:pPr>
            <w:r>
              <w:rPr/>
              <w:t>Charlotte, NC 28202</w:t>
            </w:r>
          </w:p>
        </w:tc>
      </w:tr>
      <w:tr>
        <w:trPr/>
        <w:tc>
          <w:tcPr>
            <w:tcW w:w="2679" w:type="dxa"/>
            <w:tcBorders/>
          </w:tcPr>
          <w:p>
            <w:pPr>
              <w:pStyle w:val="TableContents"/>
              <w:bidi w:val="0"/>
              <w:spacing w:before="0" w:after="283"/>
              <w:jc w:val="left"/>
              <w:rPr/>
            </w:pPr>
            <w:r>
              <w:rPr/>
              <w:t>General Counsel</w:t>
            </w:r>
          </w:p>
        </w:tc>
        <w:tc>
          <w:tcPr>
            <w:tcW w:w="121" w:type="dxa"/>
            <w:tcBorders/>
            <w:vAlign w:val="bottom"/>
          </w:tcPr>
          <w:p>
            <w:pPr>
              <w:pStyle w:val="TableContents"/>
              <w:bidi w:val="0"/>
              <w:spacing w:before="0" w:after="283"/>
              <w:jc w:val="left"/>
              <w:rPr/>
            </w:pPr>
            <w:r>
              <w:rPr/>
              <w:t>  </w:t>
            </w:r>
          </w:p>
        </w:tc>
        <w:tc>
          <w:tcPr>
            <w:tcW w:w="7405" w:type="dxa"/>
            <w:tcBorders/>
          </w:tcPr>
          <w:p>
            <w:pPr>
              <w:pStyle w:val="TableContents"/>
              <w:bidi w:val="0"/>
              <w:spacing w:before="0" w:after="283"/>
              <w:jc w:val="left"/>
              <w:rPr>
                <w:b/>
              </w:rPr>
            </w:pPr>
            <w:r>
              <w:rPr>
                <w:b/>
              </w:rPr>
              <w:t>www.honeywell.com</w:t>
            </w:r>
          </w:p>
        </w:tc>
      </w:tr>
    </w:tbl>
    <w:p>
      <w:pPr>
        <w:pStyle w:val="TextBody"/>
        <w:bidi w:val="0"/>
        <w:spacing w:before="240" w:after="0"/>
        <w:jc w:val="right"/>
        <w:rPr>
          <w:rFonts w:ascii="Times New Roman" w:hAnsi="Times New Roman"/>
          <w:sz w:val="20"/>
        </w:rPr>
      </w:pPr>
      <w:r>
        <w:rPr>
          <w:rFonts w:ascii="Times New Roman" w:hAnsi="Times New Roman"/>
          <w:sz w:val="20"/>
        </w:rPr>
        <w:t xml:space="preserve">March 1, 2024 </w:t>
      </w:r>
    </w:p>
    <w:p>
      <w:pPr>
        <w:pStyle w:val="TextBody"/>
        <w:bidi w:val="0"/>
        <w:spacing w:before="240" w:after="0"/>
        <w:jc w:val="left"/>
        <w:rPr>
          <w:rFonts w:ascii="Times New Roman" w:hAnsi="Times New Roman"/>
          <w:sz w:val="20"/>
        </w:rPr>
      </w:pPr>
      <w:r>
        <w:rPr>
          <w:rFonts w:ascii="Times New Roman" w:hAnsi="Times New Roman"/>
          <w:sz w:val="20"/>
        </w:rPr>
        <w:t xml:space="preserve">Honeywell International Inc. </w:t>
      </w:r>
    </w:p>
    <w:p>
      <w:pPr>
        <w:pStyle w:val="TextBody"/>
        <w:bidi w:val="0"/>
        <w:spacing w:before="0" w:after="0"/>
        <w:jc w:val="left"/>
        <w:rPr>
          <w:rFonts w:ascii="Times New Roman" w:hAnsi="Times New Roman"/>
          <w:sz w:val="20"/>
        </w:rPr>
      </w:pPr>
      <w:r>
        <w:rPr>
          <w:rFonts w:ascii="Times New Roman" w:hAnsi="Times New Roman"/>
          <w:sz w:val="20"/>
        </w:rPr>
        <w:t xml:space="preserve">855 South Mint Street </w:t>
      </w:r>
    </w:p>
    <w:p>
      <w:pPr>
        <w:pStyle w:val="TextBody"/>
        <w:bidi w:val="0"/>
        <w:spacing w:before="0" w:after="0"/>
        <w:jc w:val="left"/>
        <w:rPr>
          <w:rFonts w:ascii="Times New Roman" w:hAnsi="Times New Roman"/>
          <w:sz w:val="20"/>
        </w:rPr>
      </w:pPr>
      <w:r>
        <w:rPr>
          <w:rFonts w:ascii="Times New Roman" w:hAnsi="Times New Roman"/>
          <w:sz w:val="20"/>
        </w:rPr>
        <w:t xml:space="preserve">Charlotte, NC 28202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Re: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Honeywell International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I am Vice President, Corporate Secretary and Deputy General Counsel of Honeywell International Inc., a Delaware corporation (the Company). This opinion is being rendered in connection with the issuance and sale of the Companys $500,000,000 4.875% Senior Notes Due 2029, the $500,000,000 4.950% Senior Notes Due 2031, the $750,000,000 5.000% Senior Notes Due 2035, the $1,750,000,000 5.250% Senior Notes Due 2054 and the $650,000,000 5.350% Senior Notes Due 2064 (collectively, the Notes) in accordance with Rule 415 under the Securities Act of 1933, as amended (the Securities Act), pursuant to the Registration Statement on Form S-3 (File No. 333-260437) (the Registration Statement) filed with the Securities and Exchange Commission (the Commission) under the Securities Act. The Registration Statement contains a prospectus (the Shelf Prospectus) relating to the issuance and sale by the Company from time to time, as shall be set forth in one or more supplements to the Shelf Prospectus, of the Companys debt. </w:t>
      </w:r>
    </w:p>
    <w:p>
      <w:pPr>
        <w:pStyle w:val="TextBody"/>
        <w:bidi w:val="0"/>
        <w:spacing w:before="240" w:after="0"/>
        <w:jc w:val="left"/>
        <w:rPr>
          <w:rFonts w:ascii="Times New Roman" w:hAnsi="Times New Roman"/>
          <w:sz w:val="20"/>
        </w:rPr>
      </w:pPr>
      <w:r>
        <w:rPr>
          <w:rFonts w:ascii="Times New Roman" w:hAnsi="Times New Roman"/>
          <w:sz w:val="20"/>
        </w:rPr>
        <w:t xml:space="preserve">As counsel for the Company, I have examined such documents, including the Registration Statement, the Indenture between the Company and Deutsche Bank Trust Company Americas, as trustee, as may be supplemented from time to time (the Indenture), the Amended and Restated Certificate of Incorporation and By-laws, as amended, of the Company and certain resolutions of the Board of Directors of the Company (the Board) relating to issuance of the Notes (the Resolutions). I have also reviewed such questions of law as I have considered necessary and appropriate for the purposes of the opinions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below, I have assumed the authenticity of all documents submitted to me as originals, the genuineness of all signatures and the conformity to authentic originals of all documents submitted to me as copies. I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this opinion, I have relied upon certificates of officers of the Company and of public officials. I have also assumed that, at the time of the authentication and delivery of the Notes, the Resolutions will not have been modified or rescinded, there will not have occurred any change in the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affecting the authorization, execution, delivery, validity or enforceability of such Notes, the Registration Statement will be effective and will continue to be effective, none of the particular terms of such Notes will violate any applicable law and neither the issuance and sale thereof nor the compliance by the Company with the terms thereof will result in a violation of any agreement or instrument then binding upon the Company or any order of any court or governmental body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and limitations stated herein, I am of the opinion that: </w:t>
      </w:r>
    </w:p>
    <w:p>
      <w:pPr>
        <w:pStyle w:val="TextBody"/>
        <w:bidi w:val="0"/>
        <w:spacing w:before="240" w:after="0"/>
        <w:jc w:val="left"/>
        <w:rPr>
          <w:rFonts w:ascii="Times New Roman" w:hAnsi="Times New Roman"/>
          <w:sz w:val="20"/>
        </w:rPr>
      </w:pPr>
      <w:r>
        <w:rPr>
          <w:rFonts w:ascii="Times New Roman" w:hAnsi="Times New Roman"/>
          <w:sz w:val="20"/>
        </w:rPr>
        <w:t xml:space="preserve">1. The Company has been duly incorporated and is a validly existing corporation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2. The Notes have been duly authorized by all requisite corporate action and constitute valid and binding obligations of the Company, enforceable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subject to the following qualifications and exceptions: </w:t>
      </w:r>
    </w:p>
    <w:p>
      <w:pPr>
        <w:pStyle w:val="TextBody"/>
        <w:bidi w:val="0"/>
        <w:spacing w:before="240" w:after="0"/>
        <w:jc w:val="left"/>
        <w:rPr>
          <w:rFonts w:ascii="Times New Roman" w:hAnsi="Times New Roman"/>
          <w:sz w:val="20"/>
        </w:rPr>
      </w:pPr>
      <w:r>
        <w:rPr>
          <w:rFonts w:ascii="Times New Roman" w:hAnsi="Times New Roman"/>
          <w:sz w:val="20"/>
        </w:rPr>
        <w:t xml:space="preserve">(a) The opinion is subject to the effect of any applicable bankruptcy, insolvency, reorganization, moratorium or other similar law of general application affecting creditors rights. </w:t>
      </w:r>
    </w:p>
    <w:p>
      <w:pPr>
        <w:pStyle w:val="TextBody"/>
        <w:bidi w:val="0"/>
        <w:spacing w:before="240" w:after="0"/>
        <w:jc w:val="left"/>
        <w:rPr>
          <w:rFonts w:ascii="Times New Roman" w:hAnsi="Times New Roman"/>
          <w:sz w:val="20"/>
        </w:rPr>
      </w:pPr>
      <w:r>
        <w:rPr>
          <w:rFonts w:ascii="Times New Roman" w:hAnsi="Times New Roman"/>
          <w:sz w:val="20"/>
        </w:rPr>
        <w:t xml:space="preserve">(b) The opinion is subject to the effect of general principles of equity, including (without limitation) concepts of materiality, reasonableness, good faith and fair dealing, and other similar doctrines affecting the enforceability of agreements generally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My opinion expressed above is limited to the laws of the State of New York, the General Corporation Law of the State of Delaware (including the applicable provisions of the Delaware Constitution and reported judicial decisions interpreting the Law) and the federal laws of the United States of America, and I express no opinion as to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 hereby consent to the inclusion of this opinion letter as an exhibit to the Registration Statement and the reference to me under the caption Legal Matters. In giving such consent, I do not thereby admit that I am in the category of persons whose consent is required under Section 7 of the Securities Act of 1933.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 Ping Lu</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Su Ping Lu</w:t>
            </w:r>
          </w:p>
        </w:tc>
      </w:tr>
      <w:tr>
        <w:trPr/>
        <w:tc>
          <w:tcPr>
            <w:tcW w:w="4082" w:type="dxa"/>
            <w:tcBorders/>
          </w:tcPr>
          <w:p>
            <w:pPr>
              <w:pStyle w:val="TableContents"/>
              <w:bidi w:val="0"/>
              <w:spacing w:before="0" w:after="283"/>
              <w:jc w:val="left"/>
              <w:rPr/>
            </w:pPr>
            <w:r>
              <w:rPr/>
              <w:t>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73840/000093041307001888/c46982ex_4-1.htm" TargetMode="External"/><Relationship Id="rId3" Type="http://schemas.openxmlformats.org/officeDocument/2006/relationships/hyperlink" Target="http://www.sec.gov/Archives/edgar/data/773840/000093041317003664/c89629_ex4-2.htm" TargetMode="External"/><Relationship Id="rId4" Type="http://schemas.openxmlformats.org/officeDocument/2006/relationships/hyperlink" Target="http://www.sec.gov/Archives/edgar/data/773840/000119312520067922/d893665dex43.htm" TargetMode="External"/><Relationship Id="rId5" Type="http://schemas.openxmlformats.org/officeDocument/2006/relationships/hyperlink" Target="http://www.sec.gov/Archives/edgar/data/773840/000119312521305397/d225368dex48.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33293</Words>
  <Characters>162165</Characters>
  <CharactersWithSpaces>195776</CharactersWithSpaces>
  <Paragraphs>1483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