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2018</w:t>
      </w:r>
    </w:p>
    <w:p>
      <w:pPr>
        <w:spacing w:after="0" w:line="198"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20" w:type="dxa"/>
            <w:vAlign w:val="bottom"/>
            <w:gridSpan w:val="3"/>
          </w:tcPr>
          <w:p>
            <w:pPr>
              <w:jc w:val="center"/>
              <w:ind w:right="2980"/>
              <w:spacing w:after="0"/>
              <w:rPr>
                <w:sz w:val="20"/>
                <w:szCs w:val="20"/>
                <w:color w:val="auto"/>
              </w:rPr>
            </w:pPr>
            <w:r>
              <w:rPr>
                <w:rFonts w:ascii="Arial" w:cs="Arial" w:eastAsia="Arial" w:hAnsi="Arial"/>
                <w:sz w:val="18"/>
                <w:szCs w:val="18"/>
                <w:color w:val="auto"/>
                <w:w w:val="99"/>
              </w:rPr>
              <w:t>Delaware</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22-2640650</w:t>
            </w:r>
          </w:p>
        </w:tc>
        <w:tc>
          <w:tcPr>
            <w:tcW w:w="1140" w:type="dxa"/>
            <w:vAlign w:val="bottom"/>
          </w:tcPr>
          <w:p>
            <w:pPr>
              <w:spacing w:after="0"/>
              <w:rPr>
                <w:sz w:val="17"/>
                <w:szCs w:val="17"/>
                <w:color w:val="auto"/>
              </w:rPr>
            </w:pPr>
          </w:p>
        </w:tc>
      </w:tr>
      <w:tr>
        <w:trPr>
          <w:trHeight w:val="195"/>
        </w:trPr>
        <w:tc>
          <w:tcPr>
            <w:tcW w:w="1140" w:type="dxa"/>
            <w:vAlign w:val="bottom"/>
            <w:tcBorders>
              <w:top w:val="single" w:sz="8" w:color="auto"/>
            </w:tcBorders>
          </w:tcPr>
          <w:p>
            <w:pPr>
              <w:spacing w:after="0"/>
              <w:rPr>
                <w:sz w:val="16"/>
                <w:szCs w:val="16"/>
                <w:color w:val="auto"/>
              </w:rPr>
            </w:pPr>
          </w:p>
        </w:tc>
        <w:tc>
          <w:tcPr>
            <w:tcW w:w="4580" w:type="dxa"/>
            <w:vAlign w:val="bottom"/>
            <w:tcBorders>
              <w:top w:val="single" w:sz="8" w:color="auto"/>
            </w:tcBorders>
          </w:tcPr>
          <w:p>
            <w:pPr>
              <w:jc w:val="center"/>
              <w:ind w:right="1090"/>
              <w:spacing w:after="0" w:line="195" w:lineRule="exact"/>
              <w:rPr>
                <w:sz w:val="20"/>
                <w:szCs w:val="20"/>
                <w:color w:val="auto"/>
              </w:rPr>
            </w:pPr>
            <w:r>
              <w:rPr>
                <w:rFonts w:ascii="Arial" w:cs="Arial" w:eastAsia="Arial" w:hAnsi="Arial"/>
                <w:sz w:val="18"/>
                <w:szCs w:val="18"/>
                <w:color w:val="auto"/>
                <w:w w:val="99"/>
              </w:rPr>
              <w:t>(State or other jurisdiction of</w:t>
            </w:r>
          </w:p>
        </w:tc>
        <w:tc>
          <w:tcPr>
            <w:tcW w:w="1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2"/>
          </w:tcPr>
          <w:p>
            <w:pPr>
              <w:jc w:val="center"/>
              <w:ind w:right="72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1140" w:type="dxa"/>
            <w:vAlign w:val="bottom"/>
          </w:tcPr>
          <w:p>
            <w:pPr>
              <w:spacing w:after="0"/>
              <w:rPr>
                <w:sz w:val="18"/>
                <w:szCs w:val="18"/>
                <w:color w:val="auto"/>
              </w:rPr>
            </w:pPr>
          </w:p>
        </w:tc>
        <w:tc>
          <w:tcPr>
            <w:tcW w:w="6420" w:type="dxa"/>
            <w:vAlign w:val="bottom"/>
            <w:gridSpan w:val="3"/>
          </w:tcPr>
          <w:p>
            <w:pPr>
              <w:jc w:val="center"/>
              <w:ind w:right="2960"/>
              <w:spacing w:after="0"/>
              <w:rPr>
                <w:sz w:val="20"/>
                <w:szCs w:val="20"/>
                <w:color w:val="auto"/>
              </w:rPr>
            </w:pPr>
            <w:r>
              <w:rPr>
                <w:rFonts w:ascii="Arial" w:cs="Arial" w:eastAsia="Arial" w:hAnsi="Arial"/>
                <w:sz w:val="18"/>
                <w:szCs w:val="18"/>
                <w:color w:val="auto"/>
                <w:w w:val="99"/>
              </w:rPr>
              <w:t>incorporation or organization)</w:t>
            </w:r>
          </w:p>
        </w:tc>
        <w:tc>
          <w:tcPr>
            <w:tcW w:w="2720" w:type="dxa"/>
            <w:vAlign w:val="bottom"/>
            <w:gridSpan w:val="2"/>
          </w:tcPr>
          <w:p>
            <w:pPr>
              <w:jc w:val="center"/>
              <w:ind w:right="720"/>
              <w:spacing w:after="0"/>
              <w:rPr>
                <w:sz w:val="20"/>
                <w:szCs w:val="20"/>
                <w:color w:val="auto"/>
              </w:rPr>
            </w:pPr>
            <w:r>
              <w:rPr>
                <w:rFonts w:ascii="Arial" w:cs="Arial" w:eastAsia="Arial" w:hAnsi="Arial"/>
                <w:sz w:val="18"/>
                <w:szCs w:val="18"/>
                <w:color w:val="auto"/>
                <w:w w:val="99"/>
              </w:rPr>
              <w:t>Identification No.)</w:t>
            </w:r>
          </w:p>
        </w:tc>
      </w:tr>
      <w:tr>
        <w:trPr>
          <w:trHeight w:val="391"/>
        </w:trPr>
        <w:tc>
          <w:tcPr>
            <w:tcW w:w="1140" w:type="dxa"/>
            <w:vAlign w:val="bottom"/>
          </w:tcPr>
          <w:p>
            <w:pPr>
              <w:spacing w:after="0"/>
              <w:rPr>
                <w:sz w:val="24"/>
                <w:szCs w:val="24"/>
                <w:color w:val="auto"/>
              </w:rPr>
            </w:pPr>
          </w:p>
        </w:tc>
        <w:tc>
          <w:tcPr>
            <w:tcW w:w="6420" w:type="dxa"/>
            <w:vAlign w:val="bottom"/>
            <w:gridSpan w:val="3"/>
          </w:tcPr>
          <w:p>
            <w:pPr>
              <w:jc w:val="center"/>
              <w:ind w:right="2980"/>
              <w:spacing w:after="0"/>
              <w:rPr>
                <w:sz w:val="20"/>
                <w:szCs w:val="20"/>
                <w:color w:val="auto"/>
              </w:rPr>
            </w:pPr>
            <w:r>
              <w:rPr>
                <w:rFonts w:ascii="Arial" w:cs="Arial" w:eastAsia="Arial" w:hAnsi="Arial"/>
                <w:sz w:val="18"/>
                <w:szCs w:val="18"/>
                <w:color w:val="auto"/>
                <w:w w:val="98"/>
              </w:rPr>
              <w:t>115 Tabor Road</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140" w:type="dxa"/>
            <w:vAlign w:val="bottom"/>
          </w:tcPr>
          <w:p>
            <w:pPr>
              <w:spacing w:after="0"/>
              <w:rPr>
                <w:sz w:val="17"/>
                <w:szCs w:val="17"/>
                <w:color w:val="auto"/>
              </w:rPr>
            </w:pPr>
          </w:p>
        </w:tc>
        <w:tc>
          <w:tcPr>
            <w:tcW w:w="6420" w:type="dxa"/>
            <w:vAlign w:val="bottom"/>
            <w:gridSpan w:val="3"/>
          </w:tcPr>
          <w:p>
            <w:pPr>
              <w:ind w:left="640"/>
              <w:spacing w:after="0" w:line="203" w:lineRule="exact"/>
              <w:rPr>
                <w:sz w:val="20"/>
                <w:szCs w:val="20"/>
                <w:color w:val="auto"/>
              </w:rPr>
            </w:pPr>
            <w:r>
              <w:rPr>
                <w:rFonts w:ascii="Arial" w:cs="Arial" w:eastAsia="Arial" w:hAnsi="Arial"/>
                <w:sz w:val="18"/>
                <w:szCs w:val="18"/>
                <w:color w:val="auto"/>
              </w:rPr>
              <w:t>Morris Plains, New Jersey</w:t>
            </w:r>
          </w:p>
        </w:tc>
        <w:tc>
          <w:tcPr>
            <w:tcW w:w="158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07950</w:t>
            </w:r>
          </w:p>
        </w:tc>
        <w:tc>
          <w:tcPr>
            <w:tcW w:w="1140" w:type="dxa"/>
            <w:vAlign w:val="bottom"/>
          </w:tcPr>
          <w:p>
            <w:pPr>
              <w:spacing w:after="0"/>
              <w:rPr>
                <w:sz w:val="17"/>
                <w:szCs w:val="17"/>
                <w:color w:val="auto"/>
              </w:rPr>
            </w:pPr>
          </w:p>
        </w:tc>
      </w:tr>
      <w:tr>
        <w:trPr>
          <w:trHeight w:val="210"/>
        </w:trPr>
        <w:tc>
          <w:tcPr>
            <w:tcW w:w="114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9"/>
              </w:rPr>
              <w:t>(Address of principal executive offices)</w:t>
            </w:r>
          </w:p>
        </w:tc>
        <w:tc>
          <w:tcPr>
            <w:tcW w:w="1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2"/>
          </w:tcPr>
          <w:p>
            <w:pPr>
              <w:jc w:val="center"/>
              <w:ind w:right="720"/>
              <w:spacing w:after="0"/>
              <w:rPr>
                <w:sz w:val="20"/>
                <w:szCs w:val="20"/>
                <w:color w:val="auto"/>
              </w:rPr>
            </w:pPr>
            <w:r>
              <w:rPr>
                <w:rFonts w:ascii="Arial" w:cs="Arial" w:eastAsia="Arial" w:hAnsi="Arial"/>
                <w:sz w:val="18"/>
                <w:szCs w:val="18"/>
                <w:color w:val="auto"/>
                <w:w w:val="98"/>
              </w:rPr>
              <w:t>(Zip Code)</w:t>
            </w:r>
          </w:p>
        </w:tc>
      </w:tr>
      <w:tr>
        <w:trPr>
          <w:trHeight w:val="391"/>
        </w:trPr>
        <w:tc>
          <w:tcPr>
            <w:tcW w:w="6860" w:type="dxa"/>
            <w:vAlign w:val="bottom"/>
            <w:gridSpan w:val="3"/>
          </w:tcPr>
          <w:p>
            <w:pPr>
              <w:jc w:val="center"/>
              <w:ind w:left="3330"/>
              <w:spacing w:after="0"/>
              <w:rPr>
                <w:sz w:val="20"/>
                <w:szCs w:val="20"/>
                <w:color w:val="auto"/>
              </w:rPr>
            </w:pPr>
            <w:r>
              <w:rPr>
                <w:rFonts w:ascii="Arial" w:cs="Arial" w:eastAsia="Arial" w:hAnsi="Arial"/>
                <w:sz w:val="18"/>
                <w:szCs w:val="18"/>
                <w:color w:val="auto"/>
              </w:rPr>
              <w:t>(973) 455-2000</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6420" w:type="dxa"/>
            <w:vAlign w:val="bottom"/>
            <w:tcBorders>
              <w:top w:val="single" w:sz="8" w:color="auto"/>
            </w:tcBorders>
            <w:gridSpan w:val="3"/>
          </w:tcPr>
          <w:p>
            <w:pPr>
              <w:jc w:val="center"/>
              <w:ind w:left="1510"/>
              <w:spacing w:after="0"/>
              <w:rPr>
                <w:sz w:val="20"/>
                <w:szCs w:val="20"/>
                <w:color w:val="auto"/>
              </w:rPr>
            </w:pPr>
            <w:r>
              <w:rPr>
                <w:rFonts w:ascii="Arial" w:cs="Arial" w:eastAsia="Arial" w:hAnsi="Arial"/>
                <w:sz w:val="18"/>
                <w:szCs w:val="18"/>
                <w:color w:val="auto"/>
                <w:w w:val="99"/>
              </w:rPr>
              <w:t>(Registrant’s telephone number, including area code)</w:t>
            </w:r>
          </w:p>
        </w:tc>
        <w:tc>
          <w:tcPr>
            <w:tcW w:w="15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391"/>
        </w:trPr>
        <w:tc>
          <w:tcPr>
            <w:tcW w:w="1140" w:type="dxa"/>
            <w:vAlign w:val="bottom"/>
          </w:tcPr>
          <w:p>
            <w:pPr>
              <w:spacing w:after="0"/>
              <w:rPr>
                <w:sz w:val="24"/>
                <w:szCs w:val="24"/>
                <w:color w:val="auto"/>
              </w:rPr>
            </w:pPr>
          </w:p>
        </w:tc>
        <w:tc>
          <w:tcPr>
            <w:tcW w:w="6420" w:type="dxa"/>
            <w:vAlign w:val="bottom"/>
            <w:tcBorders>
              <w:bottom w:val="single" w:sz="8" w:color="auto"/>
            </w:tcBorders>
            <w:gridSpan w:val="3"/>
          </w:tcPr>
          <w:p>
            <w:pPr>
              <w:jc w:val="center"/>
              <w:ind w:left="1490"/>
              <w:spacing w:after="0"/>
              <w:rPr>
                <w:sz w:val="20"/>
                <w:szCs w:val="20"/>
                <w:color w:val="auto"/>
              </w:rPr>
            </w:pPr>
            <w:r>
              <w:rPr>
                <w:rFonts w:ascii="Arial" w:cs="Arial" w:eastAsia="Arial" w:hAnsi="Arial"/>
                <w:sz w:val="18"/>
                <w:szCs w:val="18"/>
                <w:color w:val="auto"/>
                <w:w w:val="99"/>
              </w:rPr>
              <w:t>Not Applicable</w:t>
            </w:r>
          </w:p>
        </w:tc>
        <w:tc>
          <w:tcPr>
            <w:tcW w:w="158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420" w:type="dxa"/>
            <w:vAlign w:val="bottom"/>
            <w:gridSpan w:val="3"/>
          </w:tcPr>
          <w:p>
            <w:pPr>
              <w:jc w:val="center"/>
              <w:ind w:left="145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1140" w:type="dxa"/>
            <w:vAlign w:val="bottom"/>
          </w:tcPr>
          <w:p>
            <w:pPr>
              <w:spacing w:after="0"/>
              <w:rPr>
                <w:sz w:val="18"/>
                <w:szCs w:val="18"/>
                <w:color w:val="auto"/>
              </w:rPr>
            </w:pPr>
          </w:p>
        </w:tc>
        <w:tc>
          <w:tcPr>
            <w:tcW w:w="6420" w:type="dxa"/>
            <w:vAlign w:val="bottom"/>
            <w:gridSpan w:val="3"/>
          </w:tcPr>
          <w:p>
            <w:pPr>
              <w:jc w:val="center"/>
              <w:ind w:left="1490"/>
              <w:spacing w:after="0"/>
              <w:rPr>
                <w:sz w:val="20"/>
                <w:szCs w:val="20"/>
                <w:color w:val="auto"/>
              </w:rPr>
            </w:pPr>
            <w:r>
              <w:rPr>
                <w:rFonts w:ascii="Arial" w:cs="Arial" w:eastAsia="Arial" w:hAnsi="Arial"/>
                <w:sz w:val="18"/>
                <w:szCs w:val="18"/>
                <w:color w:val="auto"/>
                <w:w w:val="99"/>
              </w:rPr>
              <w:t>if changed since last report)</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8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42" w:right="239" w:bottom="1440" w:gutter="0" w:footer="0" w:header="0"/>
        </w:sectPr>
      </w:pP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235" w:lineRule="auto"/>
        <w:rPr>
          <w:sz w:val="20"/>
          <w:szCs w:val="20"/>
          <w:color w:val="auto"/>
        </w:rPr>
      </w:pPr>
      <w:r>
        <w:rPr>
          <w:rFonts w:ascii="Arial" w:cs="Arial" w:eastAsia="Arial" w:hAnsi="Arial"/>
          <w:sz w:val="18"/>
          <w:szCs w:val="18"/>
          <w:color w:val="auto"/>
        </w:rPr>
        <w:t>Accelerated filer o</w:t>
      </w:r>
    </w:p>
    <w:p>
      <w:pPr>
        <w:spacing w:after="0"/>
        <w:rPr>
          <w:sz w:val="20"/>
          <w:szCs w:val="20"/>
          <w:color w:val="auto"/>
        </w:rPr>
      </w:pPr>
      <w:r>
        <w:rPr>
          <w:rFonts w:ascii="Arial" w:cs="Arial" w:eastAsia="Arial" w:hAnsi="Arial"/>
          <w:sz w:val="17"/>
          <w:szCs w:val="17"/>
          <w:color w:val="auto"/>
        </w:rPr>
        <w:t>Smaller reporting company o</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o</w:t>
      </w:r>
    </w:p>
    <w:p>
      <w:pPr>
        <w:spacing w:after="0" w:line="200" w:lineRule="exact"/>
        <w:rPr>
          <w:sz w:val="24"/>
          <w:szCs w:val="24"/>
          <w:color w:val="auto"/>
        </w:rPr>
      </w:pPr>
    </w:p>
    <w:p>
      <w:pPr>
        <w:sectPr>
          <w:pgSz w:w="11900" w:h="16838" w:orient="portrait"/>
          <w:cols w:equalWidth="0" w:num="2">
            <w:col w:w="6140" w:space="720"/>
            <w:col w:w="4560"/>
          </w:cols>
          <w:pgMar w:left="240" w:top="242" w:right="239" w:bottom="1440" w:gutter="0" w:footer="0" w:header="0"/>
          <w:type w:val="continuous"/>
        </w:sectPr>
      </w:pPr>
    </w:p>
    <w:p>
      <w:pPr>
        <w:spacing w:after="0" w:line="23"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740,288,303 shares of Common Stock outstanding at September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20" w:type="dxa"/>
            <w:vAlign w:val="bottom"/>
            <w:gridSpan w:val="11"/>
          </w:tcPr>
          <w:p>
            <w:pPr>
              <w:jc w:val="center"/>
              <w:ind w:right="3040"/>
              <w:spacing w:after="0"/>
              <w:rPr>
                <w:sz w:val="20"/>
                <w:szCs w:val="20"/>
                <w:color w:val="auto"/>
              </w:rPr>
            </w:pPr>
            <w:r>
              <w:rPr>
                <w:rFonts w:ascii="Arial" w:cs="Arial" w:eastAsia="Arial" w:hAnsi="Arial"/>
                <w:sz w:val="22"/>
                <w:szCs w:val="22"/>
                <w:b w:val="1"/>
                <w:bCs w:val="1"/>
                <w:color w:val="auto"/>
                <w:w w:val="98"/>
              </w:rPr>
              <w:t>Honeywell International Inc.</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2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7"/>
              </w:rPr>
              <w:t>Index</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5"/>
        </w:trPr>
        <w:tc>
          <w:tcPr>
            <w:tcW w:w="230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04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Page No.</w:t>
            </w:r>
          </w:p>
        </w:tc>
      </w:tr>
      <w:tr>
        <w:trPr>
          <w:trHeight w:val="291"/>
        </w:trPr>
        <w:tc>
          <w:tcPr>
            <w:tcW w:w="5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2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2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0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 Three and Nine Months Ended September 30,</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60" w:type="dxa"/>
            <w:vAlign w:val="bottom"/>
            <w:gridSpan w:val="2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2018 and 2017</w:t>
              </w:r>
            </w:hyperlink>
          </w:p>
        </w:tc>
        <w:tc>
          <w:tcPr>
            <w:tcW w:w="900" w:type="dxa"/>
            <w:vAlign w:val="bottom"/>
            <w:gridSpan w:val="2"/>
          </w:tcPr>
          <w:p>
            <w:pPr>
              <w:jc w:val="center"/>
              <w:ind w:left="30"/>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 Three and Nine Months Ended</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September 30, 2018 and 2017</w:t>
              </w:r>
            </w:hyperlink>
          </w:p>
        </w:tc>
        <w:tc>
          <w:tcPr>
            <w:tcW w:w="5060" w:type="dxa"/>
            <w:vAlign w:val="bottom"/>
            <w:tcBorders>
              <w:top w:val="single" w:sz="8" w:color="0000EE"/>
            </w:tcBorders>
            <w:gridSpan w:val="6"/>
          </w:tcPr>
          <w:p>
            <w:pPr>
              <w:spacing w:after="0"/>
              <w:rPr>
                <w:sz w:val="15"/>
                <w:szCs w:val="15"/>
                <w:color w:val="auto"/>
              </w:rPr>
            </w:pPr>
          </w:p>
        </w:tc>
        <w:tc>
          <w:tcPr>
            <w:tcW w:w="360" w:type="dxa"/>
            <w:vAlign w:val="bottom"/>
            <w:gridSpan w:val="3"/>
          </w:tcPr>
          <w:p>
            <w:pPr>
              <w:spacing w:after="0"/>
              <w:rPr>
                <w:sz w:val="15"/>
                <w:szCs w:val="15"/>
                <w:color w:val="auto"/>
              </w:rPr>
            </w:pPr>
          </w:p>
        </w:tc>
        <w:tc>
          <w:tcPr>
            <w:tcW w:w="900" w:type="dxa"/>
            <w:vAlign w:val="bottom"/>
            <w:gridSpan w:val="2"/>
          </w:tcPr>
          <w:p>
            <w:pPr>
              <w:jc w:val="center"/>
              <w:ind w:left="30"/>
              <w:spacing w:after="0" w:line="182" w:lineRule="exact"/>
              <w:rPr>
                <w:sz w:val="20"/>
                <w:szCs w:val="20"/>
                <w:color w:val="auto"/>
              </w:rPr>
            </w:pPr>
            <w:r>
              <w:rPr>
                <w:rFonts w:ascii="Arial" w:cs="Arial" w:eastAsia="Arial" w:hAnsi="Arial"/>
                <w:sz w:val="18"/>
                <w:szCs w:val="18"/>
                <w:color w:val="auto"/>
                <w:w w:val="99"/>
              </w:rPr>
              <w:t>4</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 September 30, 2018 and December 31, 2017</w:t>
              </w:r>
            </w:hyperlink>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 Nine Months Ended September 30, 2018 and</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2017</w:t>
              </w:r>
            </w:hyperlink>
          </w:p>
        </w:tc>
        <w:tc>
          <w:tcPr>
            <w:tcW w:w="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left="30"/>
              <w:spacing w:after="0" w:line="182" w:lineRule="exact"/>
              <w:rPr>
                <w:sz w:val="20"/>
                <w:szCs w:val="20"/>
                <w:color w:val="auto"/>
              </w:rPr>
            </w:pPr>
            <w:r>
              <w:rPr>
                <w:rFonts w:ascii="Arial" w:cs="Arial" w:eastAsia="Arial" w:hAnsi="Arial"/>
                <w:sz w:val="18"/>
                <w:szCs w:val="18"/>
                <w:color w:val="auto"/>
                <w:w w:val="99"/>
              </w:rPr>
              <w:t>6</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7</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2.</w:t>
              </w:r>
            </w:hyperlink>
          </w:p>
        </w:tc>
        <w:tc>
          <w:tcPr>
            <w:tcW w:w="580" w:type="dxa"/>
            <w:vAlign w:val="bottom"/>
            <w:gridSpan w:val="2"/>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32</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Item 3.</w:t>
              </w:r>
            </w:hyperlink>
          </w:p>
        </w:tc>
        <w:tc>
          <w:tcPr>
            <w:tcW w:w="580" w:type="dxa"/>
            <w:vAlign w:val="bottom"/>
            <w:gridSpan w:val="2"/>
          </w:tcPr>
          <w:p>
            <w:pPr>
              <w:spacing w:after="0"/>
              <w:rPr>
                <w:sz w:val="24"/>
                <w:szCs w:val="24"/>
                <w:color w:val="auto"/>
              </w:rPr>
            </w:pPr>
          </w:p>
        </w:tc>
        <w:tc>
          <w:tcPr>
            <w:tcW w:w="7080" w:type="dxa"/>
            <w:vAlign w:val="bottom"/>
            <w:tcBorders>
              <w:top w:val="single" w:sz="8" w:color="0000EE"/>
            </w:tcBorders>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Risks</w:t>
              </w:r>
            </w:hyperlink>
          </w:p>
        </w:tc>
        <w:tc>
          <w:tcPr>
            <w:tcW w:w="960" w:type="dxa"/>
            <w:vAlign w:val="bottom"/>
            <w:gridSpan w:val="4"/>
          </w:tcPr>
          <w:p>
            <w:pPr>
              <w:spacing w:after="0"/>
              <w:rPr>
                <w:sz w:val="24"/>
                <w:szCs w:val="24"/>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43</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Item 4.</w:t>
              </w:r>
            </w:hyperlink>
          </w:p>
        </w:tc>
        <w:tc>
          <w:tcPr>
            <w:tcW w:w="580" w:type="dxa"/>
            <w:vAlign w:val="bottom"/>
            <w:gridSpan w:val="2"/>
          </w:tcPr>
          <w:p>
            <w:pPr>
              <w:spacing w:after="0"/>
              <w:rPr>
                <w:sz w:val="24"/>
                <w:szCs w:val="24"/>
                <w:color w:val="auto"/>
              </w:rPr>
            </w:pPr>
          </w:p>
        </w:tc>
        <w:tc>
          <w:tcPr>
            <w:tcW w:w="4800" w:type="dxa"/>
            <w:vAlign w:val="bottom"/>
            <w:tcBorders>
              <w:top w:val="single" w:sz="8" w:color="0000EE"/>
            </w:tcBorders>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3240" w:type="dxa"/>
            <w:vAlign w:val="bottom"/>
            <w:gridSpan w:val="7"/>
          </w:tcPr>
          <w:p>
            <w:pPr>
              <w:spacing w:after="0"/>
              <w:rPr>
                <w:sz w:val="24"/>
                <w:szCs w:val="24"/>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43</w:t>
            </w:r>
          </w:p>
        </w:tc>
      </w:tr>
      <w:tr>
        <w:trPr>
          <w:trHeight w:val="385"/>
        </w:trPr>
        <w:tc>
          <w:tcPr>
            <w:tcW w:w="560" w:type="dxa"/>
            <w:vAlign w:val="bottom"/>
            <w:gridSpan w:val="2"/>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Part II.</w:t>
              </w:r>
            </w:hyperlink>
          </w:p>
        </w:tc>
        <w:tc>
          <w:tcPr>
            <w:tcW w:w="600" w:type="dxa"/>
            <w:vAlign w:val="bottom"/>
            <w:gridSpan w:val="2"/>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200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60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5"/>
        </w:trPr>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Item 1.</w:t>
              </w:r>
            </w:hyperlink>
          </w:p>
        </w:tc>
        <w:tc>
          <w:tcPr>
            <w:tcW w:w="58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Legal Proceedings</w:t>
              </w:r>
            </w:hyperlink>
          </w:p>
        </w:tc>
        <w:tc>
          <w:tcPr>
            <w:tcW w:w="20" w:type="dxa"/>
            <w:vAlign w:val="bottom"/>
            <w:tcBorders>
              <w:top w:val="single" w:sz="8" w:color="0000EE"/>
            </w:tcBorders>
          </w:tcPr>
          <w:p>
            <w:pPr>
              <w:spacing w:after="0"/>
              <w:rPr>
                <w:sz w:val="24"/>
                <w:szCs w:val="24"/>
                <w:color w:val="auto"/>
              </w:rPr>
            </w:pPr>
          </w:p>
        </w:tc>
        <w:tc>
          <w:tcPr>
            <w:tcW w:w="6520" w:type="dxa"/>
            <w:vAlign w:val="bottom"/>
            <w:gridSpan w:val="13"/>
          </w:tcPr>
          <w:p>
            <w:pPr>
              <w:spacing w:after="0"/>
              <w:rPr>
                <w:sz w:val="24"/>
                <w:szCs w:val="24"/>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44</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804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Item 2.</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Unregistered Sales of Equity Securities and Use of Proceeds</w:t>
              </w:r>
            </w:hyperlink>
          </w:p>
        </w:tc>
        <w:tc>
          <w:tcPr>
            <w:tcW w:w="3180" w:type="dxa"/>
            <w:vAlign w:val="bottom"/>
            <w:gridSpan w:val="6"/>
          </w:tcPr>
          <w:p>
            <w:pPr>
              <w:spacing w:after="0"/>
              <w:rPr>
                <w:sz w:val="24"/>
                <w:szCs w:val="24"/>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44</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Item 5.</w:t>
              </w:r>
            </w:hyperlink>
          </w:p>
        </w:tc>
        <w:tc>
          <w:tcPr>
            <w:tcW w:w="580" w:type="dxa"/>
            <w:vAlign w:val="bottom"/>
            <w:gridSpan w:val="2"/>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44</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6.</w:t>
              </w:r>
            </w:hyperlink>
          </w:p>
        </w:tc>
        <w:tc>
          <w:tcPr>
            <w:tcW w:w="580" w:type="dxa"/>
            <w:vAlign w:val="bottom"/>
            <w:gridSpan w:val="2"/>
          </w:tcPr>
          <w:p>
            <w:pPr>
              <w:spacing w:after="0"/>
              <w:rPr>
                <w:sz w:val="24"/>
                <w:szCs w:val="24"/>
                <w:color w:val="auto"/>
              </w:rPr>
            </w:pPr>
          </w:p>
        </w:tc>
        <w:tc>
          <w:tcPr>
            <w:tcW w:w="1400" w:type="dxa"/>
            <w:vAlign w:val="bottom"/>
            <w:tcBorders>
              <w:top w:val="single" w:sz="8" w:color="0000EE"/>
            </w:tcBorders>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6640" w:type="dxa"/>
            <w:vAlign w:val="bottom"/>
            <w:gridSpan w:val="15"/>
          </w:tcPr>
          <w:p>
            <w:pPr>
              <w:spacing w:after="0"/>
              <w:rPr>
                <w:sz w:val="24"/>
                <w:szCs w:val="24"/>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46</w:t>
            </w:r>
          </w:p>
        </w:tc>
      </w:tr>
      <w:tr>
        <w:trPr>
          <w:trHeight w:val="385"/>
        </w:trPr>
        <w:tc>
          <w:tcPr>
            <w:tcW w:w="116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47</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including with respect to any changes in or abandonment of the proposed spin-off.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2017 Annual Report on Form 10-K.</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 financial statements and related footnotes as of September 30, 2018 should be read in conjunction with the financial statements for the year ended December 31, 2017 contained in our 2017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0" w:type="dxa"/>
            <w:vAlign w:val="bottom"/>
            <w:gridSpan w:val="7"/>
          </w:tcPr>
          <w:p>
            <w:pPr>
              <w:ind w:left="260"/>
              <w:spacing w:after="0" w:line="155" w:lineRule="exact"/>
              <w:rPr>
                <w:sz w:val="20"/>
                <w:szCs w:val="20"/>
                <w:color w:val="auto"/>
              </w:rPr>
            </w:pPr>
            <w:r>
              <w:rPr>
                <w:rFonts w:ascii="Arial" w:cs="Arial" w:eastAsia="Arial" w:hAnsi="Arial"/>
                <w:sz w:val="14"/>
                <w:szCs w:val="14"/>
                <w:b w:val="1"/>
                <w:bCs w:val="1"/>
                <w:color w:val="auto"/>
              </w:rPr>
              <w:t>(Dollars in millions, except per share amounts)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54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8,477</w:t>
            </w:r>
          </w:p>
        </w:tc>
        <w:tc>
          <w:tcPr>
            <w:tcW w:w="880" w:type="dxa"/>
            <w:vAlign w:val="bottom"/>
            <w:gridSpan w:val="2"/>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8,052</w:t>
            </w:r>
          </w:p>
        </w:tc>
        <w:tc>
          <w:tcPr>
            <w:tcW w:w="64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25,414</w:t>
            </w: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23,671</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2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2,285</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2,069</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6,659</w:t>
            </w:r>
          </w:p>
        </w:tc>
        <w:tc>
          <w:tcPr>
            <w:tcW w:w="18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196"/>
        </w:trPr>
        <w:tc>
          <w:tcPr>
            <w:tcW w:w="4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10,762</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10,121</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32,073</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29,691</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Costs, expenses and other</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Cost of products sold</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6,127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5,795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18,234</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Cost of services sold</w:t>
            </w:r>
          </w:p>
        </w:tc>
        <w:tc>
          <w:tcPr>
            <w:tcW w:w="2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1,429</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1,259</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4,127</w:t>
            </w:r>
          </w:p>
        </w:tc>
        <w:tc>
          <w:tcPr>
            <w:tcW w:w="18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196"/>
        </w:trPr>
        <w:tc>
          <w:tcPr>
            <w:tcW w:w="4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7,556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7,054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22,361</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20,604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1,524</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1,524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4,527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03"/>
        </w:trPr>
        <w:tc>
          <w:tcPr>
            <w:tcW w:w="47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(275)</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(316)</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(859)</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Interest and other financial charges</w:t>
            </w:r>
          </w:p>
        </w:tc>
        <w:tc>
          <w:tcPr>
            <w:tcW w:w="2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99</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277</w:t>
            </w:r>
          </w:p>
        </w:tc>
        <w:tc>
          <w:tcPr>
            <w:tcW w:w="18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196"/>
        </w:trPr>
        <w:tc>
          <w:tcPr>
            <w:tcW w:w="4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8,904</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8,343</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26,306</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24,408</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Income before taxes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1,858</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1,778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5,767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Tax expense (benefit)</w:t>
            </w:r>
          </w:p>
        </w:tc>
        <w:tc>
          <w:tcPr>
            <w:tcW w:w="2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416</w:t>
            </w:r>
          </w:p>
        </w:tc>
        <w:tc>
          <w:tcPr>
            <w:tcW w:w="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2,356</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1,362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5,088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02"/>
        </w:trPr>
        <w:tc>
          <w:tcPr>
            <w:tcW w:w="47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Less: Net income attributable to the noncontrolling</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18</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4720" w:type="dxa"/>
            <w:vAlign w:val="bottom"/>
          </w:tcPr>
          <w:p>
            <w:pPr>
              <w:spacing w:after="0" w:line="197" w:lineRule="exact"/>
              <w:rPr>
                <w:sz w:val="20"/>
                <w:szCs w:val="20"/>
                <w:color w:val="auto"/>
              </w:rPr>
            </w:pPr>
            <w:r>
              <w:rPr>
                <w:rFonts w:ascii="Arial" w:cs="Arial" w:eastAsia="Arial" w:hAnsi="Arial"/>
                <w:sz w:val="18"/>
                <w:szCs w:val="18"/>
                <w:color w:val="auto"/>
              </w:rPr>
              <w:t>Net income attributable to Honeywell</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2,338</w:t>
            </w:r>
          </w:p>
        </w:tc>
        <w:tc>
          <w:tcPr>
            <w:tcW w:w="8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1,345</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5,044</w:t>
            </w:r>
          </w:p>
        </w:tc>
        <w:tc>
          <w:tcPr>
            <w:tcW w:w="180" w:type="dxa"/>
            <w:vAlign w:val="bottom"/>
          </w:tcPr>
          <w:p>
            <w:pPr>
              <w:spacing w:after="0"/>
              <w:rPr>
                <w:sz w:val="21"/>
                <w:szCs w:val="21"/>
                <w:color w:val="auto"/>
              </w:rPr>
            </w:pP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183"/>
        </w:trPr>
        <w:tc>
          <w:tcPr>
            <w:tcW w:w="4720" w:type="dxa"/>
            <w:vAlign w:val="bottom"/>
            <w:tcBorders>
              <w:top w:val="single" w:sz="8" w:color="E5FFFF"/>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Earnings per share of common stock - basic</w:t>
            </w: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320" w:type="dxa"/>
            <w:vAlign w:val="bottom"/>
            <w:tcBorders>
              <w:top w:val="single" w:sz="8" w:color="auto"/>
              <w:bottom w:val="single" w:sz="8" w:color="auto"/>
            </w:tcBorders>
            <w:shd w:val="clear" w:color="auto" w:fill="E5FF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3.15</w:t>
            </w:r>
          </w:p>
        </w:tc>
        <w:tc>
          <w:tcPr>
            <w:tcW w:w="360" w:type="dxa"/>
            <w:vAlign w:val="bottom"/>
            <w:tcBorders>
              <w:top w:val="single" w:sz="8" w:color="E5FFFF"/>
              <w:bottom w:val="single" w:sz="8" w:color="E5FFFF"/>
            </w:tcBorders>
            <w:shd w:val="clear" w:color="auto" w:fill="E5FFFF"/>
          </w:tcPr>
          <w:p>
            <w:pPr>
              <w:spacing w:after="0"/>
              <w:rPr>
                <w:sz w:val="15"/>
                <w:szCs w:val="15"/>
                <w:color w:val="auto"/>
              </w:rPr>
            </w:pPr>
          </w:p>
        </w:tc>
        <w:tc>
          <w:tcPr>
            <w:tcW w:w="520" w:type="dxa"/>
            <w:vAlign w:val="bottom"/>
            <w:tcBorders>
              <w:top w:val="single" w:sz="8" w:color="auto"/>
              <w:bottom w:val="single" w:sz="8" w:color="auto"/>
            </w:tcBorders>
            <w:shd w:val="clear" w:color="auto" w:fill="E5FFFF"/>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1.76</w:t>
            </w:r>
          </w:p>
        </w:tc>
        <w:tc>
          <w:tcPr>
            <w:tcW w:w="340" w:type="dxa"/>
            <w:vAlign w:val="bottom"/>
            <w:tcBorders>
              <w:top w:val="single" w:sz="8" w:color="E5FFFF"/>
              <w:bottom w:val="single" w:sz="8" w:color="E5FFFF"/>
            </w:tcBorders>
            <w:shd w:val="clear" w:color="auto" w:fill="E5FFFF"/>
          </w:tcPr>
          <w:p>
            <w:pPr>
              <w:spacing w:after="0"/>
              <w:rPr>
                <w:sz w:val="15"/>
                <w:szCs w:val="15"/>
                <w:color w:val="auto"/>
              </w:rPr>
            </w:pPr>
          </w:p>
        </w:tc>
        <w:tc>
          <w:tcPr>
            <w:tcW w:w="300" w:type="dxa"/>
            <w:vAlign w:val="bottom"/>
            <w:tcBorders>
              <w:top w:val="single" w:sz="8" w:color="auto"/>
              <w:bottom w:val="single" w:sz="8" w:color="auto"/>
            </w:tcBorders>
            <w:shd w:val="clear" w:color="auto" w:fill="E5FF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6.76</w:t>
            </w:r>
          </w:p>
        </w:tc>
        <w:tc>
          <w:tcPr>
            <w:tcW w:w="180" w:type="dxa"/>
            <w:vAlign w:val="bottom"/>
            <w:tcBorders>
              <w:top w:val="single" w:sz="8" w:color="E5FFFF"/>
              <w:bottom w:val="single" w:sz="8" w:color="E5FFFF"/>
            </w:tcBorders>
            <w:shd w:val="clear" w:color="auto" w:fill="E5FFFF"/>
          </w:tcPr>
          <w:p>
            <w:pPr>
              <w:spacing w:after="0"/>
              <w:rPr>
                <w:sz w:val="15"/>
                <w:szCs w:val="15"/>
                <w:color w:val="auto"/>
              </w:rPr>
            </w:pPr>
          </w:p>
        </w:tc>
        <w:tc>
          <w:tcPr>
            <w:tcW w:w="140" w:type="dxa"/>
            <w:vAlign w:val="bottom"/>
            <w:tcBorders>
              <w:top w:val="single" w:sz="8" w:color="E5FFFF"/>
              <w:bottom w:val="single" w:sz="8" w:color="E5FFFF"/>
            </w:tcBorders>
            <w:shd w:val="clear" w:color="auto" w:fill="E5FFFF"/>
          </w:tcPr>
          <w:p>
            <w:pPr>
              <w:spacing w:after="0"/>
              <w:rPr>
                <w:sz w:val="15"/>
                <w:szCs w:val="15"/>
                <w:color w:val="auto"/>
              </w:rPr>
            </w:pPr>
          </w:p>
        </w:tc>
        <w:tc>
          <w:tcPr>
            <w:tcW w:w="520" w:type="dxa"/>
            <w:vAlign w:val="bottom"/>
            <w:tcBorders>
              <w:top w:val="single" w:sz="8" w:color="auto"/>
              <w:bottom w:val="single" w:sz="8" w:color="auto"/>
            </w:tcBorders>
            <w:shd w:val="clear" w:color="auto" w:fill="E5FFFF"/>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tcBorders>
              <w:bottom w:val="single" w:sz="8" w:color="E5FFFF"/>
            </w:tcBorders>
            <w:vMerge w:val="continue"/>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3.11</w:t>
            </w:r>
          </w:p>
        </w:tc>
        <w:tc>
          <w:tcPr>
            <w:tcW w:w="360" w:type="dxa"/>
            <w:vAlign w:val="bottom"/>
            <w:tcBorders>
              <w:bottom w:val="single" w:sz="8" w:color="E5FF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1.74</w:t>
            </w:r>
          </w:p>
        </w:tc>
        <w:tc>
          <w:tcPr>
            <w:tcW w:w="340" w:type="dxa"/>
            <w:vAlign w:val="bottom"/>
            <w:tcBorders>
              <w:bottom w:val="single" w:sz="8" w:color="E5FF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6.67</w:t>
            </w:r>
          </w:p>
        </w:tc>
        <w:tc>
          <w:tcPr>
            <w:tcW w:w="180" w:type="dxa"/>
            <w:vAlign w:val="bottom"/>
            <w:tcBorders>
              <w:bottom w:val="single" w:sz="8" w:color="E5FFFF"/>
            </w:tcBorders>
          </w:tcPr>
          <w:p>
            <w:pPr>
              <w:spacing w:after="0"/>
              <w:rPr>
                <w:sz w:val="19"/>
                <w:szCs w:val="19"/>
                <w:color w:val="auto"/>
              </w:rPr>
            </w:pPr>
          </w:p>
        </w:tc>
        <w:tc>
          <w:tcPr>
            <w:tcW w:w="140" w:type="dxa"/>
            <w:vAlign w:val="bottom"/>
            <w:tcBorders>
              <w:bottom w:val="single" w:sz="8" w:color="E5FF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22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auto"/>
            </w:tcBorders>
            <w:shd w:val="clear" w:color="auto" w:fill="E5FF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0.7450</w:t>
            </w: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auto"/>
            </w:tcBorders>
            <w:shd w:val="clear" w:color="auto" w:fill="E5FFFF"/>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0.6650</w:t>
            </w: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auto"/>
            </w:tcBorders>
            <w:shd w:val="clear" w:color="auto" w:fill="E5FF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2.2350</w:t>
            </w:r>
          </w:p>
        </w:tc>
        <w:tc>
          <w:tcPr>
            <w:tcW w:w="180" w:type="dxa"/>
            <w:vAlign w:val="bottom"/>
            <w:tcBorders>
              <w:bottom w:val="single" w:sz="8" w:color="E5FFFF"/>
            </w:tcBorders>
            <w:shd w:val="clear" w:color="auto" w:fill="E5FFFF"/>
          </w:tcPr>
          <w:p>
            <w:pPr>
              <w:spacing w:after="0"/>
              <w:rPr>
                <w:sz w:val="15"/>
                <w:szCs w:val="15"/>
                <w:color w:val="auto"/>
              </w:rPr>
            </w:pPr>
          </w:p>
        </w:tc>
        <w:tc>
          <w:tcPr>
            <w:tcW w:w="14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auto"/>
            </w:tcBorders>
            <w:shd w:val="clear" w:color="auto" w:fill="E5FFFF"/>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r>
      <w:tr>
        <w:trPr>
          <w:trHeight w:val="175"/>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169"/>
        </w:trPr>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2017</w:t>
            </w:r>
          </w:p>
        </w:tc>
      </w:tr>
      <w:tr>
        <w:trPr>
          <w:trHeight w:val="156"/>
        </w:trPr>
        <w:tc>
          <w:tcPr>
            <w:tcW w:w="4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3"/>
        </w:trPr>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2,356</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1,362</w:t>
            </w:r>
          </w:p>
        </w:tc>
        <w:tc>
          <w:tcPr>
            <w:tcW w:w="84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5,088</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4,095</w:t>
            </w: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exchange translation adjustment</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49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56</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61</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112</w:t>
            </w:r>
          </w:p>
        </w:tc>
      </w:tr>
      <w:tr>
        <w:trPr>
          <w:trHeight w:val="203"/>
        </w:trPr>
        <w:tc>
          <w:tcPr>
            <w:tcW w:w="4680" w:type="dxa"/>
            <w:vAlign w:val="bottom"/>
          </w:tcPr>
          <w:p>
            <w:pPr>
              <w:ind w:left="540"/>
              <w:spacing w:after="0" w:line="202" w:lineRule="exact"/>
              <w:rPr>
                <w:sz w:val="20"/>
                <w:szCs w:val="20"/>
                <w:color w:val="auto"/>
              </w:rPr>
            </w:pPr>
            <w:r>
              <w:rPr>
                <w:rFonts w:ascii="Arial" w:cs="Arial" w:eastAsia="Arial" w:hAnsi="Arial"/>
                <w:sz w:val="18"/>
                <w:szCs w:val="18"/>
                <w:color w:val="auto"/>
              </w:rPr>
              <w:t>Prior service credit (cost)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46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Actuarial (gains) losses recognized</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w:t>
            </w:r>
          </w:p>
        </w:tc>
      </w:tr>
      <w:tr>
        <w:trPr>
          <w:trHeight w:val="216"/>
        </w:trPr>
        <w:tc>
          <w:tcPr>
            <w:tcW w:w="4680" w:type="dxa"/>
            <w:vAlign w:val="bottom"/>
            <w:tcBorders>
              <w:bottom w:val="single" w:sz="8" w:color="E5FFFF"/>
            </w:tcBorders>
          </w:tcPr>
          <w:p>
            <w:pPr>
              <w:ind w:left="540"/>
              <w:spacing w:after="0"/>
              <w:rPr>
                <w:sz w:val="20"/>
                <w:szCs w:val="20"/>
                <w:color w:val="auto"/>
              </w:rPr>
            </w:pPr>
            <w:r>
              <w:rPr>
                <w:rFonts w:ascii="Arial" w:cs="Arial" w:eastAsia="Arial" w:hAnsi="Arial"/>
                <w:sz w:val="18"/>
                <w:szCs w:val="18"/>
                <w:color w:val="auto"/>
              </w:rPr>
              <w:t>Prior service (credit) cost recognized</w:t>
            </w:r>
          </w:p>
        </w:tc>
        <w:tc>
          <w:tcPr>
            <w:tcW w:w="2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182"/>
        </w:trPr>
        <w:tc>
          <w:tcPr>
            <w:tcW w:w="4680" w:type="dxa"/>
            <w:vAlign w:val="bottom"/>
            <w:shd w:val="clear" w:color="auto" w:fill="E5FFFF"/>
          </w:tcPr>
          <w:p>
            <w:pPr>
              <w:ind w:left="360"/>
              <w:spacing w:after="0" w:line="182" w:lineRule="exact"/>
              <w:rPr>
                <w:sz w:val="20"/>
                <w:szCs w:val="20"/>
                <w:color w:val="auto"/>
              </w:rPr>
            </w:pPr>
            <w:r>
              <w:rPr>
                <w:rFonts w:ascii="Arial" w:cs="Arial" w:eastAsia="Arial" w:hAnsi="Arial"/>
                <w:sz w:val="18"/>
                <w:szCs w:val="18"/>
                <w:color w:val="auto"/>
              </w:rPr>
              <w:t>Pension and other postretirement benefits</w:t>
            </w:r>
          </w:p>
        </w:tc>
        <w:tc>
          <w:tcPr>
            <w:tcW w:w="26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06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52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50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52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r>
      <w:tr>
        <w:trPr>
          <w:trHeight w:val="203"/>
        </w:trPr>
        <w:tc>
          <w:tcPr>
            <w:tcW w:w="4680" w:type="dxa"/>
            <w:vAlign w:val="bottom"/>
            <w:shd w:val="clear" w:color="auto" w:fill="E5FFFF"/>
          </w:tcPr>
          <w:p>
            <w:pPr>
              <w:ind w:left="540"/>
              <w:spacing w:after="0" w:line="203" w:lineRule="exact"/>
              <w:rPr>
                <w:sz w:val="20"/>
                <w:szCs w:val="20"/>
                <w:color w:val="auto"/>
              </w:rPr>
            </w:pPr>
            <w:r>
              <w:rPr>
                <w:rFonts w:ascii="Arial" w:cs="Arial" w:eastAsia="Arial" w:hAnsi="Arial"/>
                <w:sz w:val="18"/>
                <w:szCs w:val="18"/>
                <w:color w:val="auto"/>
              </w:rPr>
              <w:t>adjustments</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3"/>
              <w:spacing w:after="0" w:line="203" w:lineRule="exact"/>
              <w:rPr>
                <w:sz w:val="20"/>
                <w:szCs w:val="20"/>
                <w:color w:val="auto"/>
              </w:rPr>
            </w:pPr>
            <w:r>
              <w:rPr>
                <w:rFonts w:ascii="Arial" w:cs="Arial" w:eastAsia="Arial" w:hAnsi="Arial"/>
                <w:sz w:val="18"/>
                <w:szCs w:val="18"/>
                <w:color w:val="auto"/>
              </w:rPr>
              <w:t>14</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(15)</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(18)</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(88)</w:t>
            </w:r>
          </w:p>
        </w:tc>
      </w:tr>
      <w:tr>
        <w:trPr>
          <w:trHeight w:val="202"/>
        </w:trPr>
        <w:tc>
          <w:tcPr>
            <w:tcW w:w="4680" w:type="dxa"/>
            <w:vAlign w:val="bottom"/>
          </w:tcPr>
          <w:p>
            <w:pPr>
              <w:ind w:left="540"/>
              <w:spacing w:after="0" w:line="201" w:lineRule="exact"/>
              <w:rPr>
                <w:sz w:val="20"/>
                <w:szCs w:val="20"/>
                <w:color w:val="auto"/>
              </w:rPr>
            </w:pPr>
            <w:r>
              <w:rPr>
                <w:rFonts w:ascii="Arial" w:cs="Arial" w:eastAsia="Arial" w:hAnsi="Arial"/>
                <w:sz w:val="18"/>
                <w:szCs w:val="18"/>
                <w:color w:val="auto"/>
              </w:rPr>
              <w:t>Effective portion of cash flow hedges recognized</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80" w:type="dxa"/>
            <w:vAlign w:val="bottom"/>
          </w:tcPr>
          <w:p>
            <w:pPr>
              <w:ind w:left="720"/>
              <w:spacing w:after="0" w:line="203" w:lineRule="exact"/>
              <w:rPr>
                <w:sz w:val="20"/>
                <w:szCs w:val="20"/>
                <w:color w:val="auto"/>
              </w:rPr>
            </w:pPr>
            <w:r>
              <w:rPr>
                <w:rFonts w:ascii="Arial" w:cs="Arial" w:eastAsia="Arial" w:hAnsi="Arial"/>
                <w:sz w:val="18"/>
                <w:szCs w:val="18"/>
                <w:color w:val="auto"/>
              </w:rPr>
              <w:t>in other comprehensive income (loss)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24</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r>
      <w:tr>
        <w:trPr>
          <w:trHeight w:val="202"/>
        </w:trPr>
        <w:tc>
          <w:tcPr>
            <w:tcW w:w="468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Less: Reclassification adjustment for gains</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r>
      <w:tr>
        <w:trPr>
          <w:trHeight w:val="217"/>
        </w:trPr>
        <w:tc>
          <w:tcPr>
            <w:tcW w:w="4680" w:type="dxa"/>
            <w:vAlign w:val="bottom"/>
            <w:shd w:val="clear" w:color="auto" w:fill="E5FFFF"/>
          </w:tcPr>
          <w:p>
            <w:pPr>
              <w:ind w:left="720"/>
              <w:spacing w:after="0"/>
              <w:rPr>
                <w:sz w:val="20"/>
                <w:szCs w:val="20"/>
                <w:color w:val="auto"/>
              </w:rPr>
            </w:pPr>
            <w:r>
              <w:rPr>
                <w:rFonts w:ascii="Arial" w:cs="Arial" w:eastAsia="Arial" w:hAnsi="Arial"/>
                <w:sz w:val="18"/>
                <w:szCs w:val="18"/>
                <w:color w:val="auto"/>
              </w:rPr>
              <w:t>(losses) included in net income</w:t>
            </w:r>
          </w:p>
        </w:tc>
        <w:tc>
          <w:tcPr>
            <w:tcW w:w="26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9</w:t>
            </w:r>
          </w:p>
        </w:tc>
        <w:tc>
          <w:tcPr>
            <w:tcW w:w="34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52</w:t>
            </w:r>
          </w:p>
        </w:tc>
      </w:tr>
      <w:tr>
        <w:trPr>
          <w:trHeight w:val="196"/>
        </w:trPr>
        <w:tc>
          <w:tcPr>
            <w:tcW w:w="4680" w:type="dxa"/>
            <w:vAlign w:val="bottom"/>
            <w:tcBorders>
              <w:bottom w:val="single" w:sz="8" w:color="E5FFFF"/>
            </w:tcBorders>
          </w:tcPr>
          <w:p>
            <w:pPr>
              <w:ind w:left="36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6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33</w:t>
            </w:r>
          </w:p>
        </w:tc>
        <w:tc>
          <w:tcPr>
            <w:tcW w:w="36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34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67</w:t>
            </w:r>
          </w:p>
        </w:tc>
        <w:tc>
          <w:tcPr>
            <w:tcW w:w="32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468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96</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110</w:t>
            </w:r>
          </w:p>
        </w:tc>
        <w:tc>
          <w:tcPr>
            <w:tcW w:w="32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2,452</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1,358</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5,198</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3,969</w:t>
            </w:r>
          </w:p>
        </w:tc>
      </w:tr>
      <w:tr>
        <w:trPr>
          <w:trHeight w:val="202"/>
        </w:trPr>
        <w:tc>
          <w:tcPr>
            <w:tcW w:w="4680" w:type="dxa"/>
            <w:vAlign w:val="bottom"/>
            <w:shd w:val="clear" w:color="auto" w:fill="E5FFFF"/>
          </w:tcPr>
          <w:p>
            <w:pPr>
              <w:ind w:left="360"/>
              <w:spacing w:after="0" w:line="201" w:lineRule="exact"/>
              <w:rPr>
                <w:sz w:val="20"/>
                <w:szCs w:val="20"/>
                <w:color w:val="auto"/>
              </w:rPr>
            </w:pPr>
            <w:r>
              <w:rPr>
                <w:rFonts w:ascii="Arial" w:cs="Arial" w:eastAsia="Arial" w:hAnsi="Arial"/>
                <w:sz w:val="18"/>
                <w:szCs w:val="18"/>
                <w:color w:val="auto"/>
              </w:rPr>
              <w:t>Less: Comprehensive income attributable to the</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r>
      <w:tr>
        <w:trPr>
          <w:trHeight w:val="217"/>
        </w:trPr>
        <w:tc>
          <w:tcPr>
            <w:tcW w:w="4680" w:type="dxa"/>
            <w:vAlign w:val="bottom"/>
            <w:shd w:val="clear" w:color="auto" w:fill="E5FFFF"/>
          </w:tcPr>
          <w:p>
            <w:pPr>
              <w:ind w:left="540"/>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8</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18</w:t>
            </w:r>
          </w:p>
        </w:tc>
        <w:tc>
          <w:tcPr>
            <w:tcW w:w="34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31</w:t>
            </w:r>
          </w:p>
        </w:tc>
        <w:tc>
          <w:tcPr>
            <w:tcW w:w="32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36</w:t>
            </w:r>
          </w:p>
        </w:tc>
      </w:tr>
      <w:tr>
        <w:trPr>
          <w:trHeight w:val="210"/>
        </w:trPr>
        <w:tc>
          <w:tcPr>
            <w:tcW w:w="468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2,444</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1,340</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5,167</w:t>
            </w:r>
          </w:p>
        </w:tc>
        <w:tc>
          <w:tcPr>
            <w:tcW w:w="3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3,933</w:t>
            </w:r>
          </w:p>
        </w:tc>
      </w:tr>
      <w:tr>
        <w:trPr>
          <w:trHeight w:val="20"/>
        </w:trPr>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156"/>
        </w:trPr>
        <w:tc>
          <w:tcPr>
            <w:tcW w:w="7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gridSpan w:val="4"/>
          </w:tcPr>
          <w:p>
            <w:pPr>
              <w:jc w:val="right"/>
              <w:ind w:right="771"/>
              <w:spacing w:after="0" w:line="155" w:lineRule="exact"/>
              <w:rPr>
                <w:sz w:val="20"/>
                <w:szCs w:val="20"/>
                <w:color w:val="auto"/>
              </w:rPr>
            </w:pPr>
            <w:r>
              <w:rPr>
                <w:rFonts w:ascii="Arial" w:cs="Arial" w:eastAsia="Arial" w:hAnsi="Arial"/>
                <w:sz w:val="14"/>
                <w:szCs w:val="14"/>
                <w:b w:val="1"/>
                <w:bCs w:val="1"/>
                <w:color w:val="auto"/>
              </w:rPr>
              <w:t>(Dollars in millions)</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9,803</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7,059</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3,758</w:t>
            </w: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receivable - net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8,568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8,866</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5,061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4,613</w:t>
            </w:r>
          </w:p>
        </w:tc>
      </w:tr>
      <w:tr>
        <w:trPr>
          <w:trHeight w:val="216"/>
        </w:trPr>
        <w:tc>
          <w:tcPr>
            <w:tcW w:w="7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1,346</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1,706</w:t>
            </w:r>
          </w:p>
        </w:tc>
      </w:tr>
      <w:tr>
        <w:trPr>
          <w:trHeight w:val="196"/>
        </w:trPr>
        <w:tc>
          <w:tcPr>
            <w:tcW w:w="7260" w:type="dxa"/>
            <w:vAlign w:val="bottom"/>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26,628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26,002</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754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667</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5,966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5,926</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18,186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18,277</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4,202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4,496</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465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479</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251</w:t>
            </w:r>
          </w:p>
        </w:tc>
      </w:tr>
      <w:tr>
        <w:trPr>
          <w:trHeight w:val="216"/>
        </w:trPr>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5,350</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3,372</w:t>
            </w:r>
          </w:p>
        </w:tc>
      </w:tr>
      <w:tr>
        <w:trPr>
          <w:trHeight w:val="250"/>
        </w:trPr>
        <w:tc>
          <w:tcPr>
            <w:tcW w:w="7260" w:type="dxa"/>
            <w:vAlign w:val="bottom"/>
          </w:tcPr>
          <w:p>
            <w:pPr>
              <w:ind w:left="180"/>
              <w:spacing w:after="0" w:line="197" w:lineRule="exact"/>
              <w:rPr>
                <w:sz w:val="20"/>
                <w:szCs w:val="20"/>
                <w:color w:val="auto"/>
              </w:rPr>
            </w:pPr>
            <w:r>
              <w:rPr>
                <w:rFonts w:ascii="Arial" w:cs="Arial" w:eastAsia="Arial" w:hAnsi="Arial"/>
                <w:sz w:val="18"/>
                <w:szCs w:val="18"/>
                <w:color w:val="auto"/>
              </w:rPr>
              <w:t>Total assets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61,927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59,470</w:t>
            </w:r>
          </w:p>
        </w:tc>
      </w:tr>
      <w:tr>
        <w:trPr>
          <w:trHeight w:val="183"/>
        </w:trPr>
        <w:tc>
          <w:tcPr>
            <w:tcW w:w="7260" w:type="dxa"/>
            <w:vAlign w:val="bottom"/>
            <w:tcBorders>
              <w:top w:val="single" w:sz="8" w:color="E5FFFF"/>
            </w:tcBorders>
            <w:shd w:val="clear" w:color="auto" w:fill="E5FFFF"/>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10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160" w:type="dxa"/>
            <w:vAlign w:val="bottom"/>
            <w:tcBorders>
              <w:top w:val="single" w:sz="8" w:color="auto"/>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7,050</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6,584</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3,977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3,958</w:t>
            </w: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215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1,351</w:t>
            </w:r>
          </w:p>
        </w:tc>
      </w:tr>
      <w:tr>
        <w:trPr>
          <w:trHeight w:val="216"/>
        </w:trPr>
        <w:tc>
          <w:tcPr>
            <w:tcW w:w="72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Accrued liabilities</w:t>
            </w:r>
          </w:p>
        </w:tc>
        <w:tc>
          <w:tcPr>
            <w:tcW w:w="110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6,658</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6,968</w:t>
            </w:r>
          </w:p>
        </w:tc>
      </w:tr>
      <w:tr>
        <w:trPr>
          <w:trHeight w:val="196"/>
        </w:trPr>
        <w:tc>
          <w:tcPr>
            <w:tcW w:w="726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17,900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18,861</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14,059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12,573</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1,905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2,664</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512</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2,252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2,260</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6,948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5,930</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958</w:t>
            </w:r>
          </w:p>
        </w:tc>
      </w:tr>
      <w:tr>
        <w:trPr>
          <w:trHeight w:val="203"/>
        </w:trPr>
        <w:tc>
          <w:tcPr>
            <w:tcW w:w="7260" w:type="dxa"/>
            <w:vAlign w:val="bottom"/>
          </w:tcPr>
          <w:p>
            <w:pPr>
              <w:ind w:left="60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6,398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6,212</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(18,102)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(15,914)</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(2,125)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r>
      <w:tr>
        <w:trPr>
          <w:trHeight w:val="216"/>
        </w:trPr>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31,110</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27,481</w:t>
            </w:r>
          </w:p>
        </w:tc>
      </w:tr>
      <w:tr>
        <w:trPr>
          <w:trHeight w:val="196"/>
        </w:trPr>
        <w:tc>
          <w:tcPr>
            <w:tcW w:w="7260" w:type="dxa"/>
            <w:vAlign w:val="bottom"/>
          </w:tcPr>
          <w:p>
            <w:pPr>
              <w:ind w:left="18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18,239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16,502</w:t>
            </w:r>
          </w:p>
        </w:tc>
      </w:tr>
      <w:tr>
        <w:trPr>
          <w:trHeight w:val="216"/>
        </w:trPr>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163</w:t>
            </w:r>
          </w:p>
        </w:tc>
      </w:tr>
      <w:tr>
        <w:trPr>
          <w:trHeight w:val="196"/>
        </w:trPr>
        <w:tc>
          <w:tcPr>
            <w:tcW w:w="726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18,416</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16,665</w:t>
            </w:r>
          </w:p>
        </w:tc>
      </w:tr>
      <w:tr>
        <w:trPr>
          <w:trHeight w:val="210"/>
        </w:trPr>
        <w:tc>
          <w:tcPr>
            <w:tcW w:w="726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2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61,927</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59,470</w:t>
            </w:r>
          </w:p>
        </w:tc>
      </w:tr>
      <w:tr>
        <w:trPr>
          <w:trHeight w:val="20"/>
        </w:trPr>
        <w:tc>
          <w:tcPr>
            <w:tcW w:w="726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69"/>
        </w:trPr>
        <w:tc>
          <w:tcPr>
            <w:tcW w:w="8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r>
      <w:tr>
        <w:trPr>
          <w:trHeight w:val="156"/>
        </w:trPr>
        <w:tc>
          <w:tcPr>
            <w:tcW w:w="8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3"/>
                <w:szCs w:val="13"/>
                <w:color w:val="auto"/>
              </w:rPr>
            </w:pPr>
          </w:p>
        </w:tc>
      </w:tr>
      <w:tr>
        <w:trPr>
          <w:trHeight w:val="203"/>
        </w:trPr>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5,088</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4,095</w:t>
            </w:r>
          </w:p>
        </w:tc>
      </w:tr>
      <w:tr>
        <w:trPr>
          <w:trHeight w:val="216"/>
        </w:trPr>
        <w:tc>
          <w:tcPr>
            <w:tcW w:w="80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44</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31</w:t>
            </w:r>
          </w:p>
        </w:tc>
      </w:tr>
      <w:tr>
        <w:trPr>
          <w:trHeight w:val="196"/>
        </w:trPr>
        <w:tc>
          <w:tcPr>
            <w:tcW w:w="8080" w:type="dxa"/>
            <w:vAlign w:val="bottom"/>
          </w:tcPr>
          <w:p>
            <w:pPr>
              <w:ind w:left="180"/>
              <w:spacing w:after="0" w:line="196"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5,044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4,064</w:t>
            </w:r>
          </w:p>
        </w:tc>
      </w:tr>
      <w:tr>
        <w:trPr>
          <w:trHeight w:val="202"/>
        </w:trPr>
        <w:tc>
          <w:tcPr>
            <w:tcW w:w="808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8080" w:type="dxa"/>
            <w:vAlign w:val="bottom"/>
            <w:shd w:val="clear" w:color="auto" w:fill="E5FFFF"/>
          </w:tcPr>
          <w:p>
            <w:pPr>
              <w:ind w:left="360"/>
              <w:spacing w:after="0" w:line="203" w:lineRule="exact"/>
              <w:rPr>
                <w:sz w:val="20"/>
                <w:szCs w:val="20"/>
                <w:color w:val="auto"/>
              </w:rPr>
            </w:pPr>
            <w:r>
              <w:rPr>
                <w:rFonts w:ascii="Arial" w:cs="Arial" w:eastAsia="Arial" w:hAnsi="Arial"/>
                <w:sz w:val="18"/>
                <w:szCs w:val="18"/>
                <w:color w:val="auto"/>
              </w:rPr>
              <w:t>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558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534</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304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298</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Repositioning and other charges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756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586</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(519)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(394)</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Pension and other postretirement income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(67)</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r>
      <w:tr>
        <w:trPr>
          <w:trHeight w:val="203"/>
        </w:trPr>
        <w:tc>
          <w:tcPr>
            <w:tcW w:w="80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(459)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(400)</w:t>
            </w: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w:t>
            </w:r>
          </w:p>
        </w:tc>
      </w:tr>
      <w:tr>
        <w:trPr>
          <w:trHeight w:val="203"/>
        </w:trPr>
        <w:tc>
          <w:tcPr>
            <w:tcW w:w="80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466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404</w:t>
            </w:r>
          </w:p>
        </w:tc>
      </w:tr>
      <w:tr>
        <w:trPr>
          <w:trHeight w:val="216"/>
        </w:trPr>
        <w:tc>
          <w:tcPr>
            <w:tcW w:w="8080" w:type="dxa"/>
            <w:vAlign w:val="bottom"/>
            <w:tcBorders>
              <w:bottom w:val="single" w:sz="8" w:color="E5FFFF"/>
            </w:tcBorders>
          </w:tcPr>
          <w:p>
            <w:pPr>
              <w:ind w:left="5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196"/>
        </w:trPr>
        <w:tc>
          <w:tcPr>
            <w:tcW w:w="8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4,875</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3,794</w:t>
            </w: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(613)</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Increase in investments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(2,882)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(4,149)</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Decrease in investments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4,634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2,793</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16"/>
        </w:trPr>
        <w:tc>
          <w:tcPr>
            <w:tcW w:w="80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196"/>
        </w:trPr>
        <w:tc>
          <w:tcPr>
            <w:tcW w:w="8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(used for) investing activities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1,433</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(2,191)</w:t>
            </w: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issuance of commercial paper and other short-term borrowings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19,300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8,808</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Payments of commercial paper and other short-term borrowings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(19,153)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(8,608)</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242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463</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(1,303)</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(2,308)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(1,335)</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dividends paid</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(1,669)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(1,554)</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Pre-separation funding</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1,604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w:t>
            </w:r>
          </w:p>
        </w:tc>
      </w:tr>
      <w:tr>
        <w:trPr>
          <w:trHeight w:val="196"/>
        </w:trPr>
        <w:tc>
          <w:tcPr>
            <w:tcW w:w="808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28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(3,402)</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(2,387)</w:t>
            </w:r>
          </w:p>
        </w:tc>
      </w:tr>
      <w:tr>
        <w:trPr>
          <w:trHeight w:val="196"/>
        </w:trPr>
        <w:tc>
          <w:tcPr>
            <w:tcW w:w="8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(162)</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330</w:t>
            </w: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2,744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(454)</w:t>
            </w:r>
          </w:p>
        </w:tc>
      </w:tr>
      <w:tr>
        <w:trPr>
          <w:trHeight w:val="216"/>
        </w:trPr>
        <w:tc>
          <w:tcPr>
            <w:tcW w:w="808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7,059</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7,843</w:t>
            </w:r>
          </w:p>
        </w:tc>
      </w:tr>
      <w:tr>
        <w:trPr>
          <w:trHeight w:val="210"/>
        </w:trPr>
        <w:tc>
          <w:tcPr>
            <w:tcW w:w="808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9,803</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7,389</w:t>
            </w:r>
          </w:p>
        </w:tc>
      </w:tr>
      <w:tr>
        <w:trPr>
          <w:trHeight w:val="20"/>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September 30, 2018 and December 31, 2017, the cash flows for the nine months ended September 30, 2018 and 2017 and the results of operations for the three and nine months ended September 30, 2018 and 2017. The results of operations for the three and nine months ended September 30, 2018 and cash flows for the nine months ended September 30, 2018 should not necessarily be taken as indicative of the entire year.</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nine months ended September 30, 2018 and 2017 were September 29, 2018 and September 30,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0" w:lineRule="exact"/>
        <w:rPr>
          <w:sz w:val="20"/>
          <w:szCs w:val="20"/>
          <w:color w:val="auto"/>
        </w:rPr>
      </w:pPr>
    </w:p>
    <w:p>
      <w:pPr>
        <w:ind w:right="1420" w:firstLine="648"/>
        <w:spacing w:after="0" w:line="246" w:lineRule="auto"/>
        <w:rPr>
          <w:sz w:val="20"/>
          <w:szCs w:val="20"/>
          <w:color w:val="auto"/>
        </w:rPr>
      </w:pPr>
      <w:r>
        <w:rPr>
          <w:rFonts w:ascii="Arial" w:cs="Arial" w:eastAsia="Arial" w:hAnsi="Arial"/>
          <w:sz w:val="18"/>
          <w:szCs w:val="18"/>
          <w:color w:val="auto"/>
        </w:rPr>
        <w:t>The accounting policies of the Company are set forth in Note 1 to Consolidated Financial Statements contained in the Company’s 2017 Annual Report on Form 10-K. We include herein certain updates to those policies.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Certain prior year amounts have been reclassified to conform to the current year presentation.</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Sales Recognition</w:t>
      </w:r>
      <w:r>
        <w:rPr>
          <w:rFonts w:ascii="Arial" w:cs="Arial" w:eastAsia="Arial" w:hAnsi="Arial"/>
          <w:sz w:val="18"/>
          <w:szCs w:val="18"/>
          <w:color w:val="auto"/>
        </w:rPr>
        <w:t>—Product and service sales are recognized when or as we transfer control of the promised products or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Revenue is measured as the amount of consideration we expect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We recognize revenue over time as we perform on these contracts because of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Provisions for anticipated losses on long-term contracts are recorded in full when such losses become evident, to the extent required.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customer funding for costs incurred for nonrecurring engineering and development activities of our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on our Consolidated Balance Sheet.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Revenues for our mechanical service programs are recognized as performance obligations are satisfied over time, with recognition reflecting a series of distinct services using the output method.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terms of a contract or the historical business practice can give rise to variable consideration due to, but not limited to, cash-based incentives, rebates, performance awards, or credits. We estimate variable consideration at the most likely amount we will receive from customers. We include estimated amounts in the transaction price to the extent it is probable that a significant reversal of cumulative revenue recognized for such transaction will not occur, or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70"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b w:val="1"/>
          <w:bCs w:val="1"/>
          <w:i w:val="1"/>
          <w:iCs w:val="1"/>
          <w:color w:val="auto"/>
        </w:rPr>
        <w:t>Aerospace Sales Incentives</w:t>
      </w:r>
      <w:r>
        <w:rPr>
          <w:rFonts w:ascii="Arial" w:cs="Arial" w:eastAsia="Arial" w:hAnsi="Arial"/>
          <w:sz w:val="18"/>
          <w:szCs w:val="18"/>
          <w:color w:val="auto"/>
        </w:rPr>
        <w:t>— We provide sales incentives to commercial aircraft manufacturers and airlines in connection with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of our aircraft equipment, predominately wheel and braking system hardware, avionics, and auxiliary power units, for installation on commercial aircraft. These incentives consist of free or deeply discounted products, credits for future purchases of product or upfront cash payments. These costs are generally recognized in the period incurred as cost of products sold or as a reduction to relevant sales, as appropriate.</w:t>
      </w:r>
    </w:p>
    <w:p>
      <w:pPr>
        <w:spacing w:after="0" w:line="163"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18"/>
          <w:szCs w:val="18"/>
          <w:color w:val="auto"/>
        </w:rPr>
        <w:t>—On January 1, 2018, we retrospectively adopted the new accounting guidance on presentation of net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costs. That guidance requires that we disaggregate the service cost component of net benefit costs and report those costs in the same line item or items in the Consolidated Statement of Operations as other compensation costs arising from services rendered by the pertinent employees during the period. The other non-service components of net benefit costs are required to be presented separately from the service cost component.</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Following the adoption of this guidance, we continue to record the service cost component of Pension ongoing (income) expense in Costs of products and services sold and Selling, general and administrative expenses. The remaining components of net benefit costs within Pension ongoing (income) expense, primarily interest costs and assumed return on plan assets, are now recorded in Other (income) expense. We will continue to recognize net actuarial gains or losses in excess of 10% of the greater of the fair value of plan assets or the plans’ projected benefit obligation (the corridor) annually in the fourth quarter each year (MTM Adjustment). The MTM Adjustment will also be reported in Other (income) expense.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(FASB). ASUs not listed below were assessed and determined to be either not applicable or are expected to have minimal impact on our consolidated result of operations, financial position and cash flows (Consolidated Financial Statements).</w:t>
      </w:r>
    </w:p>
    <w:p>
      <w:pPr>
        <w:spacing w:after="0" w:line="23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with early adoption permitted. We expect to adopt the requirements of the new standard effective January 1, 2019. The guidance requires the use of a modified retrospective approach. In July 2018, the FASB issued updated guidance which allows an additional transition method to adopt the new leases standard at the adoption date, as compared to the beginning of the earliest period presented, and recognize a cumulative-effect adjustment to the beginning balance of retained earnings in the period of adoption. The Company expects to elect this transition method at the adoption date of January 1, 2019. We are currently finalizing our lease portfolio analysis to determine the impact to the Consolidated Financial Statements. We are implementing processes and information technology tools to assist in our ongoing lease data collection and analysis, and updating our accounting policies and internal controls that would be impacted by the new guidance, to ensure readiness for adoption in the first quarter of 2019.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August 2017, the FASB issued amendments to hedge accounting guidance. These amendments are intended to better align a company’s risk management strategies and financial reporting for hedging relationships. Under the new guidance, more hedging strategies will be eligible for hedge accounting and the application of hedge accounting is simplified. In addition, the new guidance amends presentation and disclosure requirements. The guidance is effective for fiscal years beginning after December 15, 2018 with early adoption permitted, including for interim periods within those years. The Company does not expect the adoption of this ASU to have a material impact on its Consolidated Financial Statements.</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2018, the FASB issued guidance that allows for an entity to elect to reclassify the income tax effects on items within accumulated other comprehensive income resulting from the U.S. Tax Cuts and Jobs Act (“U.S. Tax Reform”) to retained earnings. The guidance is effective for fiscal years beginning after December 15, 2018 with early adoption permitted, including interim periods within those years. Upon adoption, the Company does not expect to elect to reclassify the stranded income tax effects of U.S. Tax Reform from accumulated other comprehensive income to retained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2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r>
      <w:tr>
        <w:trPr>
          <w:trHeight w:val="196"/>
        </w:trPr>
        <w:tc>
          <w:tcPr>
            <w:tcW w:w="45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4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39</w:t>
            </w:r>
          </w:p>
        </w:tc>
        <w:tc>
          <w:tcPr>
            <w:tcW w:w="36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75</w:t>
            </w:r>
          </w:p>
        </w:tc>
        <w:tc>
          <w:tcPr>
            <w:tcW w:w="3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100</w:t>
            </w:r>
          </w:p>
        </w:tc>
        <w:tc>
          <w:tcPr>
            <w:tcW w:w="3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177</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w:t>
            </w:r>
          </w:p>
        </w:tc>
      </w:tr>
      <w:tr>
        <w:trPr>
          <w:trHeight w:val="203"/>
        </w:trPr>
        <w:tc>
          <w:tcPr>
            <w:tcW w:w="45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4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w:t>
            </w: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48</w:t>
            </w:r>
          </w:p>
        </w:tc>
        <w:tc>
          <w:tcPr>
            <w:tcW w:w="3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20</w:t>
            </w:r>
          </w:p>
        </w:tc>
      </w:tr>
      <w:tr>
        <w:trPr>
          <w:trHeight w:val="216"/>
        </w:trPr>
        <w:tc>
          <w:tcPr>
            <w:tcW w:w="45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Reserve adjustments</w:t>
            </w:r>
          </w:p>
        </w:tc>
        <w:tc>
          <w:tcPr>
            <w:tcW w:w="40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454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400" w:type="dxa"/>
            <w:vAlign w:val="bottom"/>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74</w:t>
            </w:r>
          </w:p>
        </w:tc>
        <w:tc>
          <w:tcPr>
            <w:tcW w:w="36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101</w:t>
            </w:r>
          </w:p>
        </w:tc>
        <w:tc>
          <w:tcPr>
            <w:tcW w:w="340" w:type="dxa"/>
            <w:vAlign w:val="bottom"/>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220</w:t>
            </w:r>
          </w:p>
        </w:tc>
        <w:tc>
          <w:tcPr>
            <w:tcW w:w="32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247</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Asbestos related litigation charges, net of insurance</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59</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55</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157</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155</w:t>
            </w:r>
          </w:p>
        </w:tc>
      </w:tr>
      <w:tr>
        <w:trPr>
          <w:trHeight w:val="202"/>
        </w:trPr>
        <w:tc>
          <w:tcPr>
            <w:tcW w:w="45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Probable and reasonably estimable environmental</w:t>
            </w:r>
          </w:p>
        </w:tc>
        <w:tc>
          <w:tcPr>
            <w:tcW w:w="4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r>
      <w:tr>
        <w:trPr>
          <w:trHeight w:val="203"/>
        </w:trPr>
        <w:tc>
          <w:tcPr>
            <w:tcW w:w="454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liabilities</w:t>
            </w:r>
          </w:p>
        </w:tc>
        <w:tc>
          <w:tcPr>
            <w:tcW w:w="4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3"/>
              <w:spacing w:after="0" w:line="203" w:lineRule="exact"/>
              <w:rPr>
                <w:sz w:val="20"/>
                <w:szCs w:val="20"/>
                <w:color w:val="auto"/>
              </w:rPr>
            </w:pPr>
            <w:r>
              <w:rPr>
                <w:rFonts w:ascii="Arial" w:cs="Arial" w:eastAsia="Arial" w:hAnsi="Arial"/>
                <w:sz w:val="18"/>
                <w:szCs w:val="18"/>
                <w:color w:val="auto"/>
              </w:rPr>
              <w:t>150</w:t>
            </w: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62</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3"/>
              <w:spacing w:after="0" w:line="203" w:lineRule="exact"/>
              <w:rPr>
                <w:sz w:val="20"/>
                <w:szCs w:val="20"/>
                <w:color w:val="auto"/>
              </w:rPr>
            </w:pPr>
            <w:r>
              <w:rPr>
                <w:rFonts w:ascii="Arial" w:cs="Arial" w:eastAsia="Arial" w:hAnsi="Arial"/>
                <w:sz w:val="18"/>
                <w:szCs w:val="18"/>
                <w:color w:val="auto"/>
              </w:rPr>
              <w:t>334</w:t>
            </w:r>
          </w:p>
        </w:tc>
        <w:tc>
          <w:tcPr>
            <w:tcW w:w="3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167</w:t>
            </w:r>
          </w:p>
        </w:tc>
      </w:tr>
      <w:tr>
        <w:trPr>
          <w:trHeight w:val="216"/>
        </w:trPr>
        <w:tc>
          <w:tcPr>
            <w:tcW w:w="45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10"/>
        </w:trPr>
        <w:tc>
          <w:tcPr>
            <w:tcW w:w="454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net repositioning and other charges</w:t>
            </w:r>
          </w:p>
        </w:tc>
        <w:tc>
          <w:tcPr>
            <w:tcW w:w="1280" w:type="dxa"/>
            <w:vAlign w:val="bottom"/>
            <w:gridSpan w:val="2"/>
            <w:shd w:val="clear" w:color="auto" w:fill="E5FF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299</w:t>
            </w:r>
          </w:p>
        </w:tc>
        <w:tc>
          <w:tcPr>
            <w:tcW w:w="1260" w:type="dxa"/>
            <w:vAlign w:val="bottom"/>
            <w:gridSpan w:val="2"/>
            <w:shd w:val="clear" w:color="auto" w:fill="E5FF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235</w:t>
            </w:r>
          </w:p>
        </w:tc>
        <w:tc>
          <w:tcPr>
            <w:tcW w:w="120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756</w:t>
            </w:r>
          </w:p>
        </w:tc>
        <w:tc>
          <w:tcPr>
            <w:tcW w:w="1220" w:type="dxa"/>
            <w:vAlign w:val="bottom"/>
            <w:gridSpan w:val="2"/>
            <w:shd w:val="clear" w:color="auto" w:fill="E5FF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586</w:t>
            </w:r>
          </w:p>
        </w:tc>
      </w:tr>
      <w:tr>
        <w:trPr>
          <w:trHeight w:val="20"/>
        </w:trPr>
        <w:tc>
          <w:tcPr>
            <w:tcW w:w="454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69"/>
        </w:trPr>
        <w:tc>
          <w:tcPr>
            <w:tcW w:w="4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196"/>
        </w:trPr>
        <w:tc>
          <w:tcPr>
            <w:tcW w:w="42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68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261</w:t>
            </w:r>
          </w:p>
        </w:tc>
        <w:tc>
          <w:tcPr>
            <w:tcW w:w="36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198</w:t>
            </w:r>
          </w:p>
        </w:tc>
        <w:tc>
          <w:tcPr>
            <w:tcW w:w="34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605</w:t>
            </w:r>
          </w:p>
        </w:tc>
        <w:tc>
          <w:tcPr>
            <w:tcW w:w="32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506</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38</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110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54</w:t>
            </w:r>
          </w:p>
        </w:tc>
      </w:tr>
      <w:tr>
        <w:trPr>
          <w:trHeight w:val="216"/>
        </w:trPr>
        <w:tc>
          <w:tcPr>
            <w:tcW w:w="4260" w:type="dxa"/>
            <w:vAlign w:val="bottom"/>
            <w:shd w:val="clear" w:color="auto" w:fill="E5FF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41</w:t>
            </w:r>
          </w:p>
        </w:tc>
        <w:tc>
          <w:tcPr>
            <w:tcW w:w="32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26</w:t>
            </w:r>
          </w:p>
        </w:tc>
      </w:tr>
      <w:tr>
        <w:trPr>
          <w:trHeight w:val="210"/>
        </w:trPr>
        <w:tc>
          <w:tcPr>
            <w:tcW w:w="4260" w:type="dxa"/>
            <w:vAlign w:val="bottom"/>
          </w:tcPr>
          <w:p>
            <w:pPr>
              <w:spacing w:after="0"/>
              <w:rPr>
                <w:sz w:val="18"/>
                <w:szCs w:val="18"/>
                <w:color w:val="auto"/>
              </w:rPr>
            </w:pPr>
          </w:p>
        </w:tc>
        <w:tc>
          <w:tcPr>
            <w:tcW w:w="15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299</w:t>
            </w:r>
          </w:p>
        </w:tc>
        <w:tc>
          <w:tcPr>
            <w:tcW w:w="12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756</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586</w:t>
            </w:r>
          </w:p>
        </w:tc>
      </w:tr>
      <w:tr>
        <w:trPr>
          <w:trHeight w:val="20"/>
        </w:trPr>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2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426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20" w:type="dxa"/>
            <w:vAlign w:val="bottom"/>
            <w:gridSpan w:val="4"/>
          </w:tcPr>
          <w:p>
            <w:pPr>
              <w:jc w:val="right"/>
              <w:ind w:right="265"/>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r>
      <w:tr>
        <w:trPr>
          <w:trHeight w:val="175"/>
        </w:trPr>
        <w:tc>
          <w:tcPr>
            <w:tcW w:w="4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r>
      <w:tr>
        <w:trPr>
          <w:trHeight w:val="169"/>
        </w:trPr>
        <w:tc>
          <w:tcPr>
            <w:tcW w:w="41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r>
      <w:tr>
        <w:trPr>
          <w:trHeight w:val="196"/>
        </w:trPr>
        <w:tc>
          <w:tcPr>
            <w:tcW w:w="41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8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54</w:t>
            </w:r>
          </w:p>
        </w:tc>
        <w:tc>
          <w:tcPr>
            <w:tcW w:w="36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64</w:t>
            </w:r>
          </w:p>
        </w:tc>
        <w:tc>
          <w:tcPr>
            <w:tcW w:w="3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157</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219</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w:t>
            </w:r>
          </w:p>
        </w:tc>
      </w:tr>
      <w:tr>
        <w:trPr>
          <w:trHeight w:val="203"/>
        </w:trPr>
        <w:tc>
          <w:tcPr>
            <w:tcW w:w="41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12</w:t>
            </w: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85</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16"/>
        </w:trPr>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445</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246</w:t>
            </w:r>
          </w:p>
        </w:tc>
      </w:tr>
      <w:tr>
        <w:trPr>
          <w:trHeight w:val="210"/>
        </w:trPr>
        <w:tc>
          <w:tcPr>
            <w:tcW w:w="4100" w:type="dxa"/>
            <w:vAlign w:val="bottom"/>
          </w:tcPr>
          <w:p>
            <w:pPr>
              <w:spacing w:after="0"/>
              <w:rPr>
                <w:sz w:val="18"/>
                <w:szCs w:val="18"/>
                <w:color w:val="auto"/>
              </w:rPr>
            </w:pPr>
          </w:p>
        </w:tc>
        <w:tc>
          <w:tcPr>
            <w:tcW w:w="17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299</w:t>
            </w:r>
          </w:p>
        </w:tc>
        <w:tc>
          <w:tcPr>
            <w:tcW w:w="12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8"/>
                <w:szCs w:val="18"/>
                <w:color w:val="auto"/>
              </w:rPr>
            </w:pPr>
          </w:p>
        </w:tc>
        <w:tc>
          <w:tcPr>
            <w:tcW w:w="900" w:type="dxa"/>
            <w:vAlign w:val="bottom"/>
            <w:gridSpan w:val="2"/>
          </w:tcPr>
          <w:p>
            <w:pPr>
              <w:jc w:val="right"/>
              <w:ind w:right="72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586</w:t>
            </w:r>
          </w:p>
        </w:tc>
      </w:tr>
      <w:tr>
        <w:trPr>
          <w:trHeight w:val="20"/>
        </w:trPr>
        <w:tc>
          <w:tcPr>
            <w:tcW w:w="4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September 30, 2018, we recognized gross repositioning charges totaling $73 million including severance costs of $39 million related to workforce reductions of 816 manufacturing and administrative positions across our segments. The workforce reductions were primarily related to site transitions, mainly in Safety and Productivity Solutions and Performance Materials and Technologies, to more cost-effective locations. The repositioning charges included asset impairments of $26 million primarily due to the write-off of certain capitalized assets in Corporate and manufacturing equipment associated with a site transition in Performance Materials and Technologies.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quarter ended September 30, 2017, we recognized gross repositioning charges totaling $108 million including severance costs of $75 million related to workforce reductions of 1,700 manufacturing and administrative positions across our segments. The workforce reductions were primarily related to site transitions, mainly in Safety and Productivity Solutions and Aerospace, to more cost-effective locations and cost savings actions taken in connection with our productivity and ongoing functional transformation initiatives. The repositioning charges included asset impairments of $22 million primarily related to the write-down of a research and development facility in Corporate in connection with a planned exit from such facility.</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nine months ended September 30, 2018, we recognized gross repositioning charges totaling $222 million including severance costs of $100 million related to workforce reductions of 2,700 manufacturing and administrative positions across our segments. The workforce reductions were primarily related to site transitions, mainly in Safety and Productivity Solutions, Performance Materials and Technologies and Aerospace, to more cost-effective locations and to cost savings actions taken in connection with our productivity and ongoing functional transformation initiatives. The repositioning charges included asset impairments of $74 million primarily related to the write-down of a legacy property in Corporate in connection with its planned disposition, and the write-off of certain capitalized assets in Corporate and manufacturing equipment associated with a site transition in Performance Materials and Technologies. The repositioning charges included exit costs of $ 48 million primarily related to a termination fee associated with the early cancellation of a supply agreement for certain raw materials in Performance Materials and Technologies.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nine months ended September 30, 2017, we recognized gross repositioning charges totaling $254 million including severance costs of $177 million related to workforce reductions of 4,224 manufacturing and administrative positions across our segments. The workforce reductions were primarily related to cost savings actions taken in connection with our productivity and ongoing functional transformation initiatives and with site transitions, mainly in Aerospace and Safety and Productivity Solutions, to more cost-effective locations. The repositioning charges included asset impairments of $57 million primarily in Corporate related to the write-down of a research and development facility in connection with a planned exit from such facility and legacy properties in connection with their planned sale.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174"/>
              <w:spacing w:after="0"/>
              <w:rPr>
                <w:sz w:val="20"/>
                <w:szCs w:val="20"/>
                <w:color w:val="auto"/>
              </w:rPr>
            </w:pPr>
            <w:r>
              <w:rPr>
                <w:rFonts w:ascii="Arial" w:cs="Arial" w:eastAsia="Arial" w:hAnsi="Arial"/>
                <w:sz w:val="14"/>
                <w:szCs w:val="14"/>
                <w:b w:val="1"/>
                <w:bCs w:val="1"/>
                <w:color w:val="auto"/>
              </w:rPr>
              <w:t>Severance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auto"/>
              </w:rPr>
              <w:t>Asset</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3760" w:type="dxa"/>
            <w:vAlign w:val="bottom"/>
            <w:tcBorders>
              <w:bottom w:val="single" w:sz="8" w:color="E5FFFF"/>
            </w:tcBorders>
          </w:tcPr>
          <w:p>
            <w:pPr>
              <w:spacing w:after="0"/>
              <w:rPr>
                <w:sz w:val="15"/>
                <w:szCs w:val="15"/>
                <w:color w:val="auto"/>
              </w:rPr>
            </w:pPr>
          </w:p>
        </w:tc>
        <w:tc>
          <w:tcPr>
            <w:tcW w:w="11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Impairments</w:t>
            </w:r>
          </w:p>
        </w:tc>
        <w:tc>
          <w:tcPr>
            <w:tcW w:w="34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Costs</w:t>
            </w:r>
          </w:p>
        </w:tc>
        <w:tc>
          <w:tcPr>
            <w:tcW w:w="320" w:type="dxa"/>
            <w:vAlign w:val="bottom"/>
            <w:tcBorders>
              <w:bottom w:val="single" w:sz="8" w:color="E5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76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December 31, 2017</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442</w:t>
            </w:r>
          </w:p>
        </w:tc>
        <w:tc>
          <w:tcPr>
            <w:tcW w:w="36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71</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513</w:t>
            </w:r>
          </w:p>
        </w:tc>
      </w:tr>
      <w:tr>
        <w:trPr>
          <w:trHeight w:val="203"/>
        </w:trPr>
        <w:tc>
          <w:tcPr>
            <w:tcW w:w="3760" w:type="dxa"/>
            <w:vAlign w:val="bottom"/>
          </w:tcPr>
          <w:p>
            <w:pPr>
              <w:ind w:left="360"/>
              <w:spacing w:after="0" w:line="202" w:lineRule="exact"/>
              <w:rPr>
                <w:sz w:val="20"/>
                <w:szCs w:val="20"/>
                <w:color w:val="auto"/>
              </w:rPr>
            </w:pPr>
            <w:r>
              <w:rPr>
                <w:rFonts w:ascii="Arial" w:cs="Arial" w:eastAsia="Arial" w:hAnsi="Arial"/>
                <w:sz w:val="18"/>
                <w:szCs w:val="18"/>
                <w:color w:val="auto"/>
              </w:rPr>
              <w:t>Charges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222</w:t>
            </w:r>
          </w:p>
        </w:tc>
      </w:tr>
      <w:tr>
        <w:trPr>
          <w:trHeight w:val="203"/>
        </w:trPr>
        <w:tc>
          <w:tcPr>
            <w:tcW w:w="376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Usage - cash</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(182)</w:t>
            </w:r>
          </w:p>
        </w:tc>
        <w:tc>
          <w:tcPr>
            <w:tcW w:w="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(234)</w:t>
            </w:r>
          </w:p>
        </w:tc>
      </w:tr>
      <w:tr>
        <w:trPr>
          <w:trHeight w:val="203"/>
        </w:trPr>
        <w:tc>
          <w:tcPr>
            <w:tcW w:w="3760" w:type="dxa"/>
            <w:vAlign w:val="bottom"/>
          </w:tcPr>
          <w:p>
            <w:pPr>
              <w:ind w:left="360"/>
              <w:spacing w:after="0" w:line="202" w:lineRule="exact"/>
              <w:rPr>
                <w:sz w:val="20"/>
                <w:szCs w:val="20"/>
                <w:color w:val="auto"/>
              </w:rPr>
            </w:pPr>
            <w:r>
              <w:rPr>
                <w:rFonts w:ascii="Arial" w:cs="Arial" w:eastAsia="Arial" w:hAnsi="Arial"/>
                <w:sz w:val="18"/>
                <w:szCs w:val="18"/>
                <w:color w:val="auto"/>
              </w:rPr>
              <w:t>Usage - noncash</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376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currency translation</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3760" w:type="dxa"/>
            <w:vAlign w:val="bottom"/>
            <w:tcBorders>
              <w:bottom w:val="single" w:sz="8" w:color="E5FFFF"/>
            </w:tcBorders>
          </w:tcPr>
          <w:p>
            <w:pPr>
              <w:ind w:left="360"/>
              <w:spacing w:after="0" w:line="202" w:lineRule="exact"/>
              <w:rPr>
                <w:sz w:val="20"/>
                <w:szCs w:val="20"/>
                <w:color w:val="auto"/>
              </w:rPr>
            </w:pPr>
            <w:r>
              <w:rPr>
                <w:rFonts w:ascii="Arial" w:cs="Arial" w:eastAsia="Arial" w:hAnsi="Arial"/>
                <w:sz w:val="18"/>
                <w:szCs w:val="18"/>
                <w:color w:val="auto"/>
              </w:rPr>
              <w:t>Adjustments</w:t>
            </w:r>
          </w:p>
        </w:tc>
        <w:tc>
          <w:tcPr>
            <w:tcW w:w="11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0"/>
        </w:trPr>
        <w:tc>
          <w:tcPr>
            <w:tcW w:w="376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September 30, 2018</w:t>
            </w:r>
          </w:p>
        </w:tc>
        <w:tc>
          <w:tcPr>
            <w:tcW w:w="142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355</w:t>
            </w:r>
          </w:p>
        </w:tc>
        <w:tc>
          <w:tcPr>
            <w:tcW w:w="5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64</w:t>
            </w:r>
          </w:p>
        </w:tc>
        <w:tc>
          <w:tcPr>
            <w:tcW w:w="660" w:type="dxa"/>
            <w:vAlign w:val="bottom"/>
            <w:gridSpan w:val="2"/>
            <w:shd w:val="clear" w:color="auto" w:fill="E5FF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419</w:t>
            </w:r>
          </w:p>
        </w:tc>
      </w:tr>
      <w:tr>
        <w:trPr>
          <w:trHeight w:val="20"/>
        </w:trPr>
        <w:tc>
          <w:tcPr>
            <w:tcW w:w="3760" w:type="dxa"/>
            <w:vAlign w:val="bottom"/>
            <w:tcBorders>
              <w:top w:val="single" w:sz="8" w:color="E5FFFF"/>
            </w:tcBorders>
          </w:tcPr>
          <w:p>
            <w:pPr>
              <w:spacing w:after="0" w:line="20" w:lineRule="exact"/>
              <w:rPr>
                <w:sz w:val="1"/>
                <w:szCs w:val="1"/>
                <w:color w:val="auto"/>
              </w:rPr>
            </w:pPr>
          </w:p>
        </w:tc>
        <w:tc>
          <w:tcPr>
            <w:tcW w:w="11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2018 and 2017 included exit or disposal activities, the costs related to which will be recognized in future periods when the actual liability is incurred. Such exit and disposal costs are not expected to be significant.</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the nine months ended September 30, 2018, the other charge of $ 45 million mainly relates to reserves taken due to the required wind-down of our activities in Iran and the evaluation of potential resolution of a certain legal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Interest income</w:t>
            </w:r>
          </w:p>
        </w:tc>
        <w:tc>
          <w:tcPr>
            <w:tcW w:w="1640" w:type="dxa"/>
            <w:vAlign w:val="bottom"/>
            <w:gridSpan w:val="2"/>
            <w:shd w:val="clear" w:color="auto" w:fill="E5FFFF"/>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(55)</w:t>
            </w:r>
          </w:p>
        </w:tc>
        <w:tc>
          <w:tcPr>
            <w:tcW w:w="1240" w:type="dxa"/>
            <w:vAlign w:val="bottom"/>
            <w:gridSpan w:val="2"/>
            <w:shd w:val="clear" w:color="auto" w:fill="E5FFFF"/>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(39)</w:t>
            </w:r>
          </w:p>
        </w:tc>
        <w:tc>
          <w:tcPr>
            <w:tcW w:w="1200" w:type="dxa"/>
            <w:vAlign w:val="bottom"/>
            <w:gridSpan w:val="2"/>
            <w:shd w:val="clear" w:color="auto" w:fill="E5FF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(154)</w:t>
            </w:r>
          </w:p>
        </w:tc>
        <w:tc>
          <w:tcPr>
            <w:tcW w:w="32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Pension ongoing income – non-service</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9"/>
              </w:rPr>
              <w:t>(301)</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9"/>
              </w:rPr>
              <w:t>(247)</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9"/>
              </w:rPr>
              <w:t>(906)</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postretirement income – non-service</w:t>
            </w:r>
          </w:p>
        </w:tc>
        <w:tc>
          <w:tcPr>
            <w:tcW w:w="7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w:t>
            </w:r>
          </w:p>
        </w:tc>
        <w:tc>
          <w:tcPr>
            <w:tcW w:w="3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Equity income of affiliated companies</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exchange</w:t>
            </w:r>
          </w:p>
        </w:tc>
        <w:tc>
          <w:tcPr>
            <w:tcW w:w="7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w:t>
            </w:r>
          </w:p>
        </w:tc>
        <w:tc>
          <w:tcPr>
            <w:tcW w:w="3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w:t>
            </w:r>
          </w:p>
        </w:tc>
        <w:tc>
          <w:tcPr>
            <w:tcW w:w="3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Separation costs</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116</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234</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FFFF"/>
          </w:tcPr>
          <w:p>
            <w:pPr>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6</w:t>
            </w:r>
          </w:p>
        </w:tc>
        <w:tc>
          <w:tcPr>
            <w:tcW w:w="36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56</w:t>
            </w:r>
          </w:p>
        </w:tc>
        <w:tc>
          <w:tcPr>
            <w:tcW w:w="320" w:type="dxa"/>
            <w:vAlign w:val="bottom"/>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(275)</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(316)</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(859)</w:t>
            </w:r>
          </w:p>
        </w:tc>
        <w:tc>
          <w:tcPr>
            <w:tcW w:w="32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Separation costs are associated with our previously announced spin-offs of our Homes and Global Distribution business and Transportation Systems business, and are primarily associated with third party services.</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 xml:space="preserve">For the nine months ended September 30, 2018 and 2017, Other (net) includes asset impairments in Corporate related to the write-down of a legacy property in connection with its planned disposition. Refer to Note 3 </w:t>
      </w:r>
      <w:r>
        <w:rPr>
          <w:rFonts w:ascii="Arial" w:cs="Arial" w:eastAsia="Arial" w:hAnsi="Arial"/>
          <w:sz w:val="18"/>
          <w:szCs w:val="18"/>
          <w:i w:val="1"/>
          <w:iCs w:val="1"/>
          <w:color w:val="auto"/>
        </w:rPr>
        <w:t>Repositioning and Other Charges</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effective tax rate decreased for the quarter primarily from a reduction of accrued withholding taxes of approximately $1.1 billion related to unremitted foreign earnings from an internal legal entity restructuring completed in the quarter, partially offset by $132 million of tax costs associated with the internal restructuring of the Homes and Global Distribution business and Transportation Systems business in advance of their spin-offs. Other changes to the tax rate include increased tax benefits from U.S. Tax Reform and fewer tax reserves, partially offset by reduced benefits from foreign tax credits and employee share-based compensation.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effective tax rate decreased for the nine months primarily from a reduction of accrued withholding taxes of approximately $1.1 billion related to unremitted foreign earnings from an internal legal entity restructuring, partially offset by $ 423 million of tax costs associated with the internal restructuring of the Homes and Global Distribution business and Transportation Systems business in advance of their spin-offs. Other changes to the tax rate include lower benefits from foreign tax credits and employee share-based compensation, partially offset by increased tax benefits from U.S. Tax Reform.</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for the quarter and nine months ended September 30, 2018 was lower than the U.S. federal statutory rate of 21% primarily from a reduction of withholding taxes related to unremitted foreign earnings.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December 22, 2017, the U.S. government enacted tax legislation that included changes to the taxation of foreign earnings by implementing a dividend exemption system, expansion of the current anti-deferral rules, a minimum tax on low-taxed foreign earnings and new measures to deter base erosion. The tax legislation also included a permanent reduction in the corporate tax rate to 21%, repeal of the corporate alternative minimum tax, expensing of capital investment, and limitation of the deduction for interest expense. Furthermore, as part of the transition to the new tax system, a one-time transition tax was imposed on a U.S. shareholder’s historical undistributed earnings of foreign affiliates.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described in Note 5 Income Taxes in our 2017 Annual Report on Form 10-K, we were able to reasonably estimate certain effects of the tax legislation and, therefore, recorded provisional amounts, including the deemed repatriation transition tax. The Company has not finalized the accounting for the tax effects of the tax legislation, primarily related to computations of earnings and profits and deferred tax balances for tax returns that have not been finalized. However, during the quarter ended September 30, 2018 the Company recognized a measurement period adjustment resulting in additional tax expense of approximately $30 million. The Company continues to gather additional information and expects to complete our accounting within the prescribed measurement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Basic</w:t>
            </w:r>
          </w:p>
        </w:tc>
        <w:tc>
          <w:tcPr>
            <w:tcW w:w="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80" w:type="dxa"/>
            <w:vAlign w:val="bottom"/>
            <w:gridSpan w:val="5"/>
            <w:vMerge w:val="continue"/>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2900" w:type="dxa"/>
            <w:vAlign w:val="bottom"/>
            <w:tcBorders>
              <w:bottom w:val="single" w:sz="8" w:color="E5FFFF"/>
            </w:tcBorders>
          </w:tcPr>
          <w:p>
            <w:pPr>
              <w:spacing w:after="0" w:line="20" w:lineRule="exact"/>
              <w:rPr>
                <w:sz w:val="1"/>
                <w:szCs w:val="1"/>
                <w:color w:val="auto"/>
              </w:rPr>
            </w:pPr>
          </w:p>
        </w:tc>
        <w:tc>
          <w:tcPr>
            <w:tcW w:w="760" w:type="dxa"/>
            <w:vAlign w:val="bottom"/>
            <w:tcBorders>
              <w:bottom w:val="single" w:sz="8" w:color="E5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5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760" w:type="dxa"/>
            <w:vAlign w:val="bottom"/>
            <w:shd w:val="clear" w:color="auto" w:fill="E5FFFF"/>
          </w:tcPr>
          <w:p>
            <w:pPr>
              <w:spacing w:after="0"/>
              <w:rPr>
                <w:sz w:val="16"/>
                <w:szCs w:val="16"/>
                <w:color w:val="auto"/>
              </w:rPr>
            </w:pPr>
          </w:p>
        </w:tc>
        <w:tc>
          <w:tcPr>
            <w:tcW w:w="320" w:type="dxa"/>
            <w:vAlign w:val="bottom"/>
            <w:shd w:val="clear" w:color="auto" w:fill="E5FF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2,338</w:t>
            </w:r>
          </w:p>
        </w:tc>
        <w:tc>
          <w:tcPr>
            <w:tcW w:w="360" w:type="dxa"/>
            <w:vAlign w:val="bottom"/>
            <w:shd w:val="clear" w:color="auto" w:fill="E5FFFF"/>
          </w:tcPr>
          <w:p>
            <w:pPr>
              <w:spacing w:after="0"/>
              <w:rPr>
                <w:sz w:val="16"/>
                <w:szCs w:val="16"/>
                <w:color w:val="auto"/>
              </w:rPr>
            </w:pPr>
          </w:p>
        </w:tc>
        <w:tc>
          <w:tcPr>
            <w:tcW w:w="440" w:type="dxa"/>
            <w:vAlign w:val="bottom"/>
            <w:shd w:val="clear" w:color="auto" w:fill="E5FF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1,345</w:t>
            </w:r>
          </w:p>
        </w:tc>
        <w:tc>
          <w:tcPr>
            <w:tcW w:w="340" w:type="dxa"/>
            <w:vAlign w:val="bottom"/>
            <w:shd w:val="clear" w:color="auto" w:fill="E5FFFF"/>
          </w:tcPr>
          <w:p>
            <w:pPr>
              <w:spacing w:after="0"/>
              <w:rPr>
                <w:sz w:val="16"/>
                <w:szCs w:val="16"/>
                <w:color w:val="auto"/>
              </w:rPr>
            </w:pPr>
          </w:p>
        </w:tc>
        <w:tc>
          <w:tcPr>
            <w:tcW w:w="300" w:type="dxa"/>
            <w:vAlign w:val="bottom"/>
            <w:shd w:val="clear" w:color="auto" w:fill="E5FF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5,044</w:t>
            </w:r>
          </w:p>
        </w:tc>
        <w:tc>
          <w:tcPr>
            <w:tcW w:w="320" w:type="dxa"/>
            <w:vAlign w:val="bottom"/>
            <w:shd w:val="clear" w:color="auto" w:fill="E5FFFF"/>
          </w:tcPr>
          <w:p>
            <w:pPr>
              <w:spacing w:after="0"/>
              <w:rPr>
                <w:sz w:val="16"/>
                <w:szCs w:val="16"/>
                <w:color w:val="auto"/>
              </w:rPr>
            </w:pPr>
          </w:p>
        </w:tc>
        <w:tc>
          <w:tcPr>
            <w:tcW w:w="460" w:type="dxa"/>
            <w:vAlign w:val="bottom"/>
            <w:shd w:val="clear" w:color="auto" w:fill="E5FF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741.8</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762.2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746.0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08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3.15</w:t>
            </w:r>
          </w:p>
        </w:tc>
        <w:tc>
          <w:tcPr>
            <w:tcW w:w="800" w:type="dxa"/>
            <w:vAlign w:val="bottom"/>
            <w:gridSpan w:val="2"/>
            <w:shd w:val="clear" w:color="auto" w:fill="E5FF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1.76</w:t>
            </w:r>
          </w:p>
        </w:tc>
        <w:tc>
          <w:tcPr>
            <w:tcW w:w="64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6.76</w:t>
            </w:r>
          </w:p>
        </w:tc>
        <w:tc>
          <w:tcPr>
            <w:tcW w:w="780" w:type="dxa"/>
            <w:vAlign w:val="bottom"/>
            <w:gridSpan w:val="2"/>
            <w:shd w:val="clear" w:color="auto" w:fill="E5FF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80" w:type="dxa"/>
            <w:vAlign w:val="bottom"/>
            <w:gridSpan w:val="5"/>
            <w:vMerge w:val="continue"/>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shd w:val="clear" w:color="auto" w:fill="000000"/>
          </w:tcPr>
          <w:p>
            <w:pPr>
              <w:spacing w:after="0" w:line="20" w:lineRule="exact"/>
              <w:rPr>
                <w:sz w:val="1"/>
                <w:szCs w:val="1"/>
                <w:color w:val="auto"/>
              </w:rPr>
            </w:pPr>
          </w:p>
        </w:tc>
        <w:tc>
          <w:tcPr>
            <w:tcW w:w="200" w:type="dxa"/>
            <w:vAlign w:val="bottom"/>
            <w:tcBorders>
              <w:bottom w:val="single" w:sz="8" w:color="E5FFFF"/>
            </w:tcBorders>
            <w:shd w:val="clear" w:color="auto" w:fill="000000"/>
          </w:tcPr>
          <w:p>
            <w:pPr>
              <w:spacing w:after="0" w:line="20" w:lineRule="exact"/>
              <w:rPr>
                <w:sz w:val="1"/>
                <w:szCs w:val="1"/>
                <w:color w:val="auto"/>
              </w:rPr>
            </w:pPr>
          </w:p>
        </w:tc>
        <w:tc>
          <w:tcPr>
            <w:tcW w:w="2900" w:type="dxa"/>
            <w:vAlign w:val="bottom"/>
            <w:tcBorders>
              <w:bottom w:val="single" w:sz="8" w:color="E5FFFF"/>
            </w:tcBorders>
          </w:tcPr>
          <w:p>
            <w:pPr>
              <w:spacing w:after="0" w:line="20" w:lineRule="exact"/>
              <w:rPr>
                <w:sz w:val="1"/>
                <w:szCs w:val="1"/>
                <w:color w:val="auto"/>
              </w:rPr>
            </w:pPr>
          </w:p>
        </w:tc>
        <w:tc>
          <w:tcPr>
            <w:tcW w:w="760" w:type="dxa"/>
            <w:vAlign w:val="bottom"/>
            <w:tcBorders>
              <w:bottom w:val="single" w:sz="8" w:color="E5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5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760" w:type="dxa"/>
            <w:vAlign w:val="bottom"/>
            <w:shd w:val="clear" w:color="auto" w:fill="E5FFFF"/>
          </w:tcPr>
          <w:p>
            <w:pPr>
              <w:spacing w:after="0"/>
              <w:rPr>
                <w:sz w:val="16"/>
                <w:szCs w:val="16"/>
                <w:color w:val="auto"/>
              </w:rPr>
            </w:pPr>
          </w:p>
        </w:tc>
        <w:tc>
          <w:tcPr>
            <w:tcW w:w="320" w:type="dxa"/>
            <w:vAlign w:val="bottom"/>
            <w:shd w:val="clear" w:color="auto" w:fill="E5FF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2,338</w:t>
            </w:r>
          </w:p>
        </w:tc>
        <w:tc>
          <w:tcPr>
            <w:tcW w:w="360" w:type="dxa"/>
            <w:vAlign w:val="bottom"/>
            <w:shd w:val="clear" w:color="auto" w:fill="E5FFFF"/>
          </w:tcPr>
          <w:p>
            <w:pPr>
              <w:spacing w:after="0"/>
              <w:rPr>
                <w:sz w:val="16"/>
                <w:szCs w:val="16"/>
                <w:color w:val="auto"/>
              </w:rPr>
            </w:pPr>
          </w:p>
        </w:tc>
        <w:tc>
          <w:tcPr>
            <w:tcW w:w="440" w:type="dxa"/>
            <w:vAlign w:val="bottom"/>
            <w:shd w:val="clear" w:color="auto" w:fill="E5FF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1,345</w:t>
            </w:r>
          </w:p>
        </w:tc>
        <w:tc>
          <w:tcPr>
            <w:tcW w:w="340" w:type="dxa"/>
            <w:vAlign w:val="bottom"/>
            <w:shd w:val="clear" w:color="auto" w:fill="E5FFFF"/>
          </w:tcPr>
          <w:p>
            <w:pPr>
              <w:spacing w:after="0"/>
              <w:rPr>
                <w:sz w:val="16"/>
                <w:szCs w:val="16"/>
                <w:color w:val="auto"/>
              </w:rPr>
            </w:pPr>
          </w:p>
        </w:tc>
        <w:tc>
          <w:tcPr>
            <w:tcW w:w="300" w:type="dxa"/>
            <w:vAlign w:val="bottom"/>
            <w:shd w:val="clear" w:color="auto" w:fill="E5FF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5,044</w:t>
            </w:r>
          </w:p>
        </w:tc>
        <w:tc>
          <w:tcPr>
            <w:tcW w:w="320" w:type="dxa"/>
            <w:vAlign w:val="bottom"/>
            <w:shd w:val="clear" w:color="auto" w:fill="E5FFFF"/>
          </w:tcPr>
          <w:p>
            <w:pPr>
              <w:spacing w:after="0"/>
              <w:rPr>
                <w:sz w:val="16"/>
                <w:szCs w:val="16"/>
                <w:color w:val="auto"/>
              </w:rPr>
            </w:pPr>
          </w:p>
        </w:tc>
        <w:tc>
          <w:tcPr>
            <w:tcW w:w="460" w:type="dxa"/>
            <w:vAlign w:val="bottom"/>
            <w:shd w:val="clear" w:color="auto" w:fill="E5FF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365"/>
        </w:trPr>
        <w:tc>
          <w:tcPr>
            <w:tcW w:w="4180" w:type="dxa"/>
            <w:vAlign w:val="bottom"/>
            <w:gridSpan w:val="5"/>
          </w:tcPr>
          <w:p>
            <w:pPr>
              <w:spacing w:after="0"/>
              <w:rPr>
                <w:sz w:val="20"/>
                <w:szCs w:val="20"/>
                <w:color w:val="auto"/>
              </w:rPr>
            </w:pPr>
            <w:r>
              <w:rPr>
                <w:rFonts w:ascii="Arial" w:cs="Arial" w:eastAsia="Arial" w:hAnsi="Arial"/>
                <w:sz w:val="14"/>
                <w:szCs w:val="14"/>
                <w:b w:val="1"/>
                <w:bCs w:val="1"/>
                <w:color w:val="auto"/>
              </w:rPr>
              <w:t>Average Shares</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6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7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741.8</w:t>
            </w:r>
          </w:p>
        </w:tc>
        <w:tc>
          <w:tcPr>
            <w:tcW w:w="3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762.2</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746.0</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7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10.2</w:t>
            </w:r>
          </w:p>
        </w:tc>
        <w:tc>
          <w:tcPr>
            <w:tcW w:w="36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E5FFFF"/>
            </w:tcBorders>
            <w:gridSpan w:val="4"/>
            <w:shd w:val="clear" w:color="auto" w:fill="E5FFFF"/>
          </w:tcPr>
          <w:p>
            <w:pPr>
              <w:spacing w:after="0" w:line="197" w:lineRule="exact"/>
              <w:rPr>
                <w:sz w:val="20"/>
                <w:szCs w:val="20"/>
                <w:color w:val="auto"/>
              </w:rPr>
            </w:pPr>
            <w:r>
              <w:rPr>
                <w:rFonts w:ascii="Arial" w:cs="Arial" w:eastAsia="Arial" w:hAnsi="Arial"/>
                <w:sz w:val="18"/>
                <w:szCs w:val="18"/>
                <w:color w:val="auto"/>
              </w:rPr>
              <w:t>Total weighted average shares outstanding</w:t>
            </w:r>
          </w:p>
        </w:tc>
        <w:tc>
          <w:tcPr>
            <w:tcW w:w="760" w:type="dxa"/>
            <w:vAlign w:val="bottom"/>
            <w:tcBorders>
              <w:bottom w:val="single" w:sz="8" w:color="E5FFFF"/>
            </w:tcBorders>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752.0</w:t>
            </w:r>
          </w:p>
        </w:tc>
        <w:tc>
          <w:tcPr>
            <w:tcW w:w="360" w:type="dxa"/>
            <w:vAlign w:val="bottom"/>
            <w:tcBorders>
              <w:bottom w:val="single" w:sz="8" w:color="E5FFFF"/>
            </w:tcBorders>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771.4</w:t>
            </w:r>
          </w:p>
        </w:tc>
        <w:tc>
          <w:tcPr>
            <w:tcW w:w="340" w:type="dxa"/>
            <w:vAlign w:val="bottom"/>
            <w:tcBorders>
              <w:bottom w:val="single" w:sz="8" w:color="E5FFFF"/>
            </w:tcBorders>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756.0</w:t>
            </w:r>
          </w:p>
        </w:tc>
        <w:tc>
          <w:tcPr>
            <w:tcW w:w="320" w:type="dxa"/>
            <w:vAlign w:val="bottom"/>
            <w:tcBorders>
              <w:bottom w:val="single" w:sz="8" w:color="E5FFFF"/>
            </w:tcBorders>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0"/>
        </w:trPr>
        <w:tc>
          <w:tcPr>
            <w:tcW w:w="418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gridSpan w:val="5"/>
            <w:vMerge w:val="continue"/>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top w:val="single" w:sz="8" w:color="auto"/>
            </w:tcBorders>
          </w:tcPr>
          <w:p>
            <w:pPr>
              <w:jc w:val="right"/>
              <w:ind w:right="130"/>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8"/>
              <w:spacing w:after="0" w:line="197" w:lineRule="exact"/>
              <w:rPr>
                <w:sz w:val="20"/>
                <w:szCs w:val="20"/>
                <w:color w:val="auto"/>
              </w:rPr>
            </w:pPr>
            <w:r>
              <w:rPr>
                <w:rFonts w:ascii="Arial" w:cs="Arial" w:eastAsia="Arial" w:hAnsi="Arial"/>
                <w:sz w:val="18"/>
                <w:szCs w:val="18"/>
                <w:color w:val="auto"/>
              </w:rPr>
              <w:t>3.11</w:t>
            </w:r>
          </w:p>
        </w:tc>
        <w:tc>
          <w:tcPr>
            <w:tcW w:w="360" w:type="dxa"/>
            <w:vAlign w:val="bottom"/>
          </w:tcPr>
          <w:p>
            <w:pPr>
              <w:spacing w:after="0"/>
              <w:rPr>
                <w:sz w:val="17"/>
                <w:szCs w:val="17"/>
                <w:color w:val="auto"/>
              </w:rPr>
            </w:pPr>
          </w:p>
        </w:tc>
        <w:tc>
          <w:tcPr>
            <w:tcW w:w="44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4"/>
              <w:spacing w:after="0" w:line="197" w:lineRule="exact"/>
              <w:rPr>
                <w:sz w:val="20"/>
                <w:szCs w:val="20"/>
                <w:color w:val="auto"/>
              </w:rPr>
            </w:pPr>
            <w:r>
              <w:rPr>
                <w:rFonts w:ascii="Arial" w:cs="Arial" w:eastAsia="Arial" w:hAnsi="Arial"/>
                <w:sz w:val="18"/>
                <w:szCs w:val="18"/>
                <w:color w:val="auto"/>
              </w:rPr>
              <w:t>1.74</w:t>
            </w:r>
          </w:p>
        </w:tc>
        <w:tc>
          <w:tcPr>
            <w:tcW w:w="34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8"/>
              <w:spacing w:after="0" w:line="197" w:lineRule="exact"/>
              <w:rPr>
                <w:sz w:val="20"/>
                <w:szCs w:val="20"/>
                <w:color w:val="auto"/>
              </w:rPr>
            </w:pPr>
            <w:r>
              <w:rPr>
                <w:rFonts w:ascii="Arial" w:cs="Arial" w:eastAsia="Arial" w:hAnsi="Arial"/>
                <w:sz w:val="18"/>
                <w:szCs w:val="18"/>
                <w:color w:val="auto"/>
              </w:rPr>
              <w:t>6.67</w:t>
            </w:r>
          </w:p>
        </w:tc>
        <w:tc>
          <w:tcPr>
            <w:tcW w:w="320" w:type="dxa"/>
            <w:vAlign w:val="bottom"/>
          </w:tcPr>
          <w:p>
            <w:pPr>
              <w:spacing w:after="0"/>
              <w:rPr>
                <w:sz w:val="17"/>
                <w:szCs w:val="17"/>
                <w:color w:val="auto"/>
              </w:rPr>
            </w:pPr>
          </w:p>
        </w:tc>
        <w:tc>
          <w:tcPr>
            <w:tcW w:w="460" w:type="dxa"/>
            <w:vAlign w:val="bottom"/>
            <w:tcBorders>
              <w:top w:val="single" w:sz="8" w:color="auto"/>
            </w:tcBorders>
          </w:tcPr>
          <w:p>
            <w:pPr>
              <w:jc w:val="right"/>
              <w:ind w:right="270"/>
              <w:spacing w:after="0" w:line="197"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4"/>
              <w:spacing w:after="0" w:line="197"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nine months ended September 30, 2018, the weighted average number of stock options excluded from the computations were 3.0 million and 2.4 million. For the three and nine months ended September 30, 2017, the weighted average number of stock options excluded from the computations were 4.2 million and 3.8 million. These stock options were outstanding at the end of each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September 30, 2018 and 2017, total shares outstanding were 740.3 million and 760.1 million and as of September 30, 2018 and 2017, total shares issued were 957.6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January 1, 2018, the Company adopted new guidance on revenue from contracts with customers using the modified retrospective method applied to contracts that were not completed as of January 1, 2018. Results for reporting periods beginning after January 1, 2018 are presented under the new guidance, while prior period amounts are not adjusted and continue to be reported in accordance with previous guidance.</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recorded a net decrease to opening retained earnings of $75 million as of January 1, 2018, for the cumulative impact of adopting the new guidance. The impact primarily related to the change in accounting for mechanical service programs (change from input to output method, resulting in unbilled receivables (within Accounts receivable – net) and deferred revenue (within Accrued liabilities) being eliminated through Retained earnings) and for customer funding and the related costs incurred for nonrecurring engineering and development activities (deferral of revenues and related incurred costs until products are delivered to customers, resulting in increases in both deferred costs (assets) and deferred revenue (liability) by approximately $1.1 billion at adoption).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rPr>
              <w:t>New</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rPr>
              <w:t>Revenue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94"/>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rPr>
              <w:t>Standard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664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Adjustment</w:t>
            </w:r>
          </w:p>
        </w:tc>
        <w:tc>
          <w:tcPr>
            <w:tcW w:w="32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2018</w:t>
            </w:r>
          </w:p>
        </w:tc>
      </w:tr>
      <w:tr>
        <w:trPr>
          <w:trHeight w:val="196"/>
        </w:trPr>
        <w:tc>
          <w:tcPr>
            <w:tcW w:w="66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8,866</w:t>
            </w:r>
          </w:p>
        </w:tc>
        <w:tc>
          <w:tcPr>
            <w:tcW w:w="5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(149)</w:t>
            </w:r>
          </w:p>
        </w:tc>
        <w:tc>
          <w:tcPr>
            <w:tcW w:w="5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8,717</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4,613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4,603</w:t>
            </w: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251</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291</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3,372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1,082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4,454</w:t>
            </w: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6,968</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6,920</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2,664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2,665</w:t>
            </w: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5,930</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1,084</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7,014</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27,481</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27,406</w:t>
            </w: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163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modified retrospective method of adoption, we are required to disclose the impact to revenues had we continued to follow our accounting policies under the previous revenue recognition guidance. We estimate that the impact to revenues for the quarter and nine months ended September 30, 2018 would have been a decrease of approximately $90 million and $285 million, which is primarily due to the net impact of the classification change and deferral impact of nonrecurring engineering and development activities, and the net impact from service programs with certain amounts being recognized that would have previously been deferred, and certain amount being deferred that would have previously been recognized.</w:t>
      </w:r>
    </w:p>
    <w:p>
      <w:pPr>
        <w:spacing w:after="0" w:line="174" w:lineRule="exact"/>
        <w:rPr>
          <w:sz w:val="20"/>
          <w:szCs w:val="20"/>
          <w:color w:val="auto"/>
        </w:rPr>
      </w:pPr>
    </w:p>
    <w:p>
      <w:pPr>
        <w:jc w:val="center"/>
        <w:ind w:right="220"/>
        <w:spacing w:after="0" w:line="486"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a summary of our significant policies for revenue recognition.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13"/>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3"/>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13"/>
              <w:spacing w:after="0"/>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Ended</w:t>
            </w:r>
          </w:p>
        </w:tc>
      </w:tr>
      <w:tr>
        <w:trPr>
          <w:trHeight w:val="162"/>
        </w:trPr>
        <w:tc>
          <w:tcPr>
            <w:tcW w:w="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3"/>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860" w:type="dxa"/>
            <w:vAlign w:val="bottom"/>
            <w:tcBorders>
              <w:bottom w:val="single" w:sz="8" w:color="E5FFFF"/>
            </w:tcBorders>
          </w:tcPr>
          <w:p>
            <w:pPr>
              <w:spacing w:after="0"/>
              <w:rPr>
                <w:sz w:val="15"/>
                <w:szCs w:val="15"/>
                <w:color w:val="auto"/>
              </w:rPr>
            </w:pPr>
          </w:p>
        </w:tc>
        <w:tc>
          <w:tcPr>
            <w:tcW w:w="17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620" w:type="dxa"/>
            <w:vAlign w:val="bottom"/>
            <w:tcBorders>
              <w:bottom w:val="single" w:sz="8" w:color="E5FFFF"/>
            </w:tcBorders>
          </w:tcPr>
          <w:p>
            <w:pPr>
              <w:spacing w:after="0"/>
              <w:rPr>
                <w:sz w:val="15"/>
                <w:szCs w:val="15"/>
                <w:color w:val="auto"/>
              </w:rPr>
            </w:pPr>
          </w:p>
        </w:tc>
        <w:tc>
          <w:tcPr>
            <w:tcW w:w="2400" w:type="dxa"/>
            <w:vAlign w:val="bottom"/>
            <w:tcBorders>
              <w:bottom w:val="single" w:sz="8" w:color="E5FFFF"/>
            </w:tcBorders>
          </w:tcPr>
          <w:p>
            <w:pPr>
              <w:spacing w:after="0"/>
              <w:rPr>
                <w:sz w:val="15"/>
                <w:szCs w:val="15"/>
                <w:color w:val="auto"/>
              </w:rPr>
            </w:pPr>
          </w:p>
        </w:tc>
        <w:tc>
          <w:tcPr>
            <w:tcW w:w="22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2018</w:t>
            </w:r>
          </w:p>
        </w:tc>
      </w:tr>
      <w:tr>
        <w:trPr>
          <w:trHeight w:val="169"/>
        </w:trPr>
        <w:tc>
          <w:tcPr>
            <w:tcW w:w="5660" w:type="dxa"/>
            <w:vAlign w:val="bottom"/>
            <w:gridSpan w:val="5"/>
            <w:shd w:val="clear" w:color="auto" w:fill="E5FFFF"/>
          </w:tcPr>
          <w:p>
            <w:pPr>
              <w:spacing w:after="0" w:line="170" w:lineRule="exact"/>
              <w:rPr>
                <w:sz w:val="20"/>
                <w:szCs w:val="20"/>
                <w:color w:val="auto"/>
              </w:rPr>
            </w:pPr>
            <w:r>
              <w:rPr>
                <w:rFonts w:ascii="Arial" w:cs="Arial" w:eastAsia="Arial" w:hAnsi="Arial"/>
                <w:sz w:val="18"/>
                <w:szCs w:val="18"/>
                <w:color w:val="auto"/>
              </w:rPr>
              <w:t>Aerospace</w:t>
            </w:r>
          </w:p>
        </w:tc>
        <w:tc>
          <w:tcPr>
            <w:tcW w:w="22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0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380" w:type="dxa"/>
            <w:vAlign w:val="bottom"/>
            <w:shd w:val="clear" w:color="auto" w:fill="E5FFFF"/>
          </w:tcPr>
          <w:p>
            <w:pPr>
              <w:spacing w:after="0"/>
              <w:rPr>
                <w:sz w:val="14"/>
                <w:szCs w:val="14"/>
                <w:color w:val="auto"/>
              </w:rPr>
            </w:pPr>
          </w:p>
        </w:tc>
      </w:tr>
      <w:tr>
        <w:trPr>
          <w:trHeight w:val="27"/>
        </w:trPr>
        <w:tc>
          <w:tcPr>
            <w:tcW w:w="860" w:type="dxa"/>
            <w:vAlign w:val="bottom"/>
            <w:shd w:val="clear" w:color="auto" w:fill="000000"/>
          </w:tcPr>
          <w:p>
            <w:pPr>
              <w:spacing w:after="0"/>
              <w:rPr>
                <w:sz w:val="2"/>
                <w:szCs w:val="2"/>
                <w:color w:val="auto"/>
              </w:rPr>
            </w:pPr>
          </w:p>
        </w:tc>
        <w:tc>
          <w:tcPr>
            <w:tcW w:w="176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2400" w:type="dxa"/>
            <w:vAlign w:val="bottom"/>
            <w:shd w:val="clear" w:color="auto" w:fill="E5FFFF"/>
          </w:tcPr>
          <w:p>
            <w:pPr>
              <w:spacing w:after="0"/>
              <w:rPr>
                <w:sz w:val="2"/>
                <w:szCs w:val="2"/>
                <w:color w:val="auto"/>
              </w:rPr>
            </w:pPr>
          </w:p>
        </w:tc>
        <w:tc>
          <w:tcPr>
            <w:tcW w:w="224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140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1380" w:type="dxa"/>
            <w:vAlign w:val="bottom"/>
            <w:shd w:val="clear" w:color="auto" w:fill="E5FFFF"/>
          </w:tcPr>
          <w:p>
            <w:pPr>
              <w:spacing w:after="0"/>
              <w:rPr>
                <w:sz w:val="2"/>
                <w:szCs w:val="2"/>
                <w:color w:val="auto"/>
              </w:rPr>
            </w:pP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Commercial Aviation Original Equipment</w:t>
            </w:r>
          </w:p>
        </w:tc>
        <w:tc>
          <w:tcPr>
            <w:tcW w:w="2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724</w:t>
            </w: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2,131</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Aviation Aftermarket</w:t>
            </w:r>
          </w:p>
        </w:tc>
        <w:tc>
          <w:tcPr>
            <w:tcW w:w="2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1,370</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3,964</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Defense Services</w:t>
            </w: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3,348</w:t>
            </w:r>
          </w:p>
        </w:tc>
      </w:tr>
      <w:tr>
        <w:trPr>
          <w:trHeight w:val="216"/>
        </w:trPr>
        <w:tc>
          <w:tcPr>
            <w:tcW w:w="5660" w:type="dxa"/>
            <w:vAlign w:val="bottom"/>
            <w:gridSpan w:val="5"/>
            <w:shd w:val="clear" w:color="auto" w:fill="E5FFFF"/>
          </w:tcPr>
          <w:p>
            <w:pPr>
              <w:ind w:left="180"/>
              <w:spacing w:after="0"/>
              <w:rPr>
                <w:sz w:val="20"/>
                <w:szCs w:val="20"/>
                <w:color w:val="auto"/>
              </w:rPr>
            </w:pPr>
            <w:r>
              <w:rPr>
                <w:rFonts w:ascii="Arial" w:cs="Arial" w:eastAsia="Arial" w:hAnsi="Arial"/>
                <w:sz w:val="18"/>
                <w:szCs w:val="18"/>
                <w:color w:val="auto"/>
              </w:rPr>
              <w:t>Transportation Systems</w:t>
            </w:r>
          </w:p>
        </w:tc>
        <w:tc>
          <w:tcPr>
            <w:tcW w:w="2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802</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2,622</w:t>
            </w:r>
          </w:p>
        </w:tc>
      </w:tr>
      <w:tr>
        <w:trPr>
          <w:trHeight w:val="196"/>
        </w:trPr>
        <w:tc>
          <w:tcPr>
            <w:tcW w:w="86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400" w:type="dxa"/>
            <w:vAlign w:val="bottom"/>
            <w:tcBorders>
              <w:bottom w:val="single" w:sz="8" w:color="E5FFFF"/>
            </w:tcBorders>
          </w:tcPr>
          <w:p>
            <w:pPr>
              <w:spacing w:after="0"/>
              <w:rPr>
                <w:sz w:val="17"/>
                <w:szCs w:val="17"/>
                <w:color w:val="auto"/>
              </w:rPr>
            </w:pPr>
          </w:p>
        </w:tc>
        <w:tc>
          <w:tcPr>
            <w:tcW w:w="2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4,030</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12,065</w:t>
            </w:r>
          </w:p>
        </w:tc>
      </w:tr>
      <w:tr>
        <w:trPr>
          <w:trHeight w:val="176"/>
        </w:trPr>
        <w:tc>
          <w:tcPr>
            <w:tcW w:w="5660" w:type="dxa"/>
            <w:vAlign w:val="bottom"/>
            <w:gridSpan w:val="5"/>
            <w:shd w:val="clear" w:color="auto" w:fill="E5FFFF"/>
          </w:tcPr>
          <w:p>
            <w:pPr>
              <w:spacing w:after="0" w:line="170" w:lineRule="exact"/>
              <w:rPr>
                <w:sz w:val="20"/>
                <w:szCs w:val="20"/>
                <w:color w:val="auto"/>
              </w:rPr>
            </w:pPr>
            <w:r>
              <w:rPr>
                <w:rFonts w:ascii="Arial" w:cs="Arial" w:eastAsia="Arial" w:hAnsi="Arial"/>
                <w:sz w:val="18"/>
                <w:szCs w:val="18"/>
                <w:color w:val="auto"/>
              </w:rPr>
              <w:t>Home and Building Technologies</w:t>
            </w:r>
          </w:p>
        </w:tc>
        <w:tc>
          <w:tcPr>
            <w:tcW w:w="22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4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r>
      <w:tr>
        <w:trPr>
          <w:trHeight w:val="203"/>
        </w:trPr>
        <w:tc>
          <w:tcPr>
            <w:tcW w:w="2620" w:type="dxa"/>
            <w:vAlign w:val="bottom"/>
            <w:tcBorders>
              <w:top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Products and Software</w:t>
            </w:r>
          </w:p>
        </w:tc>
        <w:tc>
          <w:tcPr>
            <w:tcW w:w="3040" w:type="dxa"/>
            <w:vAlign w:val="bottom"/>
            <w:tcBorders>
              <w:top w:val="single" w:sz="8" w:color="E5FFFF"/>
            </w:tcBorders>
            <w:gridSpan w:val="3"/>
          </w:tcPr>
          <w:p>
            <w:pPr>
              <w:spacing w:after="0"/>
              <w:rPr>
                <w:sz w:val="17"/>
                <w:szCs w:val="17"/>
                <w:color w:val="auto"/>
              </w:rPr>
            </w:pPr>
          </w:p>
        </w:tc>
        <w:tc>
          <w:tcPr>
            <w:tcW w:w="2240" w:type="dxa"/>
            <w:vAlign w:val="bottom"/>
            <w:tcBorders>
              <w:top w:val="single" w:sz="8" w:color="E5FFFF"/>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1400" w:type="dxa"/>
            <w:vAlign w:val="bottom"/>
            <w:tcBorders>
              <w:top w:val="single" w:sz="8" w:color="E5FFFF"/>
            </w:tcBorders>
          </w:tcPr>
          <w:p>
            <w:pPr>
              <w:jc w:val="right"/>
              <w:ind w:right="13"/>
              <w:spacing w:after="0" w:line="202" w:lineRule="exact"/>
              <w:rPr>
                <w:sz w:val="20"/>
                <w:szCs w:val="20"/>
                <w:color w:val="auto"/>
              </w:rPr>
            </w:pPr>
            <w:r>
              <w:rPr>
                <w:rFonts w:ascii="Arial" w:cs="Arial" w:eastAsia="Arial" w:hAnsi="Arial"/>
                <w:sz w:val="18"/>
                <w:szCs w:val="18"/>
                <w:color w:val="auto"/>
              </w:rPr>
              <w:t>521</w:t>
            </w:r>
          </w:p>
        </w:tc>
        <w:tc>
          <w:tcPr>
            <w:tcW w:w="340" w:type="dxa"/>
            <w:vAlign w:val="bottom"/>
            <w:tcBorders>
              <w:top w:val="single" w:sz="8" w:color="E5FFFF"/>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1380" w:type="dxa"/>
            <w:vAlign w:val="bottom"/>
            <w:tcBorders>
              <w:top w:val="single" w:sz="8" w:color="E5FFFF"/>
            </w:tcBorders>
          </w:tcPr>
          <w:p>
            <w:pPr>
              <w:jc w:val="right"/>
              <w:ind w:right="13"/>
              <w:spacing w:after="0" w:line="202" w:lineRule="exact"/>
              <w:rPr>
                <w:sz w:val="20"/>
                <w:szCs w:val="20"/>
                <w:color w:val="auto"/>
              </w:rPr>
            </w:pPr>
            <w:r>
              <w:rPr>
                <w:rFonts w:ascii="Arial" w:cs="Arial" w:eastAsia="Arial" w:hAnsi="Arial"/>
                <w:sz w:val="18"/>
                <w:szCs w:val="18"/>
                <w:color w:val="auto"/>
              </w:rPr>
              <w:t>1,554</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Distribution (ADI)</w:t>
            </w:r>
          </w:p>
        </w:tc>
        <w:tc>
          <w:tcPr>
            <w:tcW w:w="2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671</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1,985</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Connected Buildings</w:t>
            </w: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Building Solutions</w:t>
            </w:r>
          </w:p>
        </w:tc>
        <w:tc>
          <w:tcPr>
            <w:tcW w:w="2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605</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1,769</w:t>
            </w:r>
          </w:p>
        </w:tc>
      </w:tr>
      <w:tr>
        <w:trPr>
          <w:trHeight w:val="216"/>
        </w:trPr>
        <w:tc>
          <w:tcPr>
            <w:tcW w:w="5660" w:type="dxa"/>
            <w:vAlign w:val="bottom"/>
            <w:tcBorders>
              <w:bottom w:val="single" w:sz="8" w:color="E5FFFF"/>
            </w:tcBorders>
            <w:gridSpan w:val="5"/>
          </w:tcPr>
          <w:p>
            <w:pPr>
              <w:ind w:left="180"/>
              <w:spacing w:after="0"/>
              <w:rPr>
                <w:sz w:val="20"/>
                <w:szCs w:val="20"/>
                <w:color w:val="auto"/>
              </w:rPr>
            </w:pPr>
            <w:r>
              <w:rPr>
                <w:rFonts w:ascii="Arial" w:cs="Arial" w:eastAsia="Arial" w:hAnsi="Arial"/>
                <w:sz w:val="18"/>
                <w:szCs w:val="18"/>
                <w:color w:val="auto"/>
              </w:rPr>
              <w:t>Building Products</w:t>
            </w:r>
          </w:p>
        </w:tc>
        <w:tc>
          <w:tcPr>
            <w:tcW w:w="22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519</w:t>
            </w: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1,556</w:t>
            </w:r>
          </w:p>
        </w:tc>
      </w:tr>
      <w:tr>
        <w:trPr>
          <w:trHeight w:val="196"/>
        </w:trPr>
        <w:tc>
          <w:tcPr>
            <w:tcW w:w="860" w:type="dxa"/>
            <w:vAlign w:val="bottom"/>
            <w:shd w:val="clear" w:color="auto" w:fill="E5FFFF"/>
          </w:tcPr>
          <w:p>
            <w:pPr>
              <w:spacing w:after="0"/>
              <w:rPr>
                <w:sz w:val="17"/>
                <w:szCs w:val="17"/>
                <w:color w:val="auto"/>
              </w:rPr>
            </w:pPr>
          </w:p>
        </w:tc>
        <w:tc>
          <w:tcPr>
            <w:tcW w:w="17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400" w:type="dxa"/>
            <w:vAlign w:val="bottom"/>
            <w:shd w:val="clear" w:color="auto" w:fill="E5FFFF"/>
          </w:tcPr>
          <w:p>
            <w:pPr>
              <w:spacing w:after="0"/>
              <w:rPr>
                <w:sz w:val="17"/>
                <w:szCs w:val="17"/>
                <w:color w:val="auto"/>
              </w:rPr>
            </w:pPr>
          </w:p>
        </w:tc>
        <w:tc>
          <w:tcPr>
            <w:tcW w:w="22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2,517</w:t>
            </w:r>
          </w:p>
        </w:tc>
        <w:tc>
          <w:tcPr>
            <w:tcW w:w="3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7,496</w:t>
            </w:r>
          </w:p>
        </w:tc>
      </w:tr>
      <w:tr>
        <w:trPr>
          <w:trHeight w:val="176"/>
        </w:trPr>
        <w:tc>
          <w:tcPr>
            <w:tcW w:w="5660" w:type="dxa"/>
            <w:vAlign w:val="bottom"/>
            <w:gridSpan w:val="5"/>
          </w:tcPr>
          <w:p>
            <w:pPr>
              <w:spacing w:after="0" w:line="170" w:lineRule="exact"/>
              <w:rPr>
                <w:sz w:val="20"/>
                <w:szCs w:val="20"/>
                <w:color w:val="auto"/>
              </w:rPr>
            </w:pPr>
            <w:r>
              <w:rPr>
                <w:rFonts w:ascii="Arial" w:cs="Arial" w:eastAsia="Arial" w:hAnsi="Arial"/>
                <w:sz w:val="18"/>
                <w:szCs w:val="18"/>
                <w:color w:val="auto"/>
              </w:rPr>
              <w:t>Performance Materials and Technologies</w:t>
            </w: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3"/>
        </w:trPr>
        <w:tc>
          <w:tcPr>
            <w:tcW w:w="3260" w:type="dxa"/>
            <w:vAlign w:val="bottom"/>
            <w:tcBorders>
              <w:top w:val="single" w:sz="8" w:color="auto"/>
            </w:tcBorders>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UOP</w:t>
            </w:r>
          </w:p>
        </w:tc>
        <w:tc>
          <w:tcPr>
            <w:tcW w:w="2400" w:type="dxa"/>
            <w:vAlign w:val="bottom"/>
            <w:shd w:val="clear" w:color="auto" w:fill="E5FFFF"/>
          </w:tcPr>
          <w:p>
            <w:pPr>
              <w:spacing w:after="0"/>
              <w:rPr>
                <w:sz w:val="17"/>
                <w:szCs w:val="17"/>
                <w:color w:val="auto"/>
              </w:rPr>
            </w:pPr>
          </w:p>
        </w:tc>
        <w:tc>
          <w:tcPr>
            <w:tcW w:w="2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722</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2,012</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930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2,781</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Smart Energy</w:t>
            </w:r>
          </w:p>
        </w:tc>
        <w:tc>
          <w:tcPr>
            <w:tcW w:w="2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295</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931</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Specialty Products</w:t>
            </w: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847</w:t>
            </w:r>
          </w:p>
        </w:tc>
      </w:tr>
      <w:tr>
        <w:trPr>
          <w:trHeight w:val="216"/>
        </w:trPr>
        <w:tc>
          <w:tcPr>
            <w:tcW w:w="5660" w:type="dxa"/>
            <w:vAlign w:val="bottom"/>
            <w:gridSpan w:val="5"/>
            <w:shd w:val="clear" w:color="auto" w:fill="E5FFFF"/>
          </w:tcPr>
          <w:p>
            <w:pPr>
              <w:ind w:left="180"/>
              <w:spacing w:after="0"/>
              <w:rPr>
                <w:sz w:val="20"/>
                <w:szCs w:val="20"/>
                <w:color w:val="auto"/>
              </w:rPr>
            </w:pPr>
            <w:r>
              <w:rPr>
                <w:rFonts w:ascii="Arial" w:cs="Arial" w:eastAsia="Arial" w:hAnsi="Arial"/>
                <w:sz w:val="18"/>
                <w:szCs w:val="18"/>
                <w:color w:val="auto"/>
              </w:rPr>
              <w:t>Fluorine Products</w:t>
            </w:r>
          </w:p>
        </w:tc>
        <w:tc>
          <w:tcPr>
            <w:tcW w:w="2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414</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1,301</w:t>
            </w:r>
          </w:p>
        </w:tc>
      </w:tr>
      <w:tr>
        <w:trPr>
          <w:trHeight w:val="196"/>
        </w:trPr>
        <w:tc>
          <w:tcPr>
            <w:tcW w:w="86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400" w:type="dxa"/>
            <w:vAlign w:val="bottom"/>
            <w:tcBorders>
              <w:bottom w:val="single" w:sz="8" w:color="E5FFFF"/>
            </w:tcBorders>
          </w:tcPr>
          <w:p>
            <w:pPr>
              <w:spacing w:after="0"/>
              <w:rPr>
                <w:sz w:val="17"/>
                <w:szCs w:val="17"/>
                <w:color w:val="auto"/>
              </w:rPr>
            </w:pPr>
          </w:p>
        </w:tc>
        <w:tc>
          <w:tcPr>
            <w:tcW w:w="2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2,640</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7,872</w:t>
            </w:r>
          </w:p>
        </w:tc>
      </w:tr>
      <w:tr>
        <w:trPr>
          <w:trHeight w:val="176"/>
        </w:trPr>
        <w:tc>
          <w:tcPr>
            <w:tcW w:w="2640" w:type="dxa"/>
            <w:vAlign w:val="bottom"/>
            <w:tcBorders>
              <w:bottom w:val="single" w:sz="8" w:color="auto"/>
            </w:tcBorders>
            <w:gridSpan w:val="3"/>
            <w:shd w:val="clear" w:color="auto" w:fill="E5FFFF"/>
          </w:tcPr>
          <w:p>
            <w:pPr>
              <w:spacing w:after="0" w:line="170" w:lineRule="exact"/>
              <w:rPr>
                <w:sz w:val="20"/>
                <w:szCs w:val="20"/>
                <w:color w:val="auto"/>
              </w:rPr>
            </w:pPr>
            <w:r>
              <w:rPr>
                <w:rFonts w:ascii="Arial" w:cs="Arial" w:eastAsia="Arial" w:hAnsi="Arial"/>
                <w:sz w:val="18"/>
                <w:szCs w:val="18"/>
                <w:color w:val="auto"/>
                <w:w w:val="99"/>
              </w:rPr>
              <w:t>Safety and Productivity Solutions</w:t>
            </w:r>
          </w:p>
        </w:tc>
        <w:tc>
          <w:tcPr>
            <w:tcW w:w="3020" w:type="dxa"/>
            <w:vAlign w:val="bottom"/>
            <w:tcBorders>
              <w:bottom w:val="single" w:sz="8" w:color="E5FFFF"/>
            </w:tcBorders>
            <w:gridSpan w:val="2"/>
            <w:shd w:val="clear" w:color="auto" w:fill="E5FFFF"/>
          </w:tcPr>
          <w:p>
            <w:pPr>
              <w:spacing w:after="0"/>
              <w:rPr>
                <w:sz w:val="15"/>
                <w:szCs w:val="15"/>
                <w:color w:val="auto"/>
              </w:rPr>
            </w:pPr>
          </w:p>
        </w:tc>
        <w:tc>
          <w:tcPr>
            <w:tcW w:w="22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40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380" w:type="dxa"/>
            <w:vAlign w:val="bottom"/>
            <w:tcBorders>
              <w:bottom w:val="single" w:sz="8" w:color="E5FFFF"/>
            </w:tcBorders>
            <w:shd w:val="clear" w:color="auto" w:fill="E5FFFF"/>
          </w:tcPr>
          <w:p>
            <w:pPr>
              <w:spacing w:after="0"/>
              <w:rPr>
                <w:sz w:val="15"/>
                <w:szCs w:val="15"/>
                <w:color w:val="auto"/>
              </w:rPr>
            </w:pP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Safety and Retail</w:t>
            </w: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1,680</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Productivity Products</w:t>
            </w:r>
          </w:p>
        </w:tc>
        <w:tc>
          <w:tcPr>
            <w:tcW w:w="2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329</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1,017</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Warehouse and Workflow Solutions</w:t>
            </w: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1,299</w:t>
            </w:r>
          </w:p>
        </w:tc>
      </w:tr>
      <w:tr>
        <w:trPr>
          <w:trHeight w:val="216"/>
        </w:trPr>
        <w:tc>
          <w:tcPr>
            <w:tcW w:w="5660" w:type="dxa"/>
            <w:vAlign w:val="bottom"/>
            <w:gridSpan w:val="5"/>
            <w:shd w:val="clear" w:color="auto" w:fill="E5FFFF"/>
          </w:tcPr>
          <w:p>
            <w:pPr>
              <w:ind w:left="180"/>
              <w:spacing w:after="0"/>
              <w:rPr>
                <w:sz w:val="20"/>
                <w:szCs w:val="20"/>
                <w:color w:val="auto"/>
              </w:rPr>
            </w:pPr>
            <w:r>
              <w:rPr>
                <w:rFonts w:ascii="Arial" w:cs="Arial" w:eastAsia="Arial" w:hAnsi="Arial"/>
                <w:sz w:val="18"/>
                <w:szCs w:val="18"/>
                <w:color w:val="auto"/>
              </w:rPr>
              <w:t>Sensing &amp; Internet-of-Things (IoT)</w:t>
            </w:r>
          </w:p>
        </w:tc>
        <w:tc>
          <w:tcPr>
            <w:tcW w:w="2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644</w:t>
            </w:r>
          </w:p>
        </w:tc>
      </w:tr>
      <w:tr>
        <w:trPr>
          <w:trHeight w:val="196"/>
        </w:trPr>
        <w:tc>
          <w:tcPr>
            <w:tcW w:w="86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400" w:type="dxa"/>
            <w:vAlign w:val="bottom"/>
            <w:tcBorders>
              <w:bottom w:val="single" w:sz="8" w:color="E5FFFF"/>
            </w:tcBorders>
          </w:tcPr>
          <w:p>
            <w:pPr>
              <w:spacing w:after="0"/>
              <w:rPr>
                <w:sz w:val="17"/>
                <w:szCs w:val="17"/>
                <w:color w:val="auto"/>
              </w:rPr>
            </w:pPr>
          </w:p>
        </w:tc>
        <w:tc>
          <w:tcPr>
            <w:tcW w:w="2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1,575</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4,640</w:t>
            </w:r>
          </w:p>
        </w:tc>
      </w:tr>
      <w:tr>
        <w:trPr>
          <w:trHeight w:val="210"/>
        </w:trPr>
        <w:tc>
          <w:tcPr>
            <w:tcW w:w="5660" w:type="dxa"/>
            <w:vAlign w:val="bottom"/>
            <w:gridSpan w:val="5"/>
            <w:shd w:val="clear" w:color="auto" w:fill="E5FFFF"/>
          </w:tcPr>
          <w:p>
            <w:pPr>
              <w:ind w:left="180"/>
              <w:spacing w:after="0" w:line="197" w:lineRule="exact"/>
              <w:rPr>
                <w:sz w:val="20"/>
                <w:szCs w:val="20"/>
                <w:color w:val="auto"/>
              </w:rPr>
            </w:pPr>
            <w:r>
              <w:rPr>
                <w:rFonts w:ascii="Arial" w:cs="Arial" w:eastAsia="Arial" w:hAnsi="Arial"/>
                <w:sz w:val="18"/>
                <w:szCs w:val="18"/>
                <w:color w:val="auto"/>
              </w:rPr>
              <w:t>Net sales</w:t>
            </w:r>
          </w:p>
        </w:tc>
        <w:tc>
          <w:tcPr>
            <w:tcW w:w="2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10,762</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32,073</w:t>
            </w:r>
          </w:p>
        </w:tc>
      </w:tr>
      <w:tr>
        <w:trPr>
          <w:trHeight w:val="20"/>
        </w:trPr>
        <w:tc>
          <w:tcPr>
            <w:tcW w:w="860" w:type="dxa"/>
            <w:vAlign w:val="bottom"/>
            <w:tcBorders>
              <w:top w:val="single" w:sz="8" w:color="E5FFFF"/>
            </w:tcBorders>
          </w:tcPr>
          <w:p>
            <w:pPr>
              <w:spacing w:after="0" w:line="20" w:lineRule="exact"/>
              <w:rPr>
                <w:sz w:val="1"/>
                <w:szCs w:val="1"/>
                <w:color w:val="auto"/>
              </w:rPr>
            </w:pPr>
          </w:p>
        </w:tc>
        <w:tc>
          <w:tcPr>
            <w:tcW w:w="176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E5FFFF"/>
            </w:tcBorders>
          </w:tcPr>
          <w:p>
            <w:pPr>
              <w:spacing w:after="0" w:line="20" w:lineRule="exact"/>
              <w:rPr>
                <w:sz w:val="1"/>
                <w:szCs w:val="1"/>
                <w:color w:val="auto"/>
              </w:rPr>
            </w:pPr>
          </w:p>
        </w:tc>
        <w:tc>
          <w:tcPr>
            <w:tcW w:w="2400" w:type="dxa"/>
            <w:vAlign w:val="bottom"/>
            <w:tcBorders>
              <w:top w:val="single" w:sz="8" w:color="E5FFFF"/>
            </w:tcBorders>
          </w:tcPr>
          <w:p>
            <w:pPr>
              <w:spacing w:after="0" w:line="20" w:lineRule="exact"/>
              <w:rPr>
                <w:sz w:val="1"/>
                <w:szCs w:val="1"/>
                <w:color w:val="auto"/>
              </w:rPr>
            </w:pPr>
          </w:p>
        </w:tc>
        <w:tc>
          <w:tcPr>
            <w:tcW w:w="2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Aerospace – A global supplier of products, software and services for aircraft and vehicles. Products include aircraft propulsion engines, auxiliary power units, environmental control systems, integrated avionics, electric power systems, hardware for engine controls, flight safety, communications, and navigation, satellite and space components, aircraft wheels and brakes, turbochargers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Home and Building Technologies – A global provider of products, software, solutions and technologies. Products include controls and displays for heating, cooling, indoor air quality, ventilation, humidification, combustion, lighting and home automation; sensors, switches, control systems and instruments for measuring pressure, air flow, temperature and electrical current; access control; video surveillance; fire detection; remote patient monitoring systems; and installation, maintenance and upgrades of systems that keep buildings safe, comfortable and productive. Software includes monitoring and managing heating, cooling, indoor air quality, ventilation, humidification, combustion, lighting and home automation; advanced applications for home/building control and optimization; video surveillance; and to support remote patient monitoring systems. Installation, maintenance and upgrade services of products used in commercial building applications for heating, cooling, maintaining indoor air quality, ventilation, humidification, combustion, lighting, video surveillance and fire safety.</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 A global provider of products, software, solutions and technologies. Products include catalysts, absorbents, equipment and high-performance materials, devices for measurement, regulation, control and metering of gases and electricity, and metering and communications systems for water utilities and industries.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Safety and Productivity Solutions – A global provider of products, software and solutions. Products include personal protection equipment and footwear, gas detection devices, mobile computing, data 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 summary by disaggregated product and services sales for each segment, refer to Note 13 </w:t>
      </w:r>
      <w:r>
        <w:rPr>
          <w:rFonts w:ascii="Arial" w:cs="Arial" w:eastAsia="Arial" w:hAnsi="Arial"/>
          <w:sz w:val="18"/>
          <w:szCs w:val="18"/>
          <w:i w:val="1"/>
          <w:iCs w:val="1"/>
          <w:color w:val="auto"/>
        </w:rPr>
        <w:t>Segment Financial Data</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recognize revenue arising from performance obligations outlined in contracts with our customers that are satisfied at a point in time and over time. The disaggregation of our revenue based off timing of recognition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Three Months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Ended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5280" w:type="dxa"/>
            <w:vAlign w:val="bottom"/>
            <w:gridSpan w:val="2"/>
          </w:tcPr>
          <w:p>
            <w:pPr>
              <w:jc w:val="center"/>
              <w:ind w:left="359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41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Products, transferred point in time</w:t>
            </w:r>
          </w:p>
        </w:tc>
        <w:tc>
          <w:tcPr>
            <w:tcW w:w="366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67%</w:t>
            </w:r>
          </w:p>
        </w:tc>
        <w:tc>
          <w:tcPr>
            <w:tcW w:w="34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Products, transferred over time</w:t>
            </w:r>
          </w:p>
        </w:tc>
        <w:tc>
          <w:tcPr>
            <w:tcW w:w="5280" w:type="dxa"/>
            <w:vAlign w:val="bottom"/>
            <w:gridSpan w:val="2"/>
          </w:tcPr>
          <w:p>
            <w:pPr>
              <w:jc w:val="right"/>
              <w:ind w:right="79"/>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640" w:type="dxa"/>
            <w:vAlign w:val="bottom"/>
          </w:tcPr>
          <w:p>
            <w:pPr>
              <w:jc w:val="right"/>
              <w:ind w:right="77"/>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160" w:type="dxa"/>
            <w:vAlign w:val="bottom"/>
            <w:tcBorders>
              <w:top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Net product sales</w:t>
            </w:r>
          </w:p>
        </w:tc>
        <w:tc>
          <w:tcPr>
            <w:tcW w:w="366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78</w:t>
            </w:r>
          </w:p>
        </w:tc>
        <w:tc>
          <w:tcPr>
            <w:tcW w:w="34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ind w:right="77"/>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Services, transferred point in time</w:t>
            </w:r>
          </w:p>
        </w:tc>
        <w:tc>
          <w:tcPr>
            <w:tcW w:w="528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6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60" w:type="dxa"/>
            <w:vAlign w:val="bottom"/>
            <w:shd w:val="clear" w:color="auto" w:fill="E5FFFF"/>
          </w:tcPr>
          <w:p>
            <w:pPr>
              <w:spacing w:after="0"/>
              <w:rPr>
                <w:sz w:val="20"/>
                <w:szCs w:val="20"/>
                <w:color w:val="auto"/>
              </w:rPr>
            </w:pPr>
            <w:r>
              <w:rPr>
                <w:rFonts w:ascii="Arial" w:cs="Arial" w:eastAsia="Arial" w:hAnsi="Arial"/>
                <w:sz w:val="18"/>
                <w:szCs w:val="18"/>
                <w:color w:val="auto"/>
              </w:rPr>
              <w:t>Services, transferred over time</w:t>
            </w:r>
          </w:p>
        </w:tc>
        <w:tc>
          <w:tcPr>
            <w:tcW w:w="5280" w:type="dxa"/>
            <w:vAlign w:val="bottom"/>
            <w:gridSpan w:val="2"/>
            <w:shd w:val="clear" w:color="auto" w:fill="E5FFFF"/>
          </w:tcPr>
          <w:p>
            <w:pPr>
              <w:jc w:val="right"/>
              <w:ind w:right="79"/>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5FFFF"/>
          </w:tcPr>
          <w:p>
            <w:pPr>
              <w:spacing w:after="0"/>
              <w:rPr>
                <w:sz w:val="18"/>
                <w:szCs w:val="18"/>
                <w:color w:val="auto"/>
              </w:rPr>
            </w:pPr>
          </w:p>
        </w:tc>
        <w:tc>
          <w:tcPr>
            <w:tcW w:w="1640" w:type="dxa"/>
            <w:vAlign w:val="bottom"/>
            <w:shd w:val="clear" w:color="auto" w:fill="E5FFFF"/>
          </w:tcPr>
          <w:p>
            <w:pPr>
              <w:jc w:val="right"/>
              <w:ind w:right="7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service sales</w:t>
            </w:r>
          </w:p>
        </w:tc>
        <w:tc>
          <w:tcPr>
            <w:tcW w:w="3660" w:type="dxa"/>
            <w:vAlign w:val="bottom"/>
            <w:tcBorders>
              <w:bottom w:val="single" w:sz="8" w:color="E5FF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rPr>
              <w:t>22</w:t>
            </w:r>
          </w:p>
        </w:tc>
        <w:tc>
          <w:tcPr>
            <w:tcW w:w="340" w:type="dxa"/>
            <w:vAlign w:val="bottom"/>
            <w:tcBorders>
              <w:bottom w:val="single" w:sz="8" w:color="E5FF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416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Net sales</w:t>
            </w:r>
          </w:p>
        </w:tc>
        <w:tc>
          <w:tcPr>
            <w:tcW w:w="52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E5FFFF"/>
          </w:tcPr>
          <w:p>
            <w:pPr>
              <w:spacing w:after="0"/>
              <w:rPr>
                <w:sz w:val="18"/>
                <w:szCs w:val="18"/>
                <w:color w:val="auto"/>
              </w:rPr>
            </w:pPr>
          </w:p>
        </w:tc>
        <w:tc>
          <w:tcPr>
            <w:tcW w:w="1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160" w:type="dxa"/>
            <w:vAlign w:val="bottom"/>
            <w:tcBorders>
              <w:top w:val="single" w:sz="8" w:color="E5FFFF"/>
            </w:tcBorders>
          </w:tcPr>
          <w:p>
            <w:pPr>
              <w:spacing w:after="0" w:line="20" w:lineRule="exact"/>
              <w:rPr>
                <w:sz w:val="1"/>
                <w:szCs w:val="1"/>
                <w:color w:val="auto"/>
              </w:rPr>
            </w:pPr>
          </w:p>
        </w:tc>
        <w:tc>
          <w:tcPr>
            <w:tcW w:w="3660" w:type="dxa"/>
            <w:vAlign w:val="bottom"/>
            <w:tcBorders>
              <w:top w:val="single" w:sz="8" w:color="E5FFFF"/>
              <w:bottom w:val="single" w:sz="8" w:color="E5FFFF"/>
            </w:tcBorders>
            <w:vMerge w:val="restart"/>
          </w:tcPr>
          <w:p>
            <w:pPr>
              <w:jc w:val="right"/>
              <w:ind w:right="1913"/>
              <w:spacing w:after="0"/>
              <w:rPr>
                <w:sz w:val="20"/>
                <w:szCs w:val="20"/>
                <w:color w:val="auto"/>
              </w:rPr>
            </w:pPr>
            <w:r>
              <w:rPr>
                <w:rFonts w:ascii="Arial" w:cs="Arial" w:eastAsia="Arial" w:hAnsi="Arial"/>
                <w:sz w:val="18"/>
                <w:szCs w:val="18"/>
                <w:color w:val="auto"/>
              </w:rPr>
              <w:t>15</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0C0C0"/>
            </w:tcBorders>
          </w:tcPr>
          <w:p>
            <w:pPr>
              <w:spacing w:after="0"/>
              <w:rPr>
                <w:sz w:val="20"/>
                <w:szCs w:val="20"/>
                <w:color w:val="auto"/>
              </w:rPr>
            </w:pPr>
          </w:p>
        </w:tc>
        <w:tc>
          <w:tcPr>
            <w:tcW w:w="3660" w:type="dxa"/>
            <w:vAlign w:val="bottom"/>
            <w:tcBorders>
              <w:bottom w:val="single" w:sz="8" w:color="C0C0C0"/>
            </w:tcBorders>
          </w:tcPr>
          <w:p>
            <w:pPr>
              <w:spacing w:after="0"/>
              <w:rPr>
                <w:sz w:val="20"/>
                <w:szCs w:val="20"/>
                <w:color w:val="auto"/>
              </w:rPr>
            </w:pPr>
          </w:p>
        </w:tc>
        <w:tc>
          <w:tcPr>
            <w:tcW w:w="16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6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(the current and noncurrent portions, respectively, of unbilled receivables (contract assets) and billed receivables) and Accrued liabilities and Other liabilities (the current and noncurrent portions, respectively, of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 assets and liabilities balances: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20" w:type="dxa"/>
            <w:vAlign w:val="bottom"/>
            <w:tcBorders>
              <w:bottom w:val="single" w:sz="8" w:color="E5FFFF"/>
            </w:tcBorders>
          </w:tcPr>
          <w:p>
            <w:pPr>
              <w:spacing w:after="0"/>
              <w:rPr>
                <w:sz w:val="15"/>
                <w:szCs w:val="15"/>
                <w:color w:val="auto"/>
              </w:rPr>
            </w:pPr>
          </w:p>
        </w:tc>
        <w:tc>
          <w:tcPr>
            <w:tcW w:w="30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Contract assets - January 1</w:t>
            </w:r>
          </w:p>
        </w:tc>
        <w:tc>
          <w:tcPr>
            <w:tcW w:w="30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Contract assets - September 30</w:t>
            </w:r>
          </w:p>
        </w:tc>
        <w:tc>
          <w:tcPr>
            <w:tcW w:w="30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Change in contract assets - increase (decrease)</w:t>
            </w:r>
          </w:p>
        </w:tc>
        <w:tc>
          <w:tcPr>
            <w:tcW w:w="33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E5FFFF"/>
            </w:tcBorders>
          </w:tcPr>
          <w:p>
            <w:pPr>
              <w:spacing w:after="0" w:line="20" w:lineRule="exact"/>
              <w:rPr>
                <w:sz w:val="1"/>
                <w:szCs w:val="1"/>
                <w:color w:val="auto"/>
              </w:rPr>
            </w:pPr>
          </w:p>
        </w:tc>
        <w:tc>
          <w:tcPr>
            <w:tcW w:w="30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Contract liabilities - January 1</w:t>
            </w:r>
          </w:p>
        </w:tc>
        <w:tc>
          <w:tcPr>
            <w:tcW w:w="334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Contract liabilities - September 30</w:t>
            </w:r>
          </w:p>
        </w:tc>
        <w:tc>
          <w:tcPr>
            <w:tcW w:w="30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Change in contract liabilities - (increase) decrease</w:t>
            </w:r>
          </w:p>
        </w:tc>
        <w:tc>
          <w:tcPr>
            <w:tcW w:w="33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E5FFFF"/>
            </w:tcBorders>
          </w:tcPr>
          <w:p>
            <w:pPr>
              <w:spacing w:after="0" w:line="20" w:lineRule="exact"/>
              <w:rPr>
                <w:sz w:val="1"/>
                <w:szCs w:val="1"/>
                <w:color w:val="auto"/>
              </w:rPr>
            </w:pPr>
          </w:p>
        </w:tc>
        <w:tc>
          <w:tcPr>
            <w:tcW w:w="30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8"/>
                <w:szCs w:val="18"/>
                <w:color w:val="auto"/>
              </w:rPr>
              <w:t>Net change</w:t>
            </w:r>
          </w:p>
        </w:tc>
        <w:tc>
          <w:tcPr>
            <w:tcW w:w="33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E5FFFF"/>
            </w:tcBorders>
          </w:tcPr>
          <w:p>
            <w:pPr>
              <w:spacing w:after="0" w:line="20" w:lineRule="exact"/>
              <w:rPr>
                <w:sz w:val="1"/>
                <w:szCs w:val="1"/>
                <w:color w:val="auto"/>
              </w:rPr>
            </w:pPr>
          </w:p>
        </w:tc>
        <w:tc>
          <w:tcPr>
            <w:tcW w:w="30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net change was primarily driven by the receipt of advance payments from customers exceeding reductions from recognition of revenue as performance obligations were satisfied and related billings. For the three and nine months ended September 30, 2018, we recognized revenue of $122 million and $1,023 million that was previously included in the beginning balance of contract liabilities.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following table outlines our performance obligations disaggregated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6660" w:type="dxa"/>
            <w:vAlign w:val="bottom"/>
            <w:tcBorders>
              <w:bottom w:val="single" w:sz="8" w:color="E5FFFF"/>
            </w:tcBorders>
          </w:tcPr>
          <w:p>
            <w:pPr>
              <w:spacing w:after="0"/>
              <w:rPr>
                <w:sz w:val="15"/>
                <w:szCs w:val="15"/>
                <w:color w:val="auto"/>
              </w:rPr>
            </w:pPr>
          </w:p>
        </w:tc>
        <w:tc>
          <w:tcPr>
            <w:tcW w:w="340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196"/>
        </w:trPr>
        <w:tc>
          <w:tcPr>
            <w:tcW w:w="66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340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9,868</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6,500</w:t>
            </w:r>
          </w:p>
        </w:tc>
      </w:tr>
      <w:tr>
        <w:trPr>
          <w:trHeight w:val="203"/>
        </w:trPr>
        <w:tc>
          <w:tcPr>
            <w:tcW w:w="6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34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6,198</w:t>
            </w:r>
          </w:p>
        </w:tc>
      </w:tr>
      <w:tr>
        <w:trPr>
          <w:trHeight w:val="216"/>
        </w:trPr>
        <w:tc>
          <w:tcPr>
            <w:tcW w:w="66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Safety and Productivity Solutions</w:t>
            </w:r>
          </w:p>
        </w:tc>
        <w:tc>
          <w:tcPr>
            <w:tcW w:w="340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1,902</w:t>
            </w:r>
          </w:p>
        </w:tc>
      </w:tr>
      <w:tr>
        <w:trPr>
          <w:trHeight w:val="210"/>
        </w:trPr>
        <w:tc>
          <w:tcPr>
            <w:tcW w:w="6660" w:type="dxa"/>
            <w:vAlign w:val="bottom"/>
            <w:shd w:val="clear" w:color="auto" w:fill="E5FFFF"/>
          </w:tcPr>
          <w:p>
            <w:pPr>
              <w:spacing w:after="0"/>
              <w:rPr>
                <w:sz w:val="18"/>
                <w:szCs w:val="18"/>
                <w:color w:val="auto"/>
              </w:rPr>
            </w:pPr>
          </w:p>
        </w:tc>
        <w:tc>
          <w:tcPr>
            <w:tcW w:w="35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24,468</w:t>
            </w:r>
          </w:p>
        </w:tc>
      </w:tr>
      <w:tr>
        <w:trPr>
          <w:trHeight w:val="20"/>
        </w:trPr>
        <w:tc>
          <w:tcPr>
            <w:tcW w:w="6660" w:type="dxa"/>
            <w:vAlign w:val="bottom"/>
            <w:tcBorders>
              <w:top w:val="single" w:sz="8" w:color="E5FFFF"/>
            </w:tcBorders>
          </w:tcPr>
          <w:p>
            <w:pPr>
              <w:spacing w:after="0" w:line="20" w:lineRule="exact"/>
              <w:rPr>
                <w:sz w:val="1"/>
                <w:szCs w:val="1"/>
                <w:color w:val="auto"/>
              </w:rPr>
            </w:pPr>
          </w:p>
        </w:tc>
        <w:tc>
          <w:tcPr>
            <w:tcW w:w="34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Performance obligations recognized as of September 30, 2018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timing of satisfaction of our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 -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7"/>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720" w:type="dxa"/>
            <w:vAlign w:val="bottom"/>
            <w:tcBorders>
              <w:bottom w:val="single" w:sz="8" w:color="E5FFFF"/>
            </w:tcBorders>
          </w:tcPr>
          <w:p>
            <w:pPr>
              <w:spacing w:after="0"/>
              <w:rPr>
                <w:sz w:val="16"/>
                <w:szCs w:val="16"/>
                <w:color w:val="auto"/>
              </w:rPr>
            </w:pPr>
          </w:p>
        </w:tc>
        <w:tc>
          <w:tcPr>
            <w:tcW w:w="2640" w:type="dxa"/>
            <w:vAlign w:val="bottom"/>
            <w:tcBorders>
              <w:bottom w:val="single" w:sz="8" w:color="E5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r>
      <w:tr>
        <w:trPr>
          <w:trHeight w:val="196"/>
        </w:trPr>
        <w:tc>
          <w:tcPr>
            <w:tcW w:w="5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Trade</w:t>
            </w:r>
          </w:p>
        </w:tc>
        <w:tc>
          <w:tcPr>
            <w:tcW w:w="26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8,813</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9,068</w:t>
            </w:r>
          </w:p>
        </w:tc>
      </w:tr>
      <w:tr>
        <w:trPr>
          <w:trHeight w:val="216"/>
        </w:trPr>
        <w:tc>
          <w:tcPr>
            <w:tcW w:w="57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 Allowance for doubtful accounts</w:t>
            </w:r>
          </w:p>
        </w:tc>
        <w:tc>
          <w:tcPr>
            <w:tcW w:w="26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10"/>
        </w:trPr>
        <w:tc>
          <w:tcPr>
            <w:tcW w:w="5720" w:type="dxa"/>
            <w:vAlign w:val="bottom"/>
            <w:shd w:val="clear" w:color="auto" w:fill="E5FFFF"/>
          </w:tcPr>
          <w:p>
            <w:pPr>
              <w:spacing w:after="0"/>
              <w:rPr>
                <w:sz w:val="18"/>
                <w:szCs w:val="18"/>
                <w:color w:val="auto"/>
              </w:rPr>
            </w:pPr>
          </w:p>
        </w:tc>
        <w:tc>
          <w:tcPr>
            <w:tcW w:w="2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7"/>
              <w:spacing w:after="0"/>
              <w:rPr>
                <w:sz w:val="20"/>
                <w:szCs w:val="20"/>
                <w:color w:val="auto"/>
              </w:rPr>
            </w:pPr>
            <w:r>
              <w:rPr>
                <w:rFonts w:ascii="Arial" w:cs="Arial" w:eastAsia="Arial" w:hAnsi="Arial"/>
                <w:sz w:val="18"/>
                <w:szCs w:val="18"/>
                <w:color w:val="auto"/>
              </w:rPr>
              <w:t>8,568</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8,866</w:t>
            </w:r>
          </w:p>
        </w:tc>
      </w:tr>
      <w:tr>
        <w:trPr>
          <w:trHeight w:val="20"/>
        </w:trPr>
        <w:tc>
          <w:tcPr>
            <w:tcW w:w="5720" w:type="dxa"/>
            <w:vAlign w:val="bottom"/>
            <w:tcBorders>
              <w:top w:val="single" w:sz="8" w:color="E5FFFF"/>
            </w:tcBorders>
          </w:tcPr>
          <w:p>
            <w:pPr>
              <w:spacing w:after="0" w:line="20" w:lineRule="exact"/>
              <w:rPr>
                <w:sz w:val="1"/>
                <w:szCs w:val="1"/>
                <w:color w:val="auto"/>
              </w:rPr>
            </w:pPr>
          </w:p>
        </w:tc>
        <w:tc>
          <w:tcPr>
            <w:tcW w:w="26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Trade receivables include $1,685 million and $1,853 million of unbilled balances under long-term contracts as of September 30, 2018 and December 31, 2017. These amounts are billed in accordance with the terms of the customer contracts to which they relate.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5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040" w:type="dxa"/>
            <w:vAlign w:val="bottom"/>
            <w:tcBorders>
              <w:bottom w:val="single" w:sz="8" w:color="E5FFFF"/>
            </w:tcBorders>
          </w:tcPr>
          <w:p>
            <w:pPr>
              <w:spacing w:after="0"/>
              <w:rPr>
                <w:sz w:val="15"/>
                <w:szCs w:val="15"/>
                <w:color w:val="auto"/>
              </w:rPr>
            </w:pPr>
          </w:p>
        </w:tc>
        <w:tc>
          <w:tcPr>
            <w:tcW w:w="32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Raw materials</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1,334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804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3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2,904</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5,098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16"/>
        </w:trPr>
        <w:tc>
          <w:tcPr>
            <w:tcW w:w="804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3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5,061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Note 10. Long-term Debt and Credit Agreements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040" w:type="dxa"/>
            <w:vAlign w:val="bottom"/>
            <w:tcBorders>
              <w:bottom w:val="single" w:sz="8" w:color="E5FFFF"/>
            </w:tcBorders>
          </w:tcPr>
          <w:p>
            <w:pPr>
              <w:spacing w:after="0"/>
              <w:rPr>
                <w:sz w:val="15"/>
                <w:szCs w:val="15"/>
                <w:color w:val="auto"/>
              </w:rPr>
            </w:pPr>
          </w:p>
        </w:tc>
        <w:tc>
          <w:tcPr>
            <w:tcW w:w="32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Two year floating rate Euro notes due 2018</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1.40% notes due 2019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Three year floating rate notes due 2019</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250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Two year floating rate notes due 2019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1.80% notes due 2019</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750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1,158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1.85% notes due 2021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1.30% Euro notes due 2023</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1,448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2.50% notes due 2026</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1,500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441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417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3.812% notes due 2047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6.625% debentures due 2028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9.065% debentures due 2033</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8040" w:type="dxa"/>
            <w:vAlign w:val="bottom"/>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5.0% weighted average maturing at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various dates through 2025</w:t>
            </w:r>
          </w:p>
        </w:tc>
        <w:tc>
          <w:tcPr>
            <w:tcW w:w="3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334</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6"/>
        </w:trPr>
        <w:tc>
          <w:tcPr>
            <w:tcW w:w="80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12,647</w:t>
            </w:r>
          </w:p>
        </w:tc>
        <w:tc>
          <w:tcPr>
            <w:tcW w:w="3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196"/>
        </w:trPr>
        <w:tc>
          <w:tcPr>
            <w:tcW w:w="8040" w:type="dxa"/>
            <w:vAlign w:val="bottom"/>
          </w:tcPr>
          <w:p>
            <w:pPr>
              <w:spacing w:after="0" w:line="196" w:lineRule="exact"/>
              <w:rPr>
                <w:sz w:val="20"/>
                <w:szCs w:val="20"/>
                <w:color w:val="auto"/>
              </w:rPr>
            </w:pPr>
            <w:r>
              <w:rPr>
                <w:rFonts w:ascii="Arial" w:cs="Arial" w:eastAsia="Arial" w:hAnsi="Arial"/>
                <w:sz w:val="18"/>
                <w:szCs w:val="18"/>
                <w:color w:val="auto"/>
              </w:rPr>
              <w:t>Garrett pre-separation funding:</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2.50% Euro term loan due 2023</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387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2.75% Euro term loan due 2025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4.881% term loan due 2025</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425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5.125% Euro notes due 2026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410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shd w:val="clear" w:color="auto" w:fill="E5FFFF"/>
          </w:tcPr>
          <w:p>
            <w:pPr>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1,627</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Total</w:t>
            </w:r>
          </w:p>
        </w:tc>
        <w:tc>
          <w:tcPr>
            <w:tcW w:w="32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14,274</w:t>
            </w:r>
          </w:p>
        </w:tc>
        <w:tc>
          <w:tcPr>
            <w:tcW w:w="3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0"/>
        </w:trPr>
        <w:tc>
          <w:tcPr>
            <w:tcW w:w="8040" w:type="dxa"/>
            <w:vAlign w:val="bottom"/>
            <w:shd w:val="clear" w:color="auto" w:fill="E5FFFF"/>
          </w:tcPr>
          <w:p>
            <w:pPr>
              <w:spacing w:after="0"/>
              <w:rPr>
                <w:sz w:val="18"/>
                <w:szCs w:val="18"/>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14,059</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12,573</w:t>
            </w:r>
          </w:p>
        </w:tc>
        <w:tc>
          <w:tcPr>
            <w:tcW w:w="0" w:type="dxa"/>
            <w:vAlign w:val="bottom"/>
          </w:tcPr>
          <w:p>
            <w:pPr>
              <w:spacing w:after="0"/>
              <w:rPr>
                <w:sz w:val="1"/>
                <w:szCs w:val="1"/>
                <w:color w:val="auto"/>
              </w:rPr>
            </w:pPr>
          </w:p>
        </w:tc>
      </w:tr>
      <w:tr>
        <w:trPr>
          <w:trHeight w:val="20"/>
        </w:trPr>
        <w:tc>
          <w:tcPr>
            <w:tcW w:w="80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January 29, 2018, the Company completed an exchange offer for any and all of its outstanding 3.812% Notes due 2047, which had not been registered (“Unregistered Notes”) under the Securities Act of 1933, as amended (“Securities Act”) for an equal principal amount of new 3.812% Notes due 2047 which had been registered under the Securities Act (“Registered Notes”). 99.4% of the Unregistered Notes were exchanged for Registered Notes, representing 99.4% of the principal amount of the Company’s outstanding 3.812% Notes due 2047.</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22, 2018, the Company paid its Two year floating rate Euro notes.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connection with the spin-off of the Transportation Systems business, named Garrett Motion Inc. (“Garrett”), wholly owned subsidiaries of Garrett issued notes and entered new credit facilities. On September 27, 2018 the Company received net proceeds of $1,604 million from such borrowings.</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On February 16, 2018, the Company entered into a $1.5 billion 364-Day Credit Agreement with a syndicate of banks. This 364-Day Credit Agreement is maintained for general corporate purposes.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April 27, 2018, the Company entered into a $4 billion Amended and Restated Five Year Credit Agreement (the “5 -Year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amends and restates the previously reported $4 billion five year credit agreement dated as of July 10, 2015 (the “Prior Agreement”). The 5-Year Credit Agreement has substantially the same material terms and conditions as the Prior Agreement.</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On April 27, 2018, the Company entered into an additional $1.5 billion 364-Day Credit Agreement with a syndicate of banks. This 364-Day Credit Agreement is maintained for general corporate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there are no outstanding borrowings under any of our credit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 and Fair Value Measures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14,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2017 Annual Report on Form 10-K.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840" w:type="dxa"/>
            <w:vAlign w:val="bottom"/>
            <w:tcBorders>
              <w:bottom w:val="single" w:sz="8" w:color="E5FFFF"/>
            </w:tcBorders>
          </w:tcPr>
          <w:p>
            <w:pPr>
              <w:spacing w:after="0"/>
              <w:rPr>
                <w:sz w:val="15"/>
                <w:szCs w:val="15"/>
                <w:color w:val="auto"/>
              </w:rPr>
            </w:pPr>
          </w:p>
        </w:tc>
        <w:tc>
          <w:tcPr>
            <w:tcW w:w="252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r>
      <w:tr>
        <w:trPr>
          <w:trHeight w:val="196"/>
        </w:trPr>
        <w:tc>
          <w:tcPr>
            <w:tcW w:w="58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584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contracts</w:t>
            </w:r>
          </w:p>
        </w:tc>
        <w:tc>
          <w:tcPr>
            <w:tcW w:w="2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44</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w:t>
            </w:r>
          </w:p>
        </w:tc>
      </w:tr>
      <w:tr>
        <w:trPr>
          <w:trHeight w:val="203"/>
        </w:trPr>
        <w:tc>
          <w:tcPr>
            <w:tcW w:w="58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Available for sale investments</w:t>
            </w:r>
          </w:p>
        </w:tc>
        <w:tc>
          <w:tcPr>
            <w:tcW w:w="25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2,009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3,916</w:t>
            </w:r>
          </w:p>
        </w:tc>
      </w:tr>
      <w:tr>
        <w:trPr>
          <w:trHeight w:val="203"/>
        </w:trPr>
        <w:tc>
          <w:tcPr>
            <w:tcW w:w="5840" w:type="dxa"/>
            <w:vAlign w:val="bottom"/>
          </w:tcPr>
          <w:p>
            <w:pPr>
              <w:ind w:left="360"/>
              <w:spacing w:after="0" w:line="202" w:lineRule="exact"/>
              <w:rPr>
                <w:sz w:val="20"/>
                <w:szCs w:val="20"/>
                <w:color w:val="auto"/>
              </w:rPr>
            </w:pPr>
            <w:r>
              <w:rPr>
                <w:rFonts w:ascii="Arial" w:cs="Arial" w:eastAsia="Arial" w:hAnsi="Arial"/>
                <w:sz w:val="18"/>
                <w:szCs w:val="18"/>
                <w:color w:val="auto"/>
              </w:rPr>
              <w:t>Interest rate swap agreements</w:t>
            </w:r>
          </w:p>
        </w:tc>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44</w:t>
            </w:r>
          </w:p>
        </w:tc>
      </w:tr>
      <w:tr>
        <w:trPr>
          <w:trHeight w:val="203"/>
        </w:trPr>
        <w:tc>
          <w:tcPr>
            <w:tcW w:w="58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5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584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contracts</w:t>
            </w:r>
          </w:p>
        </w:tc>
        <w:tc>
          <w:tcPr>
            <w:tcW w:w="2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70</w:t>
            </w:r>
          </w:p>
        </w:tc>
      </w:tr>
      <w:tr>
        <w:trPr>
          <w:trHeight w:val="203"/>
        </w:trPr>
        <w:tc>
          <w:tcPr>
            <w:tcW w:w="58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Interest rate swap agreements</w:t>
            </w:r>
          </w:p>
        </w:tc>
        <w:tc>
          <w:tcPr>
            <w:tcW w:w="25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95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2018</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2017</w:t>
            </w:r>
          </w:p>
        </w:tc>
        <w:tc>
          <w:tcPr>
            <w:tcW w:w="860" w:type="dxa"/>
            <w:vAlign w:val="bottom"/>
            <w:tcBorders>
              <w:bottom w:val="single" w:sz="8" w:color="auto"/>
            </w:tcBorders>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41"/>
              <w:spacing w:after="0" w:line="14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79"/>
              <w:spacing w:after="0" w:line="14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21"/>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79"/>
              <w:spacing w:after="0" w:line="143" w:lineRule="exact"/>
              <w:rPr>
                <w:sz w:val="20"/>
                <w:szCs w:val="20"/>
                <w:color w:val="auto"/>
              </w:rPr>
            </w:pPr>
            <w:r>
              <w:rPr>
                <w:rFonts w:ascii="Arial" w:cs="Arial" w:eastAsia="Arial" w:hAnsi="Arial"/>
                <w:sz w:val="14"/>
                <w:szCs w:val="14"/>
                <w:b w:val="1"/>
                <w:bCs w:val="1"/>
                <w:color w:val="auto"/>
              </w:rPr>
              <w:t>Fair</w:t>
            </w:r>
          </w:p>
        </w:tc>
      </w:tr>
      <w:tr>
        <w:trPr>
          <w:trHeight w:val="175"/>
        </w:trPr>
        <w:tc>
          <w:tcPr>
            <w:tcW w:w="436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96"/>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E5FF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3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332</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319</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296</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289</w:t>
            </w:r>
          </w:p>
        </w:tc>
      </w:tr>
      <w:tr>
        <w:trPr>
          <w:trHeight w:val="203"/>
        </w:trPr>
        <w:tc>
          <w:tcPr>
            <w:tcW w:w="43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14,274</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14,768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13,924</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14,695</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8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nine months ended September 30, 2018, we recognized $12 million and $ 75 million of losses in earnings on interest rate swap agreements. For the three and nine months ended September 30, 2017, we recognized $4 million and $6 million of losses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economically hedge our exposure to changes in foreign exchange rates primarily with forward contracts. These contracts are marked-to-market with the resulting gains and losses recognized in earnings offsetting the gains and losses on the non-functional currency denominated monetary assets and liabilities being hedged. We recognized $30 million and $ 245 million of income in Other (income) expense for the three and nine months ended September 30, 2018 on these contracts. We recognized $76 million and $194 million of expense in Other (income) expense for the three and nine months ended September 30, 2017.</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470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2017</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(1,981)</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(202)</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(52)</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(2,235)</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8"/>
              <w:spacing w:after="0" w:line="203" w:lineRule="exact"/>
              <w:rPr>
                <w:sz w:val="20"/>
                <w:szCs w:val="20"/>
                <w:color w:val="auto"/>
              </w:rPr>
            </w:pPr>
            <w:r>
              <w:rPr>
                <w:rFonts w:ascii="Arial" w:cs="Arial" w:eastAsia="Arial" w:hAnsi="Arial"/>
                <w:sz w:val="18"/>
                <w:szCs w:val="18"/>
                <w:color w:val="auto"/>
              </w:rPr>
              <w:t>61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9"/>
              <w:spacing w:after="0" w:line="203" w:lineRule="exact"/>
              <w:rPr>
                <w:sz w:val="20"/>
                <w:szCs w:val="20"/>
                <w:color w:val="auto"/>
              </w:rPr>
            </w:pPr>
            <w:r>
              <w:rPr>
                <w:rFonts w:ascii="Arial" w:cs="Arial" w:eastAsia="Arial" w:hAnsi="Arial"/>
                <w:sz w:val="18"/>
                <w:szCs w:val="18"/>
                <w:color w:val="auto"/>
              </w:rPr>
              <w:t>35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line="203" w:lineRule="exact"/>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123</w:t>
            </w:r>
          </w:p>
        </w:tc>
      </w:tr>
      <w:tr>
        <w:trPr>
          <w:trHeight w:val="202"/>
        </w:trPr>
        <w:tc>
          <w:tcPr>
            <w:tcW w:w="47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r>
      <w:tr>
        <w:trPr>
          <w:trHeight w:val="217"/>
        </w:trPr>
        <w:tc>
          <w:tcPr>
            <w:tcW w:w="47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8"/>
                <w:szCs w:val="18"/>
                <w:color w:val="auto"/>
              </w:rPr>
              <w:t>40</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4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61</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34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67</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110</w:t>
            </w:r>
          </w:p>
        </w:tc>
      </w:tr>
      <w:tr>
        <w:trPr>
          <w:trHeight w:val="210"/>
        </w:trPr>
        <w:tc>
          <w:tcPr>
            <w:tcW w:w="47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September 30, 2018</w:t>
            </w:r>
          </w:p>
        </w:tc>
        <w:tc>
          <w:tcPr>
            <w:tcW w:w="4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(1,920)</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(220)</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(2,125)</w:t>
            </w:r>
          </w:p>
        </w:tc>
      </w:tr>
      <w:tr>
        <w:trPr>
          <w:trHeight w:val="20"/>
        </w:trPr>
        <w:tc>
          <w:tcPr>
            <w:tcW w:w="47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470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2016</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(1,944)</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(879)</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109</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(2,714)</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8"/>
              <w:spacing w:after="0" w:line="203" w:lineRule="exact"/>
              <w:rPr>
                <w:sz w:val="20"/>
                <w:szCs w:val="20"/>
                <w:color w:val="auto"/>
              </w:rPr>
            </w:pPr>
            <w:r>
              <w:rPr>
                <w:rFonts w:ascii="Arial" w:cs="Arial" w:eastAsia="Arial" w:hAnsi="Arial"/>
                <w:sz w:val="18"/>
                <w:szCs w:val="18"/>
                <w:color w:val="auto"/>
              </w:rPr>
              <w:t>112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r>
      <w:tr>
        <w:trPr>
          <w:trHeight w:val="202"/>
        </w:trPr>
        <w:tc>
          <w:tcPr>
            <w:tcW w:w="47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r>
      <w:tr>
        <w:trPr>
          <w:trHeight w:val="217"/>
        </w:trPr>
        <w:tc>
          <w:tcPr>
            <w:tcW w:w="47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(94)</w:t>
            </w:r>
          </w:p>
        </w:tc>
      </w:tr>
      <w:tr>
        <w:trPr>
          <w:trHeight w:val="196"/>
        </w:trPr>
        <w:tc>
          <w:tcPr>
            <w:tcW w:w="4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112</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34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10"/>
        </w:trPr>
        <w:tc>
          <w:tcPr>
            <w:tcW w:w="47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September 30, 2017</w:t>
            </w:r>
          </w:p>
        </w:tc>
        <w:tc>
          <w:tcPr>
            <w:tcW w:w="4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(1,832)</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(967)</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(2,840)</w:t>
            </w:r>
          </w:p>
        </w:tc>
      </w:tr>
      <w:tr>
        <w:trPr>
          <w:trHeight w:val="20"/>
        </w:trPr>
        <w:tc>
          <w:tcPr>
            <w:tcW w:w="47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98"/>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7"/>
        </w:trPr>
        <w:tc>
          <w:tcPr>
            <w:tcW w:w="47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1" w:name="page22"/>
    <w:bookmarkEnd w:id="21"/>
    <w:p>
      <w:pPr>
        <w:jc w:val="center"/>
        <w:ind w:right="-25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60"/>
          </w:cols>
          <w:pgMar w:left="240" w:top="400" w:right="4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740" w:type="dxa"/>
            <w:vAlign w:val="bottom"/>
            <w:tcBorders>
              <w:bottom w:val="single" w:sz="8" w:color="E5FFFF"/>
            </w:tcBorders>
          </w:tcPr>
          <w:p>
            <w:pPr>
              <w:spacing w:after="0"/>
              <w:rPr>
                <w:sz w:val="14"/>
                <w:szCs w:val="14"/>
                <w:color w:val="auto"/>
              </w:rPr>
            </w:pPr>
          </w:p>
        </w:tc>
        <w:tc>
          <w:tcPr>
            <w:tcW w:w="420" w:type="dxa"/>
            <w:vAlign w:val="bottom"/>
            <w:tcBorders>
              <w:bottom w:val="single" w:sz="8" w:color="E5FFFF"/>
            </w:tcBorders>
          </w:tcPr>
          <w:p>
            <w:pPr>
              <w:spacing w:after="0"/>
              <w:rPr>
                <w:sz w:val="14"/>
                <w:szCs w:val="14"/>
                <w:color w:val="auto"/>
              </w:rPr>
            </w:pPr>
          </w:p>
        </w:tc>
        <w:tc>
          <w:tcPr>
            <w:tcW w:w="2920" w:type="dxa"/>
            <w:vAlign w:val="bottom"/>
            <w:tcBorders>
              <w:bottom w:val="single" w:sz="8" w:color="E5FFFF"/>
            </w:tcBorders>
          </w:tcPr>
          <w:p>
            <w:pPr>
              <w:spacing w:after="0"/>
              <w:rPr>
                <w:sz w:val="14"/>
                <w:szCs w:val="14"/>
                <w:color w:val="auto"/>
              </w:rPr>
            </w:pPr>
          </w:p>
        </w:tc>
        <w:tc>
          <w:tcPr>
            <w:tcW w:w="8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2017</w:t>
            </w:r>
          </w:p>
        </w:tc>
      </w:tr>
      <w:tr>
        <w:trPr>
          <w:trHeight w:val="176"/>
        </w:trPr>
        <w:tc>
          <w:tcPr>
            <w:tcW w:w="20" w:type="dxa"/>
            <w:vAlign w:val="bottom"/>
          </w:tcPr>
          <w:p>
            <w:pPr>
              <w:spacing w:after="0"/>
              <w:rPr>
                <w:sz w:val="15"/>
                <w:szCs w:val="15"/>
                <w:color w:val="auto"/>
              </w:rPr>
            </w:pPr>
          </w:p>
        </w:tc>
        <w:tc>
          <w:tcPr>
            <w:tcW w:w="740" w:type="dxa"/>
            <w:vAlign w:val="bottom"/>
            <w:tcBorders>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color w:val="auto"/>
                <w:w w:val="95"/>
              </w:rPr>
              <w:t>Net sales</w:t>
            </w:r>
          </w:p>
        </w:tc>
        <w:tc>
          <w:tcPr>
            <w:tcW w:w="3340" w:type="dxa"/>
            <w:vAlign w:val="bottom"/>
            <w:tcBorders>
              <w:bottom w:val="single" w:sz="8" w:color="E5FFFF"/>
            </w:tcBorders>
            <w:gridSpan w:val="2"/>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r>
      <w:tr>
        <w:trPr>
          <w:trHeight w:val="243"/>
        </w:trPr>
        <w:tc>
          <w:tcPr>
            <w:tcW w:w="4100" w:type="dxa"/>
            <w:vAlign w:val="bottom"/>
            <w:gridSpan w:val="4"/>
          </w:tcPr>
          <w:p>
            <w:pPr>
              <w:spacing w:after="0"/>
              <w:rPr>
                <w:sz w:val="20"/>
                <w:szCs w:val="20"/>
                <w:color w:val="auto"/>
              </w:rPr>
            </w:pPr>
            <w:r>
              <w:rPr>
                <w:rFonts w:ascii="Arial" w:cs="Arial" w:eastAsia="Arial" w:hAnsi="Arial"/>
                <w:sz w:val="18"/>
                <w:szCs w:val="18"/>
                <w:color w:val="auto"/>
              </w:rPr>
              <w:t>Aerospace</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11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2,747</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2,452</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8,275</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7,393</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1,283</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1,205</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3,790</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3,484</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4,030</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3,657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12,065</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10,877</w:t>
            </w:r>
          </w:p>
        </w:tc>
      </w:tr>
      <w:tr>
        <w:trPr>
          <w:trHeight w:val="243"/>
        </w:trPr>
        <w:tc>
          <w:tcPr>
            <w:tcW w:w="4100" w:type="dxa"/>
            <w:vAlign w:val="bottom"/>
            <w:gridSpan w:val="4"/>
          </w:tcPr>
          <w:p>
            <w:pPr>
              <w:spacing w:after="0"/>
              <w:rPr>
                <w:sz w:val="20"/>
                <w:szCs w:val="20"/>
                <w:color w:val="auto"/>
              </w:rPr>
            </w:pPr>
            <w:r>
              <w:rPr>
                <w:rFonts w:ascii="Arial" w:cs="Arial" w:eastAsia="Arial" w:hAnsi="Arial"/>
                <w:sz w:val="18"/>
                <w:szCs w:val="18"/>
                <w:color w:val="auto"/>
              </w:rPr>
              <w:t>Home and Building Technologies</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2,157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2,125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6,423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6,154</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360</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354</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1,073</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1,008</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2,517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2,479</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7,496</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7,162</w:t>
            </w:r>
          </w:p>
        </w:tc>
      </w:tr>
      <w:tr>
        <w:trPr>
          <w:trHeight w:val="243"/>
        </w:trPr>
        <w:tc>
          <w:tcPr>
            <w:tcW w:w="4100" w:type="dxa"/>
            <w:vAlign w:val="bottom"/>
            <w:gridSpan w:val="4"/>
          </w:tcPr>
          <w:p>
            <w:pPr>
              <w:spacing w:after="0"/>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2,089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2,140</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6,346</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6,181</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551</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1,526</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1,304</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2,640</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2,571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7,872</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7,485</w:t>
            </w:r>
          </w:p>
        </w:tc>
      </w:tr>
      <w:tr>
        <w:trPr>
          <w:trHeight w:val="243"/>
        </w:trPr>
        <w:tc>
          <w:tcPr>
            <w:tcW w:w="4100" w:type="dxa"/>
            <w:vAlign w:val="bottom"/>
            <w:gridSpan w:val="4"/>
          </w:tcPr>
          <w:p>
            <w:pPr>
              <w:spacing w:after="0"/>
              <w:rPr>
                <w:sz w:val="20"/>
                <w:szCs w:val="20"/>
                <w:color w:val="auto"/>
              </w:rPr>
            </w:pPr>
            <w:r>
              <w:rPr>
                <w:rFonts w:ascii="Arial" w:cs="Arial" w:eastAsia="Arial" w:hAnsi="Arial"/>
                <w:sz w:val="18"/>
                <w:szCs w:val="18"/>
                <w:color w:val="auto"/>
              </w:rPr>
              <w:t>Safety and Productivity Solutions</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1,484</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1,335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4,370</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3,943</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270</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1,575</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1,414</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4,640</w:t>
            </w:r>
          </w:p>
        </w:tc>
        <w:tc>
          <w:tcPr>
            <w:tcW w:w="32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4,167</w:t>
            </w:r>
          </w:p>
        </w:tc>
      </w:tr>
      <w:tr>
        <w:trPr>
          <w:trHeight w:val="29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10,762</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10,121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32,073</w:t>
            </w:r>
          </w:p>
        </w:tc>
        <w:tc>
          <w:tcPr>
            <w:tcW w:w="32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29,691</w:t>
            </w:r>
          </w:p>
        </w:tc>
      </w:tr>
      <w:tr>
        <w:trPr>
          <w:trHeight w:val="163"/>
        </w:trPr>
        <w:tc>
          <w:tcPr>
            <w:tcW w:w="20" w:type="dxa"/>
            <w:vAlign w:val="bottom"/>
          </w:tcPr>
          <w:p>
            <w:pPr>
              <w:spacing w:after="0"/>
              <w:rPr>
                <w:sz w:val="14"/>
                <w:szCs w:val="14"/>
                <w:color w:val="auto"/>
              </w:rPr>
            </w:pPr>
          </w:p>
        </w:tc>
        <w:tc>
          <w:tcPr>
            <w:tcW w:w="1160" w:type="dxa"/>
            <w:vAlign w:val="bottom"/>
            <w:tcBorders>
              <w:top w:val="single" w:sz="8" w:color="E5FFFF"/>
              <w:bottom w:val="single" w:sz="8" w:color="auto"/>
            </w:tcBorders>
            <w:gridSpan w:val="2"/>
            <w:shd w:val="clear" w:color="auto" w:fill="E5FFFF"/>
          </w:tcPr>
          <w:p>
            <w:pPr>
              <w:spacing w:after="0" w:line="156" w:lineRule="exact"/>
              <w:rPr>
                <w:sz w:val="20"/>
                <w:szCs w:val="20"/>
                <w:color w:val="auto"/>
              </w:rPr>
            </w:pPr>
            <w:r>
              <w:rPr>
                <w:rFonts w:ascii="Arial" w:cs="Arial" w:eastAsia="Arial" w:hAnsi="Arial"/>
                <w:sz w:val="18"/>
                <w:szCs w:val="18"/>
                <w:color w:val="auto"/>
                <w:w w:val="97"/>
              </w:rPr>
              <w:t>Segment profit</w:t>
            </w:r>
          </w:p>
        </w:tc>
        <w:tc>
          <w:tcPr>
            <w:tcW w:w="2920" w:type="dxa"/>
            <w:vAlign w:val="bottom"/>
            <w:tcBorders>
              <w:top w:val="single" w:sz="8" w:color="E5FFFF"/>
              <w:bottom w:val="single" w:sz="8" w:color="E5FFFF"/>
            </w:tcBorders>
            <w:shd w:val="clear" w:color="auto" w:fill="E5FFFF"/>
          </w:tcPr>
          <w:p>
            <w:pPr>
              <w:spacing w:after="0"/>
              <w:rPr>
                <w:sz w:val="14"/>
                <w:szCs w:val="14"/>
                <w:color w:val="auto"/>
              </w:rPr>
            </w:pPr>
          </w:p>
        </w:tc>
        <w:tc>
          <w:tcPr>
            <w:tcW w:w="840" w:type="dxa"/>
            <w:vAlign w:val="bottom"/>
            <w:tcBorders>
              <w:top w:val="single" w:sz="8" w:color="E5FFFF"/>
              <w:bottom w:val="single" w:sz="8" w:color="E5FFFF"/>
            </w:tcBorders>
            <w:shd w:val="clear" w:color="auto" w:fill="E5FFFF"/>
          </w:tcPr>
          <w:p>
            <w:pPr>
              <w:spacing w:after="0"/>
              <w:rPr>
                <w:sz w:val="14"/>
                <w:szCs w:val="14"/>
                <w:color w:val="auto"/>
              </w:rPr>
            </w:pPr>
          </w:p>
        </w:tc>
        <w:tc>
          <w:tcPr>
            <w:tcW w:w="320" w:type="dxa"/>
            <w:vAlign w:val="bottom"/>
            <w:tcBorders>
              <w:top w:val="single" w:sz="8" w:color="auto"/>
              <w:bottom w:val="single" w:sz="8" w:color="E5FFFF"/>
            </w:tcBorders>
            <w:shd w:val="clear" w:color="auto" w:fill="E5FFFF"/>
          </w:tcPr>
          <w:p>
            <w:pPr>
              <w:spacing w:after="0"/>
              <w:rPr>
                <w:sz w:val="14"/>
                <w:szCs w:val="14"/>
                <w:color w:val="auto"/>
              </w:rPr>
            </w:pPr>
          </w:p>
        </w:tc>
        <w:tc>
          <w:tcPr>
            <w:tcW w:w="1060" w:type="dxa"/>
            <w:vAlign w:val="bottom"/>
            <w:tcBorders>
              <w:top w:val="single" w:sz="8" w:color="auto"/>
              <w:bottom w:val="single" w:sz="8" w:color="E5FFFF"/>
            </w:tcBorders>
            <w:shd w:val="clear" w:color="auto" w:fill="E5FFFF"/>
          </w:tcPr>
          <w:p>
            <w:pPr>
              <w:spacing w:after="0"/>
              <w:rPr>
                <w:sz w:val="14"/>
                <w:szCs w:val="14"/>
                <w:color w:val="auto"/>
              </w:rPr>
            </w:pPr>
          </w:p>
        </w:tc>
        <w:tc>
          <w:tcPr>
            <w:tcW w:w="360" w:type="dxa"/>
            <w:vAlign w:val="bottom"/>
            <w:tcBorders>
              <w:top w:val="single" w:sz="8" w:color="E5FFFF"/>
              <w:bottom w:val="single" w:sz="8" w:color="E5FFFF"/>
            </w:tcBorders>
            <w:shd w:val="clear" w:color="auto" w:fill="E5FFFF"/>
          </w:tcPr>
          <w:p>
            <w:pPr>
              <w:spacing w:after="0"/>
              <w:rPr>
                <w:sz w:val="14"/>
                <w:szCs w:val="14"/>
                <w:color w:val="auto"/>
              </w:rPr>
            </w:pPr>
          </w:p>
        </w:tc>
        <w:tc>
          <w:tcPr>
            <w:tcW w:w="520" w:type="dxa"/>
            <w:vAlign w:val="bottom"/>
            <w:tcBorders>
              <w:top w:val="single" w:sz="8" w:color="auto"/>
              <w:bottom w:val="single" w:sz="8" w:color="E5FFFF"/>
            </w:tcBorders>
            <w:shd w:val="clear" w:color="auto" w:fill="E5FFFF"/>
          </w:tcPr>
          <w:p>
            <w:pPr>
              <w:spacing w:after="0"/>
              <w:rPr>
                <w:sz w:val="14"/>
                <w:szCs w:val="14"/>
                <w:color w:val="auto"/>
              </w:rPr>
            </w:pPr>
          </w:p>
        </w:tc>
        <w:tc>
          <w:tcPr>
            <w:tcW w:w="840" w:type="dxa"/>
            <w:vAlign w:val="bottom"/>
            <w:tcBorders>
              <w:top w:val="single" w:sz="8" w:color="auto"/>
              <w:bottom w:val="single" w:sz="8" w:color="E5FFFF"/>
            </w:tcBorders>
            <w:shd w:val="clear" w:color="auto" w:fill="E5FFFF"/>
          </w:tcPr>
          <w:p>
            <w:pPr>
              <w:spacing w:after="0"/>
              <w:rPr>
                <w:sz w:val="14"/>
                <w:szCs w:val="14"/>
                <w:color w:val="auto"/>
              </w:rPr>
            </w:pPr>
          </w:p>
        </w:tc>
        <w:tc>
          <w:tcPr>
            <w:tcW w:w="340" w:type="dxa"/>
            <w:vAlign w:val="bottom"/>
            <w:tcBorders>
              <w:top w:val="single" w:sz="8" w:color="E5FFFF"/>
              <w:bottom w:val="single" w:sz="8" w:color="E5FFFF"/>
            </w:tcBorders>
            <w:shd w:val="clear" w:color="auto" w:fill="E5FFFF"/>
          </w:tcPr>
          <w:p>
            <w:pPr>
              <w:spacing w:after="0"/>
              <w:rPr>
                <w:sz w:val="14"/>
                <w:szCs w:val="14"/>
                <w:color w:val="auto"/>
              </w:rPr>
            </w:pPr>
          </w:p>
        </w:tc>
        <w:tc>
          <w:tcPr>
            <w:tcW w:w="300" w:type="dxa"/>
            <w:vAlign w:val="bottom"/>
            <w:tcBorders>
              <w:top w:val="single" w:sz="8" w:color="auto"/>
              <w:bottom w:val="single" w:sz="8" w:color="E5FFFF"/>
            </w:tcBorders>
            <w:shd w:val="clear" w:color="auto" w:fill="E5FFFF"/>
          </w:tcPr>
          <w:p>
            <w:pPr>
              <w:spacing w:after="0"/>
              <w:rPr>
                <w:sz w:val="14"/>
                <w:szCs w:val="14"/>
                <w:color w:val="auto"/>
              </w:rPr>
            </w:pPr>
          </w:p>
        </w:tc>
        <w:tc>
          <w:tcPr>
            <w:tcW w:w="1060" w:type="dxa"/>
            <w:vAlign w:val="bottom"/>
            <w:tcBorders>
              <w:top w:val="single" w:sz="8" w:color="auto"/>
              <w:bottom w:val="single" w:sz="8" w:color="E5FFFF"/>
            </w:tcBorders>
            <w:shd w:val="clear" w:color="auto" w:fill="E5FFFF"/>
          </w:tcPr>
          <w:p>
            <w:pPr>
              <w:spacing w:after="0"/>
              <w:rPr>
                <w:sz w:val="14"/>
                <w:szCs w:val="14"/>
                <w:color w:val="auto"/>
              </w:rPr>
            </w:pPr>
          </w:p>
        </w:tc>
        <w:tc>
          <w:tcPr>
            <w:tcW w:w="320" w:type="dxa"/>
            <w:vAlign w:val="bottom"/>
            <w:tcBorders>
              <w:top w:val="single" w:sz="8" w:color="E5FFFF"/>
              <w:bottom w:val="single" w:sz="8" w:color="E5FFFF"/>
            </w:tcBorders>
            <w:shd w:val="clear" w:color="auto" w:fill="E5FFFF"/>
          </w:tcPr>
          <w:p>
            <w:pPr>
              <w:spacing w:after="0"/>
              <w:rPr>
                <w:sz w:val="14"/>
                <w:szCs w:val="14"/>
                <w:color w:val="auto"/>
              </w:rPr>
            </w:pPr>
          </w:p>
        </w:tc>
        <w:tc>
          <w:tcPr>
            <w:tcW w:w="520" w:type="dxa"/>
            <w:vAlign w:val="bottom"/>
            <w:tcBorders>
              <w:top w:val="single" w:sz="8" w:color="auto"/>
              <w:bottom w:val="single" w:sz="8" w:color="E5FFFF"/>
            </w:tcBorders>
            <w:shd w:val="clear" w:color="auto" w:fill="E5FFFF"/>
          </w:tcPr>
          <w:p>
            <w:pPr>
              <w:spacing w:after="0"/>
              <w:rPr>
                <w:sz w:val="14"/>
                <w:szCs w:val="14"/>
                <w:color w:val="auto"/>
              </w:rPr>
            </w:pPr>
          </w:p>
        </w:tc>
        <w:tc>
          <w:tcPr>
            <w:tcW w:w="840" w:type="dxa"/>
            <w:vAlign w:val="bottom"/>
            <w:tcBorders>
              <w:top w:val="single" w:sz="8" w:color="auto"/>
              <w:bottom w:val="single" w:sz="8" w:color="E5FFFF"/>
            </w:tcBorders>
            <w:shd w:val="clear" w:color="auto" w:fill="E5FF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891</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780</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2,702</w:t>
            </w:r>
          </w:p>
        </w:tc>
        <w:tc>
          <w:tcPr>
            <w:tcW w:w="32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2,395</w:t>
            </w: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430</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421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1,273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1,189</w:t>
            </w: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560</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1,676</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1,599</w:t>
            </w: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262</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213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760</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Corporate</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8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2,090</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1,895</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6,230</w:t>
            </w:r>
          </w:p>
        </w:tc>
        <w:tc>
          <w:tcPr>
            <w:tcW w:w="32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5,594</w:t>
            </w:r>
          </w:p>
        </w:tc>
      </w:tr>
      <w:tr>
        <w:trPr>
          <w:trHeight w:val="196"/>
        </w:trPr>
        <w:tc>
          <w:tcPr>
            <w:tcW w:w="4100" w:type="dxa"/>
            <w:vAlign w:val="bottom"/>
            <w:gridSpan w:val="4"/>
          </w:tcPr>
          <w:p>
            <w:pPr>
              <w:spacing w:after="0" w:line="196" w:lineRule="exact"/>
              <w:rPr>
                <w:sz w:val="20"/>
                <w:szCs w:val="20"/>
                <w:color w:val="auto"/>
              </w:rPr>
            </w:pPr>
            <w:r>
              <w:rPr>
                <w:rFonts w:ascii="Arial" w:cs="Arial" w:eastAsia="Arial" w:hAnsi="Arial"/>
                <w:sz w:val="18"/>
                <w:szCs w:val="18"/>
                <w:color w:val="auto"/>
              </w:rPr>
              <w:t>Interest and other financial charges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(277)</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(235)</w:t>
            </w: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8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2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546</w:t>
            </w: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income</w:t>
            </w:r>
            <w:r>
              <w:rPr>
                <w:rFonts w:ascii="Arial" w:cs="Arial" w:eastAsia="Arial" w:hAnsi="Arial"/>
                <w:sz w:val="28"/>
                <w:szCs w:val="28"/>
                <w:color w:val="auto"/>
                <w:vertAlign w:val="superscript"/>
              </w:rPr>
              <w:t>(b)</w:t>
            </w:r>
          </w:p>
        </w:tc>
        <w:tc>
          <w:tcPr>
            <w:tcW w:w="8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12</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24</w:t>
            </w:r>
          </w:p>
        </w:tc>
        <w:tc>
          <w:tcPr>
            <w:tcW w:w="3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2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Repositioning and other charges</w:t>
            </w:r>
            <w:r>
              <w:rPr>
                <w:rFonts w:ascii="Arial" w:cs="Arial" w:eastAsia="Arial" w:hAnsi="Arial"/>
                <w:sz w:val="28"/>
                <w:szCs w:val="28"/>
                <w:color w:val="auto"/>
                <w:vertAlign w:val="superscript"/>
              </w:rPr>
              <w:t>(c)</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57"/>
        </w:trPr>
        <w:tc>
          <w:tcPr>
            <w:tcW w:w="20" w:type="dxa"/>
            <w:vAlign w:val="bottom"/>
          </w:tcPr>
          <w:p>
            <w:pPr>
              <w:spacing w:after="0"/>
              <w:rPr>
                <w:sz w:val="22"/>
                <w:szCs w:val="22"/>
                <w:color w:val="auto"/>
              </w:rPr>
            </w:pPr>
          </w:p>
        </w:tc>
        <w:tc>
          <w:tcPr>
            <w:tcW w:w="408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(d)</w:t>
            </w:r>
          </w:p>
        </w:tc>
        <w:tc>
          <w:tcPr>
            <w:tcW w:w="840" w:type="dxa"/>
            <w:vAlign w:val="bottom"/>
            <w:shd w:val="clear" w:color="auto" w:fill="E5FFFF"/>
          </w:tcPr>
          <w:p>
            <w:pPr>
              <w:spacing w:after="0"/>
              <w:rPr>
                <w:sz w:val="22"/>
                <w:szCs w:val="22"/>
                <w:color w:val="auto"/>
              </w:rPr>
            </w:pPr>
          </w:p>
        </w:tc>
        <w:tc>
          <w:tcPr>
            <w:tcW w:w="32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E5FFFF"/>
          </w:tcPr>
          <w:p>
            <w:pPr>
              <w:spacing w:after="0"/>
              <w:rPr>
                <w:sz w:val="22"/>
                <w:szCs w:val="22"/>
                <w:color w:val="auto"/>
              </w:rPr>
            </w:pPr>
          </w:p>
        </w:tc>
        <w:tc>
          <w:tcPr>
            <w:tcW w:w="520" w:type="dxa"/>
            <w:vAlign w:val="bottom"/>
            <w:tcBorders>
              <w:bottom w:val="single" w:sz="8" w:color="auto"/>
            </w:tcBorders>
            <w:shd w:val="clear" w:color="auto" w:fill="E5FFFF"/>
          </w:tcPr>
          <w:p>
            <w:pPr>
              <w:spacing w:after="0"/>
              <w:rPr>
                <w:sz w:val="22"/>
                <w:szCs w:val="22"/>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49</w:t>
            </w:r>
          </w:p>
        </w:tc>
        <w:tc>
          <w:tcPr>
            <w:tcW w:w="34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E5FFFF"/>
          </w:tcPr>
          <w:p>
            <w:pPr>
              <w:spacing w:after="0"/>
              <w:rPr>
                <w:sz w:val="22"/>
                <w:szCs w:val="22"/>
                <w:color w:val="auto"/>
              </w:rPr>
            </w:pPr>
          </w:p>
        </w:tc>
        <w:tc>
          <w:tcPr>
            <w:tcW w:w="520" w:type="dxa"/>
            <w:vAlign w:val="bottom"/>
            <w:tcBorders>
              <w:bottom w:val="single" w:sz="8" w:color="auto"/>
            </w:tcBorders>
            <w:shd w:val="clear" w:color="auto" w:fill="E5FFFF"/>
          </w:tcPr>
          <w:p>
            <w:pPr>
              <w:spacing w:after="0"/>
              <w:rPr>
                <w:sz w:val="22"/>
                <w:szCs w:val="22"/>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81</w:t>
            </w:r>
          </w:p>
        </w:tc>
      </w:tr>
      <w:tr>
        <w:trPr>
          <w:trHeight w:val="210"/>
        </w:trPr>
        <w:tc>
          <w:tcPr>
            <w:tcW w:w="20" w:type="dxa"/>
            <w:vAlign w:val="bottom"/>
          </w:tcPr>
          <w:p>
            <w:pPr>
              <w:spacing w:after="0"/>
              <w:rPr>
                <w:sz w:val="18"/>
                <w:szCs w:val="18"/>
                <w:color w:val="auto"/>
              </w:rPr>
            </w:pPr>
          </w:p>
        </w:tc>
        <w:tc>
          <w:tcPr>
            <w:tcW w:w="4080" w:type="dxa"/>
            <w:vAlign w:val="bottom"/>
            <w:gridSpan w:val="3"/>
          </w:tcPr>
          <w:p>
            <w:pPr>
              <w:spacing w:after="0" w:line="197" w:lineRule="exact"/>
              <w:rPr>
                <w:sz w:val="20"/>
                <w:szCs w:val="20"/>
                <w:color w:val="auto"/>
              </w:rPr>
            </w:pPr>
            <w:r>
              <w:rPr>
                <w:rFonts w:ascii="Arial" w:cs="Arial" w:eastAsia="Arial" w:hAnsi="Arial"/>
                <w:sz w:val="18"/>
                <w:szCs w:val="18"/>
                <w:color w:val="auto"/>
              </w:rPr>
              <w:t>Income before taxes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1,858</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1,778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5,767</w:t>
            </w:r>
          </w:p>
        </w:tc>
        <w:tc>
          <w:tcPr>
            <w:tcW w:w="3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5,283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ind w:right="680" w:firstLine="8"/>
        <w:spacing w:after="0" w:line="234"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costs) and Other income/expense (non-service cost components).</w:t>
      </w:r>
    </w:p>
    <w:p>
      <w:pPr>
        <w:spacing w:after="0" w:line="1" w:lineRule="exact"/>
        <w:rPr>
          <w:rFonts w:ascii="Arial" w:cs="Arial" w:eastAsia="Arial" w:hAnsi="Arial"/>
          <w:sz w:val="18"/>
          <w:szCs w:val="18"/>
          <w:color w:val="auto"/>
        </w:rPr>
      </w:pPr>
    </w:p>
    <w:p>
      <w:pPr>
        <w:ind w:left="260" w:hanging="252"/>
        <w:spacing w:after="0" w:line="234"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income/expense.</w:t>
      </w:r>
    </w:p>
    <w:p>
      <w:pPr>
        <w:ind w:right="860" w:firstLine="8"/>
        <w:spacing w:after="0" w:line="246"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income/expense not included within other categories in this reconciliation. Equity income/loss of affiliated companies is included in segment profit.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U.S. Plans</w:t>
            </w: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6"/>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0" w:type="dxa"/>
            <w:vAlign w:val="bottom"/>
            <w:gridSpan w:val="4"/>
          </w:tcPr>
          <w:p>
            <w:pPr>
              <w:jc w:val="center"/>
              <w:ind w:left="419"/>
              <w:spacing w:after="0" w:line="156"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3"/>
          </w:tcPr>
          <w:p>
            <w:pPr>
              <w:jc w:val="center"/>
              <w:ind w:left="337"/>
              <w:spacing w:after="0" w:line="156" w:lineRule="exact"/>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3"/>
                <w:szCs w:val="13"/>
                <w:color w:val="auto"/>
              </w:rPr>
            </w:pPr>
          </w:p>
        </w:tc>
      </w:tr>
      <w:tr>
        <w:trPr>
          <w:trHeight w:val="175"/>
        </w:trPr>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33"/>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39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0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35</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43</w:t>
            </w:r>
          </w:p>
        </w:tc>
        <w:tc>
          <w:tcPr>
            <w:tcW w:w="3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105</w:t>
            </w:r>
          </w:p>
        </w:tc>
        <w:tc>
          <w:tcPr>
            <w:tcW w:w="32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129</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143</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430</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440</w:t>
            </w:r>
          </w:p>
        </w:tc>
      </w:tr>
      <w:tr>
        <w:trPr>
          <w:trHeight w:val="203"/>
        </w:trPr>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(357)</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(316)</w:t>
            </w:r>
          </w:p>
        </w:tc>
        <w:tc>
          <w:tcPr>
            <w:tcW w:w="3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(1,071)</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(946)</w:t>
            </w:r>
          </w:p>
        </w:tc>
      </w:tr>
      <w:tr>
        <w:trPr>
          <w:trHeight w:val="216"/>
        </w:trPr>
        <w:tc>
          <w:tcPr>
            <w:tcW w:w="3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w:t>
            </w:r>
          </w:p>
        </w:tc>
        <w:tc>
          <w:tcPr>
            <w:tcW w:w="104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390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699"/>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(190)</w:t>
            </w:r>
          </w:p>
        </w:tc>
        <w:tc>
          <w:tcPr>
            <w:tcW w:w="122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(569)</w:t>
            </w:r>
          </w:p>
        </w:tc>
        <w:tc>
          <w:tcPr>
            <w:tcW w:w="840" w:type="dxa"/>
            <w:vAlign w:val="bottom"/>
            <w:gridSpan w:val="2"/>
            <w:shd w:val="clear" w:color="auto" w:fill="E5FF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(409)</w:t>
            </w:r>
          </w:p>
        </w:tc>
      </w:tr>
      <w:tr>
        <w:trPr>
          <w:trHeight w:val="20"/>
        </w:trPr>
        <w:tc>
          <w:tcPr>
            <w:tcW w:w="390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Non-U.S. Plans</w:t>
            </w: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56"/>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0" w:type="dxa"/>
            <w:vAlign w:val="bottom"/>
            <w:gridSpan w:val="4"/>
          </w:tcPr>
          <w:p>
            <w:pPr>
              <w:jc w:val="center"/>
              <w:ind w:left="419"/>
              <w:spacing w:after="0" w:line="156"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3"/>
          </w:tcPr>
          <w:p>
            <w:pPr>
              <w:jc w:val="center"/>
              <w:ind w:left="337"/>
              <w:spacing w:after="0" w:line="156" w:lineRule="exact"/>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3"/>
                <w:szCs w:val="13"/>
                <w:color w:val="auto"/>
              </w:rPr>
            </w:pPr>
          </w:p>
        </w:tc>
      </w:tr>
      <w:tr>
        <w:trPr>
          <w:trHeight w:val="175"/>
        </w:trPr>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33"/>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39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0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10</w:t>
            </w:r>
          </w:p>
        </w:tc>
        <w:tc>
          <w:tcPr>
            <w:tcW w:w="3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20</w:t>
            </w:r>
          </w:p>
        </w:tc>
        <w:tc>
          <w:tcPr>
            <w:tcW w:w="32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29</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109</w:t>
            </w:r>
          </w:p>
        </w:tc>
      </w:tr>
      <w:tr>
        <w:trPr>
          <w:trHeight w:val="203"/>
        </w:trPr>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(108)</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(104)</w:t>
            </w:r>
          </w:p>
        </w:tc>
        <w:tc>
          <w:tcPr>
            <w:tcW w:w="3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(336)</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(305)</w:t>
            </w:r>
          </w:p>
        </w:tc>
      </w:tr>
      <w:tr>
        <w:trPr>
          <w:trHeight w:val="216"/>
        </w:trPr>
        <w:tc>
          <w:tcPr>
            <w:tcW w:w="3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w:t>
            </w:r>
          </w:p>
        </w:tc>
        <w:tc>
          <w:tcPr>
            <w:tcW w:w="104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390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699"/>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(67)</w:t>
            </w:r>
          </w:p>
        </w:tc>
        <w:tc>
          <w:tcPr>
            <w:tcW w:w="122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w:t>
            </w:r>
          </w:p>
        </w:tc>
        <w:tc>
          <w:tcPr>
            <w:tcW w:w="76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(209)</w:t>
            </w:r>
          </w:p>
        </w:tc>
        <w:tc>
          <w:tcPr>
            <w:tcW w:w="840" w:type="dxa"/>
            <w:vAlign w:val="bottom"/>
            <w:gridSpan w:val="2"/>
            <w:shd w:val="clear" w:color="auto" w:fill="E5FF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390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first quarter of 2018, the asset mix of our U.S. Qualified Pension Plan (the “Plan”) was changed. Fixed income assets were increased to approximately 50% of the Plan’s total assets and matched with the liability profile of the Plan. The Plan’s remaining assets are comprised of return-seeking assets including equity securities, private equity investments and real estate investments. We review our asset allocations on a regular basis in order to achieve our long-term investment objectives on a risk adjusted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02" w:lineRule="exact"/>
        <w:rPr>
          <w:sz w:val="20"/>
          <w:szCs w:val="20"/>
          <w:color w:val="auto"/>
        </w:rPr>
      </w:pPr>
    </w:p>
    <w:p>
      <w:pPr>
        <w:ind w:right="160" w:firstLine="648"/>
        <w:spacing w:after="0" w:line="267" w:lineRule="auto"/>
        <w:rPr>
          <w:sz w:val="20"/>
          <w:szCs w:val="20"/>
          <w:color w:val="auto"/>
        </w:rPr>
      </w:pPr>
      <w:r>
        <w:rPr>
          <w:rFonts w:ascii="Arial" w:cs="Arial" w:eastAsia="Arial" w:hAnsi="Arial"/>
          <w:sz w:val="18"/>
          <w:szCs w:val="18"/>
          <w:color w:val="auto"/>
        </w:rPr>
        <w:t xml:space="preserve">Our environmental matters are described in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2017 Annual Report on Form 10-K.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9420" w:type="dxa"/>
            <w:vAlign w:val="bottom"/>
          </w:tcPr>
          <w:p>
            <w:pPr>
              <w:ind w:left="64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December 31, 2017</w:t>
            </w:r>
          </w:p>
        </w:tc>
        <w:tc>
          <w:tcPr>
            <w:tcW w:w="1120" w:type="dxa"/>
            <w:vAlign w:val="bottom"/>
            <w:gridSpan w:val="2"/>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20" w:type="dxa"/>
            <w:vAlign w:val="bottom"/>
          </w:tcPr>
          <w:p>
            <w:pPr>
              <w:ind w:left="160"/>
              <w:spacing w:after="0" w:line="202" w:lineRule="exact"/>
              <w:rPr>
                <w:sz w:val="20"/>
                <w:szCs w:val="20"/>
                <w:color w:val="auto"/>
              </w:rPr>
            </w:pPr>
            <w:r>
              <w:rPr>
                <w:rFonts w:ascii="Arial" w:cs="Arial" w:eastAsia="Arial" w:hAnsi="Arial"/>
                <w:sz w:val="18"/>
                <w:szCs w:val="18"/>
                <w:color w:val="auto"/>
              </w:rPr>
              <w:t>Accruals for environmental matters deemed probable and reasonably estimable</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Environmental liability payments</w:t>
            </w:r>
          </w:p>
        </w:tc>
        <w:tc>
          <w:tcPr>
            <w:tcW w:w="6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September 30, 2018</w:t>
            </w:r>
          </w:p>
        </w:tc>
        <w:tc>
          <w:tcPr>
            <w:tcW w:w="620" w:type="dxa"/>
            <w:vAlign w:val="bottom"/>
            <w:tcBorders>
              <w:bottom w:val="single" w:sz="8" w:color="E5FFFF"/>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jc w:val="right"/>
              <w:ind w:right="353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17"/>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80" w:type="dxa"/>
            <w:vAlign w:val="bottom"/>
            <w:tcBorders>
              <w:bottom w:val="single" w:sz="8" w:color="E5FFFF"/>
            </w:tcBorders>
          </w:tcPr>
          <w:p>
            <w:pPr>
              <w:spacing w:after="0"/>
              <w:rPr>
                <w:sz w:val="15"/>
                <w:szCs w:val="15"/>
                <w:color w:val="auto"/>
              </w:rPr>
            </w:pPr>
          </w:p>
        </w:tc>
        <w:tc>
          <w:tcPr>
            <w:tcW w:w="348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r>
      <w:tr>
        <w:trPr>
          <w:trHeight w:val="196"/>
        </w:trPr>
        <w:tc>
          <w:tcPr>
            <w:tcW w:w="48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34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201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226</w:t>
            </w:r>
          </w:p>
        </w:tc>
      </w:tr>
      <w:tr>
        <w:trPr>
          <w:trHeight w:val="216"/>
        </w:trPr>
        <w:tc>
          <w:tcPr>
            <w:tcW w:w="48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348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590</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369</w:t>
            </w:r>
          </w:p>
        </w:tc>
      </w:tr>
      <w:tr>
        <w:trPr>
          <w:trHeight w:val="210"/>
        </w:trPr>
        <w:tc>
          <w:tcPr>
            <w:tcW w:w="4880" w:type="dxa"/>
            <w:vAlign w:val="bottom"/>
            <w:shd w:val="clear" w:color="auto" w:fill="E5FFFF"/>
          </w:tcPr>
          <w:p>
            <w:pPr>
              <w:spacing w:after="0"/>
              <w:rPr>
                <w:sz w:val="18"/>
                <w:szCs w:val="18"/>
                <w:color w:val="auto"/>
              </w:rPr>
            </w:pPr>
          </w:p>
        </w:tc>
        <w:tc>
          <w:tcPr>
            <w:tcW w:w="36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7"/>
              <w:spacing w:after="0"/>
              <w:rPr>
                <w:sz w:val="20"/>
                <w:szCs w:val="20"/>
                <w:color w:val="auto"/>
              </w:rPr>
            </w:pPr>
            <w:r>
              <w:rPr>
                <w:rFonts w:ascii="Arial" w:cs="Arial" w:eastAsia="Arial" w:hAnsi="Arial"/>
                <w:sz w:val="18"/>
                <w:szCs w:val="18"/>
                <w:color w:val="auto"/>
              </w:rPr>
              <w:t>791</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595</w:t>
            </w:r>
          </w:p>
        </w:tc>
      </w:tr>
      <w:tr>
        <w:trPr>
          <w:trHeight w:val="20"/>
        </w:trPr>
        <w:tc>
          <w:tcPr>
            <w:tcW w:w="4880" w:type="dxa"/>
            <w:vAlign w:val="bottom"/>
            <w:tcBorders>
              <w:top w:val="single" w:sz="8" w:color="E5FFFF"/>
            </w:tcBorders>
          </w:tcPr>
          <w:p>
            <w:pPr>
              <w:spacing w:after="0" w:line="20" w:lineRule="exact"/>
              <w:rPr>
                <w:sz w:val="1"/>
                <w:szCs w:val="1"/>
                <w:color w:val="auto"/>
              </w:rPr>
            </w:pPr>
          </w:p>
        </w:tc>
        <w:tc>
          <w:tcPr>
            <w:tcW w:w="34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is a defendant in asbestos related personal injury actions related to North American Refractories Company (“NARCO”), which was sold in 1986, and Bendix Friction Materials (“Bendix”) business, which was sold in 2014.</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third quarter of 2018, the Company revised its accounting to correct the time period associated with the determination of appropriate accruals for the legacy Bendix asbestos-related liability for unasserted claims. The prior accounting treatment applied a five-year time horizon; the revised treatment reflects the full term of epidemiological projections through 2059. Previously issued financial statements have been revised for this correction with the following effects: The Company’s revised estimated asbestos-related liabilities are now $2,610 million as of December 31, 2017, which is $1,087 million higher than the Company’s prior estimate. The Company’s Insurance recoveries for asbestos-related liabilities are estimated to be $503 million as of December 31, 2017, which is $68 million higher than the Company’s prior estimate. As of December 31, 2017, the net deferred income taxes impact was $245 million, with a decrease to liabilities and increase to assets, and the cumulative impact on Retained earnings was a decrease of $ 774 million. For the three and nine months ended September 30, 2017, Cost of services sold increased $5 million and $2 million, Tax expense decreased $2 million and $0 million, and Net income decreased $3 million and $2 million.</w:t>
      </w:r>
    </w:p>
    <w:p>
      <w:pPr>
        <w:spacing w:after="0" w:line="19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This revision followed the Securities and Exchange Commission (SEC) Division of Corporation Finance review of our Annual Report on Form 10-K for 2017, which included review of our prior accounting for liability for unasserted Bendix-related asbestos claims. On September 13, 2018, following completion of Corporation Finance’s review, the SEC Division of Enforcement advised that it has opened an investigation related to this matter. Honeywell intends to provide requested information and otherwise fully cooperate with the SEC staff.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Asbestos Related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373"/>
              <w:spacing w:after="0"/>
              <w:rPr>
                <w:sz w:val="20"/>
                <w:szCs w:val="20"/>
                <w:color w:val="auto"/>
              </w:rPr>
            </w:pPr>
            <w:r>
              <w:rPr>
                <w:rFonts w:ascii="Arial" w:cs="Arial" w:eastAsia="Arial" w:hAnsi="Arial"/>
                <w:sz w:val="14"/>
                <w:szCs w:val="14"/>
                <w:b w:val="1"/>
                <w:bCs w:val="1"/>
                <w:color w:val="auto"/>
              </w:rPr>
              <w:t>Bendix</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NARCO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64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2017</w:t>
            </w: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5FFFF"/>
          </w:tcPr>
          <w:p>
            <w:pPr>
              <w:jc w:val="right"/>
              <w:ind w:right="53"/>
              <w:spacing w:after="0" w:line="196" w:lineRule="exact"/>
              <w:rPr>
                <w:sz w:val="20"/>
                <w:szCs w:val="20"/>
                <w:color w:val="auto"/>
              </w:rPr>
            </w:pPr>
            <w:r>
              <w:rPr>
                <w:rFonts w:ascii="Arial" w:cs="Arial" w:eastAsia="Arial" w:hAnsi="Arial"/>
                <w:sz w:val="18"/>
                <w:szCs w:val="18"/>
                <w:color w:val="auto"/>
              </w:rPr>
              <w:t>1,703</w:t>
            </w:r>
          </w:p>
        </w:tc>
        <w:tc>
          <w:tcPr>
            <w:tcW w:w="3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907</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3"/>
        </w:trPr>
        <w:tc>
          <w:tcPr>
            <w:tcW w:w="6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24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Asbestos related liability payments</w:t>
            </w:r>
          </w:p>
        </w:tc>
        <w:tc>
          <w:tcPr>
            <w:tcW w:w="24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6640" w:type="dxa"/>
            <w:vAlign w:val="bottom"/>
            <w:gridSpan w:val="2"/>
          </w:tcPr>
          <w:p>
            <w:pPr>
              <w:spacing w:after="0" w:line="197" w:lineRule="exact"/>
              <w:rPr>
                <w:sz w:val="20"/>
                <w:szCs w:val="20"/>
                <w:color w:val="auto"/>
              </w:rPr>
            </w:pPr>
            <w:r>
              <w:rPr>
                <w:rFonts w:ascii="Arial" w:cs="Arial" w:eastAsia="Arial" w:hAnsi="Arial"/>
                <w:sz w:val="18"/>
                <w:szCs w:val="18"/>
                <w:color w:val="auto"/>
              </w:rPr>
              <w:t>September 30, 2018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1,693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Insurance Recoveries for Asbestos Related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Bendix</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NARCO</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600" w:type="dxa"/>
            <w:vAlign w:val="bottom"/>
            <w:tcBorders>
              <w:top w:val="single" w:sz="8" w:color="auto"/>
            </w:tcBorders>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2017</w:t>
            </w: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5FFFF"/>
          </w:tcPr>
          <w:p>
            <w:pPr>
              <w:jc w:val="right"/>
              <w:ind w:right="53"/>
              <w:spacing w:after="0" w:line="196" w:lineRule="exact"/>
              <w:rPr>
                <w:sz w:val="20"/>
                <w:szCs w:val="20"/>
                <w:color w:val="auto"/>
              </w:rPr>
            </w:pPr>
            <w:r>
              <w:rPr>
                <w:rFonts w:ascii="Arial" w:cs="Arial" w:eastAsia="Arial" w:hAnsi="Arial"/>
                <w:sz w:val="18"/>
                <w:szCs w:val="18"/>
                <w:color w:val="auto"/>
              </w:rPr>
              <w:t>191</w:t>
            </w:r>
          </w:p>
        </w:tc>
        <w:tc>
          <w:tcPr>
            <w:tcW w:w="3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312</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3"/>
        </w:trPr>
        <w:tc>
          <w:tcPr>
            <w:tcW w:w="6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24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66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Insurance receipts for asbestos related liabilities</w:t>
            </w: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E5FFFF"/>
            </w:tcBorders>
            <w:gridSpan w:val="2"/>
          </w:tcPr>
          <w:p>
            <w:pPr>
              <w:ind w:left="180"/>
              <w:spacing w:after="0"/>
              <w:rPr>
                <w:sz w:val="20"/>
                <w:szCs w:val="20"/>
                <w:color w:val="auto"/>
              </w:rPr>
            </w:pPr>
            <w:r>
              <w:rPr>
                <w:rFonts w:ascii="Arial" w:cs="Arial" w:eastAsia="Arial" w:hAnsi="Arial"/>
                <w:sz w:val="18"/>
                <w:szCs w:val="18"/>
                <w:color w:val="auto"/>
              </w:rPr>
              <w:t>Insurance receivables settlements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E5FFFF"/>
          </w:tcPr>
          <w:p>
            <w:pPr>
              <w:spacing w:after="0" w:line="197" w:lineRule="exact"/>
              <w:rPr>
                <w:sz w:val="20"/>
                <w:szCs w:val="20"/>
                <w:color w:val="auto"/>
              </w:rPr>
            </w:pPr>
            <w:r>
              <w:rPr>
                <w:rFonts w:ascii="Arial" w:cs="Arial" w:eastAsia="Arial" w:hAnsi="Arial"/>
                <w:sz w:val="18"/>
                <w:szCs w:val="18"/>
                <w:color w:val="auto"/>
              </w:rPr>
              <w:t>September 30, 2018</w:t>
            </w: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311</w:t>
            </w:r>
          </w:p>
        </w:tc>
        <w:tc>
          <w:tcPr>
            <w:tcW w:w="32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4600" w:type="dxa"/>
            <w:vAlign w:val="bottom"/>
            <w:tcBorders>
              <w:top w:val="single" w:sz="8" w:color="E5FFFF"/>
            </w:tcBorders>
          </w:tcPr>
          <w:p>
            <w:pPr>
              <w:spacing w:after="0" w:line="20" w:lineRule="exact"/>
              <w:rPr>
                <w:sz w:val="1"/>
                <w:szCs w:val="1"/>
                <w:color w:val="auto"/>
              </w:rPr>
            </w:pPr>
          </w:p>
        </w:tc>
        <w:tc>
          <w:tcPr>
            <w:tcW w:w="2040" w:type="dxa"/>
            <w:vAlign w:val="bottom"/>
            <w:tcBorders>
              <w:top w:val="single" w:sz="8" w:color="E5FF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4"/>
          </w:tcPr>
          <w:p>
            <w:pPr>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ind w:right="5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600" w:type="dxa"/>
            <w:vAlign w:val="bottom"/>
            <w:tcBorders>
              <w:bottom w:val="single" w:sz="8" w:color="E5FFFF"/>
            </w:tcBorders>
          </w:tcPr>
          <w:p>
            <w:pPr>
              <w:spacing w:after="0"/>
              <w:rPr>
                <w:sz w:val="16"/>
                <w:szCs w:val="16"/>
                <w:color w:val="auto"/>
              </w:rPr>
            </w:pPr>
          </w:p>
        </w:tc>
        <w:tc>
          <w:tcPr>
            <w:tcW w:w="2040" w:type="dxa"/>
            <w:vAlign w:val="bottom"/>
            <w:tcBorders>
              <w:bottom w:val="single" w:sz="8" w:color="E5FFFF"/>
            </w:tcBorders>
          </w:tcPr>
          <w:p>
            <w:pPr>
              <w:spacing w:after="0"/>
              <w:rPr>
                <w:sz w:val="16"/>
                <w:szCs w:val="16"/>
                <w:color w:val="auto"/>
              </w:rPr>
            </w:pPr>
          </w:p>
        </w:tc>
        <w:tc>
          <w:tcPr>
            <w:tcW w:w="240" w:type="dxa"/>
            <w:vAlign w:val="bottom"/>
            <w:tcBorders>
              <w:bottom w:val="single" w:sz="8" w:color="E5FFFF"/>
            </w:tcBorders>
          </w:tcPr>
          <w:p>
            <w:pPr>
              <w:spacing w:after="0"/>
              <w:rPr>
                <w:sz w:val="16"/>
                <w:szCs w:val="16"/>
                <w:color w:val="auto"/>
              </w:rPr>
            </w:pPr>
          </w:p>
        </w:tc>
        <w:tc>
          <w:tcPr>
            <w:tcW w:w="1160" w:type="dxa"/>
            <w:vAlign w:val="bottom"/>
            <w:tcBorders>
              <w:bottom w:val="single" w:sz="8" w:color="E5FFFF"/>
            </w:tcBorders>
          </w:tcPr>
          <w:p>
            <w:pPr>
              <w:spacing w:after="0"/>
              <w:rPr>
                <w:sz w:val="16"/>
                <w:szCs w:val="16"/>
                <w:color w:val="auto"/>
              </w:rPr>
            </w:pPr>
          </w:p>
        </w:tc>
        <w:tc>
          <w:tcPr>
            <w:tcW w:w="340" w:type="dxa"/>
            <w:vAlign w:val="bottom"/>
            <w:tcBorders>
              <w:bottom w:val="single" w:sz="8" w:color="E5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6"/>
                <w:szCs w:val="16"/>
                <w:color w:val="auto"/>
              </w:rPr>
            </w:pPr>
          </w:p>
        </w:tc>
        <w:tc>
          <w:tcPr>
            <w:tcW w:w="20" w:type="dxa"/>
            <w:vAlign w:val="bottom"/>
            <w:tcBorders>
              <w:bottom w:val="single" w:sz="8" w:color="E5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64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40" w:type="dxa"/>
            <w:vAlign w:val="bottom"/>
            <w:tcBorders>
              <w:bottom w:val="single" w:sz="8" w:color="E5FFFF"/>
            </w:tcBorders>
          </w:tcPr>
          <w:p>
            <w:pPr>
              <w:spacing w:after="0"/>
              <w:rPr>
                <w:sz w:val="18"/>
                <w:szCs w:val="18"/>
                <w:color w:val="auto"/>
              </w:rPr>
            </w:pPr>
          </w:p>
        </w:tc>
        <w:tc>
          <w:tcPr>
            <w:tcW w:w="116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465</w:t>
            </w:r>
          </w:p>
        </w:tc>
        <w:tc>
          <w:tcPr>
            <w:tcW w:w="3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0"/>
        </w:trPr>
        <w:tc>
          <w:tcPr>
            <w:tcW w:w="4600" w:type="dxa"/>
            <w:vAlign w:val="bottom"/>
            <w:shd w:val="clear" w:color="auto" w:fill="E5FFFF"/>
          </w:tcPr>
          <w:p>
            <w:pPr>
              <w:spacing w:after="0"/>
              <w:rPr>
                <w:sz w:val="18"/>
                <w:szCs w:val="18"/>
                <w:color w:val="auto"/>
              </w:rPr>
            </w:pPr>
          </w:p>
        </w:tc>
        <w:tc>
          <w:tcPr>
            <w:tcW w:w="20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489</w:t>
            </w:r>
          </w:p>
        </w:tc>
        <w:tc>
          <w:tcPr>
            <w:tcW w:w="32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4600" w:type="dxa"/>
            <w:vAlign w:val="bottom"/>
            <w:tcBorders>
              <w:top w:val="single" w:sz="8" w:color="E5FFFF"/>
            </w:tcBorders>
          </w:tcPr>
          <w:p>
            <w:pPr>
              <w:spacing w:after="0" w:line="20" w:lineRule="exact"/>
              <w:rPr>
                <w:sz w:val="1"/>
                <w:szCs w:val="1"/>
                <w:color w:val="auto"/>
              </w:rPr>
            </w:pPr>
          </w:p>
        </w:tc>
        <w:tc>
          <w:tcPr>
            <w:tcW w:w="20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4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4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2,252</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2,601</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Honeywell’s predecessor, Allied Corporation owned NARCO from 1979 to 1986. When the NARCO business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188"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 (b) 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our preparation of the NARCO Trust Liability estimate, which was based on a commonly accepted methodology used by numerous bankruptcy courts addressing 524(g) trusts.</w:t>
      </w:r>
    </w:p>
    <w:p>
      <w:pPr>
        <w:spacing w:after="0" w:line="19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In 2002, when we first established our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19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$743 million to $961 million, and we believed that no amount within this range was a better estimate than any other amount. In accordance with ASC 450 – Contingencies (“ASC 450”), we recorded the low end of the range of $743 million which resulted in a reduction of $207 million in our NARCO Trust Liability.</w:t>
      </w:r>
    </w:p>
    <w:p>
      <w:pPr>
        <w:spacing w:after="0" w:line="192"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w:t>
      </w:r>
    </w:p>
    <w:p>
      <w:pPr>
        <w:spacing w:after="0" w:line="18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annual caps of $140 million in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7" w:name="page28"/>
    <w:bookmarkEnd w:id="27"/>
    <w:p>
      <w:pPr>
        <w:jc w:val="center"/>
        <w:ind w:right="-7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7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 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its right to seek judicial intervention should negotiations fail.</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NARCO Trust became effective in 2013, the $743 million NARCO Trust Liability was then comprised of:</w:t>
      </w:r>
    </w:p>
    <w:p>
      <w:pPr>
        <w:spacing w:after="0" w:line="194"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unasserted claims; and</w:t>
      </w: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claims asserted after the NARCO Trust became operational but not yet paid.</w:t>
      </w:r>
    </w:p>
    <w:p>
      <w:pPr>
        <w:spacing w:after="0" w:line="23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Although we know the number of claims filed with the NARCO Trust each year, we are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189"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Honeywell maintained the $743 million accrual for NARCO Trust Liability, as there has not been sufficiently reliable claims data history to enable us to update that liability.</w:t>
      </w:r>
    </w:p>
    <w:p>
      <w:pPr>
        <w:spacing w:after="0" w:line="18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As of September 30, 2018, our total NARCO asbestos liability of $908 million reflects Pre-bankruptcy NARCO liability of $165 million and NARCO Trust Liability of $743 million. Through September 30, 2018,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 obligations were paid in 2013 and no further liability is recorded.</w:t>
      </w:r>
    </w:p>
    <w:p>
      <w:pPr>
        <w:spacing w:after="0" w:line="19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As of September 30, 2018, Honeywell has not made any payments to the NARCO Trust for Annual Contribution Claims as any Annual Contribution Claims which have been paid since the Trust became operational have been funded by cash dividends from HWI.</w:t>
      </w:r>
    </w:p>
    <w:p>
      <w:pPr>
        <w:spacing w:after="0" w:line="183" w:lineRule="exact"/>
        <w:rPr>
          <w:sz w:val="20"/>
          <w:szCs w:val="20"/>
          <w:color w:val="auto"/>
        </w:rPr>
      </w:pPr>
    </w:p>
    <w:p>
      <w:pPr>
        <w:ind w:right="220" w:firstLine="648"/>
        <w:spacing w:after="0" w:line="236" w:lineRule="auto"/>
        <w:rPr>
          <w:sz w:val="20"/>
          <w:szCs w:val="20"/>
          <w:color w:val="auto"/>
        </w:rPr>
      </w:pPr>
      <w:r>
        <w:rPr>
          <w:rFonts w:ascii="Arial" w:cs="Arial" w:eastAsia="Arial" w:hAnsi="Arial"/>
          <w:sz w:val="18"/>
          <w:szCs w:val="18"/>
          <w:color w:val="auto"/>
        </w:rPr>
        <w:t>Honeywell continues to evaluate the appropriateness of the $743 million NARCO Trust Liability.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began operational. As a result, we have not been able to further update the NARCO Trust Liability. The $743 million NARCO Trust Liability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0"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Our insurance receivable of $311 million as of September 30, 2018,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—Bendix manufactured automotive brake linings that contained chrysotile asbestos in an encapsulated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Claimants consist largely of individuals who allege exposure to asbestos from brakes from either performing or being in the vicinity of individuals who performed brake replacements. The following tables present information regarding Bendix related asbestos claims activity: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Nine Months</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Ended</w:t>
            </w:r>
          </w:p>
        </w:tc>
        <w:tc>
          <w:tcPr>
            <w:tcW w:w="180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w w:val="97"/>
              </w:rPr>
              <w:t>Claims Activity</w:t>
            </w:r>
          </w:p>
        </w:tc>
        <w:tc>
          <w:tcPr>
            <w:tcW w:w="23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23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1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Claims unresolved at the beginning of period</w:t>
            </w:r>
          </w:p>
        </w:tc>
        <w:tc>
          <w:tcPr>
            <w:tcW w:w="1120" w:type="dxa"/>
            <w:vAlign w:val="bottom"/>
            <w:tcBorders>
              <w:top w:val="single" w:sz="8" w:color="auto"/>
            </w:tcBorders>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6,280</w:t>
            </w:r>
          </w:p>
        </w:tc>
        <w:tc>
          <w:tcPr>
            <w:tcW w:w="34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7,724</w:t>
            </w:r>
          </w:p>
        </w:tc>
        <w:tc>
          <w:tcPr>
            <w:tcW w:w="34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Claims filed</w:t>
            </w:r>
          </w:p>
        </w:tc>
        <w:tc>
          <w:tcPr>
            <w:tcW w:w="11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1,895</w:t>
            </w:r>
          </w:p>
        </w:tc>
        <w:tc>
          <w:tcPr>
            <w:tcW w:w="340" w:type="dxa"/>
            <w:vAlign w:val="bottom"/>
          </w:tcPr>
          <w:p>
            <w:pPr>
              <w:spacing w:after="0"/>
              <w:rPr>
                <w:sz w:val="17"/>
                <w:szCs w:val="17"/>
                <w:color w:val="auto"/>
              </w:rPr>
            </w:pPr>
          </w:p>
        </w:tc>
        <w:tc>
          <w:tcPr>
            <w:tcW w:w="11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2,645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Claims resolved</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(2,088)</w:t>
            </w:r>
          </w:p>
        </w:tc>
        <w:tc>
          <w:tcPr>
            <w:tcW w:w="34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(4,089)</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3"/>
          </w:tcPr>
          <w:p>
            <w:pPr>
              <w:spacing w:after="0" w:line="197" w:lineRule="exact"/>
              <w:rPr>
                <w:sz w:val="20"/>
                <w:szCs w:val="20"/>
                <w:color w:val="auto"/>
              </w:rPr>
            </w:pPr>
            <w:r>
              <w:rPr>
                <w:rFonts w:ascii="Arial" w:cs="Arial" w:eastAsia="Arial" w:hAnsi="Arial"/>
                <w:sz w:val="18"/>
                <w:szCs w:val="18"/>
                <w:color w:val="auto"/>
              </w:rPr>
              <w:t>Claims unresolved at the end of period</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6,087</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6,280</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Disease Distribution of Unresolved Claims</w:t>
            </w:r>
          </w:p>
        </w:tc>
        <w:tc>
          <w:tcPr>
            <w:tcW w:w="374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E5FFFF"/>
            </w:tcBorders>
          </w:tcPr>
          <w:p>
            <w:pPr>
              <w:spacing w:after="0"/>
              <w:rPr>
                <w:sz w:val="17"/>
                <w:szCs w:val="17"/>
                <w:color w:val="auto"/>
              </w:rPr>
            </w:pPr>
          </w:p>
        </w:tc>
        <w:tc>
          <w:tcPr>
            <w:tcW w:w="2340" w:type="dxa"/>
            <w:vAlign w:val="bottom"/>
            <w:tcBorders>
              <w:bottom w:val="single" w:sz="8" w:color="E5FFFF"/>
            </w:tcBorders>
          </w:tcPr>
          <w:p>
            <w:pPr>
              <w:spacing w:after="0"/>
              <w:rPr>
                <w:sz w:val="17"/>
                <w:szCs w:val="17"/>
                <w:color w:val="auto"/>
              </w:rPr>
            </w:pPr>
          </w:p>
        </w:tc>
        <w:tc>
          <w:tcPr>
            <w:tcW w:w="3740" w:type="dxa"/>
            <w:vAlign w:val="bottom"/>
            <w:tcBorders>
              <w:bottom w:val="single" w:sz="8" w:color="E5FF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7"/>
                <w:szCs w:val="17"/>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12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2,868</w:t>
            </w:r>
          </w:p>
        </w:tc>
        <w:tc>
          <w:tcPr>
            <w:tcW w:w="3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3,062</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Nonmalignant claims</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3,219</w:t>
            </w:r>
          </w:p>
        </w:tc>
        <w:tc>
          <w:tcPr>
            <w:tcW w:w="34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3,218</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E5FFFF"/>
            </w:tcBorders>
            <w:gridSpan w:val="3"/>
            <w:shd w:val="clear" w:color="auto" w:fill="E5FFFF"/>
          </w:tcPr>
          <w:p>
            <w:pPr>
              <w:spacing w:after="0" w:line="197" w:lineRule="exact"/>
              <w:rPr>
                <w:sz w:val="20"/>
                <w:szCs w:val="20"/>
                <w:color w:val="auto"/>
              </w:rPr>
            </w:pPr>
            <w:r>
              <w:rPr>
                <w:rFonts w:ascii="Arial" w:cs="Arial" w:eastAsia="Arial" w:hAnsi="Arial"/>
                <w:sz w:val="18"/>
                <w:szCs w:val="18"/>
                <w:color w:val="auto"/>
              </w:rPr>
              <w:t>Total claims</w:t>
            </w:r>
          </w:p>
        </w:tc>
        <w:tc>
          <w:tcPr>
            <w:tcW w:w="112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6,087</w:t>
            </w:r>
          </w:p>
        </w:tc>
        <w:tc>
          <w:tcPr>
            <w:tcW w:w="340" w:type="dxa"/>
            <w:vAlign w:val="bottom"/>
            <w:tcBorders>
              <w:bottom w:val="single" w:sz="8" w:color="E5FFFF"/>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6,280</w:t>
            </w:r>
          </w:p>
        </w:tc>
        <w:tc>
          <w:tcPr>
            <w:tcW w:w="340" w:type="dxa"/>
            <w:vAlign w:val="bottom"/>
            <w:tcBorders>
              <w:bottom w:val="single" w:sz="8" w:color="E5FFFF"/>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69"/>
        </w:trPr>
        <w:tc>
          <w:tcPr>
            <w:tcW w:w="4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r>
      <w:tr>
        <w:trPr>
          <w:trHeight w:val="156"/>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gridSpan w:val="2"/>
          </w:tcPr>
          <w:p>
            <w:pPr>
              <w:jc w:val="right"/>
              <w:ind w:right="256"/>
              <w:spacing w:after="0" w:line="155" w:lineRule="exact"/>
              <w:rPr>
                <w:sz w:val="20"/>
                <w:szCs w:val="20"/>
                <w:color w:val="auto"/>
              </w:rPr>
            </w:pPr>
            <w:r>
              <w:rPr>
                <w:rFonts w:ascii="Arial" w:cs="Arial" w:eastAsia="Arial" w:hAnsi="Arial"/>
                <w:sz w:val="14"/>
                <w:szCs w:val="14"/>
                <w:b w:val="1"/>
                <w:bCs w:val="1"/>
                <w:color w:val="auto"/>
              </w:rPr>
              <w:t>(in whole dollars)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3"/>
        </w:trPr>
        <w:tc>
          <w:tcPr>
            <w:tcW w:w="43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Malignant claims</w:t>
            </w: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56"/>
              <w:spacing w:after="0" w:line="202" w:lineRule="exact"/>
              <w:rPr>
                <w:sz w:val="20"/>
                <w:szCs w:val="20"/>
                <w:color w:val="auto"/>
              </w:rPr>
            </w:pPr>
            <w:r>
              <w:rPr>
                <w:rFonts w:ascii="Arial" w:cs="Arial" w:eastAsia="Arial" w:hAnsi="Arial"/>
                <w:sz w:val="18"/>
                <w:szCs w:val="18"/>
                <w:color w:val="auto"/>
              </w:rPr>
              <w:t>56,000</w:t>
            </w:r>
          </w:p>
        </w:tc>
        <w:tc>
          <w:tcPr>
            <w:tcW w:w="48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44,000</w:t>
            </w:r>
          </w:p>
        </w:tc>
        <w:tc>
          <w:tcPr>
            <w:tcW w:w="700" w:type="dxa"/>
            <w:vAlign w:val="bottom"/>
            <w:shd w:val="clear" w:color="auto" w:fill="E5FF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336"/>
              <w:spacing w:after="0" w:line="202" w:lineRule="exact"/>
              <w:rPr>
                <w:sz w:val="20"/>
                <w:szCs w:val="20"/>
                <w:color w:val="auto"/>
              </w:rPr>
            </w:pPr>
            <w:r>
              <w:rPr>
                <w:rFonts w:ascii="Arial" w:cs="Arial" w:eastAsia="Arial" w:hAnsi="Arial"/>
                <w:sz w:val="18"/>
                <w:szCs w:val="18"/>
                <w:color w:val="auto"/>
              </w:rPr>
              <w:t>44,000</w:t>
            </w:r>
          </w:p>
        </w:tc>
        <w:tc>
          <w:tcPr>
            <w:tcW w:w="28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E5FFFF"/>
          </w:tcPr>
          <w:p>
            <w:pPr>
              <w:jc w:val="right"/>
              <w:ind w:right="136"/>
              <w:spacing w:after="0" w:line="202" w:lineRule="exact"/>
              <w:rPr>
                <w:sz w:val="20"/>
                <w:szCs w:val="20"/>
                <w:color w:val="auto"/>
              </w:rPr>
            </w:pPr>
            <w:r>
              <w:rPr>
                <w:rFonts w:ascii="Arial" w:cs="Arial" w:eastAsia="Arial" w:hAnsi="Arial"/>
                <w:sz w:val="18"/>
                <w:szCs w:val="18"/>
                <w:color w:val="auto"/>
              </w:rPr>
              <w:t>53,500</w:t>
            </w:r>
          </w:p>
        </w:tc>
        <w:tc>
          <w:tcPr>
            <w:tcW w:w="46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51,000</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2,800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4,485</w:t>
            </w:r>
          </w:p>
        </w:tc>
        <w:tc>
          <w:tcPr>
            <w:tcW w:w="70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6"/>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6"/>
              <w:spacing w:after="0"/>
              <w:rPr>
                <w:sz w:val="20"/>
                <w:szCs w:val="20"/>
                <w:color w:val="auto"/>
              </w:rPr>
            </w:pPr>
            <w:r>
              <w:rPr>
                <w:rFonts w:ascii="Arial" w:cs="Arial" w:eastAsia="Arial" w:hAnsi="Arial"/>
                <w:sz w:val="18"/>
                <w:szCs w:val="18"/>
                <w:color w:val="auto"/>
              </w:rPr>
              <w:t>120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850</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now reflects the inclusion of all years through 2059 rather than a subset of future years when estimating the liability for unasserted Bendix-related asbestos claims. Such liability for unasserted Bendix-related asbestos claims is based on historic claims filing experience and dismissal rates, disease classifications, and resolution values in the tort system for the previous five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 suit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has appealed this decision to the Sixth Circuit Court of Appeals. Honeywell believes the District Court’s ruling will be upheld.</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2016 MCBA expired, and Honeywell would have no ongoing obligation to continue funding healthcare coverage for subsequent periods. Honeywell has appealed the District Court’s ruling on this “full premium” damages issue, and believes that the Sixth Circuit Court of Appeals will reverse the District Court on that issue. In the event the Sixth Circuit were to sustain the District Court’s ruling on this issue, Honeywell would be liable for damages of at least $12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October 1, 2018 the Company completed the spin-off of its Transportation Systems business, part of Aerospace, into a standalone, publicly-traded company, Garrett Motion Inc., to Honeywell shareowners. Since the effective date of the spin-off falls within the fiscal fourth quarter, the assets and liabilities associated with Garrett have been included with the Company’s third quarter Consolidated Balance Sheet. The results of operations for Garrett are included in the Consolidated Statement of Operations and Consolidated Statement of Cash Flows through the effective date of the spin-off. The Company entered into certain agreements with Garret to affect our legal and structural separation including a transition services agreement with Garrett to provide certain administrative and other services for a limited time.</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Company also entered into an Indemnification and Reimbursement Agreement with a Garrett subsidiary, pursuant to which Garrett’s subsidiary will have an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 each case related to legacy elements of the Garrett business, including the legal costs of defending and resolving such liabilities, less (ii) 90% of Honeywell’s net insurance receipts and, as may be applicable, certain other recoveries associated with such liabilities. The amount payable to Honeywell in respect of such liabilities arising in any given year will be subject to a cap, payable in the Euro equivalent of approximately $175 million using a fixed exchange rate determined just prior to spinoff. The obligation will continue until the earlier of December 31, 2048, or December 31 of the third consecutive year during which the annual indemnification obligation has been less than the Euro equivalent, at the fixed exchange rate, of $25 million.</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shareowners of record as of the close of business on September 18, 2018 received one share of Garrett common stock for every 10 shares of Honeywell common stock on the distribution date of October 1, 2018. Immediately prior to the effective date of the spin-off, subsidiaries of Garrett incurred debt to make a cash distribution of approximately $1.6 billion to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3500" w:type="dxa"/>
            <w:vAlign w:val="bottom"/>
          </w:tcPr>
          <w:p>
            <w:pPr>
              <w:spacing w:after="0"/>
              <w:rPr>
                <w:sz w:val="17"/>
                <w:szCs w:val="17"/>
                <w:color w:val="auto"/>
              </w:rPr>
            </w:pPr>
          </w:p>
        </w:tc>
        <w:tc>
          <w:tcPr>
            <w:tcW w:w="5600" w:type="dxa"/>
            <w:vAlign w:val="bottom"/>
            <w:gridSpan w:val="2"/>
          </w:tcPr>
          <w:p>
            <w:pPr>
              <w:jc w:val="center"/>
              <w:ind w:right="2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2"/>
        </w:trPr>
        <w:tc>
          <w:tcPr>
            <w:tcW w:w="350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months (quarter) and nine months ended September 30, 2018. The financial information as of September 30, 2018 should be read in conjunction with the consolidated financial statements for the year ended December 31, 2017 contained in our 2017 Annual Report on Form 10-K.</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On January 1, 2018, the Company adopted a new accounting standard that resulted in the components of net periodic pension cost and net periodic postretirement benefit cost other than service costs to no longer be presented in Cost of products and services sold and Selling, general and administrative expenses, but to be presented instead within Other (income) expense. See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and Note 4</w:t>
      </w:r>
      <w:r>
        <w:rPr>
          <w:rFonts w:ascii="Arial" w:cs="Arial" w:eastAsia="Arial" w:hAnsi="Arial"/>
          <w:sz w:val="18"/>
          <w:szCs w:val="18"/>
          <w:i w:val="1"/>
          <w:iCs w:val="1"/>
          <w:color w:val="auto"/>
        </w:rPr>
        <w:t xml:space="preserve"> Other (Income) Expense </w:t>
      </w:r>
      <w:r>
        <w:rPr>
          <w:rFonts w:ascii="Arial" w:cs="Arial" w:eastAsia="Arial" w:hAnsi="Arial"/>
          <w:sz w:val="18"/>
          <w:szCs w:val="18"/>
          <w:color w:val="auto"/>
        </w:rPr>
        <w:t>of Notes to Consolidated Financial Statements for further details.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On January 1, 2018, the Company adopted new accounting guidance on revenue from contracts with customers, using the modified retrospective method applied to contracts that were not completed as of January 1, 2018. Results for reporting periods beginning after January 1, 2018 are presented under that guidance, while prior period amounts are not adjusted and continue to be reported in accordance with the previous guidance. See Note 7 </w:t>
      </w:r>
      <w:r>
        <w:rPr>
          <w:rFonts w:ascii="Arial" w:cs="Arial" w:eastAsia="Arial" w:hAnsi="Arial"/>
          <w:sz w:val="18"/>
          <w:szCs w:val="18"/>
          <w:i w:val="1"/>
          <w:iCs w:val="1"/>
          <w:color w:val="auto"/>
        </w:rPr>
        <w:t>Revenue Recognition and Contracts with Customers</w:t>
      </w:r>
      <w:r>
        <w:rPr>
          <w:rFonts w:ascii="Arial" w:cs="Arial" w:eastAsia="Arial" w:hAnsi="Arial"/>
          <w:sz w:val="18"/>
          <w:szCs w:val="18"/>
          <w:color w:val="auto"/>
        </w:rPr>
        <w:t xml:space="preserve"> of Notes to Consolidated Financial Statements for further details.</w:t>
      </w:r>
    </w:p>
    <w:p>
      <w:pPr>
        <w:spacing w:after="0" w:line="167" w:lineRule="exact"/>
        <w:rPr>
          <w:sz w:val="20"/>
          <w:szCs w:val="20"/>
          <w:color w:val="auto"/>
        </w:rPr>
      </w:pPr>
    </w:p>
    <w:p>
      <w:pPr>
        <w:ind w:left="460" w:right="440" w:hanging="452"/>
        <w:spacing w:after="0" w:line="271"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nine months ended September 30, 2018 compared with the three and nine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5"/>
                <w:szCs w:val="15"/>
                <w:color w:val="auto"/>
              </w:rPr>
            </w:pPr>
          </w:p>
        </w:tc>
      </w:tr>
      <w:tr>
        <w:trPr>
          <w:trHeight w:val="169"/>
        </w:trPr>
        <w:tc>
          <w:tcPr>
            <w:tcW w:w="478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196"/>
        </w:trPr>
        <w:tc>
          <w:tcPr>
            <w:tcW w:w="47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81"/>
              <w:spacing w:after="0" w:line="196" w:lineRule="exact"/>
              <w:rPr>
                <w:sz w:val="20"/>
                <w:szCs w:val="20"/>
                <w:color w:val="auto"/>
              </w:rPr>
            </w:pPr>
            <w:r>
              <w:rPr>
                <w:rFonts w:ascii="Arial" w:cs="Arial" w:eastAsia="Arial" w:hAnsi="Arial"/>
                <w:sz w:val="18"/>
                <w:szCs w:val="18"/>
                <w:color w:val="auto"/>
              </w:rPr>
              <w:t>10,762</w:t>
            </w:r>
          </w:p>
        </w:tc>
        <w:tc>
          <w:tcPr>
            <w:tcW w:w="340" w:type="dxa"/>
            <w:vAlign w:val="bottom"/>
            <w:shd w:val="clear" w:color="auto" w:fill="E5FFFF"/>
          </w:tcPr>
          <w:p>
            <w:pPr>
              <w:spacing w:after="0"/>
              <w:rPr>
                <w:sz w:val="17"/>
                <w:szCs w:val="17"/>
                <w:color w:val="auto"/>
              </w:rPr>
            </w:pPr>
          </w:p>
        </w:tc>
        <w:tc>
          <w:tcPr>
            <w:tcW w:w="540" w:type="dxa"/>
            <w:vAlign w:val="bottom"/>
            <w:shd w:val="clear" w:color="auto" w:fill="E5FF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10,121</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E5FFFF"/>
          </w:tcPr>
          <w:p>
            <w:pPr>
              <w:jc w:val="right"/>
              <w:ind w:right="157"/>
              <w:spacing w:after="0" w:line="196" w:lineRule="exact"/>
              <w:rPr>
                <w:sz w:val="20"/>
                <w:szCs w:val="20"/>
                <w:color w:val="auto"/>
              </w:rPr>
            </w:pPr>
            <w:r>
              <w:rPr>
                <w:rFonts w:ascii="Arial" w:cs="Arial" w:eastAsia="Arial" w:hAnsi="Arial"/>
                <w:sz w:val="18"/>
                <w:szCs w:val="18"/>
                <w:color w:val="auto"/>
              </w:rPr>
              <w:t>32,073</w:t>
            </w: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75"/>
              <w:spacing w:after="0" w:line="196" w:lineRule="exact"/>
              <w:rPr>
                <w:sz w:val="20"/>
                <w:szCs w:val="20"/>
                <w:color w:val="auto"/>
              </w:rPr>
            </w:pPr>
            <w:r>
              <w:rPr>
                <w:rFonts w:ascii="Arial" w:cs="Arial" w:eastAsia="Arial" w:hAnsi="Arial"/>
                <w:sz w:val="18"/>
                <w:szCs w:val="18"/>
                <w:color w:val="auto"/>
              </w:rPr>
              <w:t>29,691</w:t>
            </w: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04"/>
        </w:trPr>
        <w:tc>
          <w:tcPr>
            <w:tcW w:w="8240" w:type="dxa"/>
            <w:vAlign w:val="bottom"/>
            <w:gridSpan w:val="7"/>
          </w:tcPr>
          <w:p>
            <w:pPr>
              <w:ind w:left="6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24"/>
                <w:szCs w:val="24"/>
                <w:color w:val="auto"/>
              </w:rPr>
            </w:pPr>
          </w:p>
        </w:tc>
        <w:tc>
          <w:tcPr>
            <w:tcW w:w="112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to Date</w:t>
            </w:r>
          </w:p>
        </w:tc>
      </w:tr>
      <w:tr>
        <w:trPr>
          <w:trHeight w:val="196"/>
        </w:trPr>
        <w:tc>
          <w:tcPr>
            <w:tcW w:w="47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32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5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c>
          <w:tcPr>
            <w:tcW w:w="3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Price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6"/>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in the quarter is primarily driven by the strengthening of the U.S. Dollar in the majority of our international markets. The foreign currency translation impact for the nine months is primarily driven by the strengthening of the Euro, British Pound and Chinese Renminbi against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75"/>
        </w:trPr>
        <w:tc>
          <w:tcPr>
            <w:tcW w:w="4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69"/>
        </w:trPr>
        <w:tc>
          <w:tcPr>
            <w:tcW w:w="478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196"/>
        </w:trPr>
        <w:tc>
          <w:tcPr>
            <w:tcW w:w="478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Cost of products and services sold</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78"/>
              <w:spacing w:after="0" w:line="196" w:lineRule="exact"/>
              <w:rPr>
                <w:sz w:val="20"/>
                <w:szCs w:val="20"/>
                <w:color w:val="auto"/>
              </w:rPr>
            </w:pPr>
            <w:r>
              <w:rPr>
                <w:rFonts w:ascii="Arial" w:cs="Arial" w:eastAsia="Arial" w:hAnsi="Arial"/>
                <w:sz w:val="18"/>
                <w:szCs w:val="18"/>
                <w:color w:val="auto"/>
              </w:rPr>
              <w:t>7,556</w:t>
            </w:r>
          </w:p>
        </w:tc>
        <w:tc>
          <w:tcPr>
            <w:tcW w:w="340" w:type="dxa"/>
            <w:vAlign w:val="bottom"/>
            <w:shd w:val="clear" w:color="auto" w:fill="E5FFFF"/>
          </w:tcPr>
          <w:p>
            <w:pPr>
              <w:spacing w:after="0"/>
              <w:rPr>
                <w:sz w:val="17"/>
                <w:szCs w:val="17"/>
                <w:color w:val="auto"/>
              </w:rPr>
            </w:pPr>
          </w:p>
        </w:tc>
        <w:tc>
          <w:tcPr>
            <w:tcW w:w="540" w:type="dxa"/>
            <w:vAlign w:val="bottom"/>
            <w:shd w:val="clear" w:color="auto" w:fill="E5FF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7,054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159"/>
              <w:spacing w:after="0" w:line="196" w:lineRule="exact"/>
              <w:rPr>
                <w:sz w:val="20"/>
                <w:szCs w:val="20"/>
                <w:color w:val="auto"/>
              </w:rPr>
            </w:pPr>
            <w:r>
              <w:rPr>
                <w:rFonts w:ascii="Arial" w:cs="Arial" w:eastAsia="Arial" w:hAnsi="Arial"/>
                <w:sz w:val="18"/>
                <w:szCs w:val="18"/>
                <w:color w:val="auto"/>
              </w:rPr>
              <w:t>22,361</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20,604</w:t>
            </w:r>
          </w:p>
        </w:tc>
      </w:tr>
      <w:tr>
        <w:trPr>
          <w:trHeight w:val="203"/>
        </w:trPr>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8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29.8%</w:t>
            </w:r>
          </w:p>
        </w:tc>
        <w:tc>
          <w:tcPr>
            <w:tcW w:w="34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30.3%</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30.6%</w:t>
            </w:r>
          </w:p>
        </w:tc>
      </w:tr>
      <w:tr>
        <w:trPr>
          <w:trHeight w:val="405"/>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58"/>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47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6" w:right="239" w:bottom="1440" w:gutter="0" w:footer="0" w:header="0"/>
        </w:sectPr>
      </w:pPr>
    </w:p>
    <w:bookmarkStart w:id="32" w:name="page33"/>
    <w:bookmarkEnd w:id="32"/>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increased in the quarter primarily due to higher direct material costs of approximately $390 million. The direct material increase is attributable to higher organic sales volumes and inflation, partially offset by productivity and a favorable impact from foreign currency translation. Cost of products sold in the quarter also increased due to higher repositioning and other charges of approximately $70 million allocated to cost of products and services sold and higher labor costs of approximately $30 million.</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increased in the nine months primarily due to higher direct material costs of approximately $1.5 billion. The direct material increase is attributable to higher organic sales volumes, inflation, and an unfavorable impact from foreign currency translation, partially offset by productivity. Cost of products sold in the nine months also increased due to higher labor costs of approximately of $150 million and higher repositioning and other charges of approximately $100 million allocated to cost of products and services sold.</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Gross margin percentage decreased in the quarter due to higher repositioning and other charges allocated to cost of products and services sold (approximately 0.6 percentage point impact), which was partially offset by higher gross margin in the Home and Building Technologies segment (approximately 0.2 percentage points).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Gross margin percentage decreased in the nine months primarily due to higher repositioning and other charges allocated to cost of products and services sold (approximately 0.3 percentage point impact).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69"/>
        </w:trPr>
        <w:tc>
          <w:tcPr>
            <w:tcW w:w="482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81"/>
              <w:spacing w:after="0" w:line="196" w:lineRule="exact"/>
              <w:rPr>
                <w:sz w:val="20"/>
                <w:szCs w:val="20"/>
                <w:color w:val="auto"/>
              </w:rPr>
            </w:pPr>
            <w:r>
              <w:rPr>
                <w:rFonts w:ascii="Arial" w:cs="Arial" w:eastAsia="Arial" w:hAnsi="Arial"/>
                <w:sz w:val="18"/>
                <w:szCs w:val="18"/>
                <w:color w:val="auto"/>
              </w:rPr>
              <w:t>1,524</w:t>
            </w:r>
          </w:p>
        </w:tc>
        <w:tc>
          <w:tcPr>
            <w:tcW w:w="340" w:type="dxa"/>
            <w:vAlign w:val="bottom"/>
            <w:shd w:val="clear" w:color="auto" w:fill="E5FFFF"/>
          </w:tcPr>
          <w:p>
            <w:pPr>
              <w:spacing w:after="0"/>
              <w:rPr>
                <w:sz w:val="17"/>
                <w:szCs w:val="17"/>
                <w:color w:val="auto"/>
              </w:rPr>
            </w:pPr>
          </w:p>
        </w:tc>
        <w:tc>
          <w:tcPr>
            <w:tcW w:w="440" w:type="dxa"/>
            <w:vAlign w:val="bottom"/>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1,524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81"/>
              <w:spacing w:after="0" w:line="196" w:lineRule="exact"/>
              <w:rPr>
                <w:sz w:val="20"/>
                <w:szCs w:val="20"/>
                <w:color w:val="auto"/>
              </w:rPr>
            </w:pPr>
            <w:r>
              <w:rPr>
                <w:rFonts w:ascii="Arial" w:cs="Arial" w:eastAsia="Arial" w:hAnsi="Arial"/>
                <w:sz w:val="18"/>
                <w:szCs w:val="18"/>
                <w:color w:val="auto"/>
              </w:rPr>
              <w:t>4,527</w:t>
            </w:r>
          </w:p>
        </w:tc>
        <w:tc>
          <w:tcPr>
            <w:tcW w:w="34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4,403</w:t>
            </w: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 of sales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r>
    </w:tbl>
    <w:p>
      <w:pPr>
        <w:spacing w:after="0" w:line="187"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Selling, general and administrative expenses were flat in the quarter with an increase in selling labor costs on higher sales volumes offset by repositioning productivity.</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general and administrative expenses increased for the nine months primarily driven by an increase in selling labor costs, higher repositioning charges allocated to selling, general and administrative expenses, and the unfavorable impact from foreign currency translation, partially offset by productivity, net of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44"/>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ind w:left="540"/>
              <w:spacing w:after="0" w:line="196" w:lineRule="exact"/>
              <w:rPr>
                <w:sz w:val="20"/>
                <w:szCs w:val="20"/>
                <w:color w:val="auto"/>
              </w:rPr>
            </w:pPr>
            <w:r>
              <w:rPr>
                <w:rFonts w:ascii="Arial" w:cs="Arial" w:eastAsia="Arial" w:hAnsi="Arial"/>
                <w:sz w:val="18"/>
                <w:szCs w:val="18"/>
                <w:color w:val="auto"/>
              </w:rPr>
              <w:t>(275)</w:t>
            </w:r>
          </w:p>
        </w:tc>
        <w:tc>
          <w:tcPr>
            <w:tcW w:w="34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(316)</w:t>
            </w:r>
          </w:p>
        </w:tc>
        <w:tc>
          <w:tcPr>
            <w:tcW w:w="3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E5FFFF"/>
          </w:tcPr>
          <w:p>
            <w:pPr>
              <w:ind w:left="20"/>
              <w:spacing w:after="0" w:line="196" w:lineRule="exact"/>
              <w:rPr>
                <w:sz w:val="20"/>
                <w:szCs w:val="20"/>
                <w:color w:val="auto"/>
              </w:rPr>
            </w:pPr>
            <w:r>
              <w:rPr>
                <w:rFonts w:ascii="Arial" w:cs="Arial" w:eastAsia="Arial" w:hAnsi="Arial"/>
                <w:sz w:val="18"/>
                <w:szCs w:val="18"/>
                <w:color w:val="auto"/>
              </w:rPr>
              <w:t>(859)</w:t>
            </w:r>
          </w:p>
        </w:tc>
        <w:tc>
          <w:tcPr>
            <w:tcW w:w="34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(834)</w:t>
            </w: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Other (income) expense decreased for the quarter primarily due to separation costs associated with the announced spin-offs of our Homes and Global Distribution business and Transportation Systems business, partially offset by an increase in pension ongoing income – non-service, favorable impacts of foreign currency and an increase in interest income.</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Other (income) expense increased for the nine months primarily due to an increase in pension ongoing income – non-service, favorable impacts of foreign currency and an increase in interest income, partially offset by separation costs associated with the announced spin-offs of our Homes and Global Distribution business and Transportation Systems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Tax Expense (Benefit)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9"/>
        </w:trPr>
        <w:tc>
          <w:tcPr>
            <w:tcW w:w="4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4780" w:type="dxa"/>
            <w:vAlign w:val="bottom"/>
            <w:tcBorders>
              <w:bottom w:val="single" w:sz="8" w:color="E5FF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196"/>
        </w:trPr>
        <w:tc>
          <w:tcPr>
            <w:tcW w:w="47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Tax expense (benefit)</w:t>
            </w: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101"/>
              <w:spacing w:after="0" w:line="196" w:lineRule="exact"/>
              <w:rPr>
                <w:sz w:val="20"/>
                <w:szCs w:val="20"/>
                <w:color w:val="auto"/>
              </w:rPr>
            </w:pPr>
            <w:r>
              <w:rPr>
                <w:rFonts w:ascii="Arial" w:cs="Arial" w:eastAsia="Arial" w:hAnsi="Arial"/>
                <w:sz w:val="18"/>
                <w:szCs w:val="18"/>
                <w:color w:val="auto"/>
              </w:rPr>
              <w:t>(498)</w:t>
            </w:r>
          </w:p>
        </w:tc>
        <w:tc>
          <w:tcPr>
            <w:tcW w:w="34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416</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101"/>
              <w:spacing w:after="0" w:line="196" w:lineRule="exact"/>
              <w:rPr>
                <w:sz w:val="20"/>
                <w:szCs w:val="20"/>
                <w:color w:val="auto"/>
              </w:rPr>
            </w:pPr>
            <w:r>
              <w:rPr>
                <w:rFonts w:ascii="Arial" w:cs="Arial" w:eastAsia="Arial" w:hAnsi="Arial"/>
                <w:sz w:val="18"/>
                <w:szCs w:val="18"/>
                <w:color w:val="auto"/>
              </w:rPr>
              <w:t>679</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1,188</w:t>
            </w: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r>
    </w:tbl>
    <w:p>
      <w:pPr>
        <w:spacing w:after="0" w:line="18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effective tax rate decreased for the quarter primarily from a reduction of accrued withholding taxes of approximately $1.1 billion related to unremitted foreign earnings from an internal legal entity restructuring completed in the quarter, partially offset by $132 million of tax costs associated with the internal restructuring of the Homes and Global Distribution business and Transportation Systems business in advance of their spin-offs. Other changes to the tax rate include increased tax benefits from U.S. Tax Reform and fewer tax reserves, partially offset by reduced benefits from foreign tax credits and employee share-based compensation.</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effective tax rate decreased for the nine months primarily from a reduction of accrued withholding taxes of approximately $1.1 billion related to unremitted foreign earnings from an internal legal entity restructuring, partially offset by $ 423 million of tax costs associated with the internal restructuring of the Homes and Global Distribution business and Transportation Systems business in advance of their spin-offs. Other changes to the tax rate include lower benefits from foreign tax credits and employee share-based compensation, partially offset by increased tax benefits from U.S. Tax Reform.</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for the quarter and nine months ended September 30, 2018 was lower than the U.S. federal statutory rate of 21% primarily from a reduction of withholding taxes related to unremitted foreign earnings.</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effective tax rates for the quarter and nine months ended September 30, 2017 were lower than the U.S. federal statutory rate of 35% resulting in part from non-U.S. earnings taxed at lower rates and from benefits from manufacturing incentives.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December 22, 2017, the U.S. enacted tax reform that instituted fundamental changes to the taxation of multinational corporations. As a result of the U.S. Tax Reform, we recorded a provisional tax charge at December 31, 2017 of $1.9 billion related to the mandatory transition tax and $2.1 billion related to taxes on undistributed foreign earnings that are no longer intended to be permanently reinvested. We recorded a provisional amount because certain information related to the computation of earnings and profits, distributable reserves, and foreign exchange gains and losses is not readily available; some of the testing dates to determine taxable amounts have not yet occurred; and there is limited information from federal and state taxing authorities regarding the application and interpretation of the recently enacted legislation. In accordance with current SEC guidance the Company will report the impact of final provisional amounts in the reporting period in which the accounting is completed, which will not exceed one year from the date of enactment of the U.S. Tax Reform.</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September 30, 2018, the Company has not completed the accounting for the tax effects of U.S. Tax Reform described above, primarily related to computations of earnings and profits and deferred tax balances for tax returns that have not been finalized. However, during the quarter the Company recognized a measurement period adjustment resulting in additional tax expense of approximately $30 million. The measurement period adjustment primarily relates to revised estimates based on substantially completed tax returns. These amounts are subject to change based on a final determination of such items for tax returns that have not yet been finalized.</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can vary from quarter to quarter for unusual or infrequently occurring items, such as the tax impacts from the resolution of income tax audits, changes in tax laws, employee share-based payments, revisions to the provisional amounts from U.S. Tax Reform, internal restructurings or pension mark-to-market adjustments.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6"/>
                <w:szCs w:val="16"/>
                <w:color w:val="auto"/>
              </w:rPr>
            </w:pPr>
          </w:p>
        </w:tc>
      </w:tr>
      <w:tr>
        <w:trPr>
          <w:trHeight w:val="218"/>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9"/>
        </w:trPr>
        <w:tc>
          <w:tcPr>
            <w:tcW w:w="47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2017</w:t>
            </w:r>
          </w:p>
        </w:tc>
      </w:tr>
      <w:tr>
        <w:trPr>
          <w:trHeight w:val="203"/>
        </w:trPr>
        <w:tc>
          <w:tcPr>
            <w:tcW w:w="4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 attributable to Honeywell</w:t>
            </w:r>
          </w:p>
        </w:tc>
        <w:tc>
          <w:tcPr>
            <w:tcW w:w="20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41"/>
              <w:spacing w:after="0" w:line="202" w:lineRule="exact"/>
              <w:rPr>
                <w:sz w:val="20"/>
                <w:szCs w:val="20"/>
                <w:color w:val="auto"/>
              </w:rPr>
            </w:pPr>
            <w:r>
              <w:rPr>
                <w:rFonts w:ascii="Arial" w:cs="Arial" w:eastAsia="Arial" w:hAnsi="Arial"/>
                <w:sz w:val="18"/>
                <w:szCs w:val="18"/>
                <w:color w:val="auto"/>
              </w:rPr>
              <w:t>2,338</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1,345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41"/>
              <w:spacing w:after="0" w:line="202" w:lineRule="exact"/>
              <w:rPr>
                <w:sz w:val="20"/>
                <w:szCs w:val="20"/>
                <w:color w:val="auto"/>
              </w:rPr>
            </w:pPr>
            <w:r>
              <w:rPr>
                <w:rFonts w:ascii="Arial" w:cs="Arial" w:eastAsia="Arial" w:hAnsi="Arial"/>
                <w:sz w:val="18"/>
                <w:szCs w:val="18"/>
                <w:color w:val="auto"/>
              </w:rPr>
              <w:t>5,044</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4,064</w:t>
            </w: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3.11</w:t>
            </w:r>
          </w:p>
        </w:tc>
        <w:tc>
          <w:tcPr>
            <w:tcW w:w="8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1.74</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6.67</w:t>
            </w:r>
          </w:p>
        </w:tc>
        <w:tc>
          <w:tcPr>
            <w:tcW w:w="8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5.26</w:t>
            </w:r>
          </w:p>
        </w:tc>
      </w:tr>
    </w:tbl>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Earnings per share of common stock – assuming dilution increased in the quarter and nine months primarily driven by increased segment profit amongst our business segments, a reduction of accrued withholding taxes related to unremitted foreign earnings, higher pension income and the favorable impact of lower share count, partially offset by tax costs and other separation costs associated with the previously announced spin-offs of our Homes and Global Distribution business and Transportation Systems business as well as higher repositioning and other charges.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r>
      <w:tr>
        <w:trPr>
          <w:trHeight w:val="175"/>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53"/>
              <w:spacing w:after="0" w:line="156"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13"/>
              <w:spacing w:after="0" w:line="156" w:lineRule="exact"/>
              <w:rPr>
                <w:sz w:val="20"/>
                <w:szCs w:val="20"/>
                <w:color w:val="auto"/>
              </w:rPr>
            </w:pPr>
            <w:r>
              <w:rPr>
                <w:rFonts w:ascii="Arial" w:cs="Arial" w:eastAsia="Arial" w:hAnsi="Arial"/>
                <w:sz w:val="14"/>
                <w:szCs w:val="14"/>
                <w:b w:val="1"/>
                <w:bCs w:val="1"/>
                <w:color w:val="auto"/>
              </w:rPr>
              <w:t>%</w:t>
            </w:r>
          </w:p>
        </w:tc>
      </w:tr>
      <w:tr>
        <w:trPr>
          <w:trHeight w:val="175"/>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3"/>
              <w:spacing w:after="0"/>
              <w:rPr>
                <w:sz w:val="20"/>
                <w:szCs w:val="20"/>
                <w:color w:val="auto"/>
              </w:rPr>
            </w:pPr>
            <w:r>
              <w:rPr>
                <w:rFonts w:ascii="Arial" w:cs="Arial" w:eastAsia="Arial" w:hAnsi="Arial"/>
                <w:sz w:val="14"/>
                <w:szCs w:val="14"/>
                <w:b w:val="1"/>
                <w:bCs w:val="1"/>
                <w:color w:val="auto"/>
              </w:rPr>
              <w:t>Change</w:t>
            </w:r>
          </w:p>
        </w:tc>
      </w:tr>
      <w:tr>
        <w:trPr>
          <w:trHeight w:val="176"/>
        </w:trPr>
        <w:tc>
          <w:tcPr>
            <w:tcW w:w="1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color w:val="auto"/>
                <w:w w:val="99"/>
              </w:rPr>
              <w:t>Aerospace sales</w:t>
            </w:r>
          </w:p>
        </w:tc>
        <w:tc>
          <w:tcPr>
            <w:tcW w:w="3480" w:type="dxa"/>
            <w:vAlign w:val="bottom"/>
            <w:tcBorders>
              <w:top w:val="single" w:sz="8" w:color="E5FFFF"/>
              <w:bottom w:val="single" w:sz="8" w:color="E5FFFF"/>
            </w:tcBorders>
            <w:gridSpan w:val="3"/>
            <w:shd w:val="clear" w:color="auto" w:fill="E5FFFF"/>
          </w:tcPr>
          <w:p>
            <w:pPr>
              <w:spacing w:after="0"/>
              <w:rPr>
                <w:sz w:val="15"/>
                <w:szCs w:val="15"/>
                <w:color w:val="auto"/>
              </w:rPr>
            </w:pPr>
          </w:p>
        </w:tc>
        <w:tc>
          <w:tcPr>
            <w:tcW w:w="160" w:type="dxa"/>
            <w:vAlign w:val="bottom"/>
            <w:tcBorders>
              <w:top w:val="single" w:sz="8" w:color="auto"/>
              <w:bottom w:val="single" w:sz="8" w:color="E5FFFF"/>
            </w:tcBorders>
            <w:shd w:val="clear" w:color="auto" w:fill="E5FFFF"/>
          </w:tcPr>
          <w:p>
            <w:pPr>
              <w:spacing w:after="0"/>
              <w:rPr>
                <w:sz w:val="15"/>
                <w:szCs w:val="15"/>
                <w:color w:val="auto"/>
              </w:rPr>
            </w:pPr>
          </w:p>
        </w:tc>
        <w:tc>
          <w:tcPr>
            <w:tcW w:w="620" w:type="dxa"/>
            <w:vAlign w:val="bottom"/>
            <w:tcBorders>
              <w:top w:val="single" w:sz="8" w:color="auto"/>
              <w:bottom w:val="single" w:sz="8" w:color="E5FFFF"/>
            </w:tcBorders>
            <w:shd w:val="clear" w:color="auto" w:fill="E5FFFF"/>
          </w:tcPr>
          <w:p>
            <w:pPr>
              <w:spacing w:after="0"/>
              <w:rPr>
                <w:sz w:val="15"/>
                <w:szCs w:val="15"/>
                <w:color w:val="auto"/>
              </w:rPr>
            </w:pPr>
          </w:p>
        </w:tc>
        <w:tc>
          <w:tcPr>
            <w:tcW w:w="100" w:type="dxa"/>
            <w:vAlign w:val="bottom"/>
            <w:tcBorders>
              <w:top w:val="single" w:sz="8" w:color="auto"/>
              <w:bottom w:val="single" w:sz="8" w:color="E5FFFF"/>
            </w:tcBorders>
            <w:shd w:val="clear" w:color="auto" w:fill="E5FFFF"/>
          </w:tcPr>
          <w:p>
            <w:pPr>
              <w:spacing w:after="0"/>
              <w:rPr>
                <w:sz w:val="15"/>
                <w:szCs w:val="15"/>
                <w:color w:val="auto"/>
              </w:rPr>
            </w:pP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160" w:type="dxa"/>
            <w:vAlign w:val="bottom"/>
            <w:tcBorders>
              <w:top w:val="single" w:sz="8" w:color="auto"/>
              <w:bottom w:val="single" w:sz="8" w:color="E5FFFF"/>
            </w:tcBorders>
            <w:shd w:val="clear" w:color="auto" w:fill="E5FFFF"/>
          </w:tcPr>
          <w:p>
            <w:pPr>
              <w:spacing w:after="0"/>
              <w:rPr>
                <w:sz w:val="15"/>
                <w:szCs w:val="15"/>
                <w:color w:val="auto"/>
              </w:rPr>
            </w:pPr>
          </w:p>
        </w:tc>
        <w:tc>
          <w:tcPr>
            <w:tcW w:w="740" w:type="dxa"/>
            <w:vAlign w:val="bottom"/>
            <w:tcBorders>
              <w:top w:val="single" w:sz="8" w:color="auto"/>
              <w:bottom w:val="single" w:sz="8" w:color="E5FFFF"/>
            </w:tcBorders>
            <w:shd w:val="clear" w:color="auto" w:fill="E5FFFF"/>
          </w:tcPr>
          <w:p>
            <w:pPr>
              <w:spacing w:after="0"/>
              <w:rPr>
                <w:sz w:val="15"/>
                <w:szCs w:val="15"/>
                <w:color w:val="auto"/>
              </w:rPr>
            </w:pP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160" w:type="dxa"/>
            <w:vAlign w:val="bottom"/>
            <w:tcBorders>
              <w:top w:val="single" w:sz="8" w:color="auto"/>
              <w:bottom w:val="single" w:sz="8" w:color="E5FFFF"/>
            </w:tcBorders>
            <w:shd w:val="clear" w:color="auto" w:fill="E5FFFF"/>
          </w:tcPr>
          <w:p>
            <w:pPr>
              <w:spacing w:after="0"/>
              <w:rPr>
                <w:sz w:val="15"/>
                <w:szCs w:val="15"/>
                <w:color w:val="auto"/>
              </w:rPr>
            </w:pPr>
          </w:p>
        </w:tc>
        <w:tc>
          <w:tcPr>
            <w:tcW w:w="840" w:type="dxa"/>
            <w:vAlign w:val="bottom"/>
            <w:tcBorders>
              <w:top w:val="single" w:sz="8" w:color="auto"/>
              <w:bottom w:val="single" w:sz="8" w:color="E5FFFF"/>
            </w:tcBorders>
            <w:shd w:val="clear" w:color="auto" w:fill="E5FFFF"/>
          </w:tcPr>
          <w:p>
            <w:pPr>
              <w:spacing w:after="0"/>
              <w:rPr>
                <w:sz w:val="15"/>
                <w:szCs w:val="15"/>
                <w:color w:val="auto"/>
              </w:rPr>
            </w:pP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160" w:type="dxa"/>
            <w:vAlign w:val="bottom"/>
            <w:tcBorders>
              <w:top w:val="single" w:sz="8" w:color="auto"/>
              <w:bottom w:val="single" w:sz="8" w:color="E5FFFF"/>
            </w:tcBorders>
            <w:shd w:val="clear" w:color="auto" w:fill="E5FFFF"/>
          </w:tcPr>
          <w:p>
            <w:pPr>
              <w:spacing w:after="0"/>
              <w:rPr>
                <w:sz w:val="15"/>
                <w:szCs w:val="15"/>
                <w:color w:val="auto"/>
              </w:rPr>
            </w:pPr>
          </w:p>
        </w:tc>
        <w:tc>
          <w:tcPr>
            <w:tcW w:w="740" w:type="dxa"/>
            <w:vAlign w:val="bottom"/>
            <w:tcBorders>
              <w:top w:val="single" w:sz="8" w:color="auto"/>
              <w:bottom w:val="single" w:sz="8" w:color="E5FFFF"/>
            </w:tcBorders>
            <w:shd w:val="clear" w:color="auto" w:fill="E5FFFF"/>
          </w:tcPr>
          <w:p>
            <w:pPr>
              <w:spacing w:after="0"/>
              <w:rPr>
                <w:sz w:val="15"/>
                <w:szCs w:val="15"/>
                <w:color w:val="auto"/>
              </w:rPr>
            </w:pPr>
          </w:p>
        </w:tc>
        <w:tc>
          <w:tcPr>
            <w:tcW w:w="200" w:type="dxa"/>
            <w:vAlign w:val="bottom"/>
            <w:tcBorders>
              <w:top w:val="single" w:sz="8" w:color="E5FFFF"/>
              <w:bottom w:val="single" w:sz="8" w:color="E5FFFF"/>
            </w:tcBorders>
            <w:shd w:val="clear" w:color="auto" w:fill="E5FFFF"/>
          </w:tcPr>
          <w:p>
            <w:pPr>
              <w:spacing w:after="0"/>
              <w:rPr>
                <w:sz w:val="15"/>
                <w:szCs w:val="15"/>
                <w:color w:val="auto"/>
              </w:rPr>
            </w:pPr>
          </w:p>
        </w:tc>
        <w:tc>
          <w:tcPr>
            <w:tcW w:w="180" w:type="dxa"/>
            <w:vAlign w:val="bottom"/>
            <w:tcBorders>
              <w:top w:val="single" w:sz="8" w:color="auto"/>
              <w:bottom w:val="single" w:sz="8" w:color="E5FFFF"/>
            </w:tcBorders>
            <w:shd w:val="clear" w:color="auto" w:fill="E5FFFF"/>
          </w:tcPr>
          <w:p>
            <w:pPr>
              <w:spacing w:after="0"/>
              <w:rPr>
                <w:sz w:val="15"/>
                <w:szCs w:val="15"/>
                <w:color w:val="auto"/>
              </w:rPr>
            </w:pPr>
          </w:p>
        </w:tc>
        <w:tc>
          <w:tcPr>
            <w:tcW w:w="720" w:type="dxa"/>
            <w:vAlign w:val="bottom"/>
            <w:tcBorders>
              <w:top w:val="single" w:sz="8" w:color="auto"/>
              <w:bottom w:val="single" w:sz="8" w:color="E5FFFF"/>
            </w:tcBorders>
            <w:shd w:val="clear" w:color="auto" w:fill="E5FFFF"/>
          </w:tcPr>
          <w:p>
            <w:pPr>
              <w:spacing w:after="0"/>
              <w:rPr>
                <w:sz w:val="15"/>
                <w:szCs w:val="15"/>
                <w:color w:val="auto"/>
              </w:rPr>
            </w:pP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120" w:type="dxa"/>
            <w:vAlign w:val="bottom"/>
            <w:tcBorders>
              <w:top w:val="single" w:sz="8" w:color="auto"/>
              <w:bottom w:val="single" w:sz="8" w:color="E5FFFF"/>
            </w:tcBorders>
            <w:shd w:val="clear" w:color="auto" w:fill="E5FFFF"/>
          </w:tcPr>
          <w:p>
            <w:pPr>
              <w:spacing w:after="0"/>
              <w:rPr>
                <w:sz w:val="15"/>
                <w:szCs w:val="15"/>
                <w:color w:val="auto"/>
              </w:rPr>
            </w:pPr>
          </w:p>
        </w:tc>
        <w:tc>
          <w:tcPr>
            <w:tcW w:w="820" w:type="dxa"/>
            <w:vAlign w:val="bottom"/>
            <w:tcBorders>
              <w:top w:val="single" w:sz="8" w:color="auto"/>
              <w:bottom w:val="single" w:sz="8" w:color="E5FFFF"/>
            </w:tcBorders>
            <w:shd w:val="clear" w:color="auto" w:fill="E5FFFF"/>
          </w:tcPr>
          <w:p>
            <w:pPr>
              <w:spacing w:after="0"/>
              <w:rPr>
                <w:sz w:val="15"/>
                <w:szCs w:val="15"/>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Commercial Aviation Original Equipment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724</w:t>
            </w:r>
          </w:p>
        </w:tc>
        <w:tc>
          <w:tcPr>
            <w:tcW w:w="48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593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2,131</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820" w:type="dxa"/>
            <w:vAlign w:val="bottom"/>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Aviation Aftermarket</w:t>
            </w: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1,370</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1,312</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3,964</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3,775</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Defense and Space</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3,348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16"/>
        </w:trPr>
        <w:tc>
          <w:tcPr>
            <w:tcW w:w="482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Transportation Systems</w:t>
            </w:r>
          </w:p>
        </w:tc>
        <w:tc>
          <w:tcPr>
            <w:tcW w:w="16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2,622</w:t>
            </w:r>
          </w:p>
        </w:tc>
        <w:tc>
          <w:tcPr>
            <w:tcW w:w="2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48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Total Aerospace sales</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4,030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3,657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12,065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10,877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310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8"/>
              </w:rPr>
              <w:t>Home and Building Technologies sales</w:t>
            </w:r>
          </w:p>
        </w:tc>
        <w:tc>
          <w:tcPr>
            <w:tcW w:w="1720" w:type="dxa"/>
            <w:vAlign w:val="bottom"/>
            <w:tcBorders>
              <w:bottom w:val="single" w:sz="8" w:color="E5FFFF"/>
            </w:tcBorders>
            <w:gridSpan w:val="2"/>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620" w:type="dxa"/>
            <w:vAlign w:val="bottom"/>
            <w:tcBorders>
              <w:bottom w:val="single" w:sz="8" w:color="E5FFFF"/>
            </w:tcBorders>
            <w:shd w:val="clear" w:color="auto" w:fill="E5FFFF"/>
          </w:tcPr>
          <w:p>
            <w:pPr>
              <w:spacing w:after="0"/>
              <w:rPr>
                <w:sz w:val="15"/>
                <w:szCs w:val="15"/>
                <w:color w:val="auto"/>
              </w:rPr>
            </w:pPr>
          </w:p>
        </w:tc>
        <w:tc>
          <w:tcPr>
            <w:tcW w:w="10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7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20" w:type="dxa"/>
            <w:vAlign w:val="bottom"/>
            <w:tcBorders>
              <w:bottom w:val="single" w:sz="8" w:color="E5FFFF"/>
            </w:tcBorders>
            <w:shd w:val="clear" w:color="auto" w:fill="E5FFFF"/>
          </w:tcPr>
          <w:p>
            <w:pPr>
              <w:spacing w:after="0"/>
              <w:rPr>
                <w:sz w:val="15"/>
                <w:szCs w:val="15"/>
                <w:color w:val="auto"/>
              </w:rPr>
            </w:pPr>
          </w:p>
        </w:tc>
        <w:tc>
          <w:tcPr>
            <w:tcW w:w="820" w:type="dxa"/>
            <w:vAlign w:val="bottom"/>
            <w:tcBorders>
              <w:bottom w:val="single" w:sz="8" w:color="E5FFFF"/>
            </w:tcBorders>
            <w:shd w:val="clear" w:color="auto" w:fill="E5FFFF"/>
          </w:tcPr>
          <w:p>
            <w:pPr>
              <w:spacing w:after="0"/>
              <w:rPr>
                <w:sz w:val="15"/>
                <w:szCs w:val="15"/>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Homes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3,282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16"/>
        </w:trPr>
        <w:tc>
          <w:tcPr>
            <w:tcW w:w="482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Buildings</w:t>
            </w:r>
          </w:p>
        </w:tc>
        <w:tc>
          <w:tcPr>
            <w:tcW w:w="16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1,340</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3,957</w:t>
            </w:r>
          </w:p>
        </w:tc>
        <w:tc>
          <w:tcPr>
            <w:tcW w:w="2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3,880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48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Total Home and Building Technologies sales</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2,517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2,479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7,496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7,162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3740" w:type="dxa"/>
            <w:vAlign w:val="bottom"/>
            <w:tcBorders>
              <w:bottom w:val="single" w:sz="8" w:color="auto"/>
            </w:tcBorders>
            <w:gridSpan w:val="3"/>
            <w:shd w:val="clear" w:color="auto" w:fill="E5FFFF"/>
          </w:tcPr>
          <w:p>
            <w:pPr>
              <w:spacing w:after="0" w:line="176" w:lineRule="exact"/>
              <w:rPr>
                <w:sz w:val="20"/>
                <w:szCs w:val="20"/>
                <w:color w:val="auto"/>
              </w:rPr>
            </w:pPr>
            <w:r>
              <w:rPr>
                <w:rFonts w:ascii="Arial" w:cs="Arial" w:eastAsia="Arial" w:hAnsi="Arial"/>
                <w:sz w:val="18"/>
                <w:szCs w:val="18"/>
                <w:color w:val="auto"/>
                <w:w w:val="99"/>
              </w:rPr>
              <w:t>Performance Materials and Technologies sales</w:t>
            </w:r>
          </w:p>
        </w:tc>
        <w:tc>
          <w:tcPr>
            <w:tcW w:w="108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620" w:type="dxa"/>
            <w:vAlign w:val="bottom"/>
            <w:tcBorders>
              <w:bottom w:val="single" w:sz="8" w:color="E5FFFF"/>
            </w:tcBorders>
            <w:shd w:val="clear" w:color="auto" w:fill="E5FFFF"/>
          </w:tcPr>
          <w:p>
            <w:pPr>
              <w:spacing w:after="0"/>
              <w:rPr>
                <w:sz w:val="15"/>
                <w:szCs w:val="15"/>
                <w:color w:val="auto"/>
              </w:rPr>
            </w:pPr>
          </w:p>
        </w:tc>
        <w:tc>
          <w:tcPr>
            <w:tcW w:w="10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7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20" w:type="dxa"/>
            <w:vAlign w:val="bottom"/>
            <w:tcBorders>
              <w:bottom w:val="single" w:sz="8" w:color="E5FFFF"/>
            </w:tcBorders>
            <w:shd w:val="clear" w:color="auto" w:fill="E5FFFF"/>
          </w:tcPr>
          <w:p>
            <w:pPr>
              <w:spacing w:after="0"/>
              <w:rPr>
                <w:sz w:val="15"/>
                <w:szCs w:val="15"/>
                <w:color w:val="auto"/>
              </w:rPr>
            </w:pPr>
          </w:p>
        </w:tc>
        <w:tc>
          <w:tcPr>
            <w:tcW w:w="820" w:type="dxa"/>
            <w:vAlign w:val="bottom"/>
            <w:tcBorders>
              <w:bottom w:val="single" w:sz="8" w:color="E5FFFF"/>
            </w:tcBorders>
            <w:shd w:val="clear" w:color="auto" w:fill="E5FFFF"/>
          </w:tcPr>
          <w:p>
            <w:pPr>
              <w:spacing w:after="0"/>
              <w:rPr>
                <w:sz w:val="15"/>
                <w:szCs w:val="15"/>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UOP</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820" w:type="dxa"/>
            <w:vAlign w:val="bottom"/>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1,225</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1,206</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3,712</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3,504</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6"/>
        </w:trPr>
        <w:tc>
          <w:tcPr>
            <w:tcW w:w="4820" w:type="dxa"/>
            <w:vAlign w:val="bottom"/>
            <w:tcBorders>
              <w:bottom w:val="single" w:sz="8" w:color="E5FFFF"/>
            </w:tcBorders>
            <w:gridSpan w:val="4"/>
          </w:tcPr>
          <w:p>
            <w:pPr>
              <w:ind w:left="180"/>
              <w:spacing w:after="0"/>
              <w:rPr>
                <w:sz w:val="20"/>
                <w:szCs w:val="20"/>
                <w:color w:val="auto"/>
              </w:rPr>
            </w:pPr>
            <w:r>
              <w:rPr>
                <w:rFonts w:ascii="Arial" w:cs="Arial" w:eastAsia="Arial" w:hAnsi="Arial"/>
                <w:sz w:val="18"/>
                <w:szCs w:val="18"/>
                <w:color w:val="auto"/>
              </w:rPr>
              <w:t>Advanced Materials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659</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84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2,148</w:t>
            </w:r>
          </w:p>
        </w:tc>
        <w:tc>
          <w:tcPr>
            <w:tcW w:w="20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2,057</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4820" w:type="dxa"/>
            <w:vAlign w:val="bottom"/>
            <w:gridSpan w:val="4"/>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Performance Materials and Technologies sales</w:t>
            </w: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2,640</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2,571</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7,872</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7,485</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r>
      <w:tr>
        <w:trPr>
          <w:trHeight w:val="183"/>
        </w:trPr>
        <w:tc>
          <w:tcPr>
            <w:tcW w:w="4820" w:type="dxa"/>
            <w:vAlign w:val="bottom"/>
            <w:gridSpan w:val="4"/>
          </w:tcPr>
          <w:p>
            <w:pPr>
              <w:spacing w:after="0" w:line="176" w:lineRule="exact"/>
              <w:rPr>
                <w:sz w:val="20"/>
                <w:szCs w:val="20"/>
                <w:color w:val="auto"/>
              </w:rPr>
            </w:pPr>
            <w:r>
              <w:rPr>
                <w:rFonts w:ascii="Arial" w:cs="Arial" w:eastAsia="Arial" w:hAnsi="Arial"/>
                <w:sz w:val="18"/>
                <w:szCs w:val="18"/>
                <w:color w:val="auto"/>
              </w:rPr>
              <w:t>Safety and Productivity Solutions sales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3100" w:type="dxa"/>
            <w:vAlign w:val="bottom"/>
            <w:tcBorders>
              <w:top w:val="single" w:sz="8" w:color="auto"/>
            </w:tcBorders>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Safety</w:t>
            </w:r>
          </w:p>
        </w:tc>
        <w:tc>
          <w:tcPr>
            <w:tcW w:w="1720" w:type="dxa"/>
            <w:vAlign w:val="bottom"/>
            <w:gridSpan w:val="2"/>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564</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537</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1,680</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1,587</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6"/>
        </w:trPr>
        <w:tc>
          <w:tcPr>
            <w:tcW w:w="4820" w:type="dxa"/>
            <w:vAlign w:val="bottom"/>
            <w:tcBorders>
              <w:bottom w:val="single" w:sz="8" w:color="E5FFFF"/>
            </w:tcBorders>
            <w:gridSpan w:val="4"/>
          </w:tcPr>
          <w:p>
            <w:pPr>
              <w:ind w:left="180"/>
              <w:spacing w:after="0"/>
              <w:rPr>
                <w:sz w:val="20"/>
                <w:szCs w:val="20"/>
                <w:color w:val="auto"/>
              </w:rPr>
            </w:pPr>
            <w:r>
              <w:rPr>
                <w:rFonts w:ascii="Arial" w:cs="Arial" w:eastAsia="Arial" w:hAnsi="Arial"/>
                <w:sz w:val="18"/>
                <w:szCs w:val="18"/>
                <w:color w:val="auto"/>
              </w:rPr>
              <w:t>Productivity Solutions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84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2,960</w:t>
            </w:r>
          </w:p>
        </w:tc>
        <w:tc>
          <w:tcPr>
            <w:tcW w:w="20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2,580</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15%</w:t>
            </w:r>
          </w:p>
        </w:tc>
      </w:tr>
      <w:tr>
        <w:trPr>
          <w:trHeight w:val="196"/>
        </w:trPr>
        <w:tc>
          <w:tcPr>
            <w:tcW w:w="4820" w:type="dxa"/>
            <w:vAlign w:val="bottom"/>
            <w:gridSpan w:val="4"/>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Safety and Productivity Solutions sales</w:t>
            </w:r>
          </w:p>
        </w:tc>
        <w:tc>
          <w:tcPr>
            <w:tcW w:w="160" w:type="dxa"/>
            <w:vAlign w:val="bottom"/>
            <w:tcBorders>
              <w:bottom w:val="single" w:sz="8" w:color="auto"/>
            </w:tcBorders>
            <w:shd w:val="clear" w:color="auto" w:fill="E5FFFF"/>
          </w:tcPr>
          <w:p>
            <w:pPr>
              <w:spacing w:after="0"/>
              <w:rPr>
                <w:sz w:val="17"/>
                <w:szCs w:val="17"/>
                <w:color w:val="auto"/>
              </w:rPr>
            </w:pPr>
          </w:p>
        </w:tc>
        <w:tc>
          <w:tcPr>
            <w:tcW w:w="6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1,575</w:t>
            </w:r>
          </w:p>
        </w:tc>
        <w:tc>
          <w:tcPr>
            <w:tcW w:w="100" w:type="dxa"/>
            <w:vAlign w:val="bottom"/>
            <w:tcBorders>
              <w:bottom w:val="single" w:sz="8" w:color="auto"/>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1,414</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4,640</w:t>
            </w:r>
          </w:p>
        </w:tc>
        <w:tc>
          <w:tcPr>
            <w:tcW w:w="20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4,167</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r>
      <w:tr>
        <w:trPr>
          <w:trHeight w:val="210"/>
        </w:trPr>
        <w:tc>
          <w:tcPr>
            <w:tcW w:w="4820" w:type="dxa"/>
            <w:vAlign w:val="bottom"/>
            <w:gridSpan w:val="4"/>
          </w:tcPr>
          <w:p>
            <w:pPr>
              <w:spacing w:after="0" w:line="197" w:lineRule="exact"/>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10,762</w:t>
            </w:r>
          </w:p>
        </w:tc>
        <w:tc>
          <w:tcPr>
            <w:tcW w:w="4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10,121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32,073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29,691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6"/>
        </w:trPr>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36</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1340" w:type="dxa"/>
            <w:vAlign w:val="bottom"/>
            <w:tcBorders>
              <w:bottom w:val="single" w:sz="8" w:color="C0C0C0"/>
            </w:tcBorders>
          </w:tcPr>
          <w:p>
            <w:pPr>
              <w:spacing w:after="0"/>
              <w:rPr>
                <w:sz w:val="20"/>
                <w:szCs w:val="20"/>
                <w:color w:val="auto"/>
              </w:rPr>
            </w:pPr>
          </w:p>
        </w:tc>
        <w:tc>
          <w:tcPr>
            <w:tcW w:w="176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Aerospace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ind w:left="180"/>
        <w:spacing w:after="0" w:line="234" w:lineRule="auto"/>
        <w:rPr>
          <w:sz w:val="20"/>
          <w:szCs w:val="20"/>
          <w:color w:val="auto"/>
        </w:rPr>
      </w:pPr>
      <w:r>
        <w:rPr>
          <w:rFonts w:ascii="Arial" w:cs="Arial" w:eastAsia="Arial" w:hAnsi="Arial"/>
          <w:sz w:val="18"/>
          <w:szCs w:val="18"/>
          <w:color w:val="auto"/>
        </w:rPr>
        <w:t>Cost of products and services sold</w:t>
      </w:r>
    </w:p>
    <w:p>
      <w:pPr>
        <w:spacing w:after="0" w:line="1" w:lineRule="exact"/>
        <w:rPr>
          <w:sz w:val="20"/>
          <w:szCs w:val="20"/>
          <w:color w:val="auto"/>
        </w:rPr>
      </w:pPr>
    </w:p>
    <w:p>
      <w:pPr>
        <w:ind w:left="360" w:right="220" w:hanging="179"/>
        <w:spacing w:after="0" w:line="242" w:lineRule="auto"/>
        <w:rPr>
          <w:sz w:val="20"/>
          <w:szCs w:val="20"/>
          <w:color w:val="auto"/>
        </w:rPr>
      </w:pPr>
      <w:r>
        <w:rPr>
          <w:rFonts w:ascii="Arial" w:cs="Arial" w:eastAsia="Arial" w:hAnsi="Arial"/>
          <w:sz w:val="18"/>
          <w:szCs w:val="18"/>
          <w:color w:val="auto"/>
        </w:rPr>
        <w:t>Selling, general and administrative and other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1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19"/>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40" w:type="dxa"/>
            <w:vAlign w:val="bottom"/>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4,030</w:t>
            </w:r>
          </w:p>
        </w:tc>
        <w:tc>
          <w:tcPr>
            <w:tcW w:w="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4"/>
              <w:spacing w:after="0" w:line="195" w:lineRule="exact"/>
              <w:rPr>
                <w:sz w:val="20"/>
                <w:szCs w:val="20"/>
                <w:color w:val="auto"/>
              </w:rPr>
            </w:pPr>
            <w:r>
              <w:rPr>
                <w:rFonts w:ascii="Arial" w:cs="Arial" w:eastAsia="Arial" w:hAnsi="Arial"/>
                <w:sz w:val="18"/>
                <w:szCs w:val="18"/>
                <w:color w:val="auto"/>
              </w:rPr>
              <w:t>3,657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6"/>
              <w:spacing w:after="0" w:line="195" w:lineRule="exact"/>
              <w:rPr>
                <w:sz w:val="20"/>
                <w:szCs w:val="20"/>
                <w:color w:val="auto"/>
              </w:rPr>
            </w:pPr>
            <w:r>
              <w:rPr>
                <w:rFonts w:ascii="Arial" w:cs="Arial" w:eastAsia="Arial" w:hAnsi="Arial"/>
                <w:sz w:val="18"/>
                <w:szCs w:val="18"/>
                <w:color w:val="auto"/>
              </w:rPr>
              <w:t>12,065</w:t>
            </w: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74"/>
              <w:spacing w:after="0" w:line="195" w:lineRule="exact"/>
              <w:rPr>
                <w:sz w:val="20"/>
                <w:szCs w:val="20"/>
                <w:color w:val="auto"/>
              </w:rPr>
            </w:pPr>
            <w:r>
              <w:rPr>
                <w:rFonts w:ascii="Arial" w:cs="Arial" w:eastAsia="Arial" w:hAnsi="Arial"/>
                <w:sz w:val="18"/>
                <w:szCs w:val="18"/>
                <w:color w:val="auto"/>
              </w:rPr>
              <w:t>10,877</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2,579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7,626</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891</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2,702</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ind w:left="460"/>
              <w:spacing w:after="0"/>
              <w:rPr>
                <w:sz w:val="20"/>
                <w:szCs w:val="20"/>
                <w:color w:val="auto"/>
              </w:rPr>
            </w:pPr>
            <w:r>
              <w:rPr>
                <w:rFonts w:ascii="Arial" w:cs="Arial" w:eastAsia="Arial" w:hAnsi="Arial"/>
                <w:sz w:val="14"/>
                <w:szCs w:val="14"/>
                <w:b w:val="1"/>
                <w:bCs w:val="1"/>
                <w:color w:val="auto"/>
              </w:rPr>
              <w:t>2018 vs. 2017</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-968375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-702310</wp:posOffset>
            </wp:positionV>
            <wp:extent cx="724662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80" w:space="720"/>
            <w:col w:w="6720"/>
          </w:cols>
          <w:pgMar w:left="240" w:top="400"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Organic growth/ Operational segment profit</w:t>
      </w:r>
    </w:p>
    <w:p>
      <w:pPr>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Acquisitions, divestitures and other,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400" w:type="dxa"/>
            <w:vAlign w:val="bottom"/>
            <w:tcBorders>
              <w:top w:val="single" w:sz="8" w:color="auto"/>
            </w:tcBorders>
            <w:gridSpan w:val="4"/>
          </w:tcPr>
          <w:p>
            <w:pPr>
              <w:jc w:val="center"/>
              <w:ind w:right="220"/>
              <w:spacing w:after="0" w:line="143" w:lineRule="exact"/>
              <w:rPr>
                <w:sz w:val="20"/>
                <w:szCs w:val="20"/>
                <w:color w:val="auto"/>
              </w:rPr>
            </w:pPr>
            <w:r>
              <w:rPr>
                <w:rFonts w:ascii="Arial" w:cs="Arial" w:eastAsia="Arial" w:hAnsi="Arial"/>
                <w:sz w:val="14"/>
                <w:szCs w:val="14"/>
                <w:b w:val="1"/>
                <w:bCs w:val="1"/>
                <w:color w:val="auto"/>
              </w:rPr>
              <w:t>Three Months Ended</w:t>
            </w:r>
          </w:p>
        </w:tc>
        <w:tc>
          <w:tcPr>
            <w:tcW w:w="2100" w:type="dxa"/>
            <w:vAlign w:val="bottom"/>
            <w:tcBorders>
              <w:top w:val="single" w:sz="8" w:color="auto"/>
            </w:tcBorders>
            <w:gridSpan w:val="3"/>
          </w:tcPr>
          <w:p>
            <w:pPr>
              <w:jc w:val="right"/>
              <w:ind w:right="296"/>
              <w:spacing w:after="0" w:line="143"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2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210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9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Profit</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Profit</w:t>
            </w:r>
          </w:p>
        </w:tc>
      </w:tr>
      <w:tr>
        <w:trPr>
          <w:trHeight w:val="195"/>
        </w:trPr>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3"/>
        </w:trPr>
        <w:tc>
          <w:tcPr>
            <w:tcW w:w="940" w:type="dxa"/>
            <w:vAlign w:val="bottom"/>
            <w:tcBorders>
              <w:bottom w:val="single" w:sz="8" w:color="auto"/>
            </w:tcBorders>
          </w:tcPr>
          <w:p>
            <w:pPr>
              <w:jc w:val="right"/>
              <w:ind w:right="78"/>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r>
      <w:tr>
        <w:trPr>
          <w:trHeight w:val="210"/>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-307975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-574040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0" w:space="720"/>
            <w:col w:w="4500"/>
          </w:cols>
          <w:pgMar w:left="240" w:top="400" w:right="239" w:bottom="1440" w:gutter="0" w:footer="0" w:header="0"/>
          <w:type w:val="continuous"/>
        </w:sectPr>
      </w:pPr>
    </w:p>
    <w:p>
      <w:pPr>
        <w:spacing w:after="0" w:line="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Aerospace sales increased in the quarter due to organic sales growth. Aerospace sales increased in the nine months ended September 30, 2018 primarily due to organic sales growth, the favorable impact of foreign currency translation and the impact of the adoption of the new revenue recognition accounting standard (included within Acquisitions, divestitures and other, net in the table above).</w:t>
      </w:r>
    </w:p>
    <w:p>
      <w:pPr>
        <w:spacing w:after="0" w:line="203" w:lineRule="exact"/>
        <w:rPr>
          <w:sz w:val="20"/>
          <w:szCs w:val="20"/>
          <w:color w:val="auto"/>
        </w:rPr>
      </w:pPr>
    </w:p>
    <w:p>
      <w:pPr>
        <w:jc w:val="both"/>
        <w:ind w:left="980" w:hanging="324"/>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Aviation Original Equipment sales increased 22% (increased 19% organic) in the quarter and increased 16% (increased 11% organic) in the nine months primarily due to increased demand from air transport, regional, and business aviation original equipment manufacturers (OEM), lower OEM incentives and the impact from the classification of nonrecurring engineering and development funding resulting from the adoption of the new revenue recognition accounting standard.</w:t>
      </w:r>
    </w:p>
    <w:p>
      <w:pPr>
        <w:spacing w:after="0" w:line="201" w:lineRule="exact"/>
        <w:rPr>
          <w:rFonts w:ascii="Arial" w:cs="Arial" w:eastAsia="Arial" w:hAnsi="Arial"/>
          <w:sz w:val="18"/>
          <w:szCs w:val="18"/>
          <w:color w:val="auto"/>
        </w:rPr>
      </w:pPr>
    </w:p>
    <w:p>
      <w:pPr>
        <w:jc w:val="both"/>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Aviation Aftermarket sales increased 4% (increased 6% organic) in the quarter due to growth in air transport, regional and business aviation. Commercial Aviation Aftermarket sales increased 5% (increased 4% organic) in the nine months primarily due to growth in air transport, regional and business aviation.</w:t>
      </w:r>
    </w:p>
    <w:p>
      <w:pPr>
        <w:spacing w:after="0" w:line="202"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Defense and Space sales increased 14% (increased 14% organic) in the quarter and nine months primarily driven by growth in U.S. and international defense.</w:t>
      </w:r>
    </w:p>
    <w:p>
      <w:pPr>
        <w:spacing w:after="0" w:line="196"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Systems sales increased 6% (increased 7% organic) in the quarter primarily driven by higher volumes in light vehicle gas turbos, partially offset by foreign currency translation. Transportation Systems sales increased 12% (increased 7% organic) in the nine months primarily driven by higher volumes in light vehicle gas turbos and commercial vehicles and the favorable impact of foreign currency translation.</w:t>
      </w:r>
    </w:p>
    <w:p>
      <w:pPr>
        <w:spacing w:after="0" w:line="202"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Aerospace segment profit increased in the quarter due to an increase in operational segment profit, partially offset by the unfavorable impact of currency translation, and the impact on service programs from the adoption of the new revenue recognition accounting standard. Aerospace segment profit increased in the nine months due to an increase in operational segment profit, the favorable impact of currency translation, and the impact on service programs from the adoption of the new revenue recognition accounting standard. The increase in operational segment profit in the quarter was driven primarily by productivity, net of inflation, higher organic sales volume and lower OEM incentives. The increase in operational segment profit in the nine months was driven primarily by higher organic sales volume, productivity net of inflation and lower OEM incentives. Cost of products and services sold increased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37" w:name="page38"/>
    <w:bookmarkEnd w:id="37"/>
    <w:p>
      <w:pPr>
        <w:ind w:right="40"/>
        <w:spacing w:after="0" w:line="246" w:lineRule="auto"/>
        <w:rPr>
          <w:sz w:val="20"/>
          <w:szCs w:val="20"/>
          <w:color w:val="auto"/>
        </w:rPr>
      </w:pPr>
      <w:r>
        <w:rPr>
          <w:rFonts w:ascii="Arial" w:cs="Arial" w:eastAsia="Arial" w:hAnsi="Arial"/>
          <w:sz w:val="18"/>
          <w:szCs w:val="18"/>
          <w:color w:val="auto"/>
        </w:rPr>
        <w:t>the quarter primarily due to higher organic sales volume and increased in the nine months primarily due to higher organic sales volume and the impact of foreign currency translation and inflation.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6"/>
                <w:szCs w:val="16"/>
                <w:color w:val="auto"/>
              </w:rPr>
            </w:pPr>
          </w:p>
        </w:tc>
      </w:tr>
      <w:tr>
        <w:trPr>
          <w:trHeight w:val="175"/>
        </w:trPr>
        <w:tc>
          <w:tcPr>
            <w:tcW w:w="4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69"/>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6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2,517</w:t>
            </w: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2,479</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117"/>
              <w:spacing w:after="0" w:line="196" w:lineRule="exact"/>
              <w:rPr>
                <w:sz w:val="20"/>
                <w:szCs w:val="20"/>
                <w:color w:val="auto"/>
              </w:rPr>
            </w:pPr>
            <w:r>
              <w:rPr>
                <w:rFonts w:ascii="Arial" w:cs="Arial" w:eastAsia="Arial" w:hAnsi="Arial"/>
                <w:sz w:val="18"/>
                <w:szCs w:val="18"/>
                <w:color w:val="auto"/>
              </w:rPr>
              <w:t>7,496</w:t>
            </w:r>
          </w:p>
        </w:tc>
        <w:tc>
          <w:tcPr>
            <w:tcW w:w="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ind w:right="77"/>
              <w:spacing w:after="0" w:line="196" w:lineRule="exact"/>
              <w:rPr>
                <w:sz w:val="20"/>
                <w:szCs w:val="20"/>
                <w:color w:val="auto"/>
              </w:rPr>
            </w:pPr>
            <w:r>
              <w:rPr>
                <w:rFonts w:ascii="Arial" w:cs="Arial" w:eastAsia="Arial" w:hAnsi="Arial"/>
                <w:sz w:val="18"/>
                <w:szCs w:val="18"/>
                <w:color w:val="auto"/>
              </w:rPr>
              <w:t>7,162</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3"/>
        </w:trPr>
        <w:tc>
          <w:tcPr>
            <w:tcW w:w="464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4,918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4,714</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46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Selling, general and administrative and other</w:t>
            </w: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r>
      <w:tr>
        <w:trPr>
          <w:trHeight w:val="217"/>
        </w:trPr>
        <w:tc>
          <w:tcPr>
            <w:tcW w:w="4640" w:type="dxa"/>
            <w:vAlign w:val="bottom"/>
            <w:shd w:val="clear" w:color="auto" w:fill="E5FFFF"/>
          </w:tcPr>
          <w:p>
            <w:pPr>
              <w:ind w:left="36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17"/>
              <w:spacing w:after="0"/>
              <w:rPr>
                <w:sz w:val="20"/>
                <w:szCs w:val="20"/>
                <w:color w:val="auto"/>
              </w:rPr>
            </w:pPr>
            <w:r>
              <w:rPr>
                <w:rFonts w:ascii="Arial" w:cs="Arial" w:eastAsia="Arial" w:hAnsi="Arial"/>
                <w:sz w:val="18"/>
                <w:szCs w:val="18"/>
                <w:color w:val="auto"/>
              </w:rPr>
              <w:t>1,305</w:t>
            </w:r>
          </w:p>
        </w:tc>
        <w:tc>
          <w:tcPr>
            <w:tcW w:w="4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77"/>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430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7"/>
              <w:spacing w:after="0" w:line="196" w:lineRule="exact"/>
              <w:rPr>
                <w:sz w:val="20"/>
                <w:szCs w:val="20"/>
                <w:color w:val="auto"/>
              </w:rPr>
            </w:pPr>
            <w:r>
              <w:rPr>
                <w:rFonts w:ascii="Arial" w:cs="Arial" w:eastAsia="Arial" w:hAnsi="Arial"/>
                <w:sz w:val="18"/>
                <w:szCs w:val="18"/>
                <w:color w:val="auto"/>
              </w:rPr>
              <w:t>1,273</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1,189</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9"/>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2018 vs. 2017</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3"/>
          </w:tcPr>
          <w:p>
            <w:pPr>
              <w:jc w:val="right"/>
              <w:ind w:right="297"/>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7"/>
              <w:spacing w:after="0" w:line="143" w:lineRule="exact"/>
              <w:rPr>
                <w:sz w:val="20"/>
                <w:szCs w:val="20"/>
                <w:color w:val="auto"/>
              </w:rPr>
            </w:pPr>
            <w:r>
              <w:rPr>
                <w:rFonts w:ascii="Arial" w:cs="Arial" w:eastAsia="Arial" w:hAnsi="Arial"/>
                <w:sz w:val="14"/>
                <w:szCs w:val="14"/>
                <w:b w:val="1"/>
                <w:bCs w:val="1"/>
                <w:color w:val="auto"/>
              </w:rPr>
              <w:t>Segment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4640" w:type="dxa"/>
            <w:vAlign w:val="bottom"/>
          </w:tcPr>
          <w:p>
            <w:pPr>
              <w:ind w:left="600"/>
              <w:spacing w:after="0"/>
              <w:rPr>
                <w:sz w:val="20"/>
                <w:szCs w:val="20"/>
                <w:color w:val="auto"/>
              </w:rPr>
            </w:pPr>
            <w:r>
              <w:rPr>
                <w:rFonts w:ascii="Arial" w:cs="Arial" w:eastAsia="Arial" w:hAnsi="Arial"/>
                <w:sz w:val="14"/>
                <w:szCs w:val="14"/>
                <w:b w:val="1"/>
                <w:bCs w:val="1"/>
                <w:color w:val="auto"/>
              </w:rPr>
              <w:t>Factors Contributing to Year-Over-Year Change</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Sales</w:t>
            </w:r>
          </w:p>
        </w:tc>
        <w:tc>
          <w:tcPr>
            <w:tcW w:w="140" w:type="dxa"/>
            <w:vAlign w:val="bottom"/>
          </w:tcPr>
          <w:p>
            <w:pPr>
              <w:spacing w:after="0"/>
              <w:rPr>
                <w:sz w:val="15"/>
                <w:szCs w:val="15"/>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rPr>
              <w:t>Profit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Sales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Profit</w:t>
            </w:r>
          </w:p>
        </w:tc>
      </w:tr>
      <w:tr>
        <w:trPr>
          <w:trHeight w:val="196"/>
        </w:trPr>
        <w:tc>
          <w:tcPr>
            <w:tcW w:w="46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00" w:type="dxa"/>
            <w:vAlign w:val="bottom"/>
            <w:tcBorders>
              <w:top w:val="single" w:sz="8" w:color="auto"/>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60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46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60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64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200" w:type="dxa"/>
            <w:vAlign w:val="bottom"/>
            <w:tcBorders>
              <w:bottom w:val="single" w:sz="8" w:color="E5FFFF"/>
            </w:tcBorders>
            <w:shd w:val="clear" w:color="auto" w:fill="E5FFFF"/>
          </w:tcPr>
          <w:p>
            <w:pPr>
              <w:spacing w:after="0"/>
              <w:rPr>
                <w:sz w:val="18"/>
                <w:szCs w:val="18"/>
                <w:color w:val="auto"/>
              </w:rPr>
            </w:pPr>
          </w:p>
        </w:tc>
        <w:tc>
          <w:tcPr>
            <w:tcW w:w="70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600" w:type="dxa"/>
            <w:vAlign w:val="bottom"/>
            <w:tcBorders>
              <w:bottom w:val="single" w:sz="8" w:color="E5FFFF"/>
            </w:tcBorders>
            <w:shd w:val="clear" w:color="auto" w:fill="E5FFFF"/>
          </w:tcPr>
          <w:p>
            <w:pPr>
              <w:spacing w:after="0"/>
              <w:rPr>
                <w:sz w:val="18"/>
                <w:szCs w:val="18"/>
                <w:color w:val="auto"/>
              </w:rPr>
            </w:pPr>
          </w:p>
        </w:tc>
        <w:tc>
          <w:tcPr>
            <w:tcW w:w="10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Home and Building Technologies sales increased in the quarter ended September 30, 2018 primarily driven by organic growth, partially offset by the unfavorable impact of foreign currency. Home and Building Technologies sales increased in the nine months ended September 30, 2018 primarily driven by organic growth and the favorable impact of foreign currency.</w:t>
      </w:r>
    </w:p>
    <w:p>
      <w:pPr>
        <w:spacing w:after="0" w:line="189" w:lineRule="exact"/>
        <w:rPr>
          <w:sz w:val="20"/>
          <w:szCs w:val="20"/>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in Homes increased 5% (increased 5% organic) in the quarter primarily due to growth across Products and Distribution (ADI) and increased 8% (increased 6% organic) in the nine months due to growth across Distribution and the favorable impact of foreign currency translation.</w:t>
      </w:r>
    </w:p>
    <w:p>
      <w:pPr>
        <w:spacing w:after="0" w:line="202" w:lineRule="exact"/>
        <w:rPr>
          <w:rFonts w:ascii="Arial" w:cs="Arial" w:eastAsia="Arial" w:hAnsi="Arial"/>
          <w:sz w:val="18"/>
          <w:szCs w:val="18"/>
          <w:color w:val="auto"/>
        </w:rPr>
      </w:pPr>
    </w:p>
    <w:p>
      <w:pPr>
        <w:jc w:val="both"/>
        <w:ind w:left="980" w:hanging="324"/>
        <w:spacing w:after="0" w:line="23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in Buildings decreased 1% (increased 1% organic) in the quarter primarily due to the unfavorable impact of foreign currency translation, partially offset by organic sales growth. Sales increased 2% (flat organic) in the nine months principally due to the favorable impact of foreign currency translation. Organic sales growth in the quarter was primarily due to Building Solutions. Organic sales growth in the nine months was primarily driven by higher volumes in Building Solutions, offset by lower sales in Building Products.</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Home and Building Technologies segment profit increased in the quarter due to higher operational segment profit, partially offset by the unfavorable impact of foreign currency translation. The increase in segment profit in the nine months was due to higher operational segment profit and foreign currency translation. The increase in operational segment profit in the quarter and nine months was primarily driven by pricing and productivity, largely offset by inflation. Cost of products and services sold increased in the quarter due to higher organic sales volumes, partially offset by foreign currency translation, and in the nine months primarily due to higher organic sales volumes and foreign currency translation.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Performance Materials and Technologies</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ind w:left="180"/>
        <w:spacing w:after="0" w:line="234" w:lineRule="auto"/>
        <w:rPr>
          <w:sz w:val="20"/>
          <w:szCs w:val="20"/>
          <w:color w:val="auto"/>
        </w:rPr>
      </w:pPr>
      <w:r>
        <w:rPr>
          <w:rFonts w:ascii="Arial" w:cs="Arial" w:eastAsia="Arial" w:hAnsi="Arial"/>
          <w:sz w:val="18"/>
          <w:szCs w:val="18"/>
          <w:color w:val="auto"/>
        </w:rPr>
        <w:t>Cost of products and services sold</w:t>
      </w:r>
    </w:p>
    <w:p>
      <w:pPr>
        <w:spacing w:after="0" w:line="1" w:lineRule="exact"/>
        <w:rPr>
          <w:sz w:val="20"/>
          <w:szCs w:val="20"/>
          <w:color w:val="auto"/>
        </w:rPr>
      </w:pPr>
    </w:p>
    <w:p>
      <w:pPr>
        <w:ind w:left="360" w:right="160" w:hanging="179"/>
        <w:spacing w:after="0" w:line="242" w:lineRule="auto"/>
        <w:rPr>
          <w:sz w:val="20"/>
          <w:szCs w:val="20"/>
          <w:color w:val="auto"/>
        </w:rPr>
      </w:pPr>
      <w:r>
        <w:rPr>
          <w:rFonts w:ascii="Arial" w:cs="Arial" w:eastAsia="Arial" w:hAnsi="Arial"/>
          <w:sz w:val="18"/>
          <w:szCs w:val="18"/>
          <w:color w:val="auto"/>
        </w:rPr>
        <w:t>Selling, general and administrative and other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35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19"/>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40" w:type="dxa"/>
            <w:vAlign w:val="bottom"/>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4"/>
              <w:spacing w:after="0" w:line="195" w:lineRule="exact"/>
              <w:rPr>
                <w:sz w:val="20"/>
                <w:szCs w:val="20"/>
                <w:color w:val="auto"/>
              </w:rPr>
            </w:pPr>
            <w:r>
              <w:rPr>
                <w:rFonts w:ascii="Arial" w:cs="Arial" w:eastAsia="Arial" w:hAnsi="Arial"/>
                <w:sz w:val="18"/>
                <w:szCs w:val="18"/>
                <w:color w:val="auto"/>
              </w:rPr>
              <w:t>2,640</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4"/>
              <w:spacing w:after="0" w:line="195" w:lineRule="exact"/>
              <w:rPr>
                <w:sz w:val="20"/>
                <w:szCs w:val="20"/>
                <w:color w:val="auto"/>
              </w:rPr>
            </w:pPr>
            <w:r>
              <w:rPr>
                <w:rFonts w:ascii="Arial" w:cs="Arial" w:eastAsia="Arial" w:hAnsi="Arial"/>
                <w:sz w:val="18"/>
                <w:szCs w:val="18"/>
                <w:color w:val="auto"/>
              </w:rPr>
              <w:t>2,571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7,872</w:t>
            </w: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7,485</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4,876</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12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2018 vs. 2017</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-934085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-668020</wp:posOffset>
            </wp:positionV>
            <wp:extent cx="72466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20" w:space="720"/>
            <w:col w:w="6780"/>
          </w:cols>
          <w:pgMar w:left="240" w:top="400"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6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Borders>
              <w:top w:val="single" w:sz="8" w:color="auto"/>
            </w:tcBorders>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Three Months Ended</w:t>
            </w:r>
          </w:p>
        </w:tc>
        <w:tc>
          <w:tcPr>
            <w:tcW w:w="2100" w:type="dxa"/>
            <w:vAlign w:val="bottom"/>
            <w:tcBorders>
              <w:top w:val="single" w:sz="8" w:color="auto"/>
            </w:tcBorders>
            <w:gridSpan w:val="3"/>
          </w:tcPr>
          <w:p>
            <w:pPr>
              <w:jc w:val="right"/>
              <w:ind w:right="297"/>
              <w:spacing w:after="0" w:line="143"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6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100" w:type="dxa"/>
            <w:vAlign w:val="bottom"/>
            <w:gridSpan w:val="3"/>
          </w:tcPr>
          <w:p>
            <w:pPr>
              <w:jc w:val="right"/>
              <w:ind w:right="477"/>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6860" w:type="dxa"/>
            <w:vAlign w:val="bottom"/>
            <w:gridSpan w:val="2"/>
          </w:tcPr>
          <w:p>
            <w:pPr>
              <w:ind w:left="6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Profit</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rPr>
              <w:t>Profit</w:t>
            </w:r>
          </w:p>
        </w:tc>
      </w:tr>
      <w:tr>
        <w:trPr>
          <w:trHeight w:val="196"/>
        </w:trPr>
        <w:tc>
          <w:tcPr>
            <w:tcW w:w="65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32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686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Foreign currency translation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860" w:type="dxa"/>
            <w:vAlign w:val="bottom"/>
            <w:tcBorders>
              <w:bottom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E5FFFF"/>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Performance Materials and Technologies sales increased in the quarter ended September 30, 2018 primarily due to organic growth, partially offset by the unfavorable impact of foreign currency translation. Performance Materials and Technologies sales increased in the nine months ended September 30, 2018 due to organic growth and the favorable impact of foreign currency translation.</w:t>
      </w:r>
    </w:p>
    <w:p>
      <w:pPr>
        <w:spacing w:after="0" w:line="189" w:lineRule="exact"/>
        <w:rPr>
          <w:sz w:val="20"/>
          <w:szCs w:val="20"/>
          <w:color w:val="auto"/>
        </w:rPr>
      </w:pPr>
    </w:p>
    <w:p>
      <w:pPr>
        <w:jc w:val="both"/>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UOP sales increased 2% (increased 3% organic) in the quarter driven primarily by increases in engineering revenues, partially offset by decreases in licensing. UOP sales increased 5% (increased 3% organic) in the nine months driven primarily by increased catalyst volumes and increases in engineering revenues, partially offset by lower gas processing equipment revenues.</w:t>
      </w:r>
    </w:p>
    <w:p>
      <w:pPr>
        <w:spacing w:after="0" w:line="189" w:lineRule="exact"/>
        <w:rPr>
          <w:rFonts w:ascii="Arial" w:cs="Arial" w:eastAsia="Arial" w:hAnsi="Arial"/>
          <w:sz w:val="18"/>
          <w:szCs w:val="18"/>
          <w:color w:val="auto"/>
        </w:rPr>
      </w:pPr>
    </w:p>
    <w:p>
      <w:pPr>
        <w:jc w:val="both"/>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Process Solutions sales increased 2% (increased 4% organic) in the quarter driven primarily by increases in maintenance and migration services, partially offset by decreased revenues in smart energy. Process Solutions sales increased 6% (increased 4% organic) in the nine months driven primarily by increases in maintenance and migration services and increased revenues in projects.</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Materials sales increased 5% (increased 6% organic) in the quarter and increased 4% (increased 2% organic) in the nine months driven primarily by increases in fluorine products revenues.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Performance Materials and Technologies segment profit was flat in the quarter due to an increase in operational segment profit offset by the unfavorable impact of foreign currency translation. Segment profit increased in the nine months due to an increase in operational segment profit and the favorable impact of foreign currency translation. The increase in operational segment profit for the quarter is primarily due to higher pricing and organic sales volume, partially offset by inflation and higher sales of lower margin products. The increase in operational segment profit for the nine months is primarily due to productivity, higher organic sales volume, and pricing, partially offset by higher sales of lower margin products, inflation, and continued investments for growth. Cost of products and services sold increased in the quarter primarily due to higher organic sales volumes and inflation, partially offset by foreign currency translation and productivity. Cost of products and services sold increased in the nine months primarily due to higher organic sales volumes and foreign currency translation, partially offset by productivity, net of inflation.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75"/>
        </w:trPr>
        <w:tc>
          <w:tcPr>
            <w:tcW w:w="4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9"/>
              <w:spacing w:after="0" w:line="143"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196"/>
        </w:trPr>
        <w:tc>
          <w:tcPr>
            <w:tcW w:w="46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1,575</w:t>
            </w: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1,414</w:t>
            </w: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E5FFFF"/>
          </w:tcPr>
          <w:p>
            <w:pPr>
              <w:jc w:val="right"/>
              <w:ind w:right="117"/>
              <w:spacing w:after="0" w:line="196" w:lineRule="exact"/>
              <w:rPr>
                <w:sz w:val="20"/>
                <w:szCs w:val="20"/>
                <w:color w:val="auto"/>
              </w:rPr>
            </w:pPr>
            <w:r>
              <w:rPr>
                <w:rFonts w:ascii="Arial" w:cs="Arial" w:eastAsia="Arial" w:hAnsi="Arial"/>
                <w:sz w:val="18"/>
                <w:szCs w:val="18"/>
                <w:color w:val="auto"/>
              </w:rPr>
              <w:t>4,640</w:t>
            </w:r>
          </w:p>
        </w:tc>
        <w:tc>
          <w:tcPr>
            <w:tcW w:w="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ind w:right="77"/>
              <w:spacing w:after="0" w:line="196" w:lineRule="exact"/>
              <w:rPr>
                <w:sz w:val="20"/>
                <w:szCs w:val="20"/>
                <w:color w:val="auto"/>
              </w:rPr>
            </w:pPr>
            <w:r>
              <w:rPr>
                <w:rFonts w:ascii="Arial" w:cs="Arial" w:eastAsia="Arial" w:hAnsi="Arial"/>
                <w:sz w:val="18"/>
                <w:szCs w:val="18"/>
                <w:color w:val="auto"/>
              </w:rPr>
              <w:t>4,167</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3"/>
        </w:trPr>
        <w:tc>
          <w:tcPr>
            <w:tcW w:w="464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1,045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3,068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2,739</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46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Selling, general and administrative and other</w:t>
            </w: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r>
      <w:tr>
        <w:trPr>
          <w:trHeight w:val="203"/>
        </w:trPr>
        <w:tc>
          <w:tcPr>
            <w:tcW w:w="4640" w:type="dxa"/>
            <w:vAlign w:val="bottom"/>
            <w:shd w:val="clear" w:color="auto" w:fill="E5FFFF"/>
          </w:tcPr>
          <w:p>
            <w:pPr>
              <w:ind w:left="360"/>
              <w:spacing w:after="0" w:line="203" w:lineRule="exact"/>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ind w:right="34"/>
              <w:spacing w:after="0" w:line="203" w:lineRule="exact"/>
              <w:rPr>
                <w:sz w:val="20"/>
                <w:szCs w:val="20"/>
                <w:color w:val="auto"/>
              </w:rPr>
            </w:pPr>
            <w:r>
              <w:rPr>
                <w:rFonts w:ascii="Arial" w:cs="Arial" w:eastAsia="Arial" w:hAnsi="Arial"/>
                <w:sz w:val="18"/>
                <w:szCs w:val="18"/>
                <w:color w:val="auto"/>
              </w:rPr>
              <w:t>268</w:t>
            </w:r>
          </w:p>
        </w:tc>
        <w:tc>
          <w:tcPr>
            <w:tcW w:w="20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ind w:right="14"/>
              <w:spacing w:after="0" w:line="203" w:lineRule="exact"/>
              <w:rPr>
                <w:sz w:val="20"/>
                <w:szCs w:val="20"/>
                <w:color w:val="auto"/>
              </w:rPr>
            </w:pPr>
            <w:r>
              <w:rPr>
                <w:rFonts w:ascii="Arial" w:cs="Arial" w:eastAsia="Arial" w:hAnsi="Arial"/>
                <w:sz w:val="18"/>
                <w:szCs w:val="18"/>
                <w:color w:val="auto"/>
              </w:rPr>
              <w:t>268</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ind w:right="117"/>
              <w:spacing w:after="0" w:line="203" w:lineRule="exact"/>
              <w:rPr>
                <w:sz w:val="20"/>
                <w:szCs w:val="20"/>
                <w:color w:val="auto"/>
              </w:rPr>
            </w:pPr>
            <w:r>
              <w:rPr>
                <w:rFonts w:ascii="Arial" w:cs="Arial" w:eastAsia="Arial" w:hAnsi="Arial"/>
                <w:sz w:val="18"/>
                <w:szCs w:val="18"/>
                <w:color w:val="auto"/>
              </w:rPr>
              <w:t>812</w:t>
            </w:r>
          </w:p>
        </w:tc>
        <w:tc>
          <w:tcPr>
            <w:tcW w:w="40" w:type="dxa"/>
            <w:vAlign w:val="bottom"/>
            <w:tcBorders>
              <w:bottom w:val="single" w:sz="8" w:color="auto"/>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660" w:type="dxa"/>
            <w:vAlign w:val="bottom"/>
            <w:tcBorders>
              <w:bottom w:val="single" w:sz="8" w:color="auto"/>
            </w:tcBorders>
            <w:shd w:val="clear" w:color="auto" w:fill="E5FFFF"/>
          </w:tcPr>
          <w:p>
            <w:pPr>
              <w:jc w:val="right"/>
              <w:ind w:right="77"/>
              <w:spacing w:after="0" w:line="203" w:lineRule="exact"/>
              <w:rPr>
                <w:sz w:val="20"/>
                <w:szCs w:val="20"/>
                <w:color w:val="auto"/>
              </w:rPr>
            </w:pPr>
            <w:r>
              <w:rPr>
                <w:rFonts w:ascii="Arial" w:cs="Arial" w:eastAsia="Arial" w:hAnsi="Arial"/>
                <w:sz w:val="18"/>
                <w:szCs w:val="18"/>
                <w:color w:val="auto"/>
              </w:rPr>
              <w:t>807</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r>
      <w:tr>
        <w:trPr>
          <w:trHeight w:val="210"/>
        </w:trPr>
        <w:tc>
          <w:tcPr>
            <w:tcW w:w="4640" w:type="dxa"/>
            <w:vAlign w:val="bottom"/>
          </w:tcPr>
          <w:p>
            <w:pPr>
              <w:spacing w:after="0" w:line="197" w:lineRule="exact"/>
              <w:rPr>
                <w:sz w:val="20"/>
                <w:szCs w:val="20"/>
                <w:color w:val="auto"/>
              </w:rPr>
            </w:pPr>
            <w:r>
              <w:rPr>
                <w:rFonts w:ascii="Arial" w:cs="Arial" w:eastAsia="Arial" w:hAnsi="Arial"/>
                <w:sz w:val="18"/>
                <w:szCs w:val="18"/>
                <w:color w:val="auto"/>
              </w:rPr>
              <w:t>Segment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197"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18"/>
                <w:szCs w:val="18"/>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8"/>
                <w:szCs w:val="18"/>
                <w:color w:val="auto"/>
              </w:rPr>
            </w:pPr>
          </w:p>
        </w:tc>
        <w:tc>
          <w:tcPr>
            <w:tcW w:w="940" w:type="dxa"/>
            <w:vAlign w:val="bottom"/>
          </w:tcPr>
          <w:p>
            <w:pPr>
              <w:jc w:val="right"/>
              <w:spacing w:after="0" w:line="197" w:lineRule="exact"/>
              <w:rPr>
                <w:sz w:val="20"/>
                <w:szCs w:val="20"/>
                <w:color w:val="auto"/>
              </w:rPr>
            </w:pPr>
            <w:r>
              <w:rPr>
                <w:rFonts w:ascii="Arial" w:cs="Arial" w:eastAsia="Arial" w:hAnsi="Arial"/>
                <w:sz w:val="18"/>
                <w:szCs w:val="18"/>
                <w:color w:val="auto"/>
              </w:rPr>
              <w:t>22%</w:t>
            </w: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2018 vs. 2017</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42"/>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4"/>
          </w:tcPr>
          <w:p>
            <w:pPr>
              <w:jc w:val="right"/>
              <w:ind w:right="297"/>
              <w:spacing w:after="0" w:line="143" w:lineRule="exact"/>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right"/>
              <w:ind w:right="298"/>
              <w:spacing w:after="0" w:line="143"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rPr>
              <w:t>Segment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4640" w:type="dxa"/>
            <w:vAlign w:val="bottom"/>
          </w:tcPr>
          <w:p>
            <w:pPr>
              <w:ind w:left="620"/>
              <w:spacing w:after="0"/>
              <w:rPr>
                <w:sz w:val="20"/>
                <w:szCs w:val="20"/>
                <w:color w:val="auto"/>
              </w:rPr>
            </w:pPr>
            <w:r>
              <w:rPr>
                <w:rFonts w:ascii="Arial" w:cs="Arial" w:eastAsia="Arial" w:hAnsi="Arial"/>
                <w:sz w:val="14"/>
                <w:szCs w:val="14"/>
                <w:b w:val="1"/>
                <w:bCs w:val="1"/>
                <w:color w:val="auto"/>
              </w:rPr>
              <w:t>Factors Contributing to Year-Over-Year Change</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Sales</w:t>
            </w:r>
          </w:p>
        </w:tc>
        <w:tc>
          <w:tcPr>
            <w:tcW w:w="16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rPr>
              <w:t>Profit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Sales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Profit</w:t>
            </w:r>
          </w:p>
        </w:tc>
      </w:tr>
      <w:tr>
        <w:trPr>
          <w:trHeight w:val="196"/>
        </w:trPr>
        <w:tc>
          <w:tcPr>
            <w:tcW w:w="46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00" w:type="dxa"/>
            <w:vAlign w:val="bottom"/>
            <w:tcBorders>
              <w:top w:val="single" w:sz="8" w:color="auto"/>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w:t>
            </w:r>
          </w:p>
        </w:tc>
        <w:tc>
          <w:tcPr>
            <w:tcW w:w="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16"/>
        </w:trPr>
        <w:tc>
          <w:tcPr>
            <w:tcW w:w="46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64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200" w:type="dxa"/>
            <w:vAlign w:val="bottom"/>
            <w:tcBorders>
              <w:bottom w:val="single" w:sz="8" w:color="E5FFFF"/>
            </w:tcBorders>
            <w:shd w:val="clear" w:color="auto" w:fill="E5FFFF"/>
          </w:tcPr>
          <w:p>
            <w:pPr>
              <w:spacing w:after="0"/>
              <w:rPr>
                <w:sz w:val="18"/>
                <w:szCs w:val="18"/>
                <w:color w:val="auto"/>
              </w:rPr>
            </w:pPr>
          </w:p>
        </w:tc>
        <w:tc>
          <w:tcPr>
            <w:tcW w:w="70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70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E5FFFF"/>
            </w:tcBorders>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E5FFFF"/>
            </w:tcBorders>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Safety and Productivity Solutions sales increased in the quarter and the nine months ended September 30, 2018 due to organic sales</w:t>
      </w:r>
    </w:p>
    <w:p>
      <w:pPr>
        <w:spacing w:after="0"/>
        <w:rPr>
          <w:sz w:val="20"/>
          <w:szCs w:val="20"/>
          <w:color w:val="auto"/>
        </w:rPr>
      </w:pPr>
      <w:r>
        <w:rPr>
          <w:rFonts w:ascii="Arial" w:cs="Arial" w:eastAsia="Arial" w:hAnsi="Arial"/>
          <w:sz w:val="18"/>
          <w:szCs w:val="18"/>
          <w:color w:val="auto"/>
        </w:rPr>
        <w:t>growth.</w:t>
      </w:r>
    </w:p>
    <w:p>
      <w:pPr>
        <w:spacing w:after="0" w:line="198" w:lineRule="exact"/>
        <w:rPr>
          <w:sz w:val="20"/>
          <w:szCs w:val="20"/>
          <w:color w:val="auto"/>
        </w:rPr>
      </w:pPr>
    </w:p>
    <w:p>
      <w:pPr>
        <w:ind w:left="660" w:right="2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Safety increased 5% (increased 6% organic) in the quarter and increased 6% (increased 4% organic) in the nine months due to increased sales volume in Industrial Safety and Retail.</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Productivity Solutions increased 15% (increased 16% organic) in the quarter and increased 15% (increased 13% organic) in the nine months primarily due to increased organic sales volume in Intelligrated, Sensing and IoT, and Productivity Products.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Safety and Productivity Solutions segment profit increased in the quarter and the nine months primarily due to an increase from operational segment profit. The increase in operational segment profit for the quarter is primarily driven by higher sales volume and pricing, partially offset by inflation. The increase in operational segment profit for the nine months was driven by higher sales volume, pricing, and productivity, net of inflation. Cost of products and services sold increased primarily due to higher organic sales and inflation.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spending related to our repositioning actions was $234 million in the nine months ended September 30, 2018 and was funded through operating cash flows. We expect cash spending for repositioning actions to be approximately $300 million in 2018 and to be funded through operating cash flows.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0" w:name="page41"/>
    <w:bookmarkEnd w:id="40"/>
    <w:p>
      <w:pPr>
        <w:ind w:right="8340" w:firstLine="8"/>
        <w:spacing w:after="0" w:line="475" w:lineRule="auto"/>
        <w:tabs>
          <w:tab w:leader="none" w:pos="3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Liquidity and Capital Resources </w:t>
      </w:r>
      <w:r>
        <w:rPr>
          <w:rFonts w:ascii="Arial" w:cs="Arial" w:eastAsia="Arial" w:hAnsi="Arial"/>
          <w:sz w:val="18"/>
          <w:szCs w:val="18"/>
          <w:b w:val="1"/>
          <w:bCs w:val="1"/>
          <w:color w:val="auto"/>
        </w:rPr>
        <w:t>Cash Flow Summary</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69"/>
        </w:trPr>
        <w:tc>
          <w:tcPr>
            <w:tcW w:w="6320" w:type="dxa"/>
            <w:vAlign w:val="bottom"/>
            <w:tcBorders>
              <w:bottom w:val="single" w:sz="8" w:color="E5FFFF"/>
            </w:tcBorders>
          </w:tcPr>
          <w:p>
            <w:pPr>
              <w:spacing w:after="0"/>
              <w:rPr>
                <w:sz w:val="14"/>
                <w:szCs w:val="14"/>
                <w:color w:val="auto"/>
              </w:rPr>
            </w:pPr>
          </w:p>
        </w:tc>
        <w:tc>
          <w:tcPr>
            <w:tcW w:w="2040" w:type="dxa"/>
            <w:vAlign w:val="bottom"/>
            <w:tcBorders>
              <w:bottom w:val="single" w:sz="8" w:color="E5FF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E5FF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196"/>
        </w:trPr>
        <w:tc>
          <w:tcPr>
            <w:tcW w:w="63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2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2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4,875</w:t>
            </w:r>
          </w:p>
        </w:tc>
        <w:tc>
          <w:tcPr>
            <w:tcW w:w="3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3,794</w:t>
            </w:r>
          </w:p>
        </w:tc>
      </w:tr>
      <w:tr>
        <w:trPr>
          <w:trHeight w:val="203"/>
        </w:trPr>
        <w:tc>
          <w:tcPr>
            <w:tcW w:w="63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2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1,433</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(2,191)</w:t>
            </w: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(3,402)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(2,387)</w:t>
            </w:r>
          </w:p>
        </w:tc>
      </w:tr>
      <w:tr>
        <w:trPr>
          <w:trHeight w:val="216"/>
        </w:trPr>
        <w:tc>
          <w:tcPr>
            <w:tcW w:w="63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20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330</w:t>
            </w:r>
          </w:p>
        </w:tc>
      </w:tr>
      <w:tr>
        <w:trPr>
          <w:trHeight w:val="210"/>
        </w:trPr>
        <w:tc>
          <w:tcPr>
            <w:tcW w:w="6320" w:type="dxa"/>
            <w:vAlign w:val="bottom"/>
          </w:tcPr>
          <w:p>
            <w:pPr>
              <w:spacing w:after="0" w:line="197" w:lineRule="exact"/>
              <w:rPr>
                <w:sz w:val="20"/>
                <w:szCs w:val="20"/>
                <w:color w:val="auto"/>
              </w:rPr>
            </w:pPr>
            <w:r>
              <w:rPr>
                <w:rFonts w:ascii="Arial" w:cs="Arial" w:eastAsia="Arial" w:hAnsi="Arial"/>
                <w:sz w:val="18"/>
                <w:szCs w:val="18"/>
                <w:color w:val="auto"/>
              </w:rPr>
              <w:t>Net increase (decrease) in cash and cash equivalents</w:t>
            </w:r>
          </w:p>
        </w:tc>
        <w:tc>
          <w:tcPr>
            <w:tcW w:w="2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2,744</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6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provided by operating activities increased by $1,081 million primarily due to a $542 million favorable impact from working capital (favorable accounts receivable and accounts payable, partially offset by inventory) and decreased cash tax payments of $325 million.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investing activities increased by $3,624 million primarily due to a net $3,108 million decrease in investments, primarily short term marketable securities, and an increase of $446 million in settlement receipts of foreign currency exchange contracts used as economic hedges on certain non-functional currency denominated monetary assets and liabilities.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increased by $1,015 million primarily due to an increase in net debt payments of $1,299 million, an increase in repurchases of common stock of $973 million, a decrease in proceeds from the issuance of common stock of $221 million, and an increase in cash dividends paid of $115 million, partially offset by Garrett pre-separation funding of $1,604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2018, we are not required to make contributions to our U.S. pension plans. We plan to make contributions of cash and/or marketable securities of approximately $140 million ($ 99 million of marketable securities were contributed in January 2018) to our non-U.S. plans in 2018 to satisfy regulatory funding requirements.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nine months ended September 30, 2018, the Company repurchased $2,308 million of outstanding shares. Under the Company’s previously approved $8 billion share repurchase program, $5.4 billion remained available as of September 30, 2018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the level of operating, financing and other investing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1" w:name="page42"/>
    <w:bookmarkEnd w:id="41"/>
    <w:p>
      <w:pPr>
        <w:jc w:val="both"/>
        <w:ind w:firstLine="648"/>
        <w:spacing w:after="0" w:line="246" w:lineRule="auto"/>
        <w:rPr>
          <w:sz w:val="20"/>
          <w:szCs w:val="20"/>
          <w:color w:val="auto"/>
        </w:rPr>
      </w:pPr>
      <w:r>
        <w:rPr>
          <w:rFonts w:ascii="Arial" w:cs="Arial" w:eastAsia="Arial" w:hAnsi="Arial"/>
          <w:sz w:val="18"/>
          <w:szCs w:val="18"/>
          <w:color w:val="auto"/>
        </w:rPr>
        <w:t>The Company increased the quarterly dividend rate by 10% to $.82 per share of common stock effective with the fourth quarter 2018 dividend.</w:t>
      </w:r>
    </w:p>
    <w:p>
      <w:pPr>
        <w:spacing w:after="0" w:line="1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7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Sales Recognition on Long-Term Contracts</w:t>
      </w:r>
      <w:r>
        <w:rPr>
          <w:rFonts w:ascii="Arial" w:cs="Arial" w:eastAsia="Arial" w:hAnsi="Arial"/>
          <w:sz w:val="21"/>
          <w:szCs w:val="21"/>
          <w:color w:val="auto"/>
        </w:rPr>
        <w:t>—</w:t>
      </w:r>
      <w:r>
        <w:rPr>
          <w:rFonts w:ascii="Arial" w:cs="Arial" w:eastAsia="Arial" w:hAnsi="Arial"/>
          <w:sz w:val="18"/>
          <w:szCs w:val="18"/>
          <w:color w:val="auto"/>
        </w:rPr>
        <w:t>We recognize sales for long-term contracts with performance obligations satisfied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using either an 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17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b w:val="1"/>
          <w:bCs w:val="1"/>
          <w:i w:val="1"/>
          <w:iCs w:val="1"/>
          <w:color w:val="auto"/>
        </w:rPr>
        <w:t>Asbestos Related Contingencies and Insurance Recoveries</w:t>
      </w:r>
      <w:r>
        <w:rPr>
          <w:rFonts w:ascii="Arial" w:cs="Arial" w:eastAsia="Arial" w:hAnsi="Arial"/>
          <w:sz w:val="21"/>
          <w:szCs w:val="21"/>
          <w:color w:val="auto"/>
        </w:rPr>
        <w:t>—</w:t>
      </w:r>
      <w:r>
        <w:rPr>
          <w:rFonts w:ascii="Arial" w:cs="Arial" w:eastAsia="Arial" w:hAnsi="Arial"/>
          <w:sz w:val="18"/>
          <w:szCs w:val="18"/>
          <w:color w:val="auto"/>
        </w:rPr>
        <w:t>Honeywell’s involvement in asbestos related personal injury 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relates to two predecessor companies.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The estimate of future NARCO claims was prepared in 2002, in the same year NARCO filed for bankruptcy protection, using NARCO tort system litigation experience based on a commonly accepted methodology used by numerous bankruptcy courts addressing 524(g) trusts. Accordingly, the estimated value of future NARCO asbestos claims was prepared before there was data on claims filings and payment rates in the NARCO Trust under the Trust Distribution Procedures and prepared when the stay of all NARCO asbestos claims was in effect (which remained in effect until NARCO emerged from Bankruptcy protection). Some critical assumptions underlying this commonly accepted methodology included claims filing rates, disease criteria and payment values contained in the Trust Distribution Procedures, estimated approval rates of claims submitted to the NARCO Trust and epidemiological studies estimating disease instances. This estimate resulted in a range of estimated liability of $743 million to $961 million. We believe that no amount within this range is a better estimate than any other amount and accordingly, we have recorded the minimum amount in the range. Given the Trust’s lack of sufficiently reliable claims data since NARCO emerged from bankruptcy protection, it is not yet possible to update our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2" w:name="page43"/>
    <w:bookmarkEnd w:id="42"/>
    <w:p>
      <w:pPr>
        <w:ind w:right="240"/>
        <w:spacing w:after="0" w:line="238" w:lineRule="auto"/>
        <w:rPr>
          <w:sz w:val="20"/>
          <w:szCs w:val="20"/>
          <w:color w:val="auto"/>
        </w:rPr>
      </w:pPr>
      <w:r>
        <w:rPr>
          <w:rFonts w:ascii="Arial" w:cs="Arial" w:eastAsia="Arial" w:hAnsi="Arial"/>
          <w:sz w:val="18"/>
          <w:szCs w:val="18"/>
          <w:color w:val="auto"/>
        </w:rPr>
        <w:t>estimated future claim costs based on actual Trust experience. Regarding Bendix Friction Materials (“Bendix”) asbestos related claims, we accrued for the estimated value of pending claims using average resolution values for the previous five years. We also accrued for the estimated value of future anticipated claims related to Bendix over the full term of epidemiological projections through 2059 based on historic claims filing experience and dismissal rates, disease classifications, and average resolution values in the tort system for the previous five years.</w:t>
      </w:r>
    </w:p>
    <w:p>
      <w:pPr>
        <w:spacing w:after="0" w:line="189"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195"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See Note 15 Commitments and Contingencies of Notes to Consolidated Financial Statements for a discussion of management’s judgments applied in the recognition and measurement of our asbestos-related liabilities and related insurance recoveries.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September 30, 2018 should be read in conjunction with the consolidated financial statements for the year ended December 31, 2017 contained in our 2017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2017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2017 Annual Report on Form 10-K. As of September 30, 2018,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189" w:lineRule="exact"/>
        <w:rPr>
          <w:sz w:val="20"/>
          <w:szCs w:val="20"/>
          <w:color w:val="auto"/>
        </w:rPr>
      </w:pPr>
    </w:p>
    <w:p>
      <w:pPr>
        <w:ind w:left="660" w:right="3980"/>
        <w:spacing w:after="0" w:line="477" w:lineRule="auto"/>
        <w:rPr>
          <w:sz w:val="20"/>
          <w:szCs w:val="20"/>
          <w:color w:val="auto"/>
        </w:rPr>
      </w:pPr>
      <w:r>
        <w:rPr>
          <w:rFonts w:ascii="Arial" w:cs="Arial" w:eastAsia="Arial" w:hAnsi="Arial"/>
          <w:sz w:val="18"/>
          <w:szCs w:val="18"/>
          <w:u w:val="single" w:color="auto"/>
          <w:color w:val="auto"/>
        </w:rPr>
        <w:t xml:space="preserve">Environmental Matters Involving Potential Monetary Sanctions in Excess of $100,000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There have been no material changes to the disclosure presented in our 2017 Annual Report on Form 10-K under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purchased 3,971,124 shares of its common stock, par value $1 per share, in the quarter ended September 30, 2018. Under the Company’s previously approved $8 billion share repurchase program, $5.4 billion remained available as of September 30, 2018 for additional share repurchases. The following table summarizes Honeywell’s purchase of its common stock for the quarter ended September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280" w:type="dxa"/>
            <w:vAlign w:val="bottom"/>
            <w:gridSpan w:val="5"/>
          </w:tcPr>
          <w:p>
            <w:pPr>
              <w:ind w:left="540"/>
              <w:spacing w:after="0"/>
              <w:rPr>
                <w:sz w:val="20"/>
                <w:szCs w:val="20"/>
                <w:color w:val="auto"/>
              </w:rPr>
            </w:pPr>
            <w:r>
              <w:rPr>
                <w:rFonts w:ascii="Arial" w:cs="Arial" w:eastAsia="Arial" w:hAnsi="Arial"/>
                <w:sz w:val="14"/>
                <w:szCs w:val="14"/>
                <w:b w:val="1"/>
                <w:bCs w:val="1"/>
                <w:color w:val="auto"/>
              </w:rPr>
              <w:t>Issuer Purchases of Equity Securities</w:t>
            </w: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96"/>
        </w:trPr>
        <w:tc>
          <w:tcPr>
            <w:tcW w:w="3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w:t>
            </w: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(b)</w:t>
            </w: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Total Number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Value of Shares</w:t>
            </w:r>
          </w:p>
        </w:tc>
      </w:tr>
      <w:tr>
        <w:trPr>
          <w:trHeight w:val="162"/>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Shares Purchased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that May Yet be</w:t>
            </w:r>
          </w:p>
        </w:tc>
      </w:tr>
      <w:tr>
        <w:trPr>
          <w:trHeight w:val="162"/>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Part of Publicly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Purchased Under</w:t>
            </w:r>
          </w:p>
        </w:tc>
      </w:tr>
      <w:tr>
        <w:trPr>
          <w:trHeight w:val="162"/>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Total Number of</w:t>
            </w: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Announced Plans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r>
      <w:tr>
        <w:trPr>
          <w:trHeight w:val="175"/>
        </w:trPr>
        <w:tc>
          <w:tcPr>
            <w:tcW w:w="3880" w:type="dxa"/>
            <w:vAlign w:val="bottom"/>
          </w:tcPr>
          <w:p>
            <w:pPr>
              <w:ind w:left="1720"/>
              <w:spacing w:after="0"/>
              <w:rPr>
                <w:sz w:val="20"/>
                <w:szCs w:val="20"/>
                <w:color w:val="auto"/>
              </w:rPr>
            </w:pPr>
            <w:r>
              <w:rPr>
                <w:rFonts w:ascii="Arial" w:cs="Arial" w:eastAsia="Arial" w:hAnsi="Arial"/>
                <w:sz w:val="14"/>
                <w:szCs w:val="14"/>
                <w:b w:val="1"/>
                <w:bCs w:val="1"/>
                <w:color w:val="auto"/>
              </w:rPr>
              <w:t>Period</w:t>
            </w:r>
          </w:p>
        </w:tc>
        <w:tc>
          <w:tcPr>
            <w:tcW w:w="560" w:type="dxa"/>
            <w:vAlign w:val="bottom"/>
          </w:tcPr>
          <w:p>
            <w:pPr>
              <w:spacing w:after="0"/>
              <w:rPr>
                <w:sz w:val="15"/>
                <w:szCs w:val="15"/>
                <w:color w:val="auto"/>
              </w:rPr>
            </w:pPr>
          </w:p>
        </w:tc>
        <w:tc>
          <w:tcPr>
            <w:tcW w:w="19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Shares Purchased</w:t>
            </w: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or Programs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38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July 2018</w:t>
            </w:r>
          </w:p>
        </w:tc>
        <w:tc>
          <w:tcPr>
            <w:tcW w:w="5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ind w:right="124"/>
              <w:spacing w:after="0" w:line="196" w:lineRule="exact"/>
              <w:rPr>
                <w:sz w:val="20"/>
                <w:szCs w:val="20"/>
                <w:color w:val="auto"/>
              </w:rPr>
            </w:pPr>
            <w:r>
              <w:rPr>
                <w:rFonts w:ascii="Arial" w:cs="Arial" w:eastAsia="Arial" w:hAnsi="Arial"/>
                <w:sz w:val="18"/>
                <w:szCs w:val="18"/>
                <w:color w:val="auto"/>
              </w:rPr>
              <w:t>2,606,336</w:t>
            </w:r>
          </w:p>
        </w:tc>
        <w:tc>
          <w:tcPr>
            <w:tcW w:w="58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ind w:right="259"/>
              <w:spacing w:after="0" w:line="196" w:lineRule="exact"/>
              <w:rPr>
                <w:sz w:val="20"/>
                <w:szCs w:val="20"/>
                <w:color w:val="auto"/>
              </w:rPr>
            </w:pPr>
            <w:r>
              <w:rPr>
                <w:rFonts w:ascii="Arial" w:cs="Arial" w:eastAsia="Arial" w:hAnsi="Arial"/>
                <w:sz w:val="18"/>
                <w:szCs w:val="18"/>
                <w:color w:val="auto"/>
              </w:rPr>
              <w:t>$ 146.14</w:t>
            </w:r>
          </w:p>
        </w:tc>
        <w:tc>
          <w:tcPr>
            <w:tcW w:w="5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ind w:right="142"/>
              <w:spacing w:after="0" w:line="196" w:lineRule="exact"/>
              <w:rPr>
                <w:sz w:val="20"/>
                <w:szCs w:val="20"/>
                <w:color w:val="auto"/>
              </w:rPr>
            </w:pPr>
            <w:r>
              <w:rPr>
                <w:rFonts w:ascii="Arial" w:cs="Arial" w:eastAsia="Arial" w:hAnsi="Arial"/>
                <w:sz w:val="18"/>
                <w:szCs w:val="18"/>
                <w:color w:val="auto"/>
              </w:rPr>
              <w:t>2,606,336</w:t>
            </w:r>
          </w:p>
        </w:tc>
        <w:tc>
          <w:tcPr>
            <w:tcW w:w="5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ind w:right="363"/>
              <w:spacing w:after="0" w:line="196" w:lineRule="exact"/>
              <w:rPr>
                <w:sz w:val="20"/>
                <w:szCs w:val="20"/>
                <w:color w:val="auto"/>
              </w:rPr>
            </w:pPr>
            <w:r>
              <w:rPr>
                <w:rFonts w:ascii="Arial" w:cs="Arial" w:eastAsia="Arial" w:hAnsi="Arial"/>
                <w:sz w:val="18"/>
                <w:szCs w:val="18"/>
                <w:color w:val="auto"/>
              </w:rPr>
              <w:t>$5,652</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August 2018</w:t>
            </w:r>
          </w:p>
        </w:tc>
        <w:tc>
          <w:tcPr>
            <w:tcW w:w="1900" w:type="dxa"/>
            <w:vAlign w:val="bottom"/>
            <w:gridSpan w:val="2"/>
          </w:tcPr>
          <w:p>
            <w:pPr>
              <w:jc w:val="right"/>
              <w:ind w:right="124"/>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20" w:type="dxa"/>
            <w:vAlign w:val="bottom"/>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340" w:type="dxa"/>
            <w:vAlign w:val="bottom"/>
          </w:tcPr>
          <w:p>
            <w:pPr>
              <w:jc w:val="right"/>
              <w:ind w:right="14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360" w:type="dxa"/>
            <w:vAlign w:val="bottom"/>
          </w:tcPr>
          <w:p>
            <w:pPr>
              <w:jc w:val="right"/>
              <w:ind w:right="363"/>
              <w:spacing w:after="0" w:line="202" w:lineRule="exact"/>
              <w:rPr>
                <w:sz w:val="20"/>
                <w:szCs w:val="20"/>
                <w:color w:val="auto"/>
              </w:rPr>
            </w:pPr>
            <w:r>
              <w:rPr>
                <w:rFonts w:ascii="Arial" w:cs="Arial" w:eastAsia="Arial" w:hAnsi="Arial"/>
                <w:sz w:val="18"/>
                <w:szCs w:val="18"/>
                <w:color w:val="auto"/>
              </w:rPr>
              <w:t>$5,652</w:t>
            </w:r>
          </w:p>
        </w:tc>
      </w:tr>
      <w:tr>
        <w:trPr>
          <w:trHeight w:val="203"/>
        </w:trPr>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September 2018</w:t>
            </w:r>
          </w:p>
        </w:tc>
        <w:tc>
          <w:tcPr>
            <w:tcW w:w="1900" w:type="dxa"/>
            <w:vAlign w:val="bottom"/>
            <w:gridSpan w:val="2"/>
            <w:shd w:val="clear" w:color="auto" w:fill="E5FFFF"/>
          </w:tcPr>
          <w:p>
            <w:pPr>
              <w:jc w:val="right"/>
              <w:ind w:right="124"/>
              <w:spacing w:after="0" w:line="202" w:lineRule="exact"/>
              <w:rPr>
                <w:sz w:val="20"/>
                <w:szCs w:val="20"/>
                <w:color w:val="auto"/>
              </w:rPr>
            </w:pPr>
            <w:r>
              <w:rPr>
                <w:rFonts w:ascii="Arial" w:cs="Arial" w:eastAsia="Arial" w:hAnsi="Arial"/>
                <w:sz w:val="18"/>
                <w:szCs w:val="18"/>
                <w:color w:val="auto"/>
              </w:rPr>
              <w:t>1,364,788</w:t>
            </w:r>
          </w:p>
        </w:tc>
        <w:tc>
          <w:tcPr>
            <w:tcW w:w="580" w:type="dxa"/>
            <w:vAlign w:val="bottom"/>
            <w:shd w:val="clear" w:color="auto" w:fill="E5FFFF"/>
          </w:tcPr>
          <w:p>
            <w:pPr>
              <w:spacing w:after="0"/>
              <w:rPr>
                <w:sz w:val="17"/>
                <w:szCs w:val="17"/>
                <w:color w:val="auto"/>
              </w:rPr>
            </w:pPr>
          </w:p>
        </w:tc>
        <w:tc>
          <w:tcPr>
            <w:tcW w:w="1220" w:type="dxa"/>
            <w:vAlign w:val="bottom"/>
            <w:shd w:val="clear" w:color="auto" w:fill="E5FFFF"/>
          </w:tcPr>
          <w:p>
            <w:pPr>
              <w:jc w:val="right"/>
              <w:ind w:right="259"/>
              <w:spacing w:after="0" w:line="202" w:lineRule="exact"/>
              <w:rPr>
                <w:sz w:val="20"/>
                <w:szCs w:val="20"/>
                <w:color w:val="auto"/>
              </w:rPr>
            </w:pPr>
            <w:r>
              <w:rPr>
                <w:rFonts w:ascii="Arial" w:cs="Arial" w:eastAsia="Arial" w:hAnsi="Arial"/>
                <w:sz w:val="18"/>
                <w:szCs w:val="18"/>
                <w:color w:val="auto"/>
              </w:rPr>
              <w:t>$163.68</w:t>
            </w:r>
          </w:p>
        </w:tc>
        <w:tc>
          <w:tcPr>
            <w:tcW w:w="58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42"/>
              <w:spacing w:after="0" w:line="202" w:lineRule="exact"/>
              <w:rPr>
                <w:sz w:val="20"/>
                <w:szCs w:val="20"/>
                <w:color w:val="auto"/>
              </w:rPr>
            </w:pPr>
            <w:r>
              <w:rPr>
                <w:rFonts w:ascii="Arial" w:cs="Arial" w:eastAsia="Arial" w:hAnsi="Arial"/>
                <w:sz w:val="18"/>
                <w:szCs w:val="18"/>
                <w:color w:val="auto"/>
              </w:rPr>
              <w:t>1,364,788</w:t>
            </w:r>
          </w:p>
        </w:tc>
        <w:tc>
          <w:tcPr>
            <w:tcW w:w="56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363"/>
              <w:spacing w:after="0" w:line="202" w:lineRule="exact"/>
              <w:rPr>
                <w:sz w:val="20"/>
                <w:szCs w:val="20"/>
                <w:color w:val="auto"/>
              </w:rPr>
            </w:pPr>
            <w:r>
              <w:rPr>
                <w:rFonts w:ascii="Arial" w:cs="Arial" w:eastAsia="Arial" w:hAnsi="Arial"/>
                <w:sz w:val="18"/>
                <w:szCs w:val="18"/>
                <w:color w:val="auto"/>
              </w:rPr>
              <w:t>$5,429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three months ended September 30, 2018, including the activities disclosed below, were conducted by our non-U.S. subsidiaries (i) under General License H, (ii) under General License I, or (iii) under a specific license issued by U.S. Treasury’s Office of Foreign Assets Control (OFAC), and otherwise in compliance with all applicable laws, including sanctions regulations administered by OFAC.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three months ended September 30, 2018, the non-U.S. subsidiaries of our UOP business, part of Performance Materials and</w:t>
      </w:r>
    </w:p>
    <w:p>
      <w:pPr>
        <w:spacing w:after="0"/>
        <w:rPr>
          <w:sz w:val="20"/>
          <w:szCs w:val="20"/>
          <w:color w:val="auto"/>
        </w:rPr>
      </w:pPr>
      <w:r>
        <w:rPr>
          <w:rFonts w:ascii="Arial" w:cs="Arial" w:eastAsia="Arial" w:hAnsi="Arial"/>
          <w:sz w:val="18"/>
          <w:szCs w:val="18"/>
          <w:color w:val="auto"/>
        </w:rPr>
        <w:t>Technologies, engaged in the following activities related to Iran’s oil, gas and/or petrochemical sectors:</w:t>
      </w:r>
    </w:p>
    <w:p>
      <w:pPr>
        <w:spacing w:after="0" w:line="198" w:lineRule="exact"/>
        <w:rPr>
          <w:sz w:val="20"/>
          <w:szCs w:val="20"/>
          <w:color w:val="auto"/>
        </w:rPr>
      </w:pPr>
    </w:p>
    <w:p>
      <w:pPr>
        <w:jc w:val="center"/>
        <w:ind w:left="5620" w:right="280" w:hanging="5288"/>
        <w:spacing w:after="0" w:line="481" w:lineRule="auto"/>
        <w:tabs>
          <w:tab w:leader="none" w:pos="6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Delivered services to Iranian counterparties pursuant to existing contracts, which resulted in revenue of approximately $17.2 million.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4" w:name="page45"/>
    <w:bookmarkEnd w:id="44"/>
    <w:p>
      <w:pPr>
        <w:ind w:left="660" w:right="180" w:hanging="328"/>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existing contracts, which resulted in revenue of approximately $0.3 million.</w:t>
      </w:r>
    </w:p>
    <w:p>
      <w:pPr>
        <w:spacing w:after="0" w:line="18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Following the wind-down activities authorized by OFAC after the United States’ withdrawal from the Joint Comprehensive Plan of Action, we will cease doing business in Iran. Such wind-down activities may require additional disclosure pursuant to Section 13(r) of the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00" w:type="dxa"/>
            <w:vAlign w:val="bottom"/>
          </w:tcPr>
          <w:p>
            <w:pPr>
              <w:jc w:val="right"/>
              <w:spacing w:after="0"/>
              <w:rPr>
                <w:sz w:val="20"/>
                <w:szCs w:val="20"/>
                <w:color w:val="auto"/>
              </w:rPr>
            </w:pPr>
            <w:r>
              <w:rPr>
                <w:rFonts w:ascii="Arial" w:cs="Arial" w:eastAsia="Arial" w:hAnsi="Arial"/>
                <w:sz w:val="18"/>
                <w:szCs w:val="18"/>
                <w:color w:val="auto"/>
                <w:w w:val="98"/>
              </w:rPr>
              <w:t>Item 6.</w:t>
            </w:r>
          </w:p>
        </w:tc>
        <w:tc>
          <w:tcPr>
            <w:tcW w:w="606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8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5060" w:type="dxa"/>
            <w:vAlign w:val="bottom"/>
            <w:gridSpan w:val="4"/>
          </w:tcPr>
          <w:p>
            <w:pPr>
              <w:ind w:left="12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38"/>
        </w:trPr>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b w:val="1"/>
                <w:bCs w:val="1"/>
                <w:color w:val="auto"/>
                <w:w w:val="96"/>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20" w:hanging="917"/>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6">
        <w:r>
          <w:rPr>
            <w:rFonts w:ascii="Arial" w:cs="Arial" w:eastAsia="Arial" w:hAnsi="Arial"/>
            <w:sz w:val="18"/>
            <w:szCs w:val="18"/>
            <w:u w:val="single" w:color="auto"/>
            <w:color w:val="0000EE"/>
          </w:rPr>
          <w:t>Indemnification and Reimbursement Agreement, dated September 12, 2018, by and among Honeywell ASASCO Inc., Honeywell</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ASASCO 2 Inc., and Honeywell International Inc. (incorporated by reference to Exhibit 2.1 to Honeywell’s Form 8-K filed September</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14, 2018).</w:t>
        </w:r>
      </w:hyperlink>
    </w:p>
    <w:p>
      <w:pPr>
        <w:spacing w:after="0" w:line="189" w:lineRule="exact"/>
        <w:rPr>
          <w:rFonts w:ascii="Arial" w:cs="Arial" w:eastAsia="Arial" w:hAnsi="Arial"/>
          <w:sz w:val="18"/>
          <w:szCs w:val="18"/>
          <w:u w:val="single" w:color="auto"/>
          <w:color w:val="0000EE"/>
        </w:rPr>
      </w:pPr>
    </w:p>
    <w:p>
      <w:pPr>
        <w:ind w:left="920" w:right="840" w:hanging="917"/>
        <w:spacing w:after="0" w:line="246"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57">
        <w:r>
          <w:rPr>
            <w:rFonts w:ascii="Arial" w:cs="Arial" w:eastAsia="Arial" w:hAnsi="Arial"/>
            <w:sz w:val="18"/>
            <w:szCs w:val="18"/>
            <w:u w:val="single" w:color="auto"/>
            <w:color w:val="0000EE"/>
          </w:rPr>
          <w:t>Indemnification and Reimbursement Agreement, dated October 14, 2018, by and between New HAPI Inc. and Honeywell</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International Inc. (incorporated by reference to Exhibit 2.1 to Honeywell’s Form 8-K filed October 15, 2018).</w:t>
        </w:r>
      </w:hyperlink>
    </w:p>
    <w:p>
      <w:pPr>
        <w:spacing w:after="0" w:line="153" w:lineRule="exact"/>
        <w:rPr>
          <w:sz w:val="20"/>
          <w:szCs w:val="20"/>
          <w:color w:val="auto"/>
        </w:rPr>
      </w:pPr>
    </w:p>
    <w:p>
      <w:pPr>
        <w:ind w:left="920" w:hanging="912"/>
        <w:spacing w:after="0"/>
        <w:tabs>
          <w:tab w:leader="none" w:pos="92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Computation of Per Share Earnings</w:t>
      </w:r>
      <w:r>
        <w:rPr>
          <w:rFonts w:ascii="Arial" w:cs="Arial" w:eastAsia="Arial" w:hAnsi="Arial"/>
          <w:sz w:val="30"/>
          <w:szCs w:val="30"/>
          <w:color w:val="auto"/>
          <w:vertAlign w:val="superscript"/>
        </w:rPr>
        <w:t>(1)</w:t>
      </w:r>
    </w:p>
    <w:p>
      <w:pPr>
        <w:spacing w:after="0" w:line="62" w:lineRule="exact"/>
        <w:rPr>
          <w:rFonts w:ascii="Arial" w:cs="Arial" w:eastAsia="Arial" w:hAnsi="Arial"/>
          <w:sz w:val="36"/>
          <w:szCs w:val="36"/>
          <w:color w:val="auto"/>
          <w:vertAlign w:val="superscript"/>
        </w:rPr>
      </w:pPr>
    </w:p>
    <w:p>
      <w:pPr>
        <w:ind w:left="920" w:hanging="912"/>
        <w:spacing w:after="0"/>
        <w:tabs>
          <w:tab w:leader="none" w:pos="920" w:val="left"/>
        </w:tabs>
        <w:numPr>
          <w:ilvl w:val="0"/>
          <w:numId w:val="12"/>
        </w:numPr>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Computation of Ratio of Earnings to Fixed Charges (filed herewith)</w:t>
        </w:r>
      </w:hyperlink>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Principal Executive Officer Pursuant to Section 302 of the Sarbanes-Oxley Act of 2002 (filed herewith)</w:t>
              </w:r>
            </w:hyperlink>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300" w:type="dxa"/>
            <w:vAlign w:val="bottom"/>
            <w:tcBorders>
              <w:top w:val="single" w:sz="8" w:color="0000EE"/>
            </w:tcBorders>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Certification of Principal Financial Officer Pursuant to Section 302 of the Sarbanes-Oxley Act of 2002 (filed herewith)</w:t>
              </w:r>
            </w:hyperlink>
          </w:p>
        </w:tc>
        <w:tc>
          <w:tcPr>
            <w:tcW w:w="380" w:type="dxa"/>
            <w:vAlign w:val="bottom"/>
            <w:gridSpan w:val="2"/>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Certification of Principal Executive Officer Pursuant to 18 U.S.C. Section 1350, as Adopted Pursuant to Section 906 of the</w:t>
              </w:r>
            </w:hyperlink>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Sarbanes-Oxley Act of 2002 (filed herewith)</w:t>
              </w:r>
            </w:hyperlink>
          </w:p>
        </w:tc>
        <w:tc>
          <w:tcPr>
            <w:tcW w:w="6000" w:type="dxa"/>
            <w:vAlign w:val="bottom"/>
            <w:gridSpan w:val="4"/>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968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 of Principal Financial Officer Pursuant to 18 U.S.C. Section 1350, as Adopted Pursuant to Section 906 of the</w:t>
              </w:r>
            </w:hyperlink>
          </w:p>
        </w:tc>
      </w:tr>
      <w:tr>
        <w:trPr>
          <w:trHeight w:val="183"/>
        </w:trPr>
        <w:tc>
          <w:tcPr>
            <w:tcW w:w="9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Sarbanes-Oxley Act of 2002 (filed herewith)</w:t>
              </w:r>
            </w:hyperlink>
          </w:p>
        </w:tc>
        <w:tc>
          <w:tcPr>
            <w:tcW w:w="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24" w:lineRule="exact"/>
        <w:rPr>
          <w:sz w:val="20"/>
          <w:szCs w:val="20"/>
          <w:color w:val="auto"/>
        </w:rPr>
      </w:pPr>
    </w:p>
    <w:p>
      <w:pPr>
        <w:ind w:left="5620" w:right="2260" w:hanging="5612"/>
        <w:spacing w:after="0" w:line="486" w:lineRule="auto"/>
        <w:tabs>
          <w:tab w:leader="none" w:pos="9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Data required is provided in Note 6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of Notes to Consolidated Financial Statements.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2"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7640" w:type="dxa"/>
            <w:vAlign w:val="bottom"/>
            <w:gridSpan w:val="3"/>
          </w:tcPr>
          <w:p>
            <w:pPr>
              <w:ind w:left="3480"/>
              <w:spacing w:after="0"/>
              <w:rPr>
                <w:sz w:val="20"/>
                <w:szCs w:val="20"/>
                <w:color w:val="auto"/>
              </w:rPr>
            </w:pPr>
            <w:r>
              <w:rPr>
                <w:rFonts w:ascii="Arial" w:cs="Arial" w:eastAsia="Arial" w:hAnsi="Arial"/>
                <w:sz w:val="18"/>
                <w:szCs w:val="18"/>
                <w:color w:val="auto"/>
              </w:rPr>
              <w:t>Honeywell International Inc.</w:t>
            </w:r>
          </w:p>
        </w:tc>
      </w:tr>
      <w:tr>
        <w:trPr>
          <w:trHeight w:val="365"/>
        </w:trPr>
        <w:tc>
          <w:tcPr>
            <w:tcW w:w="3780" w:type="dxa"/>
            <w:vAlign w:val="bottom"/>
          </w:tcPr>
          <w:p>
            <w:pPr>
              <w:spacing w:after="0"/>
              <w:rPr>
                <w:sz w:val="20"/>
                <w:szCs w:val="20"/>
                <w:color w:val="auto"/>
              </w:rPr>
            </w:pPr>
            <w:r>
              <w:rPr>
                <w:rFonts w:ascii="Arial" w:cs="Arial" w:eastAsia="Arial" w:hAnsi="Arial"/>
                <w:sz w:val="18"/>
                <w:szCs w:val="18"/>
                <w:color w:val="auto"/>
              </w:rPr>
              <w:t>Date: October 19, 2018</w:t>
            </w:r>
          </w:p>
        </w:tc>
        <w:tc>
          <w:tcPr>
            <w:tcW w:w="7640" w:type="dxa"/>
            <w:vAlign w:val="bottom"/>
            <w:gridSpan w:val="3"/>
          </w:tcPr>
          <w:p>
            <w:pPr>
              <w:ind w:left="3300"/>
              <w:spacing w:after="0"/>
              <w:rPr>
                <w:sz w:val="20"/>
                <w:szCs w:val="20"/>
                <w:color w:val="auto"/>
              </w:rPr>
            </w:pPr>
            <w:r>
              <w:rPr>
                <w:rFonts w:ascii="Arial" w:cs="Arial" w:eastAsia="Arial" w:hAnsi="Arial"/>
                <w:sz w:val="18"/>
                <w:szCs w:val="18"/>
                <w:color w:val="auto"/>
              </w:rPr>
              <w:t>By: /s/ John J. Tus</w:t>
            </w:r>
          </w:p>
        </w:tc>
      </w:tr>
      <w:tr>
        <w:trPr>
          <w:trHeight w:val="209"/>
        </w:trPr>
        <w:tc>
          <w:tcPr>
            <w:tcW w:w="3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J. Tus</w:t>
            </w:r>
          </w:p>
        </w:tc>
        <w:tc>
          <w:tcPr>
            <w:tcW w:w="282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7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7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780" w:type="dxa"/>
            <w:vAlign w:val="bottom"/>
          </w:tcPr>
          <w:p>
            <w:pPr>
              <w:spacing w:after="0"/>
              <w:rPr>
                <w:sz w:val="24"/>
                <w:szCs w:val="24"/>
                <w:color w:val="auto"/>
              </w:rPr>
            </w:pPr>
          </w:p>
        </w:tc>
        <w:tc>
          <w:tcPr>
            <w:tcW w:w="3660" w:type="dxa"/>
            <w:vAlign w:val="bottom"/>
          </w:tcPr>
          <w:p>
            <w:pPr>
              <w:jc w:val="right"/>
              <w:ind w:right="1530"/>
              <w:spacing w:after="0"/>
              <w:rPr>
                <w:sz w:val="20"/>
                <w:szCs w:val="20"/>
                <w:color w:val="auto"/>
              </w:rPr>
            </w:pPr>
            <w:r>
              <w:rPr>
                <w:rFonts w:ascii="Arial" w:cs="Arial" w:eastAsia="Arial" w:hAnsi="Arial"/>
                <w:sz w:val="18"/>
                <w:szCs w:val="18"/>
                <w:color w:val="auto"/>
              </w:rPr>
              <w:t>47</w:t>
            </w:r>
          </w:p>
        </w:tc>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7"/>
        </w:trPr>
        <w:tc>
          <w:tcPr>
            <w:tcW w:w="3780" w:type="dxa"/>
            <w:vAlign w:val="bottom"/>
            <w:tcBorders>
              <w:bottom w:val="single" w:sz="8" w:color="C0C0C0"/>
            </w:tcBorders>
          </w:tcPr>
          <w:p>
            <w:pPr>
              <w:spacing w:after="0"/>
              <w:rPr>
                <w:sz w:val="20"/>
                <w:szCs w:val="20"/>
                <w:color w:val="auto"/>
              </w:rPr>
            </w:pPr>
          </w:p>
        </w:tc>
        <w:tc>
          <w:tcPr>
            <w:tcW w:w="366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28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0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HONEYWELL INTERNATIONAL INC.</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jc w:val="center"/>
              <w:ind w:left="1290"/>
              <w:spacing w:after="0" w:line="202" w:lineRule="exact"/>
              <w:rPr>
                <w:sz w:val="20"/>
                <w:szCs w:val="20"/>
                <w:color w:val="auto"/>
              </w:rPr>
            </w:pPr>
            <w:r>
              <w:rPr>
                <w:rFonts w:ascii="Arial" w:cs="Arial" w:eastAsia="Arial" w:hAnsi="Arial"/>
                <w:sz w:val="18"/>
                <w:szCs w:val="18"/>
                <w:b w:val="1"/>
                <w:bCs w:val="1"/>
                <w:color w:val="auto"/>
                <w:w w:val="98"/>
              </w:rPr>
              <w:t>STATEMENT RE: COMPUTATION OF RATIO OF EARNINGS TO FIXED CHARGES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jc w:val="center"/>
              <w:ind w:left="1310"/>
              <w:spacing w:after="0" w:line="202" w:lineRule="exact"/>
              <w:rPr>
                <w:sz w:val="20"/>
                <w:szCs w:val="20"/>
                <w:color w:val="auto"/>
              </w:rPr>
            </w:pPr>
            <w:r>
              <w:rPr>
                <w:rFonts w:ascii="Arial" w:cs="Arial" w:eastAsia="Arial" w:hAnsi="Arial"/>
                <w:sz w:val="18"/>
                <w:szCs w:val="18"/>
                <w:b w:val="1"/>
                <w:bCs w:val="1"/>
                <w:color w:val="auto"/>
                <w:w w:val="99"/>
              </w:rPr>
              <w:t>Nine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jc w:val="center"/>
              <w:ind w:left="1310"/>
              <w:spacing w:after="0" w:line="202" w:lineRule="exact"/>
              <w:rPr>
                <w:sz w:val="20"/>
                <w:szCs w:val="20"/>
                <w:color w:val="auto"/>
              </w:rPr>
            </w:pPr>
            <w:r>
              <w:rPr>
                <w:rFonts w:ascii="Arial" w:cs="Arial" w:eastAsia="Arial" w:hAnsi="Arial"/>
                <w:sz w:val="18"/>
                <w:szCs w:val="18"/>
                <w:b w:val="1"/>
                <w:bCs w:val="1"/>
                <w:color w:val="auto"/>
                <w:w w:val="99"/>
              </w:rPr>
              <w:t>September 30, 2018</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(Dollars in millions)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0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0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Determination of Earnings:</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Equity income, net of distributions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bottom w:val="single" w:sz="8" w:color="E5FFFF"/>
            </w:tcBorders>
            <w:shd w:val="clear" w:color="auto" w:fill="E5FFFF"/>
          </w:tcPr>
          <w:p>
            <w:pPr>
              <w:ind w:left="520"/>
              <w:spacing w:after="0"/>
              <w:rPr>
                <w:sz w:val="20"/>
                <w:szCs w:val="20"/>
                <w:color w:val="auto"/>
              </w:rPr>
            </w:pPr>
            <w:r>
              <w:rPr>
                <w:rFonts w:ascii="Arial" w:cs="Arial" w:eastAsia="Arial" w:hAnsi="Arial"/>
                <w:sz w:val="18"/>
                <w:szCs w:val="18"/>
                <w:b w:val="1"/>
                <w:bCs w:val="1"/>
                <w:color w:val="auto"/>
              </w:rPr>
              <w:t>Total earnings, as defined</w:t>
            </w: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0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4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Capitalized interest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bottom w:val="single" w:sz="8" w:color="E5FFFF"/>
            </w:tcBorders>
            <w:shd w:val="clear" w:color="auto" w:fill="E5FFFF"/>
          </w:tcPr>
          <w:p>
            <w:pPr>
              <w:ind w:left="520"/>
              <w:spacing w:after="0"/>
              <w:rPr>
                <w:sz w:val="20"/>
                <w:szCs w:val="20"/>
                <w:color w:val="auto"/>
              </w:rPr>
            </w:pPr>
            <w:r>
              <w:rPr>
                <w:rFonts w:ascii="Arial" w:cs="Arial" w:eastAsia="Arial" w:hAnsi="Arial"/>
                <w:sz w:val="18"/>
                <w:szCs w:val="18"/>
                <w:b w:val="1"/>
                <w:bCs w:val="1"/>
                <w:color w:val="auto"/>
              </w:rPr>
              <w:t>Total fixed charges</w:t>
            </w: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100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19.26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80" w:firstLine="8"/>
        <w:spacing w:after="0" w:line="246"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9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40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400"/>
        <w:spacing w:after="0" w:line="24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October 19, 2018</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 Darius Adamczyk</w:t>
            </w:r>
          </w:p>
        </w:tc>
      </w:tr>
      <w:tr>
        <w:trPr>
          <w:trHeight w:val="182"/>
        </w:trPr>
        <w:tc>
          <w:tcPr>
            <w:tcW w:w="3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Darius Adamczyk</w:t>
            </w:r>
          </w:p>
        </w:tc>
        <w:tc>
          <w:tcPr>
            <w:tcW w:w="3600" w:type="dxa"/>
            <w:vAlign w:val="bottom"/>
          </w:tcPr>
          <w:p>
            <w:pPr>
              <w:spacing w:after="0"/>
              <w:rPr>
                <w:sz w:val="15"/>
                <w:szCs w:val="15"/>
                <w:color w:val="auto"/>
              </w:rPr>
            </w:pPr>
          </w:p>
        </w:tc>
      </w:tr>
      <w:tr>
        <w:trPr>
          <w:trHeight w:val="217"/>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264"/>
        </w:trPr>
        <w:tc>
          <w:tcPr>
            <w:tcW w:w="3800" w:type="dxa"/>
            <w:vAlign w:val="bottom"/>
            <w:tcBorders>
              <w:bottom w:val="single" w:sz="8" w:color="C0C0C0"/>
            </w:tcBorders>
          </w:tcPr>
          <w:p>
            <w:pPr>
              <w:spacing w:after="0"/>
              <w:rPr>
                <w:sz w:val="22"/>
                <w:szCs w:val="22"/>
                <w:color w:val="auto"/>
              </w:rPr>
            </w:pPr>
          </w:p>
        </w:tc>
        <w:tc>
          <w:tcPr>
            <w:tcW w:w="2380" w:type="dxa"/>
            <w:vAlign w:val="bottom"/>
            <w:tcBorders>
              <w:bottom w:val="single" w:sz="8" w:color="C0C0C0"/>
            </w:tcBorders>
          </w:tcPr>
          <w:p>
            <w:pPr>
              <w:spacing w:after="0"/>
              <w:rPr>
                <w:sz w:val="22"/>
                <w:szCs w:val="22"/>
                <w:color w:val="auto"/>
              </w:rPr>
            </w:pPr>
          </w:p>
        </w:tc>
        <w:tc>
          <w:tcPr>
            <w:tcW w:w="1640" w:type="dxa"/>
            <w:vAlign w:val="bottom"/>
            <w:tcBorders>
              <w:bottom w:val="single" w:sz="8" w:color="C0C0C0"/>
            </w:tcBorders>
          </w:tcPr>
          <w:p>
            <w:pPr>
              <w:spacing w:after="0"/>
              <w:rPr>
                <w:sz w:val="22"/>
                <w:szCs w:val="22"/>
                <w:color w:val="auto"/>
              </w:rPr>
            </w:pPr>
          </w:p>
        </w:tc>
        <w:tc>
          <w:tcPr>
            <w:tcW w:w="36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19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9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40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400"/>
        <w:spacing w:after="0" w:line="24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October 19, 2018</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 Gregory P. Lewis</w:t>
            </w:r>
          </w:p>
        </w:tc>
      </w:tr>
      <w:tr>
        <w:trPr>
          <w:trHeight w:val="182"/>
        </w:trPr>
        <w:tc>
          <w:tcPr>
            <w:tcW w:w="3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Gregory P. Lewis</w:t>
            </w:r>
          </w:p>
        </w:tc>
        <w:tc>
          <w:tcPr>
            <w:tcW w:w="3640" w:type="dxa"/>
            <w:vAlign w:val="bottom"/>
          </w:tcPr>
          <w:p>
            <w:pPr>
              <w:spacing w:after="0"/>
              <w:rPr>
                <w:sz w:val="15"/>
                <w:szCs w:val="15"/>
                <w:color w:val="auto"/>
              </w:rPr>
            </w:pPr>
          </w:p>
        </w:tc>
      </w:tr>
      <w:tr>
        <w:trPr>
          <w:trHeight w:val="217"/>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64"/>
        </w:trPr>
        <w:tc>
          <w:tcPr>
            <w:tcW w:w="3800" w:type="dxa"/>
            <w:vAlign w:val="bottom"/>
            <w:tcBorders>
              <w:bottom w:val="single" w:sz="8" w:color="C0C0C0"/>
            </w:tcBorders>
          </w:tcPr>
          <w:p>
            <w:pPr>
              <w:spacing w:after="0"/>
              <w:rPr>
                <w:sz w:val="22"/>
                <w:szCs w:val="22"/>
                <w:color w:val="auto"/>
              </w:rPr>
            </w:pPr>
          </w:p>
        </w:tc>
        <w:tc>
          <w:tcPr>
            <w:tcW w:w="2380" w:type="dxa"/>
            <w:vAlign w:val="bottom"/>
            <w:tcBorders>
              <w:bottom w:val="single" w:sz="8" w:color="C0C0C0"/>
            </w:tcBorders>
          </w:tcPr>
          <w:p>
            <w:pPr>
              <w:spacing w:after="0"/>
              <w:rPr>
                <w:sz w:val="22"/>
                <w:szCs w:val="22"/>
                <w:color w:val="auto"/>
              </w:rPr>
            </w:pPr>
          </w:p>
        </w:tc>
        <w:tc>
          <w:tcPr>
            <w:tcW w:w="1600" w:type="dxa"/>
            <w:vAlign w:val="bottom"/>
            <w:tcBorders>
              <w:bottom w:val="single" w:sz="8" w:color="C0C0C0"/>
            </w:tcBorders>
          </w:tcPr>
          <w:p>
            <w:pPr>
              <w:spacing w:after="0"/>
              <w:rPr>
                <w:sz w:val="22"/>
                <w:szCs w:val="22"/>
                <w:color w:val="auto"/>
              </w:rPr>
            </w:pPr>
          </w:p>
        </w:tc>
        <w:tc>
          <w:tcPr>
            <w:tcW w:w="36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11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2018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October 19, 2018</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 Darius Adamczyk</w:t>
            </w:r>
          </w:p>
        </w:tc>
      </w:tr>
      <w:tr>
        <w:trPr>
          <w:trHeight w:val="182"/>
        </w:trPr>
        <w:tc>
          <w:tcPr>
            <w:tcW w:w="3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Darius Adamczyk</w:t>
            </w:r>
          </w:p>
        </w:tc>
        <w:tc>
          <w:tcPr>
            <w:tcW w:w="3600" w:type="dxa"/>
            <w:vAlign w:val="bottom"/>
          </w:tcPr>
          <w:p>
            <w:pPr>
              <w:spacing w:after="0"/>
              <w:rPr>
                <w:sz w:val="15"/>
                <w:szCs w:val="15"/>
                <w:color w:val="auto"/>
              </w:rPr>
            </w:pPr>
          </w:p>
        </w:tc>
      </w:tr>
      <w:tr>
        <w:trPr>
          <w:trHeight w:val="217"/>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264"/>
        </w:trPr>
        <w:tc>
          <w:tcPr>
            <w:tcW w:w="3800" w:type="dxa"/>
            <w:vAlign w:val="bottom"/>
            <w:tcBorders>
              <w:bottom w:val="single" w:sz="8" w:color="C0C0C0"/>
            </w:tcBorders>
          </w:tcPr>
          <w:p>
            <w:pPr>
              <w:spacing w:after="0"/>
              <w:rPr>
                <w:sz w:val="22"/>
                <w:szCs w:val="22"/>
                <w:color w:val="auto"/>
              </w:rPr>
            </w:pPr>
          </w:p>
        </w:tc>
        <w:tc>
          <w:tcPr>
            <w:tcW w:w="2380" w:type="dxa"/>
            <w:vAlign w:val="bottom"/>
            <w:tcBorders>
              <w:bottom w:val="single" w:sz="8" w:color="C0C0C0"/>
            </w:tcBorders>
          </w:tcPr>
          <w:p>
            <w:pPr>
              <w:spacing w:after="0"/>
              <w:rPr>
                <w:sz w:val="22"/>
                <w:szCs w:val="22"/>
                <w:color w:val="auto"/>
              </w:rPr>
            </w:pPr>
          </w:p>
        </w:tc>
        <w:tc>
          <w:tcPr>
            <w:tcW w:w="1640" w:type="dxa"/>
            <w:vAlign w:val="bottom"/>
            <w:tcBorders>
              <w:bottom w:val="single" w:sz="8" w:color="C0C0C0"/>
            </w:tcBorders>
          </w:tcPr>
          <w:p>
            <w:pPr>
              <w:spacing w:after="0"/>
              <w:rPr>
                <w:sz w:val="22"/>
                <w:szCs w:val="22"/>
                <w:color w:val="auto"/>
              </w:rPr>
            </w:pPr>
          </w:p>
        </w:tc>
        <w:tc>
          <w:tcPr>
            <w:tcW w:w="36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2018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October 19, 2018</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 Gregory P. Lewis</w:t>
            </w:r>
          </w:p>
        </w:tc>
      </w:tr>
      <w:tr>
        <w:trPr>
          <w:trHeight w:val="182"/>
        </w:trPr>
        <w:tc>
          <w:tcPr>
            <w:tcW w:w="3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Gregory P. Lewis</w:t>
            </w:r>
          </w:p>
        </w:tc>
        <w:tc>
          <w:tcPr>
            <w:tcW w:w="3640" w:type="dxa"/>
            <w:vAlign w:val="bottom"/>
          </w:tcPr>
          <w:p>
            <w:pPr>
              <w:spacing w:after="0"/>
              <w:rPr>
                <w:sz w:val="15"/>
                <w:szCs w:val="15"/>
                <w:color w:val="auto"/>
              </w:rPr>
            </w:pPr>
          </w:p>
        </w:tc>
      </w:tr>
      <w:tr>
        <w:trPr>
          <w:trHeight w:val="217"/>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64"/>
        </w:trPr>
        <w:tc>
          <w:tcPr>
            <w:tcW w:w="3800" w:type="dxa"/>
            <w:vAlign w:val="bottom"/>
            <w:tcBorders>
              <w:bottom w:val="single" w:sz="8" w:color="C0C0C0"/>
            </w:tcBorders>
          </w:tcPr>
          <w:p>
            <w:pPr>
              <w:spacing w:after="0"/>
              <w:rPr>
                <w:sz w:val="22"/>
                <w:szCs w:val="22"/>
                <w:color w:val="auto"/>
              </w:rPr>
            </w:pPr>
          </w:p>
        </w:tc>
        <w:tc>
          <w:tcPr>
            <w:tcW w:w="2380" w:type="dxa"/>
            <w:vAlign w:val="bottom"/>
            <w:tcBorders>
              <w:bottom w:val="single" w:sz="8" w:color="C0C0C0"/>
            </w:tcBorders>
          </w:tcPr>
          <w:p>
            <w:pPr>
              <w:spacing w:after="0"/>
              <w:rPr>
                <w:sz w:val="22"/>
                <w:szCs w:val="22"/>
                <w:color w:val="auto"/>
              </w:rPr>
            </w:pPr>
          </w:p>
        </w:tc>
        <w:tc>
          <w:tcPr>
            <w:tcW w:w="1600" w:type="dxa"/>
            <w:vAlign w:val="bottom"/>
            <w:tcBorders>
              <w:bottom w:val="single" w:sz="8" w:color="C0C0C0"/>
            </w:tcBorders>
          </w:tcPr>
          <w:p>
            <w:pPr>
              <w:spacing w:after="0"/>
              <w:rPr>
                <w:sz w:val="22"/>
                <w:szCs w:val="22"/>
                <w:color w:val="auto"/>
              </w:rPr>
            </w:pPr>
          </w:p>
        </w:tc>
        <w:tc>
          <w:tcPr>
            <w:tcW w:w="3640" w:type="dxa"/>
            <w:vAlign w:val="bottom"/>
            <w:tcBorders>
              <w:bottom w:val="single" w:sz="8" w:color="C0C0C0"/>
            </w:tcBorders>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upp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upperLetter"/>
      <w:start w:val="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6" Type="http://schemas.openxmlformats.org/officeDocument/2006/relationships/hyperlink" Target="http://www.sec.gov/Archives/edgar/data/773840/000119312518274274/d623916dex21.htm" TargetMode="External"/><Relationship Id="rId57" Type="http://schemas.openxmlformats.org/officeDocument/2006/relationships/hyperlink" Target="http://www.sec.gov/Archives/edgar/data/773840/000119312518298884/d62519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2020-01-11T22:27:48Z</dcterms:created>
  <dcterms:modified xsi:type="dcterms:W3CDTF">2020-01-11T22:27:48Z</dcterms:modified>
</cp:coreProperties>
</file>