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45.png" ContentType="image/pn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0.jpeg" ContentType="image/jpeg"/>
  <Override PartName="/word/media/image44.png" ContentType="image/pn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UNITED STATES</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SECURITIES AND EXCHANGE COMMISSION</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64" w:before="120" w:after="120"/>
        <w:jc w:val="center"/>
        <w:rPr>
          <w:rFonts w:ascii="Arial;sans-serif" w:hAnsi="Arial;sans-serif"/>
          <w:b/>
          <w:color w:val="000000"/>
          <w:sz w:val="16"/>
        </w:rPr>
      </w:pPr>
      <w:r>
        <w:rPr>
          <w:rFonts w:ascii="Arial;sans-serif" w:hAnsi="Arial;sans-serif"/>
          <w:b/>
          <w:color w:val="000000"/>
          <w:sz w:val="16"/>
        </w:rPr>
        <w:t xml:space="preserve">Form 10-K </w:t>
      </w:r>
    </w:p>
    <w:p>
      <w:pPr>
        <w:pStyle w:val="TextBody"/>
        <w:bidi w:val="0"/>
        <w:spacing w:lineRule="auto" w:line="264" w:before="80" w:after="283"/>
        <w:jc w:val="center"/>
        <w:rPr/>
      </w:pP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ANNUAL REPORT PURSUANT TO SECTION 13 OR 15(d)</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 xml:space="preserve">For the fiscal year ended December 31, 2025 </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OR</w:t>
      </w:r>
    </w:p>
    <w:p>
      <w:pPr>
        <w:pStyle w:val="TextBody"/>
        <w:bidi w:val="0"/>
        <w:spacing w:lineRule="auto" w:line="264" w:before="0" w:after="0"/>
        <w:jc w:val="center"/>
        <w:rPr>
          <w:color w:val="000000"/>
        </w:rPr>
      </w:pPr>
      <w:r>
        <w:rPr>
          <w:color w:val="000000"/>
        </w:rPr>
        <w:t xml:space="preserve">☐ </w:t>
      </w:r>
      <w:r>
        <w:rPr>
          <w:rFonts w:ascii="Arial;sans-serif" w:hAnsi="Arial;sans-serif"/>
          <w:b w:val="false"/>
          <w:color w:val="000000"/>
          <w:sz w:val="16"/>
        </w:rPr>
        <w:t>TRANSITION REPORT PURSUANT TO SECTION 13 OR 15(d)</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For the transition period from   to  </w:t>
      </w:r>
    </w:p>
    <w:p>
      <w:pPr>
        <w:pStyle w:val="TextBody"/>
        <w:bidi w:val="0"/>
        <w:spacing w:lineRule="auto" w:line="264" w:before="0" w:after="0"/>
        <w:jc w:val="center"/>
        <w:rPr>
          <w:rFonts w:ascii="Arial;sans-serif" w:hAnsi="Arial;sans-serif"/>
          <w:b w:val="false"/>
          <w:color w:val="000000"/>
          <w:sz w:val="16"/>
        </w:rPr>
      </w:pPr>
      <w:r>
        <w:rPr>
          <w:rFonts w:ascii="Arial;sans-serif" w:hAnsi="Arial;sans-serif"/>
          <w:b w:val="false"/>
          <w:color w:val="000000"/>
          <w:sz w:val="16"/>
        </w:rPr>
        <w:t xml:space="preserve">Commission file number 1-8974 </w:t>
      </w:r>
    </w:p>
    <w:p>
      <w:pPr>
        <w:pStyle w:val="TextBody"/>
        <w:bidi w:val="0"/>
        <w:spacing w:before="120" w:after="120"/>
        <w:jc w:val="center"/>
        <w:rPr/>
      </w:pPr>
      <w:r>
        <w:rPr/>
        <w:drawing>
          <wp:inline distT="0" distB="0" distL="0" distR="0">
            <wp:extent cx="19526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361950"/>
                    </a:xfrm>
                    <a:prstGeom prst="rect">
                      <a:avLst/>
                    </a:prstGeom>
                  </pic:spPr>
                </pic:pic>
              </a:graphicData>
            </a:graphic>
          </wp:inline>
        </w:drawing>
      </w:r>
      <w:bookmarkStart w:id="0" w:name="i-1"/>
      <w:bookmarkEnd w:id="0"/>
    </w:p>
    <w:p>
      <w:pPr>
        <w:pStyle w:val="TextBody"/>
        <w:bidi w:val="0"/>
        <w:spacing w:lineRule="auto" w:line="264" w:before="120" w:after="120"/>
        <w:jc w:val="center"/>
        <w:rPr>
          <w:rFonts w:ascii="Arial;sans-serif" w:hAnsi="Arial;sans-serif"/>
          <w:b/>
          <w:color w:val="000000"/>
          <w:sz w:val="42"/>
        </w:rPr>
      </w:pPr>
      <w:r>
        <w:rPr>
          <w:rFonts w:ascii="Arial;sans-serif" w:hAnsi="Arial;sans-serif"/>
          <w:b/>
          <w:color w:val="000000"/>
          <w:sz w:val="42"/>
        </w:rPr>
        <w:t xml:space="preserve">Honeywell International Inc. </w:t>
      </w:r>
    </w:p>
    <w:p>
      <w:pPr>
        <w:pStyle w:val="TextBody"/>
        <w:bidi w:val="0"/>
        <w:spacing w:lineRule="auto" w:line="264" w:before="120" w:after="283"/>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690" w:type="dxa"/>
        <w:jc w:val="center"/>
        <w:tblInd w:w="0" w:type="dxa"/>
        <w:tblLayout w:type="fixed"/>
        <w:tblCellMar>
          <w:top w:w="28" w:type="dxa"/>
          <w:left w:w="28" w:type="dxa"/>
          <w:bottom w:w="28" w:type="dxa"/>
          <w:right w:w="28" w:type="dxa"/>
        </w:tblCellMar>
      </w:tblPr>
      <w:tblGrid>
        <w:gridCol w:w="533"/>
        <w:gridCol w:w="469"/>
        <w:gridCol w:w="469"/>
        <w:gridCol w:w="491"/>
        <w:gridCol w:w="491"/>
        <w:gridCol w:w="501"/>
        <w:gridCol w:w="109"/>
        <w:gridCol w:w="109"/>
        <w:gridCol w:w="109"/>
        <w:gridCol w:w="410"/>
        <w:gridCol w:w="410"/>
        <w:gridCol w:w="589"/>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9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22-2640650</w:t>
            </w:r>
          </w:p>
        </w:tc>
      </w:tr>
      <w:tr>
        <w:trPr/>
        <w:tc>
          <w:tcPr>
            <w:tcW w:w="29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r>
        <w:trPr/>
        <w:tc>
          <w:tcPr>
            <w:tcW w:w="29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855 South Mint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28202</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Charlotte,</w:t>
            </w:r>
          </w:p>
        </w:tc>
        <w:tc>
          <w:tcPr>
            <w:tcW w:w="1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64" w:before="80" w:after="80"/>
        <w:jc w:val="both"/>
        <w:rPr>
          <w:rFonts w:ascii="Arial;sans-serif" w:hAnsi="Arial;sans-serif"/>
          <w:b w:val="false"/>
          <w:color w:val="000000"/>
          <w:sz w:val="16"/>
        </w:rPr>
      </w:pPr>
      <w:r>
        <w:rPr>
          <w:rFonts w:ascii="Arial;sans-serif" w:hAnsi="Arial;sans-serif"/>
          <w:b w:val="false"/>
          <w:color w:val="000000"/>
          <w:sz w:val="16"/>
        </w:rPr>
        <w:t xml:space="preserve">Registrant’s telephone number, including area code (704) 627-6200 </w:t>
      </w:r>
    </w:p>
    <w:p>
      <w:pPr>
        <w:pStyle w:val="TextBody"/>
        <w:bidi w:val="0"/>
        <w:spacing w:lineRule="auto" w:line="264" w:before="80" w:after="8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081"/>
        <w:gridCol w:w="949"/>
        <w:gridCol w:w="955"/>
        <w:gridCol w:w="109"/>
        <w:gridCol w:w="109"/>
        <w:gridCol w:w="109"/>
        <w:gridCol w:w="484"/>
        <w:gridCol w:w="484"/>
        <w:gridCol w:w="486"/>
        <w:gridCol w:w="109"/>
        <w:gridCol w:w="109"/>
        <w:gridCol w:w="109"/>
        <w:gridCol w:w="995"/>
        <w:gridCol w:w="995"/>
        <w:gridCol w:w="141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2.250%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64" w:before="0" w:after="80"/>
        <w:jc w:val="both"/>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p>
      <w:pPr>
        <w:pStyle w:val="TextBody"/>
        <w:bidi w:val="0"/>
        <w:spacing w:lineRule="auto" w:line="264" w:before="80" w:after="80"/>
        <w:jc w:val="both"/>
        <w:rPr/>
      </w:pPr>
      <w:r>
        <w:rPr>
          <w:rFonts w:ascii="Arial;sans-serif" w:hAnsi="Arial;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No ☐</w:t>
      </w:r>
    </w:p>
    <w:p>
      <w:pPr>
        <w:pStyle w:val="TextBody"/>
        <w:bidi w:val="0"/>
        <w:spacing w:lineRule="auto" w:line="264" w:before="80" w:after="80"/>
        <w:jc w:val="both"/>
        <w:rPr/>
      </w:pPr>
      <w:r>
        <w:rPr>
          <w:rFonts w:ascii="Arial;sans-serif" w:hAnsi="Arial;sans-serif"/>
          <w:b w:val="false"/>
          <w:color w:val="000000"/>
          <w:sz w:val="16"/>
        </w:rPr>
        <w:t xml:space="preserve">Indicate by check mark if the Registrant is not required to file reports pursuant to Section 13 or Section 15(d) of the Exchange Act. Yes ☐ No </w:t>
      </w:r>
      <w:r>
        <w:rPr>
          <w:rFonts w:ascii="Wingdings;sans-serif" w:hAnsi="Wingdings;sans-serif"/>
          <w:b w:val="false"/>
          <w:color w:val="000000"/>
          <w:sz w:val="16"/>
        </w:rPr>
        <w:t>x</w:t>
      </w:r>
    </w:p>
    <w:p>
      <w:pPr>
        <w:pStyle w:val="TextBody"/>
        <w:bidi w:val="0"/>
        <w:spacing w:lineRule="auto" w:line="264" w:before="80" w:after="8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No ☐</w:t>
      </w:r>
    </w:p>
    <w:p>
      <w:pPr>
        <w:pStyle w:val="TextBody"/>
        <w:bidi w:val="0"/>
        <w:spacing w:lineRule="auto" w:line="264" w:before="80" w:after="8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No ☐</w:t>
      </w:r>
    </w:p>
    <w:p>
      <w:pPr>
        <w:pStyle w:val="TextBody"/>
        <w:bidi w:val="0"/>
        <w:spacing w:lineRule="auto" w:line="264" w:before="80" w:after="283"/>
        <w:jc w:val="both"/>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628"/>
        <w:gridCol w:w="553"/>
        <w:gridCol w:w="555"/>
        <w:gridCol w:w="109"/>
        <w:gridCol w:w="109"/>
        <w:gridCol w:w="109"/>
        <w:gridCol w:w="488"/>
        <w:gridCol w:w="488"/>
        <w:gridCol w:w="490"/>
        <w:gridCol w:w="603"/>
        <w:gridCol w:w="603"/>
        <w:gridCol w:w="605"/>
        <w:gridCol w:w="683"/>
        <w:gridCol w:w="683"/>
        <w:gridCol w:w="686"/>
        <w:gridCol w:w="109"/>
        <w:gridCol w:w="109"/>
        <w:gridCol w:w="109"/>
        <w:gridCol w:w="683"/>
        <w:gridCol w:w="683"/>
        <w:gridCol w:w="686"/>
        <w:gridCol w:w="122"/>
        <w:gridCol w:w="122"/>
        <w:gridCol w:w="190"/>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 ☐</w:t>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bl>
    <w:p>
      <w:pPr>
        <w:pStyle w:val="TextBody"/>
        <w:bidi w:val="0"/>
        <w:spacing w:lineRule="auto" w:line="264" w:before="0" w:after="80"/>
        <w:jc w:val="both"/>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4" w:before="80" w:after="80"/>
        <w:jc w:val="both"/>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r>
        <w:rPr>
          <w:color w:val="000000"/>
        </w:rPr>
        <w:t xml:space="preserve"> </w:t>
      </w:r>
    </w:p>
    <w:p>
      <w:pPr>
        <w:pStyle w:val="TextBody"/>
        <w:bidi w:val="0"/>
        <w:spacing w:lineRule="auto" w:line="268" w:before="80" w:after="80"/>
        <w:jc w:val="left"/>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64" w:before="80" w:after="80"/>
        <w:jc w:val="both"/>
        <w:rPr/>
      </w:pPr>
      <w:r>
        <w:rPr>
          <w:rFonts w:ascii="Arial;sans-serif" w:hAnsi="Arial;sans-serif"/>
          <w:b w:val="false"/>
          <w:color w:val="000000"/>
          <w:sz w:val="16"/>
        </w:rPr>
        <w:t xml:space="preserve">Indicate by check mark whether the Registrant is a shell company (as defined in Rule 12b-2 of the Act). Yes ☐ No </w:t>
      </w:r>
      <w:r>
        <w:rPr>
          <w:rFonts w:ascii="Wingdings;sans-serif" w:hAnsi="Wingdings;sans-serif"/>
          <w:b w:val="false"/>
          <w:color w:val="000000"/>
          <w:sz w:val="16"/>
        </w:rPr>
        <w:t>x</w:t>
      </w:r>
    </w:p>
    <w:p>
      <w:pPr>
        <w:pStyle w:val="TextBody"/>
        <w:bidi w:val="0"/>
        <w:spacing w:lineRule="auto" w:line="264" w:before="80" w:after="80"/>
        <w:jc w:val="both"/>
        <w:rPr>
          <w:rFonts w:ascii="Arial;sans-serif" w:hAnsi="Arial;sans-serif"/>
          <w:b w:val="false"/>
          <w:color w:val="000000"/>
          <w:sz w:val="16"/>
        </w:rPr>
      </w:pPr>
      <w:r>
        <w:rPr>
          <w:rFonts w:ascii="Arial;sans-serif" w:hAnsi="Arial;sans-serif"/>
          <w:b w:val="false"/>
          <w:color w:val="000000"/>
          <w:sz w:val="16"/>
        </w:rPr>
        <w:t>The aggregate market value of the common stock held by non-affiliates of the Registrant was approximately $145.3 billion at June 30, 2025.</w:t>
      </w:r>
    </w:p>
    <w:p>
      <w:pPr>
        <w:pStyle w:val="TextBody"/>
        <w:bidi w:val="0"/>
        <w:spacing w:lineRule="auto" w:line="264" w:before="60" w:after="60"/>
        <w:jc w:val="both"/>
        <w:rPr>
          <w:rFonts w:ascii="Arial;sans-serif" w:hAnsi="Arial;sans-serif"/>
          <w:b w:val="false"/>
          <w:color w:val="000000"/>
          <w:sz w:val="16"/>
        </w:rPr>
      </w:pPr>
      <w:r>
        <w:rPr>
          <w:rFonts w:ascii="Arial;sans-serif" w:hAnsi="Arial;sans-serif"/>
          <w:b w:val="false"/>
          <w:color w:val="000000"/>
          <w:sz w:val="16"/>
        </w:rPr>
        <w:t>There were 635,675,701 shares of Common Stock outstanding at January 23, 2026.</w:t>
      </w:r>
    </w:p>
    <w:p>
      <w:pPr>
        <w:pStyle w:val="TextBody"/>
        <w:bidi w:val="0"/>
        <w:spacing w:lineRule="auto" w:line="264" w:before="60" w:after="60"/>
        <w:jc w:val="center"/>
        <w:rPr>
          <w:rFonts w:ascii="Arial;sans-serif" w:hAnsi="Arial;sans-serif"/>
          <w:b w:val="false"/>
          <w:color w:val="000000"/>
          <w:sz w:val="16"/>
          <w:u w:val="single"/>
        </w:rPr>
      </w:pPr>
      <w:r>
        <w:rPr>
          <w:rFonts w:ascii="Arial;sans-serif" w:hAnsi="Arial;sans-serif"/>
          <w:b w:val="false"/>
          <w:color w:val="000000"/>
          <w:sz w:val="16"/>
          <w:u w:val="single"/>
        </w:rPr>
        <w:t>Documents Incorporated by Reference</w:t>
      </w:r>
    </w:p>
    <w:p>
      <w:pPr>
        <w:pStyle w:val="TextBody"/>
        <w:bidi w:val="0"/>
        <w:spacing w:lineRule="auto" w:line="264" w:before="60" w:after="100"/>
        <w:jc w:val="center"/>
        <w:rPr/>
      </w:pPr>
      <w:r>
        <w:rPr>
          <w:rFonts w:ascii="Arial;sans-serif" w:hAnsi="Arial;sans-serif"/>
          <w:b w:val="false"/>
          <w:color w:val="000000"/>
          <w:sz w:val="16"/>
        </w:rPr>
        <w:t>Part III: Proxy Statement for Annual Meeting of Shareowners to be held May 22, 2026</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TABLE OF CONTENTS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ORGANIZATION OF OUR ANNUAL REPORT ON FORM 10-K</w:t>
      </w:r>
    </w:p>
    <w:p>
      <w:pPr>
        <w:pStyle w:val="TextBody"/>
        <w:bidi w:val="0"/>
        <w:spacing w:lineRule="auto" w:line="288" w:before="120" w:after="120"/>
        <w:jc w:val="both"/>
        <w:rPr/>
      </w:pPr>
      <w:r>
        <w:rPr>
          <w:rFonts w:ascii="Arial;sans-serif" w:hAnsi="Arial;sans-serif"/>
          <w:b w:val="false"/>
          <w:color w:val="000000"/>
          <w:sz w:val="18"/>
        </w:rPr>
        <w:t xml:space="preserve">The order and presentation of content in our Annual Report on Form 10-K (Form 10-K) differs from the traditional U.S. Securities and Exchange Commission (SEC) Form 10-K format. We believe that our format improves readability and better presents how we organize and manage our business. See </w:t>
      </w:r>
      <w:hyperlink w:anchor="ic3922f0530c04df99983ab02c4d22c0f_331">
        <w:r>
          <w:rPr>
            <w:rStyle w:val="InternetLink"/>
            <w:rFonts w:ascii="Arial;sans-serif" w:hAnsi="Arial;sans-serif"/>
            <w:b w:val="false"/>
            <w:color w:val="0000FF"/>
            <w:sz w:val="18"/>
            <w:u w:val="single"/>
          </w:rPr>
          <w:t>Form 10-K Cross-Reference Index</w:t>
        </w:r>
      </w:hyperlink>
      <w:r>
        <w:rPr>
          <w:color w:val="000000"/>
        </w:rPr>
        <w:t xml:space="preserve"> </w:t>
      </w:r>
      <w:r>
        <w:rPr>
          <w:rFonts w:ascii="Arial;sans-serif" w:hAnsi="Arial;sans-serif"/>
          <w:b w:val="false"/>
          <w:color w:val="000000"/>
          <w:sz w:val="18"/>
        </w:rPr>
        <w:t>for a cross-reference to the traditional SEC Form 10-K format.</w:t>
      </w:r>
    </w:p>
    <w:tbl>
      <w:tblPr>
        <w:tblW w:w="9586" w:type="dxa"/>
        <w:jc w:val="left"/>
        <w:tblInd w:w="0" w:type="dxa"/>
        <w:tblLayout w:type="fixed"/>
        <w:tblCellMar>
          <w:top w:w="28" w:type="dxa"/>
          <w:left w:w="28" w:type="dxa"/>
          <w:bottom w:w="28" w:type="dxa"/>
          <w:right w:w="28" w:type="dxa"/>
        </w:tblCellMar>
      </w:tblPr>
      <w:tblGrid>
        <w:gridCol w:w="158"/>
        <w:gridCol w:w="138"/>
        <w:gridCol w:w="140"/>
        <w:gridCol w:w="2675"/>
        <w:gridCol w:w="2675"/>
        <w:gridCol w:w="3800"/>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922f0530c04df99983ab02c4d22c0f_16">
              <w:r>
                <w:rPr>
                  <w:rStyle w:val="InternetLink"/>
                  <w:rFonts w:ascii="Arial;sans-serif" w:hAnsi="Arial;sans-serif"/>
                  <w:b/>
                  <w:strike w:val="false"/>
                  <w:dstrike w:val="false"/>
                  <w:color w:val="D7282F"/>
                  <w:sz w:val="18"/>
                  <w:u w:val="none"/>
                  <w:effect w:val="none"/>
                </w:rPr>
                <w:t>1</w:t>
              </w:r>
            </w:hyperlink>
          </w:p>
        </w:tc>
        <w:tc>
          <w:tcPr>
            <w:tcW w:w="9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6">
              <w:r>
                <w:rPr>
                  <w:rStyle w:val="InternetLink"/>
                  <w:rFonts w:ascii="Arial;sans-serif" w:hAnsi="Arial;sans-serif"/>
                  <w:b w:val="false"/>
                  <w:strike w:val="false"/>
                  <w:dstrike w:val="false"/>
                  <w:color w:val="000000"/>
                  <w:sz w:val="18"/>
                  <w:u w:val="none"/>
                  <w:effect w:val="none"/>
                </w:rPr>
                <w:t>Cautionary Statement about Forward-Looking Statements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2">
              <w:r>
                <w:rPr>
                  <w:rStyle w:val="InternetLink"/>
                  <w:rFonts w:ascii="Arial;sans-serif" w:hAnsi="Arial;sans-serif"/>
                  <w:b/>
                  <w:strike w:val="false"/>
                  <w:dstrike w:val="false"/>
                  <w:color w:val="D7282F"/>
                  <w:sz w:val="18"/>
                  <w:u w:val="none"/>
                  <w:effect w:val="none"/>
                </w:rPr>
                <w:t>2</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2">
              <w:r>
                <w:rPr>
                  <w:rStyle w:val="InternetLink"/>
                  <w:rFonts w:ascii="Arial;sans-serif" w:hAnsi="Arial;sans-serif"/>
                  <w:b w:val="false"/>
                  <w:strike w:val="false"/>
                  <w:dstrike w:val="false"/>
                  <w:color w:val="000000"/>
                  <w:sz w:val="18"/>
                  <w:u w:val="none"/>
                  <w:effect w:val="none"/>
                </w:rPr>
                <w:t>About Honeywell</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64">
              <w:r>
                <w:rPr>
                  <w:rStyle w:val="InternetLink"/>
                  <w:rFonts w:ascii="Arial;sans-serif" w:hAnsi="Arial;sans-serif"/>
                  <w:b/>
                  <w:strike w:val="false"/>
                  <w:dstrike w:val="false"/>
                  <w:color w:val="D7282F"/>
                  <w:sz w:val="18"/>
                  <w:u w:val="none"/>
                  <w:effect w:val="none"/>
                </w:rPr>
                <w:t>15</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64">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85">
              <w:r>
                <w:rPr>
                  <w:rStyle w:val="InternetLink"/>
                  <w:rFonts w:ascii="Arial;sans-serif" w:hAnsi="Arial;sans-serif"/>
                  <w:b/>
                  <w:strike w:val="false"/>
                  <w:dstrike w:val="false"/>
                  <w:color w:val="D7282F"/>
                  <w:sz w:val="18"/>
                  <w:u w:val="none"/>
                  <w:effect w:val="none"/>
                </w:rPr>
                <w:t>24</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85">
              <w:r>
                <w:rPr>
                  <w:rStyle w:val="InternetLink"/>
                  <w:rFonts w:ascii="Arial;sans-serif" w:hAnsi="Arial;sans-serif"/>
                  <w:b w:val="false"/>
                  <w:strike w:val="false"/>
                  <w:dstrike w:val="false"/>
                  <w:color w:val="000000"/>
                  <w:sz w:val="18"/>
                  <w:u w:val="none"/>
                  <w:effect w:val="none"/>
                </w:rPr>
                <w:t>Review of Business Segments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09">
              <w:r>
                <w:rPr>
                  <w:rStyle w:val="InternetLink"/>
                  <w:rFonts w:ascii="Arial;sans-serif" w:hAnsi="Arial;sans-serif"/>
                  <w:b/>
                  <w:strike w:val="false"/>
                  <w:dstrike w:val="false"/>
                  <w:color w:val="D7282F"/>
                  <w:sz w:val="18"/>
                  <w:u w:val="none"/>
                  <w:effect w:val="none"/>
                </w:rPr>
                <w:t>30</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09">
              <w:r>
                <w:rPr>
                  <w:rStyle w:val="InternetLink"/>
                  <w:rFonts w:ascii="Arial;sans-serif" w:hAnsi="Arial;sans-serif"/>
                  <w:b w:val="false"/>
                  <w:strike w:val="false"/>
                  <w:dstrike w:val="false"/>
                  <w:color w:val="000000"/>
                  <w:sz w:val="18"/>
                  <w:u w:val="none"/>
                  <w:effect w:val="none"/>
                </w:rPr>
                <w:t>Risk Factors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12">
              <w:r>
                <w:rPr>
                  <w:rStyle w:val="InternetLink"/>
                  <w:rFonts w:ascii="Arial;sans-serif" w:hAnsi="Arial;sans-serif"/>
                  <w:b/>
                  <w:strike w:val="false"/>
                  <w:dstrike w:val="false"/>
                  <w:color w:val="D7282F"/>
                  <w:sz w:val="18"/>
                  <w:u w:val="none"/>
                  <w:effect w:val="none"/>
                </w:rPr>
                <w:t>40</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12">
              <w:r>
                <w:rPr>
                  <w:rStyle w:val="InternetLink"/>
                  <w:rFonts w:ascii="Arial;sans-serif" w:hAnsi="Arial;sans-serif"/>
                  <w:b w:val="false"/>
                  <w:strike w:val="false"/>
                  <w:dstrike w:val="false"/>
                  <w:color w:val="000000"/>
                  <w:sz w:val="18"/>
                  <w:u w:val="none"/>
                  <w:effect w:val="none"/>
                </w:rPr>
                <w:t>Quantitative and Qualitative Disclosures about Market Risks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15">
              <w:r>
                <w:rPr>
                  <w:rStyle w:val="InternetLink"/>
                  <w:rFonts w:ascii="Arial;sans-serif" w:hAnsi="Arial;sans-serif"/>
                  <w:b/>
                  <w:strike w:val="false"/>
                  <w:dstrike w:val="false"/>
                  <w:color w:val="D7282F"/>
                  <w:sz w:val="18"/>
                  <w:u w:val="none"/>
                  <w:effect w:val="none"/>
                </w:rPr>
                <w:t>40</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15">
              <w:r>
                <w:rPr>
                  <w:rStyle w:val="InternetLink"/>
                  <w:rFonts w:ascii="Arial;sans-serif" w:hAnsi="Arial;sans-serif"/>
                  <w:b w:val="false"/>
                  <w:strike w:val="false"/>
                  <w:dstrike w:val="false"/>
                  <w:color w:val="000000"/>
                  <w:sz w:val="18"/>
                  <w:u w:val="none"/>
                  <w:effect w:val="none"/>
                </w:rPr>
                <w:t>Liquidity and Capital Resources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45">
              <w:r>
                <w:rPr>
                  <w:rStyle w:val="InternetLink"/>
                  <w:rFonts w:ascii="Arial;sans-serif" w:hAnsi="Arial;sans-serif"/>
                  <w:b/>
                  <w:strike w:val="false"/>
                  <w:dstrike w:val="false"/>
                  <w:color w:val="D7282F"/>
                  <w:sz w:val="18"/>
                  <w:u w:val="none"/>
                  <w:effect w:val="none"/>
                </w:rPr>
                <w:t>46</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45">
              <w:r>
                <w:rPr>
                  <w:rStyle w:val="InternetLink"/>
                  <w:rFonts w:ascii="Arial;sans-serif" w:hAnsi="Arial;sans-serif"/>
                  <w:b w:val="false"/>
                  <w:strike w:val="false"/>
                  <w:dstrike w:val="false"/>
                  <w:color w:val="000000"/>
                  <w:sz w:val="18"/>
                  <w:u w:val="none"/>
                  <w:effect w:val="none"/>
                </w:rPr>
                <w:t>Critical Accounting Estimates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48">
              <w:r>
                <w:rPr>
                  <w:rStyle w:val="InternetLink"/>
                  <w:rFonts w:ascii="Arial;sans-serif" w:hAnsi="Arial;sans-serif"/>
                  <w:b/>
                  <w:strike w:val="false"/>
                  <w:dstrike w:val="false"/>
                  <w:color w:val="D7282F"/>
                  <w:sz w:val="18"/>
                  <w:u w:val="none"/>
                  <w:effect w:val="none"/>
                </w:rPr>
                <w:t>48</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48">
              <w:r>
                <w:rPr>
                  <w:rStyle w:val="InternetLink"/>
                  <w:rFonts w:ascii="Arial;sans-serif" w:hAnsi="Arial;sans-serif"/>
                  <w:b w:val="false"/>
                  <w:strike w:val="false"/>
                  <w:dstrike w:val="false"/>
                  <w:color w:val="000000"/>
                  <w:sz w:val="18"/>
                  <w:u w:val="none"/>
                  <w:effect w:val="none"/>
                </w:rPr>
                <w:t>Other Matters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51">
              <w:r>
                <w:rPr>
                  <w:rStyle w:val="InternetLink"/>
                  <w:rFonts w:ascii="Arial;sans-serif" w:hAnsi="Arial;sans-serif"/>
                  <w:b/>
                  <w:strike w:val="false"/>
                  <w:dstrike w:val="false"/>
                  <w:color w:val="D7282F"/>
                  <w:sz w:val="18"/>
                  <w:u w:val="none"/>
                  <w:effect w:val="none"/>
                </w:rPr>
                <w:t>49</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51">
              <w:r>
                <w:rPr>
                  <w:rStyle w:val="InternetLink"/>
                  <w:rFonts w:ascii="Arial;sans-serif" w:hAnsi="Arial;sans-serif"/>
                  <w:b w:val="false"/>
                  <w:strike w:val="false"/>
                  <w:dstrike w:val="false"/>
                  <w:color w:val="000000"/>
                  <w:sz w:val="18"/>
                  <w:u w:val="none"/>
                  <w:effect w:val="none"/>
                </w:rPr>
                <w:t>Information about Our Executive Officers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54">
              <w:r>
                <w:rPr>
                  <w:rStyle w:val="InternetLink"/>
                  <w:rFonts w:ascii="Arial;sans-serif" w:hAnsi="Arial;sans-serif"/>
                  <w:b/>
                  <w:strike w:val="false"/>
                  <w:dstrike w:val="false"/>
                  <w:color w:val="D7282F"/>
                  <w:sz w:val="18"/>
                  <w:u w:val="none"/>
                  <w:effect w:val="none"/>
                </w:rPr>
                <w:t>50</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54">
              <w:r>
                <w:rPr>
                  <w:rStyle w:val="InternetLink"/>
                  <w:rFonts w:ascii="Arial;sans-serif" w:hAnsi="Arial;sans-serif"/>
                  <w:b w:val="false"/>
                  <w:strike w:val="false"/>
                  <w:dstrike w:val="false"/>
                  <w:color w:val="000000"/>
                  <w:sz w:val="18"/>
                  <w:u w:val="none"/>
                  <w:effect w:val="none"/>
                </w:rPr>
                <w:t>Unresolved Staff Comments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57">
              <w:r>
                <w:rPr>
                  <w:rStyle w:val="InternetLink"/>
                  <w:rFonts w:ascii="Arial;sans-serif" w:hAnsi="Arial;sans-serif"/>
                  <w:b/>
                  <w:strike w:val="false"/>
                  <w:dstrike w:val="false"/>
                  <w:color w:val="D7282F"/>
                  <w:sz w:val="18"/>
                  <w:u w:val="none"/>
                  <w:effect w:val="none"/>
                </w:rPr>
                <w:t>50</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57">
              <w:r>
                <w:rPr>
                  <w:rStyle w:val="InternetLink"/>
                  <w:rFonts w:ascii="Arial;sans-serif" w:hAnsi="Arial;sans-serif"/>
                  <w:b w:val="false"/>
                  <w:strike w:val="false"/>
                  <w:dstrike w:val="false"/>
                  <w:color w:val="000000"/>
                  <w:sz w:val="18"/>
                  <w:u w:val="none"/>
                  <w:effect w:val="none"/>
                </w:rPr>
                <w:t>Cybersecurity</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60">
              <w:r>
                <w:rPr>
                  <w:rStyle w:val="InternetLink"/>
                  <w:rFonts w:ascii="Arial;sans-serif" w:hAnsi="Arial;sans-serif"/>
                  <w:b/>
                  <w:strike w:val="false"/>
                  <w:dstrike w:val="false"/>
                  <w:color w:val="D7282F"/>
                  <w:sz w:val="18"/>
                  <w:u w:val="none"/>
                  <w:effect w:val="none"/>
                </w:rPr>
                <w:t>51</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60">
              <w:r>
                <w:rPr>
                  <w:rStyle w:val="InternetLink"/>
                  <w:rFonts w:ascii="Arial;sans-serif" w:hAnsi="Arial;sans-serif"/>
                  <w:b w:val="false"/>
                  <w:strike w:val="false"/>
                  <w:dstrike w:val="false"/>
                  <w:color w:val="000000"/>
                  <w:sz w:val="18"/>
                  <w:u w:val="none"/>
                  <w:effect w:val="none"/>
                </w:rPr>
                <w:t>Properties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63">
              <w:r>
                <w:rPr>
                  <w:rStyle w:val="InternetLink"/>
                  <w:rFonts w:ascii="Arial;sans-serif" w:hAnsi="Arial;sans-serif"/>
                  <w:b/>
                  <w:strike w:val="false"/>
                  <w:dstrike w:val="false"/>
                  <w:color w:val="D7282F"/>
                  <w:sz w:val="18"/>
                  <w:u w:val="none"/>
                  <w:effect w:val="none"/>
                </w:rPr>
                <w:t>51</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63">
              <w:r>
                <w:rPr>
                  <w:rStyle w:val="InternetLink"/>
                  <w:rFonts w:ascii="Arial;sans-serif" w:hAnsi="Arial;sans-serif"/>
                  <w:b w:val="false"/>
                  <w:strike w:val="false"/>
                  <w:dstrike w:val="false"/>
                  <w:color w:val="000000"/>
                  <w:sz w:val="18"/>
                  <w:u w:val="none"/>
                  <w:effect w:val="none"/>
                </w:rPr>
                <w:t>Legal Proceedings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66">
              <w:r>
                <w:rPr>
                  <w:rStyle w:val="InternetLink"/>
                  <w:rFonts w:ascii="Arial;sans-serif" w:hAnsi="Arial;sans-serif"/>
                  <w:b/>
                  <w:strike w:val="false"/>
                  <w:dstrike w:val="false"/>
                  <w:color w:val="D7282F"/>
                  <w:sz w:val="18"/>
                  <w:u w:val="none"/>
                  <w:effect w:val="none"/>
                </w:rPr>
                <w:t>51</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66">
              <w:r>
                <w:rPr>
                  <w:rStyle w:val="InternetLink"/>
                  <w:rFonts w:ascii="Arial;sans-serif" w:hAnsi="Arial;sans-serif"/>
                  <w:b w:val="false"/>
                  <w:strike w:val="false"/>
                  <w:dstrike w:val="false"/>
                  <w:color w:val="000000"/>
                  <w:sz w:val="18"/>
                  <w:u w:val="none"/>
                  <w:effect w:val="none"/>
                </w:rPr>
                <w:t>Mine Safety Disclosures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72">
              <w:r>
                <w:rPr>
                  <w:rStyle w:val="InternetLink"/>
                  <w:rFonts w:ascii="Arial;sans-serif" w:hAnsi="Arial;sans-serif"/>
                  <w:b/>
                  <w:strike w:val="false"/>
                  <w:dstrike w:val="false"/>
                  <w:color w:val="D7282F"/>
                  <w:sz w:val="18"/>
                  <w:u w:val="none"/>
                  <w:effect w:val="none"/>
                </w:rPr>
                <w:t>52</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72">
              <w:r>
                <w:rPr>
                  <w:rStyle w:val="InternetLink"/>
                  <w:rFonts w:ascii="Arial;sans-serif" w:hAnsi="Arial;sans-serif"/>
                  <w:b w:val="false"/>
                  <w:strike w:val="false"/>
                  <w:dstrike w:val="false"/>
                  <w:color w:val="000000"/>
                  <w:sz w:val="18"/>
                  <w:u w:val="none"/>
                  <w:effect w:val="none"/>
                </w:rPr>
                <w:t>Market for Registrant’s Common Equity, Related Stockholder Matters and Issuer Purchases of Equity Securities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75">
              <w:r>
                <w:rPr>
                  <w:rStyle w:val="InternetLink"/>
                  <w:rFonts w:ascii="Arial;sans-serif" w:hAnsi="Arial;sans-serif"/>
                  <w:b/>
                  <w:strike w:val="false"/>
                  <w:dstrike w:val="false"/>
                  <w:color w:val="D7282F"/>
                  <w:sz w:val="18"/>
                  <w:u w:val="none"/>
                  <w:effect w:val="none"/>
                </w:rPr>
                <w:t>54</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75">
              <w:r>
                <w:rPr>
                  <w:rStyle w:val="InternetLink"/>
                  <w:rFonts w:ascii="Arial;sans-serif" w:hAnsi="Arial;sans-serif"/>
                  <w:b w:val="false"/>
                  <w:strike w:val="false"/>
                  <w:dstrike w:val="false"/>
                  <w:color w:val="000000"/>
                  <w:sz w:val="18"/>
                  <w:u w:val="none"/>
                  <w:effect w:val="none"/>
                </w:rPr>
                <w:t>Financial Statements and Supplementary Data</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83">
              <w:r>
                <w:rPr>
                  <w:rStyle w:val="InternetLink"/>
                  <w:rFonts w:ascii="Arial;sans-serif" w:hAnsi="Arial;sans-serif"/>
                  <w:b/>
                  <w:strike w:val="false"/>
                  <w:dstrike w:val="false"/>
                  <w:color w:val="D7282F"/>
                  <w:sz w:val="18"/>
                  <w:u w:val="none"/>
                  <w:effect w:val="none"/>
                </w:rPr>
                <w:t>121</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83">
              <w:r>
                <w:rPr>
                  <w:rStyle w:val="InternetLink"/>
                  <w:rFonts w:ascii="Arial;sans-serif" w:hAnsi="Arial;sans-serif"/>
                  <w:b w:val="false"/>
                  <w:strike w:val="false"/>
                  <w:dstrike w:val="false"/>
                  <w:color w:val="000000"/>
                  <w:sz w:val="18"/>
                  <w:u w:val="none"/>
                  <w:effect w:val="none"/>
                </w:rPr>
                <w:t>Report of Independent Registered Public Accounting Firm</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86">
              <w:r>
                <w:rPr>
                  <w:rStyle w:val="InternetLink"/>
                  <w:rFonts w:ascii="Arial;sans-serif" w:hAnsi="Arial;sans-serif"/>
                  <w:b/>
                  <w:strike w:val="false"/>
                  <w:dstrike w:val="false"/>
                  <w:color w:val="D7282F"/>
                  <w:sz w:val="18"/>
                  <w:u w:val="none"/>
                  <w:effect w:val="none"/>
                </w:rPr>
                <w:t>123</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86">
              <w:r>
                <w:rPr>
                  <w:rStyle w:val="InternetLink"/>
                  <w:rFonts w:ascii="Arial;sans-serif" w:hAnsi="Arial;sans-serif"/>
                  <w:b w:val="false"/>
                  <w:strike w:val="false"/>
                  <w:dstrike w:val="false"/>
                  <w:color w:val="000000"/>
                  <w:sz w:val="18"/>
                  <w:u w:val="none"/>
                  <w:effect w:val="none"/>
                </w:rPr>
                <w:t>Changes in and Disagreements with Accountants on Accounting and Financial Disclosure</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89">
              <w:r>
                <w:rPr>
                  <w:rStyle w:val="InternetLink"/>
                  <w:rFonts w:ascii="Arial;sans-serif" w:hAnsi="Arial;sans-serif"/>
                  <w:b/>
                  <w:strike w:val="false"/>
                  <w:dstrike w:val="false"/>
                  <w:color w:val="D7282F"/>
                  <w:sz w:val="18"/>
                  <w:u w:val="none"/>
                  <w:effect w:val="none"/>
                </w:rPr>
                <w:t>123</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89">
              <w:r>
                <w:rPr>
                  <w:rStyle w:val="InternetLink"/>
                  <w:rFonts w:ascii="Arial;sans-serif" w:hAnsi="Arial;sans-serif"/>
                  <w:b w:val="false"/>
                  <w:strike w:val="false"/>
                  <w:dstrike w:val="false"/>
                  <w:color w:val="000000"/>
                  <w:sz w:val="18"/>
                  <w:u w:val="none"/>
                  <w:effect w:val="none"/>
                </w:rPr>
                <w:t>Controls and Procedures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92">
              <w:r>
                <w:rPr>
                  <w:rStyle w:val="InternetLink"/>
                  <w:rFonts w:ascii="Arial;sans-serif" w:hAnsi="Arial;sans-serif"/>
                  <w:b/>
                  <w:strike w:val="false"/>
                  <w:dstrike w:val="false"/>
                  <w:color w:val="D7282F"/>
                  <w:sz w:val="18"/>
                  <w:u w:val="none"/>
                  <w:effect w:val="none"/>
                </w:rPr>
                <w:t>123</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92">
              <w:r>
                <w:rPr>
                  <w:rStyle w:val="InternetLink"/>
                  <w:rFonts w:ascii="Arial;sans-serif" w:hAnsi="Arial;sans-serif"/>
                  <w:b w:val="false"/>
                  <w:strike w:val="false"/>
                  <w:dstrike w:val="false"/>
                  <w:color w:val="000000"/>
                  <w:sz w:val="18"/>
                  <w:u w:val="none"/>
                  <w:effect w:val="none"/>
                </w:rPr>
                <w:t>Management's Report on Internal Control over Financial Reporting</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98">
              <w:r>
                <w:rPr>
                  <w:rStyle w:val="InternetLink"/>
                  <w:rFonts w:ascii="Arial;sans-serif" w:hAnsi="Arial;sans-serif"/>
                  <w:b/>
                  <w:strike w:val="false"/>
                  <w:dstrike w:val="false"/>
                  <w:color w:val="D7282F"/>
                  <w:sz w:val="18"/>
                  <w:u w:val="none"/>
                  <w:effect w:val="none"/>
                </w:rPr>
                <w:t>124</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95">
              <w:r>
                <w:rPr>
                  <w:rStyle w:val="InternetLink"/>
                  <w:rFonts w:ascii="Arial;sans-serif" w:hAnsi="Arial;sans-serif"/>
                  <w:b w:val="false"/>
                  <w:strike w:val="false"/>
                  <w:dstrike w:val="false"/>
                  <w:color w:val="000000"/>
                  <w:sz w:val="18"/>
                  <w:u w:val="none"/>
                  <w:effect w:val="none"/>
                </w:rPr>
                <w:t>Other Information</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01">
              <w:r>
                <w:rPr>
                  <w:rStyle w:val="InternetLink"/>
                  <w:rFonts w:ascii="Arial;sans-serif" w:hAnsi="Arial;sans-serif"/>
                  <w:b/>
                  <w:strike w:val="false"/>
                  <w:dstrike w:val="false"/>
                  <w:color w:val="D7282F"/>
                  <w:sz w:val="18"/>
                  <w:u w:val="none"/>
                  <w:effect w:val="none"/>
                </w:rPr>
                <w:t>125</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01">
              <w:r>
                <w:rPr>
                  <w:rStyle w:val="InternetLink"/>
                  <w:rFonts w:ascii="Arial;sans-serif" w:hAnsi="Arial;sans-serif"/>
                  <w:b w:val="false"/>
                  <w:strike w:val="false"/>
                  <w:dstrike w:val="false"/>
                  <w:color w:val="000000"/>
                  <w:sz w:val="18"/>
                  <w:u w:val="none"/>
                  <w:effect w:val="none"/>
                </w:rPr>
                <w:t>Disclosure Regarding Foreign Jurisdictions that Prevent Inspections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04">
              <w:r>
                <w:rPr>
                  <w:rStyle w:val="InternetLink"/>
                  <w:rFonts w:ascii="Arial;sans-serif" w:hAnsi="Arial;sans-serif"/>
                  <w:b/>
                  <w:strike w:val="false"/>
                  <w:dstrike w:val="false"/>
                  <w:color w:val="D7282F"/>
                  <w:sz w:val="18"/>
                  <w:u w:val="none"/>
                  <w:effect w:val="none"/>
                </w:rPr>
                <w:t>125</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04">
              <w:r>
                <w:rPr>
                  <w:rStyle w:val="InternetLink"/>
                  <w:rFonts w:ascii="Arial;sans-serif" w:hAnsi="Arial;sans-serif"/>
                  <w:b w:val="false"/>
                  <w:strike w:val="false"/>
                  <w:dstrike w:val="false"/>
                  <w:color w:val="000000"/>
                  <w:sz w:val="18"/>
                  <w:u w:val="none"/>
                  <w:effect w:val="none"/>
                </w:rPr>
                <w:t>Directors, Executive Officers, and Corporate Governance</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07">
              <w:r>
                <w:rPr>
                  <w:rStyle w:val="InternetLink"/>
                  <w:rFonts w:ascii="Arial;sans-serif" w:hAnsi="Arial;sans-serif"/>
                  <w:b/>
                  <w:strike w:val="false"/>
                  <w:dstrike w:val="false"/>
                  <w:color w:val="D7282F"/>
                  <w:sz w:val="18"/>
                  <w:u w:val="none"/>
                  <w:effect w:val="none"/>
                </w:rPr>
                <w:t>125</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07">
              <w:r>
                <w:rPr>
                  <w:rStyle w:val="InternetLink"/>
                  <w:rFonts w:ascii="Arial;sans-serif" w:hAnsi="Arial;sans-serif"/>
                  <w:b w:val="false"/>
                  <w:strike w:val="false"/>
                  <w:dstrike w:val="false"/>
                  <w:color w:val="000000"/>
                  <w:sz w:val="18"/>
                  <w:u w:val="none"/>
                  <w:effect w:val="none"/>
                </w:rPr>
                <w:t>Executive Compensation</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0">
              <w:r>
                <w:rPr>
                  <w:rStyle w:val="InternetLink"/>
                  <w:rFonts w:ascii="Arial;sans-serif" w:hAnsi="Arial;sans-serif"/>
                  <w:b/>
                  <w:strike w:val="false"/>
                  <w:dstrike w:val="false"/>
                  <w:color w:val="D7282F"/>
                  <w:sz w:val="18"/>
                  <w:u w:val="none"/>
                  <w:effect w:val="none"/>
                </w:rPr>
                <w:t>126</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0">
              <w:r>
                <w:rPr>
                  <w:rStyle w:val="InternetLink"/>
                  <w:rFonts w:ascii="Arial;sans-serif" w:hAnsi="Arial;sans-serif"/>
                  <w:b w:val="false"/>
                  <w:strike w:val="false"/>
                  <w:dstrike w:val="false"/>
                  <w:color w:val="000000"/>
                  <w:sz w:val="18"/>
                  <w:u w:val="none"/>
                  <w:effect w:val="none"/>
                </w:rPr>
                <w:t>Security Ownership of Certain Beneficial Owners and Management and Related Stockholder Matters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3">
              <w:r>
                <w:rPr>
                  <w:rStyle w:val="InternetLink"/>
                  <w:rFonts w:ascii="Arial;sans-serif" w:hAnsi="Arial;sans-serif"/>
                  <w:b/>
                  <w:strike w:val="false"/>
                  <w:dstrike w:val="false"/>
                  <w:color w:val="D7282F"/>
                  <w:sz w:val="18"/>
                  <w:u w:val="none"/>
                  <w:effect w:val="none"/>
                </w:rPr>
                <w:t>127</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3">
              <w:r>
                <w:rPr>
                  <w:rStyle w:val="InternetLink"/>
                  <w:rFonts w:ascii="Arial;sans-serif" w:hAnsi="Arial;sans-serif"/>
                  <w:b w:val="false"/>
                  <w:strike w:val="false"/>
                  <w:dstrike w:val="false"/>
                  <w:color w:val="000000"/>
                  <w:sz w:val="18"/>
                  <w:u w:val="none"/>
                  <w:effect w:val="none"/>
                </w:rPr>
                <w:t>Certain Relationships and Related Transactions, and Director Independence</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6">
              <w:r>
                <w:rPr>
                  <w:rStyle w:val="InternetLink"/>
                  <w:rFonts w:ascii="Arial;sans-serif" w:hAnsi="Arial;sans-serif"/>
                  <w:b/>
                  <w:strike w:val="false"/>
                  <w:dstrike w:val="false"/>
                  <w:color w:val="D7282F"/>
                  <w:sz w:val="18"/>
                  <w:u w:val="none"/>
                  <w:effect w:val="none"/>
                </w:rPr>
                <w:t>127</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6">
              <w:r>
                <w:rPr>
                  <w:rStyle w:val="InternetLink"/>
                  <w:rFonts w:ascii="Arial;sans-serif" w:hAnsi="Arial;sans-serif"/>
                  <w:b w:val="false"/>
                  <w:strike w:val="false"/>
                  <w:dstrike w:val="false"/>
                  <w:color w:val="000000"/>
                  <w:sz w:val="18"/>
                  <w:u w:val="none"/>
                  <w:effect w:val="none"/>
                </w:rPr>
                <w:t>Principal Accounting Fees and Services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9">
              <w:r>
                <w:rPr>
                  <w:rStyle w:val="InternetLink"/>
                  <w:rFonts w:ascii="Arial;sans-serif" w:hAnsi="Arial;sans-serif"/>
                  <w:b/>
                  <w:strike w:val="false"/>
                  <w:dstrike w:val="false"/>
                  <w:color w:val="D7282F"/>
                  <w:sz w:val="18"/>
                  <w:u w:val="none"/>
                  <w:effect w:val="none"/>
                </w:rPr>
                <w:t>127</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9">
              <w:r>
                <w:rPr>
                  <w:rStyle w:val="InternetLink"/>
                  <w:rFonts w:ascii="Arial;sans-serif" w:hAnsi="Arial;sans-serif"/>
                  <w:b w:val="false"/>
                  <w:strike w:val="false"/>
                  <w:dstrike w:val="false"/>
                  <w:color w:val="000000"/>
                  <w:sz w:val="18"/>
                  <w:u w:val="none"/>
                  <w:effect w:val="none"/>
                </w:rPr>
                <w:t>Exhibits and Financial Statement Schedules</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22">
              <w:r>
                <w:rPr>
                  <w:rStyle w:val="InternetLink"/>
                  <w:rFonts w:ascii="Arial;sans-serif" w:hAnsi="Arial;sans-serif"/>
                  <w:b/>
                  <w:strike w:val="false"/>
                  <w:dstrike w:val="false"/>
                  <w:color w:val="D7282F"/>
                  <w:sz w:val="18"/>
                  <w:u w:val="none"/>
                  <w:effect w:val="none"/>
                </w:rPr>
                <w:t>127</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22">
              <w:r>
                <w:rPr>
                  <w:rStyle w:val="InternetLink"/>
                  <w:rFonts w:ascii="Arial;sans-serif" w:hAnsi="Arial;sans-serif"/>
                  <w:b w:val="false"/>
                  <w:strike w:val="false"/>
                  <w:dstrike w:val="false"/>
                  <w:color w:val="000000"/>
                  <w:sz w:val="18"/>
                  <w:u w:val="none"/>
                  <w:effect w:val="none"/>
                </w:rPr>
                <w:t>Form 10-K Summary</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25">
              <w:r>
                <w:rPr>
                  <w:rStyle w:val="InternetLink"/>
                  <w:rFonts w:ascii="Arial;sans-serif" w:hAnsi="Arial;sans-serif"/>
                  <w:b/>
                  <w:strike w:val="false"/>
                  <w:dstrike w:val="false"/>
                  <w:color w:val="D7282F"/>
                  <w:sz w:val="18"/>
                  <w:u w:val="none"/>
                  <w:effect w:val="none"/>
                </w:rPr>
                <w:t>128</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25">
              <w:r>
                <w:rPr>
                  <w:rStyle w:val="InternetLink"/>
                  <w:rFonts w:ascii="Arial;sans-serif" w:hAnsi="Arial;sans-serif"/>
                  <w:b w:val="false"/>
                  <w:strike w:val="false"/>
                  <w:dstrike w:val="false"/>
                  <w:color w:val="000000"/>
                  <w:sz w:val="18"/>
                  <w:u w:val="none"/>
                  <w:effect w:val="none"/>
                </w:rPr>
                <w:t>Exhibit Index</w:t>
              </w:r>
            </w:hyperlink>
          </w:p>
        </w:tc>
      </w:tr>
      <w:tr>
        <w:trPr/>
        <w:tc>
          <w:tcPr>
            <w:tcW w:w="43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28">
              <w:r>
                <w:rPr>
                  <w:rStyle w:val="InternetLink"/>
                  <w:rFonts w:ascii="Arial;sans-serif" w:hAnsi="Arial;sans-serif"/>
                  <w:b/>
                  <w:strike w:val="false"/>
                  <w:dstrike w:val="false"/>
                  <w:color w:val="D7282F"/>
                  <w:sz w:val="18"/>
                  <w:u w:val="none"/>
                  <w:effect w:val="none"/>
                </w:rPr>
                <w:t>132</w:t>
              </w:r>
            </w:hyperlink>
          </w:p>
        </w:tc>
        <w:tc>
          <w:tcPr>
            <w:tcW w:w="91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28">
              <w:r>
                <w:rPr>
                  <w:rStyle w:val="InternetLink"/>
                  <w:rFonts w:ascii="Arial;sans-serif" w:hAnsi="Arial;sans-serif"/>
                  <w:b w:val="false"/>
                  <w:strike w:val="false"/>
                  <w:dstrike w:val="false"/>
                  <w:color w:val="000000"/>
                  <w:sz w:val="18"/>
                  <w:u w:val="none"/>
                  <w:effect w:val="none"/>
                </w:rPr>
                <w:t>Signatures</w:t>
              </w:r>
            </w:hyperlink>
          </w:p>
        </w:tc>
      </w:tr>
      <w:tr>
        <w:trPr/>
        <w:tc>
          <w:tcPr>
            <w:tcW w:w="436" w:type="dxa"/>
            <w:gridSpan w:val="3"/>
            <w:tcBorders>
              <w:top w:val="single" w:sz="2" w:space="0" w:color="61656A"/>
              <w:bottom w:val="single" w:sz="2" w:space="0" w:color="61656A"/>
            </w:tcBorders>
            <w:tcMar>
              <w:top w:w="30" w:type="dxa"/>
              <w:left w:w="0" w:type="dxa"/>
              <w:bottom w:w="30" w:type="dxa"/>
              <w:right w:w="0" w:type="dxa"/>
            </w:tcMar>
            <w:vAlign w:val="center"/>
          </w:tcPr>
          <w:p>
            <w:pPr>
              <w:pStyle w:val="TableContents"/>
              <w:bidi w:val="0"/>
              <w:spacing w:lineRule="auto" w:line="240" w:before="0" w:after="0"/>
              <w:jc w:val="right"/>
              <w:rPr/>
            </w:pPr>
            <w:hyperlink w:anchor="ic3922f0530c04df99983ab02c4d22c0f_331">
              <w:r>
                <w:rPr>
                  <w:rStyle w:val="InternetLink"/>
                  <w:rFonts w:ascii="Arial;sans-serif" w:hAnsi="Arial;sans-serif"/>
                  <w:b/>
                  <w:strike w:val="false"/>
                  <w:dstrike w:val="false"/>
                  <w:color w:val="D7282F"/>
                  <w:sz w:val="18"/>
                  <w:u w:val="none"/>
                  <w:effect w:val="none"/>
                </w:rPr>
                <w:t>134</w:t>
              </w:r>
            </w:hyperlink>
          </w:p>
        </w:tc>
        <w:tc>
          <w:tcPr>
            <w:tcW w:w="9150" w:type="dxa"/>
            <w:gridSpan w:val="3"/>
            <w:tcBorders>
              <w:top w:val="single" w:sz="2" w:space="0" w:color="61656A"/>
              <w:bottom w:val="single" w:sz="2" w:space="0" w:color="61656A"/>
            </w:tcBorders>
            <w:tcMar>
              <w:top w:w="30" w:type="dxa"/>
              <w:left w:w="0" w:type="dxa"/>
              <w:bottom w:w="30" w:type="dxa"/>
              <w:right w:w="0" w:type="dxa"/>
            </w:tcMar>
            <w:vAlign w:val="center"/>
          </w:tcPr>
          <w:p>
            <w:pPr>
              <w:pStyle w:val="TableContents"/>
              <w:bidi w:val="0"/>
              <w:spacing w:lineRule="auto" w:line="240" w:before="0" w:after="0"/>
              <w:jc w:val="left"/>
              <w:rPr/>
            </w:pPr>
            <w:hyperlink w:anchor="ic3922f0530c04df99983ab02c4d22c0f_331">
              <w:r>
                <w:rPr>
                  <w:rStyle w:val="InternetLink"/>
                  <w:rFonts w:ascii="Arial;sans-serif" w:hAnsi="Arial;sans-serif"/>
                  <w:b w:val="false"/>
                  <w:strike w:val="false"/>
                  <w:dstrike w:val="false"/>
                  <w:color w:val="000000"/>
                  <w:sz w:val="18"/>
                  <w:u w:val="none"/>
                  <w:effect w:val="none"/>
                </w:rPr>
                <w:t>Form 10-K Cross-Reference Index</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 xml:space="preserve">CAUTIONARY STATEMENT ABOUT </w:t>
        <w:br/>
        <w:t>FORWARD-LOOKING STATEMENTS</w:t>
      </w:r>
    </w:p>
    <w:p>
      <w:pPr>
        <w:pStyle w:val="TextBody"/>
        <w:bidi w:val="0"/>
        <w:spacing w:lineRule="auto" w:line="288" w:before="120" w:after="120"/>
        <w:jc w:val="both"/>
        <w:rPr/>
      </w:pPr>
      <w:r>
        <w:rPr>
          <w:rFonts w:ascii="Arial;sans-serif" w:hAnsi="Arial;sans-serif"/>
          <w:b w:val="false"/>
          <w:color w:val="000000"/>
          <w:sz w:val="18"/>
        </w:rPr>
        <w:t xml:space="preserve">We describe many of the trends and other factors that drive our business and future results in the section titled </w:t>
      </w:r>
      <w:hyperlink w:anchor="ic3922f0530c04df99983ab02c4d22c0f_64">
        <w:r>
          <w:rPr>
            <w:rStyle w:val="InternetLink"/>
            <w:rFonts w:ascii="Arial;sans-serif" w:hAnsi="Arial;sans-serif"/>
            <w:b w:val="false"/>
            <w:color w:val="0000FF"/>
            <w:sz w:val="18"/>
            <w:u w:val="single"/>
          </w:rPr>
          <w:t>Management’s Discussion and Analysis of Financial Condition and Results of Operations</w:t>
        </w:r>
      </w:hyperlink>
      <w:r>
        <w:rPr>
          <w:color w:val="000000"/>
        </w:rPr>
        <w:t xml:space="preserve"> </w:t>
      </w:r>
      <w:r>
        <w:rPr>
          <w:rFonts w:ascii="Arial;sans-serif" w:hAnsi="Arial;sans-serif"/>
          <w:b w:val="false"/>
          <w:color w:val="000000"/>
          <w:sz w:val="18"/>
        </w:rPr>
        <w:t xml:space="preserve">and in other parts of this report (including under the section titled </w:t>
      </w:r>
      <w:hyperlink w:anchor="ic3922f0530c04df99983ab02c4d22c0f_109">
        <w:r>
          <w:rPr>
            <w:rStyle w:val="InternetLink"/>
            <w:rFonts w:ascii="Arial;sans-serif" w:hAnsi="Arial;sans-serif"/>
            <w:b w:val="false"/>
            <w:color w:val="0000FF"/>
            <w:sz w:val="18"/>
            <w:u w:val="single"/>
          </w:rPr>
          <w:t>Risk Factors</w:t>
        </w:r>
      </w:hyperlink>
      <w:r>
        <w:rPr>
          <w:rFonts w:ascii="Arial;sans-serif" w:hAnsi="Arial;sans-serif"/>
          <w:b w:val="false"/>
          <w:color w:val="000000"/>
          <w:sz w:val="18"/>
        </w:rPr>
        <w:t xml:space="preserve">). Such discussions contain forward-looking statements within the meaning of Section 21E of the Securities Exchange Act of 1934, as amended (the Exchange Act), including statements related to the proposed separation of Honeywell from Honeywell Aerospace and the planned sale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proposed separation of Honeywell from Honeywell Aerospace and the planned sale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proposed separation of Honeywell from Honeywell Aerospace and the planned sale of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which can affect our performance in both the near- and long-term. In addition, no assurance can be given that any plan, initiative, projection, goal, commitment, expectation, or prospect set forth in this Form 10-K can or will be achieved. These forward-looking statements should be considered in light of the information included in this Form 10-K, including, in particular, the factors discussed within the section titled </w:t>
      </w:r>
      <w:hyperlink w:anchor="ic3922f0530c04df99983ab02c4d22c0f_109">
        <w:r>
          <w:rPr>
            <w:rStyle w:val="InternetLink"/>
            <w:rFonts w:ascii="Arial;sans-serif" w:hAnsi="Arial;sans-serif"/>
            <w:b w:val="false"/>
            <w:color w:val="0000FF"/>
            <w:sz w:val="18"/>
            <w:u w:val="single"/>
          </w:rPr>
          <w:t>Risk Factors</w:t>
        </w:r>
      </w:hyperlink>
      <w:r>
        <w:rPr>
          <w:rFonts w:ascii="Arial;sans-serif" w:hAnsi="Arial;sans-serif"/>
          <w:b w:val="false"/>
          <w:color w:val="000000"/>
          <w:sz w:val="18"/>
        </w:rPr>
        <w:t>. Such factors may be revised or supplemented in subsequent reports on Forms 10-Q and 8-K. Any forward-looking plans described herein are not final and may be modified or abandoned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ABOUT HONEYWELL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International Inc. (Honeywell, we, us, our, or the Company) is an integrated operating company serving a broad range of industries and geographies around the world, with a portfolio that is underpinned by our Honeywell Accelerator operating system and Honeywell Forge platform. Our portfolio of solutions is uniquely positioned to blend physical products with software to serve customers worldwide. On February 6, 2025, we announced our plans to separate Honeywell from Honeywell Aerospace, into two independent U.S. public companies. Our Honeywell business will be a leading global, pure-play automation company, delivering productivity enhancing mission-critical solutions that enable optimized outcomes for customers. Our Honeywell Aerospace business will be a leading global tier-1 aerospace and defense supplier of mission critical systems and technologies that enable the production, maintenance, and safe operation of aerospace and defense platforms. Each of our businesses help organizations solve the world's toughest, most complex challenges, providing actionable solutions and innovations for aerospace, building automation, industrial automation, process automation, and process technology, that help make the world smarter and safer, as well as more secure and sustainable. The Honeywell brand dates back to 1906, and the Company was incorporated in Delaware in 1985.</w:t>
      </w:r>
    </w:p>
    <w:p>
      <w:pPr>
        <w:pStyle w:val="TextBody"/>
        <w:bidi w:val="0"/>
        <w:spacing w:lineRule="auto" w:line="288" w:before="120" w:after="120"/>
        <w:jc w:val="both"/>
        <w:rPr/>
      </w:pPr>
      <w:r>
        <w:rPr>
          <w:rFonts w:ascii="Arial;sans-serif" w:hAnsi="Arial;sans-serif"/>
          <w:b w:val="false"/>
          <w:color w:val="000000"/>
          <w:sz w:val="18"/>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w:t>
      </w:r>
      <w:r>
        <w:rPr>
          <w:color w:val="000000"/>
          <w:shd w:fill="FFFFFF" w:val="clear"/>
        </w:rPr>
        <w:t xml:space="preserve"> </w:t>
      </w:r>
      <w:r>
        <w:rPr>
          <w:rFonts w:ascii="Arial;sans-serif" w:hAnsi="Arial;sans-serif"/>
          <w:b w:val="false"/>
          <w:color w:val="000000"/>
          <w:sz w:val="18"/>
          <w:shd w:fill="FFFFFF" w:val="clear"/>
        </w:rPr>
        <w:t>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w:t>
      </w:r>
      <w:r>
        <w:rPr>
          <w:rFonts w:ascii="Arial;sans-serif" w:hAnsi="Arial;sans-serif"/>
          <w:b w:val="false"/>
          <w:color w:val="000000"/>
          <w:sz w:val="18"/>
        </w:rPr>
        <w:t>s releases, SEC filings, public conference calls, webcasts, and social media. Information contained on or accessible through, including any reports available on, our website is not a part of, and is not incorporated by reference into, this Form 10-K or any other report or document we file with the SEC. Any reference to our website in this Form 10-K is intended to be an inactive textual reference only.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in this Form 10-K, the Company incorporates by reference certain information from its definitive Proxy Statement for the 2026 Annual Meeting of Stockholders (the Proxy Statement), which we expect to file with the SEC not later than 120 days after December 31, 2025, and which will also be available free of charge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2    </w:t>
                      </w:r>
                      <w:r>
                        <w:rPr>
                          <w:rFonts w:ascii="Arial;sans-serif" w:hAnsi="Arial;sans-serif"/>
                          <w:b w:val="false"/>
                          <w:color w:val="000000"/>
                          <w:sz w:val="16"/>
                        </w:rPr>
                        <w:t>Honeywell International Inc.</w:t>
                      </w:r>
                    </w:p>
                  </w:txbxContent>
                </v:textbox>
                <w10:wrap type="none"/>
              </v:rect>
            </w:pict>
          </mc:Fallback>
        </mc:AlternateContent>
      </w:r>
    </w:p>
    <w:tbl>
      <w:tblPr>
        <w:tblW w:w="2983" w:type="dxa"/>
        <w:jc w:val="righ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EXECUTIVE SUMMARY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Leveraging our Honeywell Accelerator operating model, we continued our portfolio transformation, demonstrating growth and operational performance while remaining focused on creating long-term shareowner value. In 2025, we delivered sales growth of 8% to $37.4 billion, with increases in three of our four reportable business segments, led by double-digit growth in our Aerospace Technologies business segment for its third consecutive year. We are unlocking growth by driving differentiated customer outcomes and enhanced, recurring revenue streams through the monetization of our vast installed base.</w:t>
      </w:r>
    </w:p>
    <w:p>
      <w:pPr>
        <w:pStyle w:val="TextBody"/>
        <w:bidi w:val="0"/>
        <w:spacing w:lineRule="auto" w:line="276" w:before="120" w:after="100"/>
        <w:jc w:val="both"/>
        <w:rPr/>
      </w:pPr>
      <w:r>
        <w:rPr>
          <w:rFonts w:ascii="Arial;sans-serif" w:hAnsi="Arial;sans-serif"/>
          <w:b w:val="false"/>
          <w:color w:val="000000"/>
          <w:sz w:val="18"/>
        </w:rPr>
        <w:t xml:space="preserve">Portfolio optimization and capital deployment remain a central focus for Honeywell, as evidenced by the separation and segment realignment announcements that we made during 2025. On October 30, 2025, we completed the spin-off of our Advanced Materials (AM) business into an independent, publicly traded company named Solstice Advanced Materials, Inc. (Solstice). The Advanced Materials business was previously included within the Energy and Sustainability Solutions reportable segment. In connection with the spin-off, the AM business is reported in our consolidated financial statements as discontinued operations in all periods presented. See Note 2 </w:t>
      </w:r>
      <w:hyperlink w:anchor="ic3922f0530c04df99983ab02c4d22c0f_202">
        <w:r>
          <w:rPr>
            <w:rStyle w:val="InternetLink"/>
          </w:rPr>
          <w:t>Acquisitions, Divestit</w:t>
        </w:r>
      </w:hyperlink>
      <w:hyperlink w:anchor="ic3922f0530c04df99983ab02c4d22c0f_202">
        <w:r>
          <w:rPr>
            <w:rStyle w:val="InternetLink"/>
          </w:rPr>
          <w:t>ures, and Discontinue</w:t>
        </w:r>
      </w:hyperlink>
      <w:hyperlink w:anchor="ic3922f0530c04df99983ab02c4d22c0f_202">
        <w:r>
          <w:rPr>
            <w:rStyle w:val="InternetLink"/>
          </w:rPr>
          <w:t>d Op</w:t>
        </w:r>
      </w:hyperlink>
      <w:hyperlink w:anchor="ic3922f0530c04df99983ab02c4d22c0f_202">
        <w:r>
          <w:rPr>
            <w:rStyle w:val="InternetLink"/>
          </w:rPr>
          <w:t>erations</w:t>
        </w:r>
      </w:hyperlink>
      <w:r>
        <w:rPr>
          <w:color w:val="000000"/>
        </w:rPr>
        <w:t xml:space="preserve"> </w:t>
      </w:r>
      <w:r>
        <w:rPr>
          <w:rFonts w:ascii="Arial;sans-serif" w:hAnsi="Arial;sans-serif"/>
          <w:b w:val="false"/>
          <w:color w:val="000000"/>
          <w:sz w:val="18"/>
        </w:rPr>
        <w:t>of Notes to Consolidated Financial Statements for further information.</w:t>
      </w:r>
    </w:p>
    <w:p>
      <w:pPr>
        <w:pStyle w:val="TextBody"/>
        <w:bidi w:val="0"/>
        <w:spacing w:lineRule="auto" w:line="288" w:before="120" w:after="120"/>
        <w:jc w:val="both"/>
        <w:rPr/>
      </w:pPr>
      <w:r>
        <w:rPr>
          <w:rFonts w:ascii="Arial;sans-serif" w:hAnsi="Arial;sans-serif"/>
          <w:b w:val="false"/>
          <w:color w:val="000000"/>
          <w:sz w:val="18"/>
        </w:rPr>
        <w:t xml:space="preserve">We also deployed $2.2 billion of capital to acquire Sundyne in June 2025 and announced an agreement to acquire Johnson Matthey's Catalyst Technologies business segment for £1.8 billion. We completed the divestiture of our personal protection equipment (PPE) business in May 2025 and announced our intent to pursue the separation of Honeywell from Honeywell Aerospace, into independent, U.S. publicly traded companies, which is expected to be completed in the third quarter of 2026. After the separation, Honeywell Aerospace is expected to be one of the largest publicly-traded aerospace suppliers globally, well-positioned as a premier technology and systems provider for all forms of aircraft. Similarly, Honeywell will be a leading, pure-play automation company with a vast installed base and comprehensive portfolio of technologies, solutions, and software enabling us to solve the world’s most complex problems and power the digital transformation, globally. Refer to the section titled </w:t>
      </w:r>
      <w:hyperlink w:anchor="ic3922f0530c04df99983ab02c4d22c0f_64">
        <w:r>
          <w:rPr>
            <w:rStyle w:val="InternetLink"/>
            <w:rFonts w:ascii="Arial;sans-serif" w:hAnsi="Arial;sans-serif"/>
            <w:b w:val="false"/>
            <w:color w:val="0000FF"/>
            <w:sz w:val="18"/>
            <w:u w:val="single"/>
          </w:rPr>
          <w:t>Management's Discussion and Analysis of Financial Condition and Results of Operations</w:t>
        </w:r>
      </w:hyperlink>
      <w:r>
        <w:rPr>
          <w:color w:val="000000"/>
        </w:rPr>
        <w:t xml:space="preserve"> </w:t>
      </w:r>
      <w:r>
        <w:rPr>
          <w:rFonts w:ascii="Arial;sans-serif" w:hAnsi="Arial;sans-serif"/>
          <w:b w:val="false"/>
          <w:color w:val="000000"/>
          <w:sz w:val="18"/>
        </w:rPr>
        <w:t xml:space="preserve">for further information.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year, we deployed $10.0 billion to capital expenditures, dividends, share repurchases, and mergers and acquisitions. We opportunistically repurchased shares to maintain our commitment to reduce share count by at least 1% per year and increased our dividend for the sixteenth time in the last fifteen years.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we look forward, we intend to continue deploying capital to high-return opportunities. We have a $37.5 billion backlog as of December 31, 2025, that provides a strong foundation for future growth and sustained capital deployment to accelerate growth.</w:t>
      </w:r>
    </w:p>
    <w:tbl>
      <w:tblPr>
        <w:tblW w:w="10205" w:type="dxa"/>
        <w:jc w:val="left"/>
        <w:tblInd w:w="0" w:type="dxa"/>
        <w:tblLayout w:type="fixed"/>
        <w:tblCellMar>
          <w:top w:w="28" w:type="dxa"/>
          <w:left w:w="28" w:type="dxa"/>
          <w:bottom w:w="28" w:type="dxa"/>
          <w:right w:w="28" w:type="dxa"/>
        </w:tblCellMar>
      </w:tblPr>
      <w:tblGrid>
        <w:gridCol w:w="124"/>
        <w:gridCol w:w="109"/>
        <w:gridCol w:w="109"/>
        <w:gridCol w:w="859"/>
        <w:gridCol w:w="859"/>
        <w:gridCol w:w="870"/>
        <w:gridCol w:w="109"/>
        <w:gridCol w:w="109"/>
        <w:gridCol w:w="109"/>
        <w:gridCol w:w="109"/>
        <w:gridCol w:w="109"/>
        <w:gridCol w:w="109"/>
        <w:gridCol w:w="903"/>
        <w:gridCol w:w="903"/>
        <w:gridCol w:w="919"/>
        <w:gridCol w:w="109"/>
        <w:gridCol w:w="109"/>
        <w:gridCol w:w="109"/>
        <w:gridCol w:w="109"/>
        <w:gridCol w:w="109"/>
        <w:gridCol w:w="109"/>
        <w:gridCol w:w="1384"/>
        <w:gridCol w:w="736"/>
        <w:gridCol w:w="745"/>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7282F"/>
              <w:left w:val="single" w:sz="8" w:space="0" w:color="D7282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D7282F"/>
              <w:right w:val="single" w:sz="8" w:space="0" w:color="D7282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616161"/>
                <w:sz w:val="18"/>
              </w:rPr>
            </w:pPr>
            <w:r>
              <w:rPr>
                <w:rFonts w:ascii="Arial;sans-serif" w:hAnsi="Arial;sans-serif"/>
                <w:b/>
                <w:color w:val="616161"/>
                <w:sz w:val="18"/>
              </w:rPr>
              <w:t>YEAR IN REVIEW</w:t>
            </w:r>
          </w:p>
        </w:tc>
        <w:tc>
          <w:tcPr>
            <w:tcW w:w="377" w:type="dxa"/>
            <w:gridSpan w:val="3"/>
            <w:tcBorders>
              <w:right w:val="single"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352425" cy="3238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52425" cy="323850"/>
                          </a:xfrm>
                          <a:prstGeom prst="rect">
                            <a:avLst/>
                          </a:prstGeom>
                        </pic:spPr>
                      </pic:pic>
                    </a:graphicData>
                  </a:graphic>
                </wp:inline>
              </w:drawing>
            </w:r>
            <w:bookmarkStart w:id="1" w:name="i-2"/>
            <w:bookmarkEnd w:id="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333375" cy="3238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33375" cy="323850"/>
                          </a:xfrm>
                          <a:prstGeom prst="rect">
                            <a:avLst/>
                          </a:prstGeom>
                        </pic:spPr>
                      </pic:pic>
                    </a:graphicData>
                  </a:graphic>
                </wp:inline>
              </w:drawing>
            </w:r>
            <w:bookmarkStart w:id="2" w:name="i-3"/>
            <w:bookmarkEnd w:id="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352425" cy="3619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352425" cy="361950"/>
                          </a:xfrm>
                          <a:prstGeom prst="rect">
                            <a:avLst/>
                          </a:prstGeom>
                        </pic:spPr>
                      </pic:pic>
                    </a:graphicData>
                  </a:graphic>
                </wp:inline>
              </w:drawing>
            </w:r>
            <w:bookmarkStart w:id="3" w:name="i-4"/>
            <w:bookmarkEnd w:id="3"/>
          </w:p>
        </w:tc>
        <w:tc>
          <w:tcPr>
            <w:tcW w:w="377" w:type="dxa"/>
            <w:gridSpan w:val="3"/>
            <w:tcBorders>
              <w:right w:val="single"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Sales up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Robust backlog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cash flows from continuing operations of</w:t>
            </w:r>
          </w:p>
        </w:tc>
        <w:tc>
          <w:tcPr>
            <w:tcW w:w="377" w:type="dxa"/>
            <w:gridSpan w:val="3"/>
            <w:tcBorders>
              <w:right w:val="single"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D7282F"/>
                <w:sz w:val="40"/>
              </w:rPr>
            </w:pPr>
            <w:r>
              <w:rPr>
                <w:rFonts w:ascii="Arial;sans-serif" w:hAnsi="Arial;sans-serif"/>
                <w:b/>
                <w:color w:val="D7282F"/>
                <w:sz w:val="40"/>
              </w:rPr>
              <w:t>$37.4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D7282F"/>
                <w:sz w:val="40"/>
              </w:rPr>
            </w:pPr>
            <w:r>
              <w:rPr>
                <w:rFonts w:ascii="Arial;sans-serif" w:hAnsi="Arial;sans-serif"/>
                <w:b/>
                <w:color w:val="D7282F"/>
                <w:sz w:val="40"/>
              </w:rPr>
              <w:t>$37.5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D7282F"/>
                <w:sz w:val="40"/>
              </w:rPr>
            </w:pPr>
            <w:r>
              <w:rPr>
                <w:rFonts w:ascii="Arial;sans-serif" w:hAnsi="Arial;sans-serif"/>
                <w:b/>
                <w:color w:val="D7282F"/>
                <w:sz w:val="40"/>
              </w:rPr>
              <w:t>$6.1 BILLION</w:t>
            </w:r>
          </w:p>
        </w:tc>
        <w:tc>
          <w:tcPr>
            <w:tcW w:w="377" w:type="dxa"/>
            <w:gridSpan w:val="3"/>
            <w:tcBorders>
              <w:right w:val="single"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 we remain focused on leveraging and evolving our Honeywell Accelerator operating model to deliver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year-end, demonstrating continued strong demand in our end markets and positioning us well to convert for future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we remain focused on increasing operating cash flows through revenue growth, margin expansion, and improved working capital turnover</w:t>
            </w:r>
          </w:p>
        </w:tc>
        <w:tc>
          <w:tcPr>
            <w:tcW w:w="377" w:type="dxa"/>
            <w:gridSpan w:val="3"/>
            <w:tcBorders>
              <w:right w:val="single"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D7282F"/>
              <w:bottom w:val="single" w:sz="8" w:space="0" w:color="D7282F"/>
            </w:tcBorders>
            <w:tcMar>
              <w:top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bottom w:val="single" w:sz="8"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bottom w:val="single" w:sz="8"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bottom w:val="single" w:sz="8"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D7282F"/>
              <w:right w:val="single" w:sz="8" w:space="0" w:color="D7282F"/>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9"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3    </w:t>
                      </w:r>
                      <w:r>
                        <w:rPr>
                          <w:rFonts w:ascii="Arial;sans-serif" w:hAnsi="Arial;sans-serif"/>
                          <w:b w:val="false"/>
                          <w:color w:val="000000"/>
                          <w:sz w:val="16"/>
                        </w:rPr>
                        <w:t>Honeywell International Inc.</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BUSINESS OBJECTIVES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businesses focus on the following objectives:</w:t>
      </w:r>
    </w:p>
    <w:p>
      <w:pPr>
        <w:pStyle w:val="TextBody"/>
        <w:bidi w:val="0"/>
        <w:spacing w:before="120" w:after="120"/>
        <w:jc w:val="left"/>
        <w:rPr/>
      </w:pPr>
      <w:r>
        <w:rPr/>
        <w:drawing>
          <wp:inline distT="0" distB="0" distL="0" distR="0">
            <wp:extent cx="6629400" cy="64484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6629400" cy="6448425"/>
                    </a:xfrm>
                    <a:prstGeom prst="rect">
                      <a:avLst/>
                    </a:prstGeom>
                  </pic:spPr>
                </pic:pic>
              </a:graphicData>
            </a:graphic>
          </wp:inline>
        </w:drawing>
      </w:r>
      <w:bookmarkStart w:id="4" w:name="i-5"/>
      <w:bookmarkEnd w:id="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11"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4    </w:t>
                      </w:r>
                      <w:r>
                        <w:rPr>
                          <w:rFonts w:ascii="Arial;sans-serif" w:hAnsi="Arial;sans-serif"/>
                          <w:b w:val="false"/>
                          <w:color w:val="000000"/>
                          <w:sz w:val="16"/>
                        </w:rPr>
                        <w:t>Honeywell International Inc.</w:t>
                      </w:r>
                    </w:p>
                  </w:txbxContent>
                </v:textbox>
                <w10:wrap type="none"/>
              </v:rect>
            </w:pict>
          </mc:Fallback>
        </mc:AlternateContent>
      </w:r>
    </w:p>
    <w:tbl>
      <w:tblPr>
        <w:tblW w:w="2983" w:type="dxa"/>
        <w:jc w:val="righ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MAJOR BUSINESSES</w:t>
      </w:r>
    </w:p>
    <w:p>
      <w:pPr>
        <w:pStyle w:val="TextBody"/>
        <w:bidi w:val="0"/>
        <w:spacing w:lineRule="auto" w:line="288" w:before="120" w:after="120"/>
        <w:jc w:val="both"/>
        <w:rPr/>
      </w:pPr>
      <w:r>
        <w:rPr>
          <w:rFonts w:ascii="Arial;sans-serif" w:hAnsi="Arial;sans-serif"/>
          <w:b w:val="false"/>
          <w:color w:val="000000"/>
          <w:sz w:val="18"/>
        </w:rPr>
        <w:t xml:space="preserve">In 2025, we globally managed our business operations through four reportable business segments: Aerospace Technologies, Industrial Automation, Building Automation, and Energy and Sustainability Solutions. The remainder of Honeywell's operations is presented in Corporate and All Other, which is not a reportable business segment. Effective October 30, 2025, Honeywell completed the spin-off of its AM business into an independent, publicly traded company, Solstice Advanced Materials. The AM business had historically been part of the Energy and Sustainability Systems reportable segment. In connection with the spin-off, the AM business is reported in our consolidated financial statements as discontinued operations in all periods presented. In October 2025, the Company announced a planned realignment, expected to be effective in the first quarter of 2026, of its business units comprising its Industrial Automation and Energy and Sustainability Solutions reportable business segments to form a new reportable business segment, Process Automation and Technology, and result in a new composition of its Industrial Automation reportable business segment. Following the realignment, our reportable business segments will be Aerospace Technologies, Building Automation, Process Automation and Technology, and Industrial Automation. Financial information related to our reportable business segments is included in Note 22 </w:t>
      </w:r>
      <w:hyperlink w:anchor="ic3922f0530c04df99983ab02c4d22c0f_268">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of Notes to Consolidated Financial Statements.</w:t>
      </w:r>
    </w:p>
    <w:tbl>
      <w:tblPr>
        <w:tblW w:w="10205" w:type="dxa"/>
        <w:jc w:val="left"/>
        <w:tblInd w:w="0" w:type="dxa"/>
        <w:tblLayout w:type="fixed"/>
        <w:tblCellMar>
          <w:top w:w="28" w:type="dxa"/>
          <w:left w:w="28" w:type="dxa"/>
          <w:bottom w:w="28" w:type="dxa"/>
          <w:right w:w="28" w:type="dxa"/>
        </w:tblCellMar>
      </w:tblPr>
      <w:tblGrid>
        <w:gridCol w:w="884"/>
        <w:gridCol w:w="775"/>
        <w:gridCol w:w="775"/>
        <w:gridCol w:w="775"/>
        <w:gridCol w:w="775"/>
        <w:gridCol w:w="775"/>
        <w:gridCol w:w="775"/>
        <w:gridCol w:w="775"/>
        <w:gridCol w:w="791"/>
        <w:gridCol w:w="908"/>
        <w:gridCol w:w="908"/>
        <w:gridCol w:w="1289"/>
      </w:tblGrid>
      <w:tr>
        <w:trPr/>
        <w:tc>
          <w:tcPr>
            <w:tcW w:w="88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9"/>
            <w:tcBorders/>
            <w:shd w:fill="FFFFFF" w:val="clear"/>
            <w:tcMar>
              <w:top w:w="0" w:type="dxa"/>
              <w:left w:w="0" w:type="dxa"/>
              <w:bottom w:w="0" w:type="dxa"/>
              <w:right w:w="0" w:type="dxa"/>
            </w:tcMar>
            <w:vAlign w:val="center"/>
          </w:tcPr>
          <w:p>
            <w:pPr>
              <w:pStyle w:val="TableContents"/>
              <w:bidi w:val="0"/>
              <w:spacing w:lineRule="auto" w:line="288" w:before="280" w:after="120"/>
              <w:jc w:val="both"/>
              <w:rPr>
                <w:rFonts w:ascii="Arial MT Std Black;sans-serif" w:hAnsi="Arial MT Std Black;sans-serif"/>
                <w:b/>
                <w:color w:val="000000"/>
                <w:sz w:val="28"/>
                <w:shd w:fill="FFFFFF" w:val="clear"/>
              </w:rPr>
            </w:pPr>
            <w:r>
              <w:rPr>
                <w:rFonts w:ascii="Arial MT Std Black;sans-serif" w:hAnsi="Arial MT Std Black;sans-serif"/>
                <w:b/>
                <w:color w:val="000000"/>
                <w:sz w:val="28"/>
                <w:shd w:fill="FFFFFF" w:val="clear"/>
              </w:rPr>
              <w:t>AEROSPACE TECHNOLOGIES</w:t>
            </w:r>
          </w:p>
          <w:p>
            <w:pPr>
              <w:pStyle w:val="TableContents"/>
              <w:bidi w:val="0"/>
              <w:spacing w:lineRule="auto" w:line="264" w:before="0" w:after="0"/>
              <w:jc w:val="both"/>
              <w:rPr/>
            </w:pPr>
            <w:r>
              <w:rPr>
                <w:rFonts w:ascii="Arial;sans-serif" w:hAnsi="Arial;sans-serif"/>
                <w:b w:val="false"/>
                <w:color w:val="000000"/>
                <w:sz w:val="18"/>
              </w:rPr>
              <w:t>Aerospace Technologies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is a leading global supplier of products, software, and services for aircrafts that it sells to original equipment manufacturers (OEM) and other customers in a variety of end markets including commercial air transport, business aviation, airlines, aircraft operators, defense and space primes, and the U.S. government. Aerospace Technologies products and services include auxiliary power units, propulsion engines, environmental control systems, integrated avionics,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Our Honeywell Forge solutions enable our customers to turn data into predictive maintenance and predictive analytics to enable better fleet management and make flight operations more efficient.</w:t>
            </w:r>
          </w:p>
        </w:tc>
        <w:tc>
          <w:tcPr>
            <w:tcW w:w="3105" w:type="dxa"/>
            <w:gridSpan w:val="3"/>
            <w:tcBorders>
              <w:right w:val="single" w:sz="24" w:space="0" w:color="FFFFFF"/>
            </w:tcBorders>
            <w:shd w:fill="FFFFFF" w:val="clear"/>
            <w:tcMar>
              <w:top w:w="0" w:type="dxa"/>
              <w:left w:w="0" w:type="dxa"/>
              <w:bottom w:w="0" w:type="dxa"/>
            </w:tcMar>
            <w:vAlign w:val="center"/>
          </w:tcPr>
          <w:p>
            <w:pPr>
              <w:pStyle w:val="TableContents"/>
              <w:bidi w:val="0"/>
              <w:spacing w:before="0" w:after="0"/>
              <w:jc w:val="right"/>
              <w:rPr/>
            </w:pPr>
            <w:r>
              <w:rPr/>
              <w:drawing>
                <wp:inline distT="0" distB="0" distL="0" distR="0">
                  <wp:extent cx="1885950" cy="19526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885950" cy="1952625"/>
                          </a:xfrm>
                          <a:prstGeom prst="rect">
                            <a:avLst/>
                          </a:prstGeom>
                        </pic:spPr>
                      </pic:pic>
                    </a:graphicData>
                  </a:graphic>
                </wp:inline>
              </w:drawing>
            </w:r>
            <w:bookmarkStart w:id="5" w:name="i-6"/>
            <w:bookmarkEnd w:id="5"/>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1</w:t>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shd w:fill="FFFFFF" w:val="clear"/>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On February 6, 2025, the Company announced its intention to separate Honeywell from Honeywell Aerospace, into independent, U.S. publicly traded companies, which is expected to be completed in the third quarter of 2026.</w:t>
            </w:r>
          </w:p>
        </w:tc>
      </w:tr>
    </w:tbl>
    <w:tbl>
      <w:tblPr>
        <w:tblW w:w="8398" w:type="dxa"/>
        <w:jc w:val="left"/>
        <w:tblInd w:w="0" w:type="dxa"/>
        <w:tblLayout w:type="fixed"/>
        <w:tblCellMar>
          <w:top w:w="28" w:type="dxa"/>
          <w:left w:w="28" w:type="dxa"/>
          <w:bottom w:w="28" w:type="dxa"/>
          <w:right w:w="28" w:type="dxa"/>
        </w:tblCellMar>
      </w:tblPr>
      <w:tblGrid>
        <w:gridCol w:w="1300"/>
        <w:gridCol w:w="1142"/>
        <w:gridCol w:w="1142"/>
        <w:gridCol w:w="996"/>
        <w:gridCol w:w="996"/>
        <w:gridCol w:w="1007"/>
        <w:gridCol w:w="531"/>
        <w:gridCol w:w="531"/>
        <w:gridCol w:w="753"/>
      </w:tblGrid>
      <w:tr>
        <w:trPr/>
        <w:tc>
          <w:tcPr>
            <w:tcW w:w="130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58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MT Std Black;sans-serif" w:hAnsi="Arial MT Std Black;sans-serif"/>
                <w:b/>
                <w:color w:val="000000"/>
                <w:sz w:val="18"/>
              </w:rPr>
            </w:pPr>
            <w:r>
              <w:rPr>
                <w:rFonts w:ascii="Arial MT Std Black;sans-serif" w:hAnsi="Arial MT Std Black;sans-serif"/>
                <w:b/>
                <w:color w:val="000000"/>
                <w:sz w:val="18"/>
              </w:rPr>
              <w:t>2025 Full-year revenue of $17,510 million</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 Full-year revenue by business unit</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left w:val="single" w:sz="8" w:space="0" w:color="FFFFFF"/>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left w:val="single" w:sz="8" w:space="0" w:color="FFFFFF"/>
            </w:tcBorders>
            <w:shd w:fill="6D6D6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$2,513 million</w:t>
            </w:r>
          </w:p>
        </w:tc>
        <w:tc>
          <w:tcPr>
            <w:tcW w:w="2999" w:type="dxa"/>
            <w:gridSpan w:val="3"/>
            <w:tcBorders>
              <w:left w:val="single" w:sz="2" w:space="0" w:color="939598"/>
            </w:tcBorders>
            <w:tcMar>
              <w:top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$7,777 million</w:t>
            </w:r>
          </w:p>
        </w:tc>
        <w:tc>
          <w:tcPr>
            <w:tcW w:w="1815" w:type="dxa"/>
            <w:gridSpan w:val="3"/>
            <w:tcBorders>
              <w:left w:val="single" w:sz="2" w:space="0" w:color="939598"/>
            </w:tcBorders>
            <w:tcMar>
              <w:top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$7,220 million</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7282F"/>
                <w:sz w:val="18"/>
              </w:rPr>
            </w:pPr>
            <w:r>
              <w:rPr>
                <w:rFonts w:ascii="Arial;sans-serif" w:hAnsi="Arial;sans-serif"/>
                <w:b/>
                <w:color w:val="D7282F"/>
                <w:sz w:val="18"/>
              </w:rPr>
              <w:t>Commercial Aviation Original Equipment</w:t>
            </w:r>
          </w:p>
        </w:tc>
        <w:tc>
          <w:tcPr>
            <w:tcW w:w="2999" w:type="dxa"/>
            <w:gridSpan w:val="3"/>
            <w:tcBorders>
              <w:left w:val="single" w:sz="2" w:space="0" w:color="939598"/>
            </w:tcBorders>
            <w:tcMar>
              <w:top w:w="0" w:type="dxa"/>
              <w:left w:w="106"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Commercial Aviation Aftermarket</w:t>
            </w:r>
          </w:p>
        </w:tc>
        <w:tc>
          <w:tcPr>
            <w:tcW w:w="1815" w:type="dxa"/>
            <w:gridSpan w:val="3"/>
            <w:tcBorders>
              <w:left w:val="single" w:sz="2" w:space="0" w:color="939598"/>
            </w:tcBorders>
            <w:tcMar>
              <w:top w:w="0" w:type="dxa"/>
              <w:left w:w="106" w:type="dxa"/>
              <w:bottom w:w="0" w:type="dxa"/>
              <w:right w:w="0" w:type="dxa"/>
            </w:tcMar>
            <w:vAlign w:val="center"/>
          </w:tcPr>
          <w:p>
            <w:pPr>
              <w:pStyle w:val="TableContents"/>
              <w:bidi w:val="0"/>
              <w:spacing w:lineRule="auto" w:line="240" w:before="0" w:after="283"/>
              <w:jc w:val="left"/>
              <w:rPr>
                <w:rFonts w:ascii="Arial;sans-serif" w:hAnsi="Arial;sans-serif"/>
                <w:b/>
                <w:color w:val="616161"/>
                <w:sz w:val="18"/>
              </w:rPr>
            </w:pPr>
            <w:r>
              <w:rPr>
                <w:rFonts w:ascii="Arial;sans-serif" w:hAnsi="Arial;sans-serif"/>
                <w:b/>
                <w:color w:val="616161"/>
                <w:sz w:val="18"/>
              </w:rPr>
              <w:t>Defense and Space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13"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5    </w:t>
                      </w:r>
                      <w:r>
                        <w:rPr>
                          <w:rFonts w:ascii="Arial;sans-serif" w:hAnsi="Arial;sans-serif"/>
                          <w:b w:val="false"/>
                          <w:color w:val="000000"/>
                          <w:sz w:val="16"/>
                        </w:rPr>
                        <w:t>Honeywell International Inc.</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tbl>
      <w:tblPr>
        <w:tblW w:w="10205" w:type="dxa"/>
        <w:jc w:val="left"/>
        <w:tblInd w:w="0" w:type="dxa"/>
        <w:tblLayout w:type="fixed"/>
        <w:tblCellMar>
          <w:top w:w="28" w:type="dxa"/>
          <w:left w:w="28" w:type="dxa"/>
          <w:bottom w:w="28" w:type="dxa"/>
          <w:right w:w="28" w:type="dxa"/>
        </w:tblCellMar>
      </w:tblPr>
      <w:tblGrid>
        <w:gridCol w:w="881"/>
        <w:gridCol w:w="776"/>
        <w:gridCol w:w="776"/>
        <w:gridCol w:w="776"/>
        <w:gridCol w:w="776"/>
        <w:gridCol w:w="776"/>
        <w:gridCol w:w="776"/>
        <w:gridCol w:w="776"/>
        <w:gridCol w:w="785"/>
        <w:gridCol w:w="908"/>
        <w:gridCol w:w="908"/>
        <w:gridCol w:w="1291"/>
      </w:tblGrid>
      <w:tr>
        <w:trPr/>
        <w:tc>
          <w:tcPr>
            <w:tcW w:w="8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098" w:type="dxa"/>
            <w:gridSpan w:val="9"/>
            <w:tcBorders/>
            <w:shd w:fill="FFFFFF" w:val="clear"/>
            <w:tcMar>
              <w:top w:w="0" w:type="dxa"/>
              <w:left w:w="0" w:type="dxa"/>
              <w:bottom w:w="0" w:type="dxa"/>
              <w:right w:w="0" w:type="dxa"/>
            </w:tcMar>
            <w:vAlign w:val="center"/>
          </w:tcPr>
          <w:p>
            <w:pPr>
              <w:pStyle w:val="TableContents"/>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INDUSTRIAL AUTOMATION</w:t>
            </w:r>
          </w:p>
          <w:p>
            <w:pPr>
              <w:pStyle w:val="TableContents"/>
              <w:bidi w:val="0"/>
              <w:spacing w:lineRule="auto" w:line="264" w:before="60" w:after="283"/>
              <w:jc w:val="both"/>
              <w:rPr>
                <w:rFonts w:ascii="Arial;sans-serif" w:hAnsi="Arial;sans-serif"/>
                <w:b w:val="false"/>
                <w:color w:val="000000"/>
                <w:sz w:val="18"/>
              </w:rPr>
            </w:pPr>
            <w:r>
              <w:rPr>
                <w:rFonts w:ascii="Arial;sans-serif" w:hAnsi="Arial;sans-serif"/>
                <w:b w:val="false"/>
                <w:color w:val="000000"/>
                <w:sz w:val="18"/>
              </w:rPr>
              <w:t>Industrial Automation is a global provider of industrial automation solutions that deliver intelligent, sustainable, and secure operations for customers in refining/petrochemicals, life sciences, utilities,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system design, advanced automation equipment, software and analytics for manufacturing, distribution, and fulfillment operations. These products and services are combined with proprietary machine learning and artificial intelligence algorithms in products and projects which are digitally enabled through our industry leading industrial Internet of Things (IoT) platform, Honeywell Forge.</w:t>
            </w:r>
          </w:p>
        </w:tc>
        <w:tc>
          <w:tcPr>
            <w:tcW w:w="310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85950" cy="19526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885950" cy="1952625"/>
                          </a:xfrm>
                          <a:prstGeom prst="rect">
                            <a:avLst/>
                          </a:prstGeom>
                        </pic:spPr>
                      </pic:pic>
                    </a:graphicData>
                  </a:graphic>
                </wp:inline>
              </w:drawing>
            </w:r>
            <w:bookmarkStart w:id="6" w:name="i-7"/>
            <w:bookmarkEnd w:id="6"/>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c>
          <w:tcPr>
            <w:tcW w:w="2337" w:type="dxa"/>
            <w:gridSpan w:val="3"/>
            <w:tcBorders/>
            <w:vAlign w:val="center"/>
          </w:tcPr>
          <w:p>
            <w:pPr>
              <w:pStyle w:val="TableContents"/>
              <w:bidi w:val="0"/>
              <w:spacing w:before="0" w:after="283"/>
              <w:jc w:val="left"/>
              <w:rPr>
                <w:sz w:val="4"/>
                <w:szCs w:val="4"/>
              </w:rPr>
            </w:pPr>
            <w:r>
              <w:rPr>
                <w:sz w:val="4"/>
                <w:szCs w:val="4"/>
              </w:rPr>
            </w:r>
          </w:p>
        </w:tc>
        <w:tc>
          <w:tcPr>
            <w:tcW w:w="3107" w:type="dxa"/>
            <w:gridSpan w:val="3"/>
            <w:tcBorders/>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c>
          <w:tcPr>
            <w:tcW w:w="2337" w:type="dxa"/>
            <w:gridSpan w:val="3"/>
            <w:tcBorders/>
            <w:vAlign w:val="center"/>
          </w:tcPr>
          <w:p>
            <w:pPr>
              <w:pStyle w:val="TableContents"/>
              <w:bidi w:val="0"/>
              <w:spacing w:before="0" w:after="283"/>
              <w:jc w:val="left"/>
              <w:rPr>
                <w:sz w:val="4"/>
                <w:szCs w:val="4"/>
              </w:rPr>
            </w:pPr>
            <w:r>
              <w:rPr>
                <w:sz w:val="4"/>
                <w:szCs w:val="4"/>
              </w:rPr>
            </w:r>
          </w:p>
        </w:tc>
        <w:tc>
          <w:tcPr>
            <w:tcW w:w="3107"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5"/>
        <w:gridCol w:w="894"/>
        <w:gridCol w:w="862"/>
        <w:gridCol w:w="991"/>
        <w:gridCol w:w="991"/>
        <w:gridCol w:w="943"/>
        <w:gridCol w:w="532"/>
        <w:gridCol w:w="515"/>
        <w:gridCol w:w="512"/>
        <w:gridCol w:w="858"/>
        <w:gridCol w:w="858"/>
        <w:gridCol w:w="1224"/>
      </w:tblGrid>
      <w:tr>
        <w:trPr/>
        <w:tc>
          <w:tcPr>
            <w:tcW w:w="102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726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MT Std Black;sans-serif" w:hAnsi="Arial MT Std Black;sans-serif"/>
                <w:b/>
                <w:color w:val="000000"/>
                <w:sz w:val="18"/>
              </w:rPr>
            </w:pPr>
            <w:r>
              <w:rPr>
                <w:rFonts w:ascii="Arial MT Std Black;sans-serif" w:hAnsi="Arial MT Std Black;sans-serif"/>
                <w:b/>
                <w:color w:val="000000"/>
                <w:sz w:val="18"/>
              </w:rPr>
              <w:t>2025 Full-year revenue of $9,401 million</w:t>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 Full-year revenue by business unit</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left w:val="single" w:sz="8" w:space="0" w:color="FFFFFF"/>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8" w:space="0" w:color="FFFFFF"/>
            </w:tcBorders>
            <w:shd w:fill="6D6D6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left w:val="single" w:sz="4" w:space="0" w:color="FFFFFF"/>
            </w:tcBorders>
            <w:shd w:fill="B1B3B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$1,171 million</w:t>
            </w:r>
          </w:p>
        </w:tc>
        <w:tc>
          <w:tcPr>
            <w:tcW w:w="2925" w:type="dxa"/>
            <w:gridSpan w:val="3"/>
            <w:tcBorders>
              <w:left w:val="single" w:sz="2" w:space="0" w:color="939598"/>
            </w:tcBorders>
            <w:tcMar>
              <w:top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$1,132 million</w:t>
            </w:r>
          </w:p>
        </w:tc>
        <w:tc>
          <w:tcPr>
            <w:tcW w:w="1559" w:type="dxa"/>
            <w:gridSpan w:val="3"/>
            <w:tcBorders>
              <w:left w:val="single" w:sz="2" w:space="0" w:color="939598"/>
            </w:tcBorders>
            <w:tcMar>
              <w:top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$6,165 million</w:t>
            </w:r>
          </w:p>
        </w:tc>
        <w:tc>
          <w:tcPr>
            <w:tcW w:w="2940" w:type="dxa"/>
            <w:gridSpan w:val="3"/>
            <w:tcBorders>
              <w:left w:val="single" w:sz="2" w:space="0" w:color="939598"/>
            </w:tcBorders>
            <w:tcMar>
              <w:top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$933 million</w:t>
            </w:r>
          </w:p>
        </w:tc>
      </w:tr>
      <w:tr>
        <w:trPr/>
        <w:tc>
          <w:tcPr>
            <w:tcW w:w="27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D7282F"/>
                <w:sz w:val="18"/>
              </w:rPr>
              <w:t>Sensing and Safety Technologies</w:t>
            </w:r>
            <w:r>
              <w:rPr>
                <w:rFonts w:ascii="Arial;sans-serif" w:hAnsi="Arial;sans-serif"/>
                <w:b/>
                <w:color w:val="D7282F"/>
                <w:sz w:val="12"/>
              </w:rPr>
              <w:t>1</w:t>
            </w:r>
          </w:p>
        </w:tc>
        <w:tc>
          <w:tcPr>
            <w:tcW w:w="2925" w:type="dxa"/>
            <w:gridSpan w:val="3"/>
            <w:tcBorders>
              <w:left w:val="single" w:sz="2" w:space="0" w:color="939598"/>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Productivity Solutions and Services</w:t>
            </w:r>
            <w:r>
              <w:rPr>
                <w:rFonts w:ascii="Arial;sans-serif" w:hAnsi="Arial;sans-serif"/>
                <w:b/>
                <w:color w:val="000000"/>
                <w:sz w:val="12"/>
              </w:rPr>
              <w:t>2</w:t>
            </w:r>
          </w:p>
        </w:tc>
        <w:tc>
          <w:tcPr>
            <w:tcW w:w="1559" w:type="dxa"/>
            <w:gridSpan w:val="3"/>
            <w:tcBorders>
              <w:left w:val="single" w:sz="2" w:space="0" w:color="939598"/>
            </w:tcBorders>
            <w:tcMar>
              <w:top w:w="0" w:type="dxa"/>
              <w:left w:w="106" w:type="dxa"/>
              <w:bottom w:w="0" w:type="dxa"/>
              <w:right w:w="0" w:type="dxa"/>
            </w:tcMar>
            <w:vAlign w:val="center"/>
          </w:tcPr>
          <w:p>
            <w:pPr>
              <w:pStyle w:val="TableContents"/>
              <w:bidi w:val="0"/>
              <w:spacing w:lineRule="auto" w:line="240" w:before="0" w:after="283"/>
              <w:jc w:val="left"/>
              <w:rPr>
                <w:rFonts w:ascii="Arial;sans-serif" w:hAnsi="Arial;sans-serif"/>
                <w:b/>
                <w:color w:val="63666A"/>
                <w:sz w:val="18"/>
              </w:rPr>
            </w:pPr>
            <w:r>
              <w:rPr>
                <w:rFonts w:ascii="Arial;sans-serif" w:hAnsi="Arial;sans-serif"/>
                <w:b/>
                <w:color w:val="63666A"/>
                <w:sz w:val="18"/>
              </w:rPr>
              <w:t>Process Solutions</w:t>
            </w:r>
          </w:p>
        </w:tc>
        <w:tc>
          <w:tcPr>
            <w:tcW w:w="2940" w:type="dxa"/>
            <w:gridSpan w:val="3"/>
            <w:tcBorders>
              <w:left w:val="single" w:sz="2" w:space="0" w:color="939598"/>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B1B3B3"/>
                <w:sz w:val="18"/>
              </w:rPr>
              <w:t>Warehouse and Workflow Solutions</w:t>
            </w:r>
            <w:r>
              <w:rPr>
                <w:rFonts w:ascii="Arial;sans-serif" w:hAnsi="Arial;sans-serif"/>
                <w:b/>
                <w:color w:val="B1B3B3"/>
                <w:sz w:val="12"/>
              </w:rPr>
              <w:t>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29"/>
        <w:gridCol w:w="1529"/>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On May 21, 2025, the Company completed the sale of its personal protective equipment (PPE) business which was included in the Sensing and Safety Technologies business unit.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On July 8, 2025, the Company announced it is evaluating strategic alternatives for its Productivity Solutions and Services and Warehouse and Workflow Solutions businesses, which are classified as held for sale as of December 31, 2025.</w:t>
            </w:r>
          </w:p>
        </w:tc>
      </w:tr>
    </w:tbl>
    <w:tbl>
      <w:tblPr>
        <w:tblW w:w="10205" w:type="dxa"/>
        <w:jc w:val="left"/>
        <w:tblInd w:w="0" w:type="dxa"/>
        <w:tblLayout w:type="fixed"/>
        <w:tblCellMar>
          <w:top w:w="28" w:type="dxa"/>
          <w:left w:w="28" w:type="dxa"/>
          <w:bottom w:w="28" w:type="dxa"/>
          <w:right w:w="28" w:type="dxa"/>
        </w:tblCellMar>
      </w:tblPr>
      <w:tblGrid>
        <w:gridCol w:w="2534"/>
        <w:gridCol w:w="2227"/>
        <w:gridCol w:w="2233"/>
        <w:gridCol w:w="1018"/>
        <w:gridCol w:w="1018"/>
        <w:gridCol w:w="1020"/>
        <w:gridCol w:w="155"/>
      </w:tblGrid>
      <w:tr>
        <w:trPr/>
        <w:tc>
          <w:tcPr>
            <w:tcW w:w="253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4" w:type="dxa"/>
            <w:gridSpan w:val="3"/>
            <w:tcBorders/>
            <w:shd w:fill="FFFFFF" w:val="clear"/>
            <w:tcMar>
              <w:top w:w="0" w:type="dxa"/>
              <w:left w:w="0" w:type="dxa"/>
              <w:bottom w:w="0" w:type="dxa"/>
              <w:right w:w="0" w:type="dxa"/>
            </w:tcMar>
            <w:vAlign w:val="center"/>
          </w:tcPr>
          <w:p>
            <w:pPr>
              <w:pStyle w:val="TableContents"/>
              <w:bidi w:val="0"/>
              <w:spacing w:lineRule="auto" w:line="288" w:before="280" w:after="120"/>
              <w:jc w:val="both"/>
              <w:rPr>
                <w:rFonts w:ascii="Arial MT Std Black;sans-serif" w:hAnsi="Arial MT Std Black;sans-serif"/>
                <w:b/>
                <w:color w:val="000000"/>
                <w:sz w:val="28"/>
              </w:rPr>
            </w:pPr>
            <w:r>
              <w:rPr>
                <w:rFonts w:ascii="Arial MT Std Black;sans-serif" w:hAnsi="Arial MT Std Black;sans-serif"/>
                <w:b/>
                <w:color w:val="000000"/>
                <w:sz w:val="28"/>
              </w:rPr>
              <w:t>BUILDING AUTOMATION</w:t>
            </w:r>
          </w:p>
          <w:p>
            <w:pPr>
              <w:pStyle w:val="TableContents"/>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Building Automation is a leading global provider of products, software, solutions, and technologies that enable building owners and occupants to ensure their 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Our Honeywell Forge solutions enable our customers to digitally manage buildings, connecting data from different assets to enable smart maintenance, improve building performance, and even protect from incoming security threats.</w:t>
            </w:r>
          </w:p>
        </w:tc>
        <w:tc>
          <w:tcPr>
            <w:tcW w:w="30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85950" cy="195262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1885950" cy="1952625"/>
                          </a:xfrm>
                          <a:prstGeom prst="rect">
                            <a:avLst/>
                          </a:prstGeom>
                        </pic:spPr>
                      </pic:pic>
                    </a:graphicData>
                  </a:graphic>
                </wp:inline>
              </w:drawing>
            </w:r>
            <w:bookmarkStart w:id="7" w:name="i-8"/>
            <w:bookmarkEnd w:id="7"/>
          </w:p>
        </w:tc>
        <w:tc>
          <w:tcPr>
            <w:tcW w:w="155" w:type="dxa"/>
            <w:tcBorders/>
          </w:tcPr>
          <w:p>
            <w:pPr>
              <w:pStyle w:val="TableContents"/>
              <w:bidi w:val="0"/>
              <w:spacing w:before="0" w:after="283"/>
              <w:jc w:val="left"/>
              <w:rPr>
                <w:sz w:val="4"/>
                <w:szCs w:val="4"/>
              </w:rPr>
            </w:pPr>
            <w:r>
              <w:rPr>
                <w:sz w:val="4"/>
                <w:szCs w:val="4"/>
              </w:rPr>
            </w:r>
          </w:p>
        </w:tc>
      </w:tr>
      <w:tr>
        <w:trPr/>
        <w:tc>
          <w:tcPr>
            <w:tcW w:w="6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5939" w:type="dxa"/>
        <w:jc w:val="left"/>
        <w:tblInd w:w="0" w:type="dxa"/>
        <w:tblLayout w:type="fixed"/>
        <w:tblCellMar>
          <w:top w:w="28" w:type="dxa"/>
          <w:left w:w="28" w:type="dxa"/>
          <w:bottom w:w="28" w:type="dxa"/>
          <w:right w:w="28" w:type="dxa"/>
        </w:tblCellMar>
      </w:tblPr>
      <w:tblGrid>
        <w:gridCol w:w="1544"/>
        <w:gridCol w:w="1356"/>
        <w:gridCol w:w="1360"/>
        <w:gridCol w:w="491"/>
        <w:gridCol w:w="491"/>
        <w:gridCol w:w="697"/>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2025 Full-year revenue of $7,367 million </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 Full-year revenue by business unit</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left w:val="single" w:sz="8" w:space="0" w:color="FFFFFF"/>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$4,480 million</w:t>
            </w:r>
          </w:p>
        </w:tc>
        <w:tc>
          <w:tcPr>
            <w:tcW w:w="1679" w:type="dxa"/>
            <w:gridSpan w:val="3"/>
            <w:tcBorders>
              <w:left w:val="single" w:sz="4" w:space="0" w:color="939598"/>
            </w:tcBorders>
            <w:tcMar>
              <w:top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$2,887 million</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7282F"/>
                <w:sz w:val="18"/>
              </w:rPr>
            </w:pPr>
            <w:r>
              <w:rPr>
                <w:rFonts w:ascii="Arial;sans-serif" w:hAnsi="Arial;sans-serif"/>
                <w:b/>
                <w:color w:val="D7282F"/>
                <w:sz w:val="18"/>
              </w:rPr>
              <w:t>Products</w:t>
            </w:r>
          </w:p>
        </w:tc>
        <w:tc>
          <w:tcPr>
            <w:tcW w:w="1679" w:type="dxa"/>
            <w:gridSpan w:val="3"/>
            <w:tcBorders>
              <w:left w:val="single" w:sz="4" w:space="0" w:color="939598"/>
            </w:tcBorders>
            <w:tcMar>
              <w:top w:w="0" w:type="dxa"/>
              <w:left w:w="106"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Building Solutions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16"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6    </w:t>
                      </w:r>
                      <w:r>
                        <w:rPr>
                          <w:rFonts w:ascii="Arial;sans-serif" w:hAnsi="Arial;sans-serif"/>
                          <w:b w:val="false"/>
                          <w:color w:val="000000"/>
                          <w:sz w:val="16"/>
                        </w:rPr>
                        <w:t>Honeywell International Inc.</w:t>
                      </w:r>
                    </w:p>
                  </w:txbxContent>
                </v:textbox>
                <w10:wrap type="none"/>
              </v:rect>
            </w:pict>
          </mc:Fallback>
        </mc:AlternateContent>
      </w:r>
    </w:p>
    <w:tbl>
      <w:tblPr>
        <w:tblW w:w="2983" w:type="dxa"/>
        <w:jc w:val="righ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tbl>
      <w:tblPr>
        <w:tblW w:w="10205" w:type="dxa"/>
        <w:jc w:val="left"/>
        <w:tblInd w:w="0" w:type="dxa"/>
        <w:tblLayout w:type="fixed"/>
        <w:tblCellMar>
          <w:top w:w="28" w:type="dxa"/>
          <w:left w:w="28" w:type="dxa"/>
          <w:bottom w:w="28" w:type="dxa"/>
          <w:right w:w="28" w:type="dxa"/>
        </w:tblCellMar>
      </w:tblPr>
      <w:tblGrid>
        <w:gridCol w:w="882"/>
        <w:gridCol w:w="777"/>
        <w:gridCol w:w="777"/>
        <w:gridCol w:w="777"/>
        <w:gridCol w:w="777"/>
        <w:gridCol w:w="777"/>
        <w:gridCol w:w="777"/>
        <w:gridCol w:w="777"/>
        <w:gridCol w:w="782"/>
        <w:gridCol w:w="908"/>
        <w:gridCol w:w="908"/>
        <w:gridCol w:w="1286"/>
      </w:tblGrid>
      <w:tr>
        <w:trPr/>
        <w:tc>
          <w:tcPr>
            <w:tcW w:w="88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102" w:type="dxa"/>
            <w:gridSpan w:val="3"/>
            <w:tcBorders/>
            <w:vAlign w:val="center"/>
          </w:tcPr>
          <w:p>
            <w:pPr>
              <w:pStyle w:val="TableContents"/>
              <w:bidi w:val="0"/>
              <w:spacing w:before="0" w:after="283"/>
              <w:jc w:val="left"/>
              <w:rPr>
                <w:sz w:val="4"/>
                <w:szCs w:val="4"/>
              </w:rPr>
            </w:pPr>
            <w:r>
              <w:rPr>
                <w:sz w:val="4"/>
                <w:szCs w:val="4"/>
              </w:rPr>
            </w:r>
          </w:p>
        </w:tc>
      </w:tr>
      <w:tr>
        <w:trPr/>
        <w:tc>
          <w:tcPr>
            <w:tcW w:w="7103" w:type="dxa"/>
            <w:gridSpan w:val="9"/>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Arial MT Std Black;sans-serif" w:hAnsi="Arial MT Std Black;sans-serif"/>
                <w:b/>
                <w:color w:val="000000"/>
                <w:sz w:val="28"/>
              </w:rPr>
            </w:pPr>
            <w:r>
              <w:rPr>
                <w:rFonts w:ascii="Arial MT Std Black;sans-serif" w:hAnsi="Arial MT Std Black;sans-serif"/>
                <w:b/>
                <w:color w:val="000000"/>
                <w:sz w:val="28"/>
              </w:rPr>
              <w:t>ENERGY AND SUSTAINABILITY SOLUTIONS</w:t>
            </w:r>
          </w:p>
          <w:p>
            <w:pPr>
              <w:pStyle w:val="TableContents"/>
              <w:bidi w:val="0"/>
              <w:spacing w:lineRule="auto" w:line="264" w:before="0" w:after="0"/>
              <w:jc w:val="both"/>
              <w:rPr>
                <w:rFonts w:ascii="Arial;sans-serif" w:hAnsi="Arial;sans-serif"/>
                <w:b w:val="false"/>
                <w:color w:val="000000"/>
                <w:sz w:val="18"/>
              </w:rPr>
            </w:pPr>
            <w:r>
              <w:rPr>
                <w:rFonts w:ascii="Arial;sans-serif" w:hAnsi="Arial;sans-serif"/>
                <w:b w:val="false"/>
                <w:color w:val="000000"/>
                <w:sz w:val="18"/>
              </w:rPr>
              <w:t>Energy and Sustainability Solutions (ESS) is enabling energy security for customers globally through a century of domain expertise and innovation to provide efficient and responsible energy expansion through digitally optimized operations. The business segment is comprised of five end-market focused verticals: Refining, Petrochemicals, Low Carbon Energy, Gas &amp; LNG, and Industrial Solutions. The reportable business segment is comprised of the UOP business unit. The UOP business delivers licensed process technology, equipment, engineering, catalysts, adsorbents, and services through end-to-end solutions to its customers enabled by the convergence of its domain expertise and vast installed base, combined with the Honeywell Forge platform. Forge provides connectivity, data integration, and software solutions powered by deep expertise across ESS which serve customer asset productivity and efficiency needs.</w:t>
            </w:r>
          </w:p>
        </w:tc>
        <w:tc>
          <w:tcPr>
            <w:tcW w:w="3102" w:type="dxa"/>
            <w:gridSpan w:val="3"/>
            <w:tcBorders>
              <w:top w:val="single" w:sz="8" w:space="0" w:color="FFFFFF"/>
              <w:right w:val="single" w:sz="8" w:space="0" w:color="FFFFFF"/>
            </w:tcBorders>
            <w:shd w:fill="FFFFFF" w:val="clear"/>
            <w:tcMar>
              <w:left w:w="0" w:type="dxa"/>
              <w:bottom w:w="0" w:type="dxa"/>
            </w:tcMar>
            <w:vAlign w:val="center"/>
          </w:tcPr>
          <w:p>
            <w:pPr>
              <w:pStyle w:val="TableContents"/>
              <w:bidi w:val="0"/>
              <w:spacing w:before="0" w:after="0"/>
              <w:jc w:val="right"/>
              <w:rPr/>
            </w:pPr>
            <w:r>
              <w:rPr/>
              <w:drawing>
                <wp:inline distT="0" distB="0" distL="0" distR="0">
                  <wp:extent cx="1885950" cy="1952625"/>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1885950" cy="1952625"/>
                          </a:xfrm>
                          <a:prstGeom prst="rect">
                            <a:avLst/>
                          </a:prstGeom>
                        </pic:spPr>
                      </pic:pic>
                    </a:graphicData>
                  </a:graphic>
                </wp:inline>
              </w:drawing>
            </w:r>
            <w:bookmarkStart w:id="8" w:name="i-9"/>
            <w:bookmarkEnd w:id="8"/>
          </w:p>
        </w:tc>
      </w:tr>
      <w:tr>
        <w:trPr/>
        <w:tc>
          <w:tcPr>
            <w:tcW w:w="2436"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102" w:type="dxa"/>
            <w:gridSpan w:val="3"/>
            <w:tcBorders/>
          </w:tcPr>
          <w:p>
            <w:pPr>
              <w:pStyle w:val="TableContents"/>
              <w:bidi w:val="0"/>
              <w:spacing w:before="0" w:after="283"/>
              <w:jc w:val="left"/>
              <w:rPr>
                <w:sz w:val="4"/>
                <w:szCs w:val="4"/>
              </w:rPr>
            </w:pPr>
            <w:r>
              <w:rPr>
                <w:sz w:val="4"/>
                <w:szCs w:val="4"/>
              </w:rPr>
            </w:r>
          </w:p>
        </w:tc>
      </w:tr>
    </w:tbl>
    <w:tbl>
      <w:tblPr>
        <w:tblW w:w="4354" w:type="dxa"/>
        <w:jc w:val="left"/>
        <w:tblInd w:w="0" w:type="dxa"/>
        <w:tblLayout w:type="fixed"/>
        <w:tblCellMar>
          <w:top w:w="28" w:type="dxa"/>
          <w:left w:w="28" w:type="dxa"/>
          <w:bottom w:w="28" w:type="dxa"/>
          <w:right w:w="28" w:type="dxa"/>
        </w:tblCellMar>
      </w:tblPr>
      <w:tblGrid>
        <w:gridCol w:w="1522"/>
        <w:gridCol w:w="1337"/>
        <w:gridCol w:w="1341"/>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MT Std Black;sans-serif" w:hAnsi="Arial MT Std Black;sans-serif"/>
                <w:b/>
                <w:color w:val="000000"/>
                <w:sz w:val="18"/>
              </w:rPr>
            </w:pPr>
            <w:r>
              <w:rPr>
                <w:rFonts w:ascii="Arial MT Std Black;sans-serif" w:hAnsi="Arial MT Std Black;sans-serif"/>
                <w:b/>
                <w:color w:val="000000"/>
                <w:sz w:val="18"/>
              </w:rPr>
              <w:t>2025 Full-year revenue of $3,134 million</w:t>
            </w:r>
          </w:p>
        </w:tc>
        <w:tc>
          <w:tcPr>
            <w:tcW w:w="154" w:type="dxa"/>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2025 Full-year revenue by business unit </w:t>
            </w:r>
          </w:p>
        </w:tc>
        <w:tc>
          <w:tcPr>
            <w:tcW w:w="154" w:type="dxa"/>
            <w:tcBorders/>
          </w:tcPr>
          <w:p>
            <w:pPr>
              <w:pStyle w:val="TableContents"/>
              <w:bidi w:val="0"/>
              <w:spacing w:before="0" w:after="283"/>
              <w:jc w:val="left"/>
              <w:rPr>
                <w:sz w:val="4"/>
                <w:szCs w:val="4"/>
              </w:rPr>
            </w:pPr>
            <w:r>
              <w:rPr>
                <w:sz w:val="4"/>
                <w:szCs w:val="4"/>
              </w:rPr>
            </w:r>
          </w:p>
        </w:tc>
      </w:tr>
      <w:tr>
        <w:trPr/>
        <w:tc>
          <w:tcPr>
            <w:tcW w:w="4200" w:type="dxa"/>
            <w:gridSpan w:val="3"/>
            <w:tcBorders>
              <w:right w:val="single" w:sz="8" w:space="0" w:color="FFFFFF"/>
            </w:tcBorders>
            <w:shd w:fill="D7282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$3,134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7282F"/>
                <w:sz w:val="18"/>
              </w:rPr>
            </w:pPr>
            <w:r>
              <w:rPr>
                <w:rFonts w:ascii="Arial;sans-serif" w:hAnsi="Arial;sans-serif"/>
                <w:b/>
                <w:color w:val="D7282F"/>
                <w:sz w:val="18"/>
              </w:rPr>
              <w:t>UOP</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COMPETITION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subject to competition in substantially all product and service areas. Some of our key competitors include but are not limited to:</w:t>
      </w:r>
    </w:p>
    <w:tbl>
      <w:tblPr>
        <w:tblW w:w="6114" w:type="dxa"/>
        <w:jc w:val="left"/>
        <w:tblInd w:w="0" w:type="dxa"/>
        <w:tblLayout w:type="fixed"/>
        <w:tblCellMar>
          <w:top w:w="28" w:type="dxa"/>
          <w:left w:w="28" w:type="dxa"/>
          <w:bottom w:w="28" w:type="dxa"/>
          <w:right w:w="28" w:type="dxa"/>
        </w:tblCellMar>
      </w:tblPr>
      <w:tblGrid>
        <w:gridCol w:w="549"/>
        <w:gridCol w:w="482"/>
        <w:gridCol w:w="482"/>
        <w:gridCol w:w="522"/>
        <w:gridCol w:w="522"/>
        <w:gridCol w:w="531"/>
        <w:gridCol w:w="575"/>
        <w:gridCol w:w="575"/>
        <w:gridCol w:w="575"/>
        <w:gridCol w:w="381"/>
        <w:gridCol w:w="381"/>
        <w:gridCol w:w="539"/>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op w:val="single" w:sz="4" w:space="0" w:color="D7282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D7282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D7282F"/>
              <w:left w:val="single" w:sz="4" w:space="0" w:color="D7282F"/>
            </w:tcBorders>
            <w:shd w:fill="E7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D7282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6"/>
            <w:tcBorders/>
            <w:shd w:fill="E7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AEROSPACE TECHNOLOGIES</w:t>
            </w:r>
          </w:p>
        </w:tc>
        <w:tc>
          <w:tcPr>
            <w:tcW w:w="3026" w:type="dxa"/>
            <w:gridSpan w:val="6"/>
            <w:tcBorders>
              <w:left w:val="single" w:sz="4" w:space="0" w:color="D7282F"/>
            </w:tcBorders>
            <w:shd w:fill="E7E7E8" w:val="clear"/>
            <w:tcMar>
              <w:top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BUILDING AUTOMATION</w:t>
            </w:r>
          </w:p>
        </w:tc>
      </w:tr>
      <w:tr>
        <w:trPr/>
        <w:tc>
          <w:tcPr>
            <w:tcW w:w="1513" w:type="dxa"/>
            <w:gridSpan w:val="3"/>
            <w:tcBorders/>
            <w:shd w:fill="E7E7E8" w:val="clear"/>
            <w:tcMar>
              <w:top w:w="0" w:type="dxa"/>
              <w:left w:w="0" w:type="dxa"/>
              <w:bottom w:w="0" w:type="dxa"/>
              <w:right w:w="0" w:type="dxa"/>
            </w:tcMar>
            <w:vAlign w:val="center"/>
          </w:tcPr>
          <w:p>
            <w:pPr>
              <w:pStyle w:val="TableContents"/>
              <w:bidi w:val="0"/>
              <w:spacing w:lineRule="auto" w:line="288" w:before="80" w:after="283"/>
              <w:ind w:left="0" w:right="0" w:hanging="216"/>
              <w:jc w:val="left"/>
              <w:rPr/>
            </w:pPr>
            <w:r>
              <w:rPr>
                <w:color w:val="D7282F"/>
              </w:rPr>
              <w:t>•</w:t>
            </w:r>
            <w:r>
              <w:rPr>
                <w:rFonts w:ascii="Arial;sans-serif" w:hAnsi="Arial;sans-serif"/>
                <w:b w:val="false"/>
                <w:color w:val="000000"/>
                <w:sz w:val="18"/>
              </w:rPr>
              <w:t>Garmin</w:t>
            </w:r>
          </w:p>
          <w:p>
            <w:pPr>
              <w:pStyle w:val="TableContents"/>
              <w:bidi w:val="0"/>
              <w:spacing w:lineRule="auto" w:line="288" w:before="80" w:after="283"/>
              <w:ind w:left="0" w:right="0" w:hanging="216"/>
              <w:jc w:val="left"/>
              <w:rPr/>
            </w:pPr>
            <w:r>
              <w:rPr>
                <w:color w:val="D7282F"/>
              </w:rPr>
              <w:t>•</w:t>
            </w:r>
            <w:r>
              <w:rPr>
                <w:rFonts w:ascii="Arial;sans-serif" w:hAnsi="Arial;sans-serif"/>
                <w:b w:val="false"/>
                <w:color w:val="000000"/>
                <w:sz w:val="18"/>
              </w:rPr>
              <w:t>L3 Harris</w:t>
            </w:r>
          </w:p>
          <w:p>
            <w:pPr>
              <w:pStyle w:val="TableContents"/>
              <w:bidi w:val="0"/>
              <w:spacing w:lineRule="auto" w:line="288" w:before="80" w:after="283"/>
              <w:ind w:left="0" w:right="0" w:hanging="216"/>
              <w:jc w:val="left"/>
              <w:rPr/>
            </w:pPr>
            <w:r>
              <w:rPr>
                <w:color w:val="D7282F"/>
              </w:rPr>
              <w:t>•</w:t>
            </w:r>
            <w:r>
              <w:rPr>
                <w:rFonts w:ascii="Arial;sans-serif" w:hAnsi="Arial;sans-serif"/>
                <w:b w:val="false"/>
                <w:color w:val="000000"/>
                <w:sz w:val="18"/>
              </w:rPr>
              <w:t>Rolls Royce</w:t>
            </w:r>
          </w:p>
        </w:tc>
        <w:tc>
          <w:tcPr>
            <w:tcW w:w="1575" w:type="dxa"/>
            <w:gridSpan w:val="3"/>
            <w:tcBorders/>
            <w:shd w:fill="E7E7E8" w:val="clear"/>
            <w:tcMar>
              <w:top w:w="0" w:type="dxa"/>
              <w:left w:w="0" w:type="dxa"/>
              <w:bottom w:w="0" w:type="dxa"/>
              <w:right w:w="0" w:type="dxa"/>
            </w:tcMar>
            <w:vAlign w:val="center"/>
          </w:tcPr>
          <w:p>
            <w:pPr>
              <w:pStyle w:val="TableContents"/>
              <w:bidi w:val="0"/>
              <w:spacing w:lineRule="auto" w:line="288" w:before="80" w:after="283"/>
              <w:ind w:left="0" w:right="0" w:hanging="216"/>
              <w:jc w:val="left"/>
              <w:rPr/>
            </w:pPr>
            <w:r>
              <w:rPr>
                <w:color w:val="D7282F"/>
              </w:rPr>
              <w:t>•</w:t>
            </w:r>
            <w:r>
              <w:rPr>
                <w:rFonts w:ascii="Arial;sans-serif" w:hAnsi="Arial;sans-serif"/>
                <w:b w:val="false"/>
                <w:color w:val="000000"/>
                <w:sz w:val="18"/>
              </w:rPr>
              <w:t>RTX Corporation</w:t>
            </w:r>
          </w:p>
          <w:p>
            <w:pPr>
              <w:pStyle w:val="TableContents"/>
              <w:bidi w:val="0"/>
              <w:spacing w:lineRule="auto" w:line="288" w:before="80" w:after="283"/>
              <w:ind w:left="0" w:right="0" w:hanging="216"/>
              <w:jc w:val="left"/>
              <w:rPr/>
            </w:pPr>
            <w:r>
              <w:rPr>
                <w:color w:val="D7282F"/>
              </w:rPr>
              <w:t>•</w:t>
            </w:r>
            <w:r>
              <w:rPr>
                <w:rFonts w:ascii="Arial;sans-serif" w:hAnsi="Arial;sans-serif"/>
                <w:b w:val="false"/>
                <w:color w:val="000000"/>
                <w:sz w:val="18"/>
              </w:rPr>
              <w:t>Safran</w:t>
            </w:r>
          </w:p>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Thales</w:t>
            </w:r>
          </w:p>
        </w:tc>
        <w:tc>
          <w:tcPr>
            <w:tcW w:w="1725" w:type="dxa"/>
            <w:gridSpan w:val="3"/>
            <w:tcBorders>
              <w:left w:val="single" w:sz="4" w:space="0" w:color="D7282F"/>
            </w:tcBorders>
            <w:shd w:fill="E7E7E8" w:val="clear"/>
            <w:tcMar>
              <w:top w:w="0" w:type="dxa"/>
              <w:bottom w:w="0" w:type="dxa"/>
              <w:right w:w="0" w:type="dxa"/>
            </w:tcMar>
            <w:vAlign w:val="center"/>
          </w:tcPr>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Johnson Controls</w:t>
            </w:r>
          </w:p>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 xml:space="preserve">Schneider Electric </w:t>
            </w:r>
          </w:p>
        </w:tc>
        <w:tc>
          <w:tcPr>
            <w:tcW w:w="1301" w:type="dxa"/>
            <w:gridSpan w:val="3"/>
            <w:tcBorders/>
            <w:shd w:fill="E7E7E8" w:val="clear"/>
            <w:tcMar>
              <w:top w:w="0" w:type="dxa"/>
              <w:left w:w="0" w:type="dxa"/>
              <w:bottom w:w="0" w:type="dxa"/>
              <w:right w:w="0" w:type="dxa"/>
            </w:tcMar>
            <w:vAlign w:val="center"/>
          </w:tcPr>
          <w:p>
            <w:pPr>
              <w:pStyle w:val="TableContents"/>
              <w:bidi w:val="0"/>
              <w:spacing w:lineRule="auto" w:line="240" w:before="80" w:after="80"/>
              <w:ind w:left="0" w:right="0" w:hanging="216"/>
              <w:jc w:val="left"/>
              <w:rPr/>
            </w:pPr>
            <w:r>
              <w:rPr>
                <w:color w:val="D7282F"/>
              </w:rPr>
              <w:t>•</w:t>
            </w:r>
            <w:r>
              <w:rPr>
                <w:rFonts w:ascii="Arial;sans-serif" w:hAnsi="Arial;sans-serif"/>
                <w:b w:val="false"/>
                <w:color w:val="000000"/>
                <w:sz w:val="18"/>
              </w:rPr>
              <w:t>Siemens</w:t>
            </w:r>
          </w:p>
        </w:tc>
      </w:tr>
    </w:tbl>
    <w:tbl>
      <w:tblPr>
        <w:tblW w:w="8473" w:type="dxa"/>
        <w:jc w:val="left"/>
        <w:tblInd w:w="0" w:type="dxa"/>
        <w:tblLayout w:type="fixed"/>
        <w:tblCellMar>
          <w:top w:w="28" w:type="dxa"/>
          <w:left w:w="28" w:type="dxa"/>
          <w:bottom w:w="28" w:type="dxa"/>
          <w:right w:w="28" w:type="dxa"/>
        </w:tblCellMar>
      </w:tblPr>
      <w:tblGrid>
        <w:gridCol w:w="793"/>
        <w:gridCol w:w="697"/>
        <w:gridCol w:w="697"/>
        <w:gridCol w:w="697"/>
        <w:gridCol w:w="697"/>
        <w:gridCol w:w="707"/>
        <w:gridCol w:w="740"/>
        <w:gridCol w:w="740"/>
        <w:gridCol w:w="740"/>
        <w:gridCol w:w="575"/>
        <w:gridCol w:w="575"/>
        <w:gridCol w:w="815"/>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op w:val="single" w:sz="4" w:space="0" w:color="D7282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4" w:space="0" w:color="D7282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4" w:space="0" w:color="D7282F"/>
              <w:left w:val="single" w:sz="4" w:space="0" w:color="D7282F"/>
            </w:tcBorders>
            <w:shd w:fill="E7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D7282F"/>
            </w:tcBorders>
            <w:shd w:fill="E7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shd w:fill="E7E7E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ENERGY AND SUSTAINABILITY SOLUTIONS</w:t>
            </w:r>
          </w:p>
        </w:tc>
        <w:tc>
          <w:tcPr>
            <w:tcW w:w="4185" w:type="dxa"/>
            <w:gridSpan w:val="6"/>
            <w:tcBorders>
              <w:left w:val="single" w:sz="4" w:space="0" w:color="D7282F"/>
            </w:tcBorders>
            <w:shd w:fill="E7E7E8" w:val="clear"/>
            <w:tcMar>
              <w:top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INDUSTRIAL AUTOMATION</w:t>
            </w:r>
          </w:p>
        </w:tc>
      </w:tr>
      <w:tr>
        <w:trPr/>
        <w:tc>
          <w:tcPr>
            <w:tcW w:w="2187" w:type="dxa"/>
            <w:gridSpan w:val="3"/>
            <w:tcBorders/>
            <w:shd w:fill="E7E7E8" w:val="clear"/>
            <w:tcMar>
              <w:top w:w="0" w:type="dxa"/>
              <w:left w:w="0" w:type="dxa"/>
              <w:bottom w:w="0" w:type="dxa"/>
              <w:right w:w="0" w:type="dxa"/>
            </w:tcMar>
            <w:vAlign w:val="center"/>
          </w:tcPr>
          <w:p>
            <w:pPr>
              <w:pStyle w:val="TableContents"/>
              <w:bidi w:val="0"/>
              <w:spacing w:lineRule="auto" w:line="288" w:before="80" w:after="283"/>
              <w:ind w:left="0" w:right="0" w:hanging="216"/>
              <w:jc w:val="left"/>
              <w:rPr/>
            </w:pPr>
            <w:r>
              <w:rPr>
                <w:color w:val="D7282F"/>
              </w:rPr>
              <w:t>•</w:t>
            </w:r>
            <w:r>
              <w:rPr>
                <w:rFonts w:ascii="Arial;sans-serif" w:hAnsi="Arial;sans-serif"/>
                <w:b w:val="false"/>
                <w:color w:val="000000"/>
                <w:sz w:val="18"/>
              </w:rPr>
              <w:t>Clariant</w:t>
            </w:r>
          </w:p>
          <w:p>
            <w:pPr>
              <w:pStyle w:val="TableContents"/>
              <w:bidi w:val="0"/>
              <w:spacing w:lineRule="auto" w:line="288" w:before="80" w:after="283"/>
              <w:ind w:left="0" w:right="0" w:hanging="216"/>
              <w:jc w:val="left"/>
              <w:rPr/>
            </w:pPr>
            <w:r>
              <w:rPr>
                <w:color w:val="D7282F"/>
              </w:rPr>
              <w:t>•</w:t>
            </w:r>
            <w:r>
              <w:rPr>
                <w:rFonts w:ascii="Arial;sans-serif" w:hAnsi="Arial;sans-serif"/>
                <w:b w:val="false"/>
                <w:color w:val="000000"/>
                <w:sz w:val="18"/>
              </w:rPr>
              <w:t>Flowserve</w:t>
            </w:r>
          </w:p>
          <w:p>
            <w:pPr>
              <w:pStyle w:val="TableContents"/>
              <w:bidi w:val="0"/>
              <w:spacing w:before="80" w:after="283"/>
              <w:ind w:left="0" w:right="0" w:firstLine="144"/>
              <w:jc w:val="left"/>
              <w:rPr/>
            </w:pPr>
            <w:r>
              <w:rPr/>
            </w:r>
          </w:p>
        </w:tc>
        <w:tc>
          <w:tcPr>
            <w:tcW w:w="2101" w:type="dxa"/>
            <w:gridSpan w:val="3"/>
            <w:tcBorders/>
            <w:shd w:fill="E7E7E8" w:val="clear"/>
            <w:tcMar>
              <w:top w:w="0" w:type="dxa"/>
              <w:left w:w="0" w:type="dxa"/>
              <w:bottom w:w="0" w:type="dxa"/>
              <w:right w:w="0" w:type="dxa"/>
            </w:tcMar>
            <w:vAlign w:val="center"/>
          </w:tcPr>
          <w:p>
            <w:pPr>
              <w:pStyle w:val="TableContents"/>
              <w:bidi w:val="0"/>
              <w:spacing w:lineRule="auto" w:line="288" w:before="80" w:after="80"/>
              <w:ind w:left="0" w:right="0" w:hanging="216"/>
              <w:jc w:val="both"/>
              <w:rPr/>
            </w:pPr>
            <w:r>
              <w:rPr>
                <w:color w:val="D7282F"/>
              </w:rPr>
              <w:t>•</w:t>
            </w:r>
            <w:r>
              <w:rPr>
                <w:rFonts w:ascii="Arial;sans-serif" w:hAnsi="Arial;sans-serif"/>
                <w:b w:val="false"/>
                <w:color w:val="000000"/>
                <w:sz w:val="18"/>
              </w:rPr>
              <w:t>Topsoe</w:t>
            </w:r>
          </w:p>
          <w:p>
            <w:pPr>
              <w:pStyle w:val="TableContents"/>
              <w:bidi w:val="0"/>
              <w:spacing w:before="80" w:after="80"/>
              <w:ind w:left="0" w:right="0" w:firstLine="144"/>
              <w:jc w:val="both"/>
              <w:rPr/>
            </w:pPr>
            <w:r>
              <w:rPr/>
            </w:r>
          </w:p>
        </w:tc>
        <w:tc>
          <w:tcPr>
            <w:tcW w:w="2220" w:type="dxa"/>
            <w:gridSpan w:val="3"/>
            <w:tcBorders>
              <w:left w:val="single" w:sz="4" w:space="0" w:color="D7282F"/>
            </w:tcBorders>
            <w:shd w:fill="E7E7E8" w:val="clear"/>
            <w:tcMar>
              <w:top w:w="0" w:type="dxa"/>
              <w:bottom w:w="0" w:type="dxa"/>
              <w:right w:w="0" w:type="dxa"/>
            </w:tcMar>
            <w:vAlign w:val="center"/>
          </w:tcPr>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Dematic</w:t>
            </w:r>
          </w:p>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Emerson Electric</w:t>
            </w:r>
          </w:p>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Itron</w:t>
            </w:r>
          </w:p>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MSA Safety Incorporated</w:t>
            </w:r>
          </w:p>
          <w:p>
            <w:pPr>
              <w:pStyle w:val="TableContents"/>
              <w:bidi w:val="0"/>
              <w:spacing w:before="80" w:after="80"/>
              <w:jc w:val="left"/>
              <w:rPr/>
            </w:pPr>
            <w:r>
              <w:rPr/>
            </w:r>
          </w:p>
        </w:tc>
        <w:tc>
          <w:tcPr>
            <w:tcW w:w="1965" w:type="dxa"/>
            <w:gridSpan w:val="3"/>
            <w:tcBorders/>
            <w:shd w:fill="E7E7E8" w:val="clear"/>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Rockwell Automation</w:t>
            </w:r>
          </w:p>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TE Connectivity</w:t>
            </w:r>
          </w:p>
          <w:p>
            <w:pPr>
              <w:pStyle w:val="TableContents"/>
              <w:bidi w:val="0"/>
              <w:spacing w:lineRule="auto" w:line="288" w:before="80" w:after="80"/>
              <w:ind w:left="0" w:right="0" w:hanging="216"/>
              <w:jc w:val="left"/>
              <w:rPr/>
            </w:pPr>
            <w:r>
              <w:rPr>
                <w:color w:val="D7282F"/>
              </w:rPr>
              <w:t>•</w:t>
            </w:r>
            <w:r>
              <w:rPr>
                <w:rFonts w:ascii="Arial;sans-serif" w:hAnsi="Arial;sans-serif"/>
                <w:b w:val="false"/>
                <w:color w:val="000000"/>
                <w:sz w:val="18"/>
              </w:rPr>
              <w:t>Zebra Technologies</w:t>
            </w:r>
          </w:p>
          <w:p>
            <w:pPr>
              <w:pStyle w:val="TableContents"/>
              <w:bidi w:val="0"/>
              <w:spacing w:before="80" w:after="80"/>
              <w:jc w:val="left"/>
              <w:rPr/>
            </w:pPr>
            <w:r>
              <w:rPr/>
            </w:r>
          </w:p>
        </w:tc>
      </w:tr>
    </w:tbl>
    <w:p>
      <w:pPr>
        <w:pStyle w:val="TextBody"/>
        <w:bidi w:val="0"/>
        <w:spacing w:lineRule="auto" w:line="288" w:before="120" w:after="120"/>
        <w:ind w:left="0" w:right="0" w:hanging="216"/>
        <w:jc w:val="both"/>
        <w:rPr>
          <w:rFonts w:ascii="Arial;sans-serif" w:hAnsi="Arial;sans-serif"/>
          <w:b w:val="false"/>
          <w:color w:val="000000"/>
          <w:sz w:val="18"/>
        </w:rPr>
      </w:pPr>
      <w:r>
        <w:rPr>
          <w:rFonts w:ascii="Arial;sans-serif" w:hAnsi="Arial;sans-serif"/>
          <w:b w:val="false"/>
          <w:color w:val="000000"/>
          <w:sz w:val="18"/>
        </w:rPr>
        <w:t xml:space="preserve">Our businesses compete on a variety of factors such as performance, applied technology, product innovation, product recognition, quality, reliability, customer service, delivery, and price. Brand identity, service to customers, and quality are important competitive factors for our products and services. Our products face considerable price competition. While our competitive position varies among our products and services, we are a significant competitor in each of our major product and service areas.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BACKLOG</w:t>
      </w:r>
    </w:p>
    <w:p>
      <w:pPr>
        <w:pStyle w:val="TextBody"/>
        <w:bidi w:val="0"/>
        <w:spacing w:lineRule="auto" w:line="288" w:before="120" w:after="120"/>
        <w:jc w:val="both"/>
        <w:rPr/>
      </w:pPr>
      <w:r>
        <w:rPr>
          <w:rFonts w:ascii="Arial;sans-serif" w:hAnsi="Arial;sans-serif"/>
          <w:b w:val="false"/>
          <w:color w:val="000000"/>
          <w:sz w:val="18"/>
        </w:rPr>
        <w:t xml:space="preserve">Our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3 </w:t>
      </w:r>
      <w:hyperlink w:anchor="ic3922f0530c04df99983ab02c4d22c0f_205">
        <w:r>
          <w:rPr>
            <w:rStyle w:val="InternetLink"/>
            <w:rFonts w:ascii="Arial;sans-serif" w:hAnsi="Arial;sans-serif"/>
            <w:b w:val="false"/>
            <w:color w:val="0000FF"/>
            <w:sz w:val="18"/>
            <w:u w:val="single"/>
          </w:rPr>
          <w:t>Revenue Recognition and Contracts with Customers</w:t>
        </w:r>
      </w:hyperlink>
      <w:r>
        <w:rPr>
          <w:color w:val="000000"/>
        </w:rPr>
        <w:t xml:space="preserve"> </w:t>
      </w:r>
      <w:r>
        <w:rPr>
          <w:rFonts w:ascii="Arial;sans-serif" w:hAnsi="Arial;sans-serif"/>
          <w:b w:val="false"/>
          <w:color w:val="000000"/>
          <w:sz w:val="18"/>
        </w:rPr>
        <w:t>of Notes to Consolidated Financial Statements. Backlog was $37,475 million and $32,596 million as of December 31, 2025, and 2024, respectively. We expect to recognize approximately 57% of our remaining performance obligations as revenue in 2026, and the remaining balance thereafter. Our backlog by reportable business segment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18"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7    </w:t>
                      </w:r>
                      <w:r>
                        <w:rPr>
                          <w:rFonts w:ascii="Arial;sans-serif" w:hAnsi="Arial;sans-serif"/>
                          <w:b w:val="false"/>
                          <w:color w:val="000000"/>
                          <w:sz w:val="16"/>
                        </w:rPr>
                        <w:t>Honeywell International Inc.</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tbl>
      <w:tblPr>
        <w:tblW w:w="4492" w:type="dxa"/>
        <w:jc w:val="left"/>
        <w:tblInd w:w="0" w:type="dxa"/>
        <w:tblLayout w:type="fixed"/>
        <w:tblCellMar>
          <w:top w:w="28" w:type="dxa"/>
          <w:left w:w="28" w:type="dxa"/>
          <w:bottom w:w="28" w:type="dxa"/>
          <w:right w:w="28" w:type="dxa"/>
        </w:tblCellMar>
      </w:tblPr>
      <w:tblGrid>
        <w:gridCol w:w="962"/>
        <w:gridCol w:w="845"/>
        <w:gridCol w:w="848"/>
        <w:gridCol w:w="319"/>
        <w:gridCol w:w="1078"/>
        <w:gridCol w:w="177"/>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31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18,386 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5,330 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9,062 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Sustainability Solutions</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4,615 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Corporate and All Other</w:t>
            </w:r>
            <w:r>
              <w:rPr>
                <w:rFonts w:ascii="Arial;sans-serif" w:hAnsi="Arial;sans-serif"/>
                <w:b w:val="false"/>
                <w:color w:val="000000"/>
                <w:sz w:val="10"/>
              </w:rPr>
              <w:t>1</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backlog</w:t>
            </w:r>
          </w:p>
        </w:tc>
        <w:tc>
          <w:tcPr>
            <w:tcW w:w="31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37,475</w:t>
            </w:r>
            <w:r>
              <w:rPr>
                <w:color w:val="000000"/>
              </w:rPr>
              <w:t> </w:t>
            </w:r>
          </w:p>
        </w:tc>
        <w:tc>
          <w:tcPr>
            <w:tcW w:w="17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6"/>
        <w:gridCol w:w="1486"/>
        <w:gridCol w:w="21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The backlog within Corporate and All Other relates to the Quantinuum business.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U.S. GOVERNMENT SALES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principally through our Aerospace Technologies reportable business segment, sells to the U.S. government acting through its various departments and agencies and through prime contractors, including the U.S. Department of Defense (as both a prime contractor and subcontractor). We do not expect our overall operating results to be significantly affected by any proposed changes in 2026 federal defense spending due to the varied mix of the government programs which impact us (OEM production, engineering development programs, aftermarket spares and repairs, and overhaul programs), as well as our diversified customer base with commercial dual-use technologies. </w:t>
      </w:r>
    </w:p>
    <w:tbl>
      <w:tblPr>
        <w:tblW w:w="7706" w:type="dxa"/>
        <w:jc w:val="left"/>
        <w:tblInd w:w="0" w:type="dxa"/>
        <w:tblLayout w:type="fixed"/>
        <w:tblCellMar>
          <w:top w:w="28" w:type="dxa"/>
          <w:left w:w="28" w:type="dxa"/>
          <w:bottom w:w="28" w:type="dxa"/>
          <w:right w:w="28" w:type="dxa"/>
        </w:tblCellMar>
      </w:tblPr>
      <w:tblGrid>
        <w:gridCol w:w="1584"/>
        <w:gridCol w:w="1393"/>
        <w:gridCol w:w="1402"/>
        <w:gridCol w:w="196"/>
        <w:gridCol w:w="571"/>
        <w:gridCol w:w="109"/>
        <w:gridCol w:w="109"/>
        <w:gridCol w:w="109"/>
        <w:gridCol w:w="109"/>
        <w:gridCol w:w="196"/>
        <w:gridCol w:w="571"/>
        <w:gridCol w:w="109"/>
        <w:gridCol w:w="109"/>
        <w:gridCol w:w="109"/>
        <w:gridCol w:w="109"/>
        <w:gridCol w:w="196"/>
        <w:gridCol w:w="571"/>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government sales ($ in millions)</w:t>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379"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to the U.S. Department of Defense</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2,892 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to other U.S. government departments and agencies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sales to the U.S. government</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4,752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3,358</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INTERNATIONAL OPERATIONS</w:t>
      </w:r>
    </w:p>
    <w:p>
      <w:pPr>
        <w:pStyle w:val="TextBody"/>
        <w:bidi w:val="0"/>
        <w:spacing w:lineRule="auto" w:line="288" w:before="120" w:after="120"/>
        <w:jc w:val="both"/>
        <w:rPr/>
      </w:pPr>
      <w:r>
        <w:rPr>
          <w:rFonts w:ascii="Arial;sans-serif" w:hAnsi="Arial;sans-serif"/>
          <w:b w:val="false"/>
          <w:color w:val="000000"/>
          <w:sz w:val="18"/>
        </w:rPr>
        <w:t xml:space="preserve">We engage in manufacturing, sales, service, and research and development globally. U.S. exports and non-U.S. manufactured products are significant to our operations. U.S. exports represented 21% of our total sales in 2025, </w:t>
      </w:r>
      <w:r>
        <w:rPr>
          <w:rFonts w:ascii="Arial;sans-serif" w:hAnsi="Arial;sans-serif"/>
          <w:b w:val="false"/>
          <w:color w:val="000000"/>
          <w:sz w:val="18"/>
          <w:shd w:fill="FFFFFF" w:val="clear"/>
        </w:rPr>
        <w:t xml:space="preserve">14% </w:t>
      </w:r>
      <w:r>
        <w:rPr>
          <w:rFonts w:ascii="Arial;sans-serif" w:hAnsi="Arial;sans-serif"/>
          <w:b w:val="false"/>
          <w:color w:val="000000"/>
          <w:sz w:val="18"/>
        </w:rPr>
        <w:t xml:space="preserve">in 2024, and </w:t>
      </w:r>
      <w:r>
        <w:rPr>
          <w:rFonts w:ascii="Arial;sans-serif" w:hAnsi="Arial;sans-serif"/>
          <w:b w:val="false"/>
          <w:color w:val="000000"/>
          <w:sz w:val="18"/>
          <w:shd w:fill="FFFFFF" w:val="clear"/>
        </w:rPr>
        <w:t>13% in 2023. Non-U.S. manufactured products and services, mainly in Europe and Asia, were 42% of our total sales in 2025, 44% in 2024, and 42% in 2023.</w:t>
      </w:r>
    </w:p>
    <w:tbl>
      <w:tblPr>
        <w:tblW w:w="10205" w:type="dxa"/>
        <w:jc w:val="left"/>
        <w:tblInd w:w="0" w:type="dxa"/>
        <w:tblLayout w:type="fixed"/>
        <w:tblCellMar>
          <w:top w:w="28" w:type="dxa"/>
          <w:left w:w="28" w:type="dxa"/>
          <w:bottom w:w="28" w:type="dxa"/>
          <w:right w:w="28" w:type="dxa"/>
        </w:tblCellMar>
      </w:tblPr>
      <w:tblGrid>
        <w:gridCol w:w="1068"/>
        <w:gridCol w:w="939"/>
        <w:gridCol w:w="944"/>
        <w:gridCol w:w="357"/>
        <w:gridCol w:w="357"/>
        <w:gridCol w:w="844"/>
        <w:gridCol w:w="109"/>
        <w:gridCol w:w="109"/>
        <w:gridCol w:w="109"/>
        <w:gridCol w:w="317"/>
        <w:gridCol w:w="317"/>
        <w:gridCol w:w="750"/>
        <w:gridCol w:w="109"/>
        <w:gridCol w:w="109"/>
        <w:gridCol w:w="109"/>
        <w:gridCol w:w="310"/>
        <w:gridCol w:w="310"/>
        <w:gridCol w:w="733"/>
        <w:gridCol w:w="109"/>
        <w:gridCol w:w="109"/>
        <w:gridCol w:w="109"/>
        <w:gridCol w:w="413"/>
        <w:gridCol w:w="413"/>
        <w:gridCol w:w="1152"/>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2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Manufactured products and systems and performance of services</w:t>
            </w:r>
          </w:p>
        </w:tc>
        <w:tc>
          <w:tcPr>
            <w:tcW w:w="7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2951" w:type="dxa"/>
            <w:gridSpan w:val="3"/>
            <w:vMerge w:val="continue"/>
            <w:tcBorders/>
            <w:tcMar>
              <w:top w:w="0" w:type="dxa"/>
              <w:left w:w="0" w:type="dxa"/>
              <w:bottom w:w="0" w:type="dxa"/>
              <w:right w:w="0" w:type="dxa"/>
            </w:tcMar>
            <w:vAlign w:val="center"/>
          </w:tcPr>
          <w:p>
            <w:pPr>
              <w:pStyle w:val="Normal"/>
              <w:bidi w:val="0"/>
              <w:jc w:val="left"/>
              <w:rPr/>
            </w:pPr>
            <w:r>
              <w:rPr/>
            </w:r>
          </w:p>
        </w:tc>
        <w:tc>
          <w:tcPr>
            <w:tcW w:w="155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Energy and Sustainability Solutions</w:t>
            </w:r>
          </w:p>
        </w:tc>
      </w:tr>
      <w:tr>
        <w:trPr/>
        <w:tc>
          <w:tcPr>
            <w:tcW w:w="29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54" w:type="dxa"/>
            <w:gridSpan w:val="21"/>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Segment Sales)</w:t>
            </w:r>
          </w:p>
        </w:tc>
      </w:tr>
      <w:tr>
        <w:trPr/>
        <w:tc>
          <w:tcPr>
            <w:tcW w:w="295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exports</w:t>
            </w:r>
          </w:p>
        </w:tc>
        <w:tc>
          <w:tcPr>
            <w:tcW w:w="7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844"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50"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3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152"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951"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 manufactured products/services</w:t>
            </w:r>
          </w:p>
        </w:tc>
        <w:tc>
          <w:tcPr>
            <w:tcW w:w="714"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844"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750"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733"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152"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both"/>
        <w:rPr/>
      </w:pPr>
      <w:r>
        <w:rPr>
          <w:rFonts w:ascii="Arial;sans-serif" w:hAnsi="Arial;sans-serif"/>
          <w:b w:val="false"/>
          <w:color w:val="000000"/>
          <w:sz w:val="18"/>
        </w:rPr>
        <w:t xml:space="preserve">Information related to risks associated with our foreign operations is included in the section titled </w:t>
      </w:r>
      <w:hyperlink w:anchor="ic3922f0530c04df99983ab02c4d22c0f_109">
        <w:r>
          <w:rPr>
            <w:rStyle w:val="InternetLink"/>
            <w:rFonts w:ascii="Arial;sans-serif" w:hAnsi="Arial;sans-serif"/>
            <w:b w:val="false"/>
            <w:color w:val="0000FF"/>
            <w:sz w:val="18"/>
            <w:u w:val="single"/>
          </w:rPr>
          <w:t>Risk Factors</w:t>
        </w:r>
      </w:hyperlink>
      <w:r>
        <w:rPr>
          <w:color w:val="000000"/>
        </w:rPr>
        <w:t xml:space="preserve"> </w:t>
      </w:r>
      <w:r>
        <w:rPr>
          <w:rFonts w:ascii="Arial;sans-serif" w:hAnsi="Arial;sans-serif"/>
          <w:b w:val="false"/>
          <w:color w:val="000000"/>
          <w:sz w:val="18"/>
        </w:rPr>
        <w:t>under the caption “Macroeconomic and Industry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19"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8    </w:t>
                      </w:r>
                      <w:r>
                        <w:rPr>
                          <w:rFonts w:ascii="Arial;sans-serif" w:hAnsi="Arial;sans-serif"/>
                          <w:b w:val="false"/>
                          <w:color w:val="000000"/>
                          <w:sz w:val="16"/>
                        </w:rPr>
                        <w:t>Honeywell International Inc.</w:t>
                      </w:r>
                    </w:p>
                  </w:txbxContent>
                </v:textbox>
                <w10:wrap type="none"/>
              </v:rect>
            </w:pict>
          </mc:Fallback>
        </mc:AlternateContent>
      </w:r>
    </w:p>
    <w:tbl>
      <w:tblPr>
        <w:tblW w:w="2983" w:type="dxa"/>
        <w:jc w:val="righ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RAW MATERIALS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vast majority of principal raw materials used in our operations remain available, though supply conditions continue to evolve amid shifting trade policies and geopolitical dynamics. We maintain robust mitigation strategies to reduce the impact of disruptions, including supply chain simplification, continued alignment to local supply sources, digital solutions for identifying and managing shortages, pricing actions and dual source strategies, longer term planning for constrained materials, supply tracking tools, direct engagement with key suppliers and new supplier development. We partner with suppliers facing manufacturing challenges to develop strategies to overcome constraints as they arise. Our relationships with primary and secondary suppliers, combined with ongoing efforts to diversify sourcing networks, allow us to reliably source key components and raw materials. Where the availability of key components or raw materials may be constrained, we work with our engineering and design teams as well as our supply partners to choose commercially available alternatives without compromising function or quality of the product. New products continue to undergo product quality controls and engineering qualification prior to official product release. These mitigation strategies enable us to reduce supply risk, accelerate innovation, and expand market penetration without impacting product quality or reliability.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Prices of certain key raw materials are expected to fluctuate. Base metal prices have moderated and in some cases are anticipated to be inflationary. We offset potential raw material cost increases with formula-driven or long-term supply agreements, price adjustments, and hedging activities, where feasible. We actively monitor trade policy developments and adjust sourcing strategies accordingly. We believe our mitigation strategies, including supplier diversification, position us well to reduce the impact these factors may have on our businesses. As such, we do not presently anticipate that a shortage of raw materials will cause any material adverse impacts during 2026.</w:t>
      </w:r>
    </w:p>
    <w:p>
      <w:pPr>
        <w:pStyle w:val="TextBody"/>
        <w:bidi w:val="0"/>
        <w:spacing w:lineRule="auto" w:line="288" w:before="120" w:after="120"/>
        <w:jc w:val="both"/>
        <w:rPr/>
      </w:pPr>
      <w:r>
        <w:rPr>
          <w:rFonts w:ascii="Arial;sans-serif" w:hAnsi="Arial;sans-serif"/>
          <w:b w:val="false"/>
          <w:color w:val="000000"/>
          <w:sz w:val="18"/>
        </w:rPr>
        <w:t xml:space="preserve">See the section titled </w:t>
      </w:r>
      <w:hyperlink w:anchor="ic3922f0530c04df99983ab02c4d22c0f_109">
        <w:r>
          <w:rPr>
            <w:rStyle w:val="InternetLink"/>
            <w:rFonts w:ascii="Arial;sans-serif" w:hAnsi="Arial;sans-serif"/>
            <w:b w:val="false"/>
            <w:color w:val="0000FF"/>
            <w:sz w:val="18"/>
            <w:u w:val="single"/>
          </w:rPr>
          <w:t>Risk Factors</w:t>
        </w:r>
      </w:hyperlink>
      <w:r>
        <w:rPr>
          <w:color w:val="000000"/>
        </w:rPr>
        <w:t xml:space="preserve"> </w:t>
      </w:r>
      <w:r>
        <w:rPr>
          <w:rFonts w:ascii="Arial;sans-serif" w:hAnsi="Arial;sans-serif"/>
          <w:b w:val="false"/>
          <w:color w:val="000000"/>
          <w:sz w:val="18"/>
        </w:rPr>
        <w:t>for additional information on supply chain constraints.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PATENTS, TRADEMARKS, LICENSES, AND DISTRIBUTION RIGHTS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reportable business segments are not dependent upon any single patent or related group of patents, trademarks, licenses, or distribution rights. In our judgment, our intellectual property rights are adequate for the conduct of our business. We believe that, in the aggregate, the rights under our patents, trademarks, licenses, and distribution rights are generally important to our operations, but we do not consider any individual patent, trademark, or any licensing or distribution rights related to a specific process or product to be of material importance in relation to our total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REGULATIONS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operations are subject to various federal, state, local, and foreign government regulations, including requirements regarding the protection of human health and the environment. We design our policies, practices, and procedures to provide a safe operating environment,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engage in the handling, manufacturing, use, and disposal of many substances classified as hazardous by one or more regulatory agencies. We design policies, practices, and procedures to prevent unreasonable risk of personal injury or environmental damage, and to ensure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adverse effect in the foreseeable future on our business and we will continue to monitor emerging developments in this area.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20"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9    </w:t>
                      </w:r>
                      <w:r>
                        <w:rPr>
                          <w:rFonts w:ascii="Arial;sans-serif" w:hAnsi="Arial;sans-serif"/>
                          <w:b w:val="false"/>
                          <w:color w:val="000000"/>
                          <w:sz w:val="16"/>
                        </w:rPr>
                        <w:t>Honeywell International Inc.</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120" w:after="120"/>
        <w:jc w:val="both"/>
        <w:rPr/>
      </w:pPr>
      <w:r>
        <w:rPr>
          <w:rFonts w:ascii="Arial;sans-serif" w:hAnsi="Arial;sans-serif"/>
          <w:b w:val="false"/>
          <w:color w:val="000000"/>
          <w:sz w:val="18"/>
        </w:rPr>
        <w:t xml:space="preserve">Beyond our compliance requirements with environmental regulations, compliance with other government regulations has not had, and based on laws and regulations currently in effect, is not expected to have a material effect on our capital expenditures, earnings, or competitive position. See the section titled </w:t>
      </w:r>
      <w:hyperlink w:anchor="ic3922f0530c04df99983ab02c4d22c0f_109">
        <w:r>
          <w:rPr>
            <w:rStyle w:val="InternetLink"/>
            <w:rFonts w:ascii="Arial;sans-serif" w:hAnsi="Arial;sans-serif"/>
            <w:b w:val="false"/>
            <w:color w:val="0000FF"/>
            <w:sz w:val="18"/>
            <w:u w:val="single"/>
          </w:rPr>
          <w:t>Risk Factors</w:t>
        </w:r>
      </w:hyperlink>
      <w:r>
        <w:rPr>
          <w:color w:val="000000"/>
        </w:rPr>
        <w:t xml:space="preserve"> </w:t>
      </w:r>
      <w:r>
        <w:rPr>
          <w:rFonts w:ascii="Arial;sans-serif" w:hAnsi="Arial;sans-serif"/>
          <w:b w:val="false"/>
          <w:color w:val="000000"/>
          <w:sz w:val="18"/>
        </w:rPr>
        <w:t>for additional information on government regulation that could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SUSTAINABILITY COMMITMENTS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commitment to being environmentally responsible is reflected in the extensive work we do to reduce greenhouse gas (GHG) emissions, increase energy efficiency, conserve water, minimize waste, manage air emissions, and drive efficiency throughout our operations. Our operating system – which drives sustainable improvements and the elimination of waste in our manufacturing operations – is a critical component in how we approach environmental stewardship within Honeywell.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commit resources each year to projects that support these objectives:</w:t>
      </w:r>
    </w:p>
    <w:p>
      <w:pPr>
        <w:pStyle w:val="TextBody"/>
        <w:bidi w:val="0"/>
        <w:spacing w:lineRule="auto" w:line="288" w:before="80" w:after="80"/>
        <w:ind w:left="0" w:right="0" w:hanging="360"/>
        <w:jc w:val="both"/>
        <w:rPr/>
      </w:pPr>
      <w:r>
        <w:rPr>
          <w:color w:val="D7282F"/>
        </w:rPr>
        <w:t>•</w:t>
      </w:r>
      <w:r>
        <w:rPr>
          <w:rFonts w:ascii="Arial;sans-serif" w:hAnsi="Arial;sans-serif"/>
          <w:b/>
          <w:color w:val="000000"/>
          <w:sz w:val="18"/>
        </w:rPr>
        <w:t>Energy Efficiency Improvements.</w:t>
      </w:r>
      <w:r>
        <w:rPr>
          <w:color w:val="000000"/>
        </w:rPr>
        <w:t xml:space="preserve"> </w:t>
      </w:r>
      <w:r>
        <w:rPr>
          <w:rFonts w:ascii="Arial;sans-serif" w:hAnsi="Arial;sans-serif"/>
          <w:b w:val="false"/>
          <w:color w:val="000000"/>
          <w:sz w:val="18"/>
        </w:rPr>
        <w:t xml:space="preserve">We continue to implement sustainability projects at our facilities, including energy management and control systems, LED lighting, HVAC automation and controls, variable frequency drives, occupancy sensors, metering, and renewable energy. We require our largest sites to identify their significant energy use in line with ISO 50001, obtain an energy audit on an established cycle, train personnel on energy management, and track identified projects via our standard database. This ensures a robust pipeline of both low-cost and capital projects that can be considered for execution. </w:t>
      </w:r>
    </w:p>
    <w:p>
      <w:pPr>
        <w:pStyle w:val="TextBody"/>
        <w:bidi w:val="0"/>
        <w:spacing w:lineRule="auto" w:line="288" w:before="80" w:after="80"/>
        <w:ind w:left="0" w:right="0" w:hanging="360"/>
        <w:jc w:val="both"/>
        <w:rPr/>
      </w:pPr>
      <w:r>
        <w:rPr>
          <w:color w:val="D7282F"/>
        </w:rPr>
        <w:t>•</w:t>
      </w:r>
      <w:r>
        <w:rPr>
          <w:rFonts w:ascii="Arial;sans-serif" w:hAnsi="Arial;sans-serif"/>
          <w:b/>
          <w:color w:val="000000"/>
          <w:sz w:val="18"/>
        </w:rPr>
        <w:t xml:space="preserve">Managing Air Emissions. </w:t>
      </w:r>
      <w:r>
        <w:rPr>
          <w:rFonts w:ascii="Arial;sans-serif" w:hAnsi="Arial;sans-serif"/>
          <w:b w:val="false"/>
          <w:color w:val="000000"/>
          <w:sz w:val="18"/>
        </w:rPr>
        <w:t>We manage air emissions in accordance with all regulatory requirements while also seeking to minimize our environmental impact. We require all of our manufacturing locations to meet the requirements of our Air Emissions procedure that is part of the Health, Safety, Environment, Product Stewardship, and Sustainability (HSEPS) Management System. These requirements include, but are not limited to, identifying and detailing all emissions to air on an inventory that captures them, developing operational controls, and standardized compliance obligation tracking for permit conditions and regulatory requirements. Where there are industrial air emissions that do not have specific legal or permit requirements, we implement best management practices, where available.</w:t>
      </w:r>
    </w:p>
    <w:p>
      <w:pPr>
        <w:pStyle w:val="TextBody"/>
        <w:bidi w:val="0"/>
        <w:spacing w:lineRule="auto" w:line="288" w:before="80" w:after="80"/>
        <w:ind w:left="0" w:right="0" w:hanging="360"/>
        <w:jc w:val="both"/>
        <w:rPr/>
      </w:pPr>
      <w:r>
        <w:rPr>
          <w:color w:val="D7282F"/>
        </w:rPr>
        <w:t>•</w:t>
      </w:r>
      <w:r>
        <w:rPr>
          <w:rFonts w:ascii="Arial;sans-serif" w:hAnsi="Arial;sans-serif"/>
          <w:b/>
          <w:color w:val="000000"/>
          <w:sz w:val="18"/>
        </w:rPr>
        <w:t>Wastewater Management.</w:t>
      </w:r>
      <w:r>
        <w:rPr>
          <w:color w:val="000000"/>
        </w:rPr>
        <w:t xml:space="preserve"> </w:t>
      </w:r>
      <w:r>
        <w:rPr>
          <w:rFonts w:ascii="Arial;sans-serif" w:hAnsi="Arial;sans-serif"/>
          <w:b w:val="false"/>
          <w:color w:val="000000"/>
          <w:sz w:val="18"/>
        </w:rPr>
        <w:t>We require our locations and functions to manage water use and wastewater and effluent generation in accordance with our HSEPS Management System. In addition to meeting all legal and regulatory requirements, the HSEPS Management System requires Honeywell manufacturing locations to complete actions such as maintain an inventory of its uses, discharges, and consumption of water, develop location-specific operation controls to manage wastewater and effluents, and provide training for employees and contractors who perform critical activities related to wastewater.</w:t>
      </w:r>
    </w:p>
    <w:p>
      <w:pPr>
        <w:pStyle w:val="TextBody"/>
        <w:bidi w:val="0"/>
        <w:spacing w:lineRule="auto" w:line="288" w:before="80" w:after="80"/>
        <w:ind w:left="0" w:right="0" w:hanging="360"/>
        <w:jc w:val="both"/>
        <w:rPr/>
      </w:pPr>
      <w:r>
        <w:rPr>
          <w:color w:val="D7282F"/>
        </w:rPr>
        <w:t>•</w:t>
      </w:r>
      <w:r>
        <w:rPr>
          <w:rFonts w:ascii="Arial;sans-serif" w:hAnsi="Arial;sans-serif"/>
          <w:b/>
          <w:color w:val="000000"/>
          <w:sz w:val="18"/>
        </w:rPr>
        <w:t>Environmental Remediation.</w:t>
      </w:r>
      <w:r>
        <w:rPr>
          <w:color w:val="000000"/>
        </w:rPr>
        <w:t xml:space="preserve"> </w:t>
      </w:r>
      <w:r>
        <w:rPr>
          <w:rFonts w:ascii="Arial;sans-serif" w:hAnsi="Arial;sans-serif"/>
          <w:b w:val="false"/>
          <w:color w:val="000000"/>
          <w:sz w:val="18"/>
        </w:rPr>
        <w:t>We recognize idle properties as assets that can be revitalized to mutually benefit communities and the company. The properties that emerge from this approach ignite civic pride and catalyze further community development initiatives. Using cutting-edge science, design, and engineering to protect human health and the environment, we work cooperatively with governments and engage with local communities and other external stakeholders to implement effective solutions.</w:t>
      </w:r>
    </w:p>
    <w:p>
      <w:pPr>
        <w:pStyle w:val="TextBody"/>
        <w:bidi w:val="0"/>
        <w:spacing w:lineRule="auto" w:line="288" w:before="80" w:after="80"/>
        <w:ind w:left="0" w:right="0" w:hanging="360"/>
        <w:jc w:val="both"/>
        <w:rPr/>
      </w:pPr>
      <w:r>
        <w:rPr>
          <w:color w:val="D7282F"/>
        </w:rPr>
        <w:t>•</w:t>
      </w:r>
      <w:r>
        <w:rPr>
          <w:rFonts w:ascii="Arial;sans-serif" w:hAnsi="Arial;sans-serif"/>
          <w:b/>
          <w:color w:val="000000"/>
          <w:sz w:val="18"/>
        </w:rPr>
        <w:t>Minimizing Waste</w:t>
      </w:r>
      <w:r>
        <w:rPr>
          <w:rFonts w:ascii="Arial;sans-serif" w:hAnsi="Arial;sans-serif"/>
          <w:b w:val="false"/>
          <w:color w:val="000000"/>
          <w:sz w:val="18"/>
        </w:rPr>
        <w:t>. We require all of our locations and functions to handle waste in accordance with our HSEPS Management System, which includes but is not limited to, detailed characterization and classification for all waste streams, process of due diligence and impact assessment for all facilities receiving hazardous waste from our operations, and annual training for employees and contractors who perform waste-related activities.</w:t>
      </w:r>
    </w:p>
    <w:p>
      <w:pPr>
        <w:pStyle w:val="TextBody"/>
        <w:bidi w:val="0"/>
        <w:spacing w:lineRule="auto" w:line="288" w:before="80" w:after="80"/>
        <w:ind w:left="0" w:right="0" w:hanging="360"/>
        <w:jc w:val="both"/>
        <w:rPr/>
      </w:pPr>
      <w:r>
        <w:rPr>
          <w:color w:val="D7282F"/>
        </w:rPr>
        <w:t>•</w:t>
      </w:r>
      <w:r>
        <w:rPr>
          <w:rFonts w:ascii="Arial;sans-serif" w:hAnsi="Arial;sans-serif"/>
          <w:b/>
          <w:color w:val="000000"/>
          <w:sz w:val="18"/>
        </w:rPr>
        <w:t>Reducing Greenhouse Gas Emissions</w:t>
      </w:r>
      <w:r>
        <w:rPr>
          <w:rFonts w:ascii="Arial;sans-serif" w:hAnsi="Arial;sans-serif"/>
          <w:b w:val="false"/>
          <w:color w:val="000000"/>
          <w:sz w:val="18"/>
        </w:rPr>
        <w:t>. We uphold our commitment to be carbon neutral by 2035 in our facilities and operations</w:t>
      </w:r>
      <w:r>
        <w:rPr>
          <w:rFonts w:ascii="Arial;sans-serif" w:hAnsi="Arial;sans-serif"/>
          <w:b w:val="false"/>
          <w:color w:val="000000"/>
          <w:sz w:val="12"/>
        </w:rPr>
        <w:t>1</w:t>
      </w:r>
      <w:r>
        <w:rPr>
          <w:rFonts w:ascii="Arial;sans-serif" w:hAnsi="Arial;sans-serif"/>
          <w:b w:val="false"/>
          <w:color w:val="000000"/>
          <w:sz w:val="18"/>
        </w:rPr>
        <w:t>. Our GHG reduction program initially began in 2004, setting us well on our way to achieving this commitment. In 2022, we pledged to reduce U.S. Scope 1 and 2 GHG emissions by 50% from a 2018 baseline. In addition, in 2023, our near-term science-based target, which includes Scope 3 emissions, was approved by the Science Based Target initiative (SBTi).</w:t>
      </w:r>
    </w:p>
    <w:tbl>
      <w:tblPr>
        <w:tblW w:w="1872" w:type="dxa"/>
        <w:jc w:val="center"/>
        <w:tblInd w:w="0" w:type="dxa"/>
        <w:tblLayout w:type="fixed"/>
        <w:tblCellMar>
          <w:top w:w="28" w:type="dxa"/>
          <w:left w:w="28" w:type="dxa"/>
          <w:bottom w:w="28" w:type="dxa"/>
          <w:right w:w="28" w:type="dxa"/>
        </w:tblCellMar>
      </w:tblPr>
      <w:tblGrid>
        <w:gridCol w:w="124"/>
        <w:gridCol w:w="109"/>
        <w:gridCol w:w="109"/>
        <w:gridCol w:w="447"/>
        <w:gridCol w:w="447"/>
        <w:gridCol w:w="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153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4"/>
              </w:rPr>
            </w:pPr>
            <w:r>
              <w:rPr>
                <w:rFonts w:ascii="Arial;sans-serif" w:hAnsi="Arial;sans-serif"/>
                <w:b w:val="false"/>
                <w:color w:val="000000"/>
                <w:sz w:val="14"/>
              </w:rPr>
              <w:t>Scope 1 and Scope 2.</w:t>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21"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10    </w:t>
                      </w:r>
                      <w:r>
                        <w:rPr>
                          <w:rFonts w:ascii="Arial;sans-serif" w:hAnsi="Arial;sans-serif"/>
                          <w:b w:val="false"/>
                          <w:color w:val="000000"/>
                          <w:sz w:val="16"/>
                        </w:rPr>
                        <w:t>Honeywell International Inc.</w:t>
                      </w:r>
                    </w:p>
                  </w:txbxContent>
                </v:textbox>
                <w10:wrap type="none"/>
              </v:rect>
            </w:pict>
          </mc:Fallback>
        </mc:AlternateContent>
      </w:r>
    </w:p>
    <w:tbl>
      <w:tblPr>
        <w:tblW w:w="2983" w:type="dxa"/>
        <w:jc w:val="righ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SUSTAINABILITY-ORIENTED SOLUTIONS</w:t>
      </w:r>
    </w:p>
    <w:p>
      <w:pPr>
        <w:pStyle w:val="TextBody"/>
        <w:bidi w:val="0"/>
        <w:spacing w:lineRule="auto" w:line="268" w:before="0" w:after="0"/>
        <w:jc w:val="both"/>
        <w:rPr/>
      </w:pPr>
      <w:r>
        <w:rPr>
          <w:rFonts w:ascii="Arial;sans-serif" w:hAnsi="Arial;sans-serif"/>
          <w:b w:val="false"/>
          <w:color w:val="000000"/>
          <w:sz w:val="18"/>
        </w:rPr>
        <w:t>We strive to lead the marketplace in sustainable technology development and help our customers meet their sustainability goals. We are innovating to improve our operations as we progress toward carbon neutrality</w:t>
      </w:r>
      <w:r>
        <w:rPr>
          <w:rFonts w:ascii="Arial;sans-serif" w:hAnsi="Arial;sans-serif"/>
          <w:b w:val="false"/>
          <w:color w:val="000000"/>
          <w:sz w:val="12"/>
        </w:rPr>
        <w:t>1</w:t>
      </w:r>
      <w:r>
        <w:rPr>
          <w:rFonts w:ascii="Arial;sans-serif" w:hAnsi="Arial;sans-serif"/>
          <w:b w:val="false"/>
          <w:color w:val="000000"/>
          <w:sz w:val="18"/>
        </w:rPr>
        <w:t>. These innovations contribute to improvements in health, safety, security, environmental impact, and resiliency to help our customers with their most complex challenges in these areas. The graphic below demonstrates our multitude of sustainability-oriented solutions. Additional information regarding our sustainability initiatives and strategy is included in our 2025 Impact Report, which can be found on our website (honeywell.com); this report is not incorporated into this Form 10-K by reference and should not be considered part of this Form 10-K.</w:t>
      </w:r>
    </w:p>
    <w:p>
      <w:pPr>
        <w:pStyle w:val="TextBody"/>
        <w:bidi w:val="0"/>
        <w:spacing w:before="120" w:after="120"/>
        <w:jc w:val="center"/>
        <w:rPr/>
      </w:pPr>
      <w:r>
        <w:rPr/>
        <w:drawing>
          <wp:inline distT="0" distB="0" distL="0" distR="0">
            <wp:extent cx="6372225" cy="452437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6372225" cy="4524375"/>
                    </a:xfrm>
                    <a:prstGeom prst="rect">
                      <a:avLst/>
                    </a:prstGeom>
                  </pic:spPr>
                </pic:pic>
              </a:graphicData>
            </a:graphic>
          </wp:inline>
        </w:drawing>
      </w:r>
      <w:bookmarkStart w:id="9" w:name="i-10"/>
      <w:bookmarkEnd w:id="9"/>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Methodology for identifying sustainability-oriented offerings is available at investor.honeywell.com (see “ESG/ESG Information/Identification of Sustainability-Oriented Offerings”).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Includes product lines associated with Aerospace Technologies, which is expected to become a standalone public company in the third quarter of 2026, and the Productivity Solutions and Services and Warehouse and Workflow Solutions businesses, which are classified as held for sale as of December 31, 2025.</w:t>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23"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11    </w:t>
                      </w:r>
                      <w:r>
                        <w:rPr>
                          <w:rFonts w:ascii="Arial;sans-serif" w:hAnsi="Arial;sans-serif"/>
                          <w:b w:val="false"/>
                          <w:color w:val="000000"/>
                          <w:sz w:val="16"/>
                        </w:rPr>
                        <w:t>Honeywell International Inc.</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HUMAN CAPITAL MANAGEMENT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believe investment in human capital management enables better decision-making, helps us build competitive advantage, and propels us toward sustained growth, innovation, and long-term success. Human capital management is the key driver of our high-performance growth culture, which enables our workforce to respond to the fast-changing needs of our customers.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6"/>
        <w:gridCol w:w="1136"/>
        <w:gridCol w:w="1138"/>
        <w:gridCol w:w="109"/>
        <w:gridCol w:w="109"/>
        <w:gridCol w:w="109"/>
        <w:gridCol w:w="109"/>
        <w:gridCol w:w="109"/>
        <w:gridCol w:w="109"/>
        <w:gridCol w:w="887"/>
        <w:gridCol w:w="887"/>
        <w:gridCol w:w="889"/>
        <w:gridCol w:w="109"/>
        <w:gridCol w:w="109"/>
        <w:gridCol w:w="109"/>
        <w:gridCol w:w="109"/>
        <w:gridCol w:w="109"/>
        <w:gridCol w:w="109"/>
        <w:gridCol w:w="701"/>
        <w:gridCol w:w="701"/>
        <w:gridCol w:w="703"/>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vMerge w:val="restart"/>
            <w:tcBorders/>
            <w:shd w:fill="EBEBEC"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533400" cy="32385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533400" cy="323850"/>
                          </a:xfrm>
                          <a:prstGeom prst="rect">
                            <a:avLst/>
                          </a:prstGeom>
                        </pic:spPr>
                      </pic:pic>
                    </a:graphicData>
                  </a:graphic>
                </wp:inline>
              </w:drawing>
            </w:r>
            <w:bookmarkStart w:id="10" w:name="i-11"/>
            <w:bookmarkEnd w:id="10"/>
          </w:p>
          <w:p>
            <w:pPr>
              <w:pStyle w:val="TableContents"/>
              <w:bidi w:val="0"/>
              <w:spacing w:lineRule="auto" w:line="264" w:before="120" w:after="120"/>
              <w:jc w:val="left"/>
              <w:rPr/>
            </w:pPr>
            <w:r>
              <w:rPr>
                <w:rFonts w:ascii="Arial;sans-serif" w:hAnsi="Arial;sans-serif"/>
                <w:b w:val="false"/>
                <w:color w:val="000000"/>
                <w:sz w:val="18"/>
              </w:rPr>
              <w:t xml:space="preserve">As of </w:t>
            </w:r>
            <w:r>
              <w:rPr>
                <w:rFonts w:ascii="Arial;sans-serif" w:hAnsi="Arial;sans-serif"/>
                <w:b/>
                <w:color w:val="000000"/>
                <w:sz w:val="18"/>
              </w:rPr>
              <w:t>December 31, 2025</w:t>
            </w:r>
            <w:r>
              <w:rPr>
                <w:rFonts w:ascii="Arial;sans-serif" w:hAnsi="Arial;sans-serif"/>
                <w:b w:val="false"/>
                <w:color w:val="000000"/>
                <w:sz w:val="18"/>
              </w:rPr>
              <w:t>, we employed approximately</w:t>
            </w:r>
          </w:p>
          <w:p>
            <w:pPr>
              <w:pStyle w:val="TableContents"/>
              <w:bidi w:val="0"/>
              <w:spacing w:lineRule="auto" w:line="264" w:before="120" w:after="120"/>
              <w:jc w:val="left"/>
              <w:rPr/>
            </w:pPr>
            <w:r>
              <w:rPr>
                <w:rFonts w:ascii="Arial;sans-serif" w:hAnsi="Arial;sans-serif"/>
                <w:b/>
                <w:color w:val="D7282F"/>
                <w:sz w:val="40"/>
              </w:rPr>
              <w:t>101,000 EMPLOYEES</w:t>
            </w:r>
            <w:r>
              <w:rPr>
                <w:rFonts w:ascii="Arial;sans-serif" w:hAnsi="Arial;sans-serif"/>
                <w:b/>
                <w:color w:val="D7282F"/>
                <w:sz w:val="26"/>
              </w:rPr>
              <w:t>1</w:t>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vMerge w:val="restart"/>
            <w:tcBorders/>
            <w:shd w:fill="EBEBEC"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361950" cy="36195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361950" cy="361950"/>
                          </a:xfrm>
                          <a:prstGeom prst="rect">
                            <a:avLst/>
                          </a:prstGeom>
                        </pic:spPr>
                      </pic:pic>
                    </a:graphicData>
                  </a:graphic>
                </wp:inline>
              </w:drawing>
            </w:r>
            <w:bookmarkStart w:id="11" w:name="i-12"/>
            <w:bookmarkEnd w:id="11"/>
          </w:p>
          <w:p>
            <w:pPr>
              <w:pStyle w:val="TableContents"/>
              <w:bidi w:val="0"/>
              <w:spacing w:lineRule="auto" w:line="264" w:before="120" w:after="120"/>
              <w:jc w:val="left"/>
              <w:rPr>
                <w:rFonts w:ascii="Arial;sans-serif" w:hAnsi="Arial;sans-serif"/>
                <w:b w:val="false"/>
                <w:color w:val="000000"/>
                <w:sz w:val="18"/>
              </w:rPr>
            </w:pPr>
            <w:r>
              <w:rPr>
                <w:rFonts w:ascii="Arial;sans-serif" w:hAnsi="Arial;sans-serif"/>
                <w:b w:val="false"/>
                <w:color w:val="000000"/>
                <w:sz w:val="18"/>
              </w:rPr>
              <w:t>across</w:t>
            </w:r>
          </w:p>
          <w:p>
            <w:pPr>
              <w:pStyle w:val="TableContents"/>
              <w:bidi w:val="0"/>
              <w:spacing w:lineRule="auto" w:line="264" w:before="120" w:after="120"/>
              <w:jc w:val="left"/>
              <w:rPr>
                <w:rFonts w:ascii="Arial;sans-serif" w:hAnsi="Arial;sans-serif"/>
                <w:b/>
                <w:color w:val="D7282F"/>
                <w:sz w:val="40"/>
              </w:rPr>
            </w:pPr>
            <w:r>
              <w:rPr>
                <w:rFonts w:ascii="Arial;sans-serif" w:hAnsi="Arial;sans-serif"/>
                <w:b/>
                <w:color w:val="D7282F"/>
                <w:sz w:val="40"/>
              </w:rPr>
              <w:t>79 COUNTRIES</w:t>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vMerge w:val="restart"/>
            <w:tcBorders/>
            <w:shd w:fill="EBEBEC"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533400" cy="352425"/>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533400" cy="352425"/>
                          </a:xfrm>
                          <a:prstGeom prst="rect">
                            <a:avLst/>
                          </a:prstGeom>
                        </pic:spPr>
                      </pic:pic>
                    </a:graphicData>
                  </a:graphic>
                </wp:inline>
              </w:drawing>
            </w:r>
            <w:bookmarkStart w:id="12" w:name="i-13"/>
            <w:bookmarkEnd w:id="12"/>
          </w:p>
          <w:p>
            <w:pPr>
              <w:pStyle w:val="TableContents"/>
              <w:bidi w:val="0"/>
              <w:spacing w:lineRule="auto" w:line="264" w:before="120" w:after="120"/>
              <w:jc w:val="left"/>
              <w:rPr/>
            </w:pPr>
            <w:r>
              <w:rPr>
                <w:rFonts w:ascii="Arial;sans-serif" w:hAnsi="Arial;sans-serif"/>
                <w:b/>
                <w:color w:val="D7282F"/>
                <w:sz w:val="40"/>
              </w:rPr>
              <w:t>~36,000</w:t>
            </w:r>
            <w:r>
              <w:rPr>
                <w:rFonts w:ascii="Arial;sans-serif" w:hAnsi="Arial;sans-serif"/>
                <w:b/>
                <w:color w:val="D7282F"/>
                <w:sz w:val="26"/>
              </w:rPr>
              <w:t>1</w:t>
            </w:r>
          </w:p>
          <w:p>
            <w:pPr>
              <w:pStyle w:val="TableContents"/>
              <w:bidi w:val="0"/>
              <w:spacing w:lineRule="auto" w:line="264" w:before="120" w:after="120"/>
              <w:jc w:val="left"/>
              <w:rPr>
                <w:rFonts w:ascii="Arial;sans-serif" w:hAnsi="Arial;sans-serif"/>
                <w:b w:val="false"/>
                <w:color w:val="000000"/>
                <w:sz w:val="18"/>
              </w:rPr>
            </w:pPr>
            <w:r>
              <w:rPr>
                <w:rFonts w:ascii="Arial;sans-serif" w:hAnsi="Arial;sans-serif"/>
                <w:b w:val="false"/>
                <w:color w:val="000000"/>
                <w:sz w:val="18"/>
              </w:rPr>
              <w:t>of whom are in the United States.</w:t>
            </w:r>
          </w:p>
        </w:tc>
        <w:tc>
          <w:tcPr>
            <w:tcW w:w="37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vMerge w:val="continue"/>
            <w:tcBorders/>
            <w:shd w:fill="EBEBEC" w:val="clear"/>
            <w:tcMar>
              <w:top w:w="0" w:type="dxa"/>
              <w:left w:w="0" w:type="dxa"/>
              <w:bottom w:w="0" w:type="dxa"/>
              <w:right w:w="0" w:type="dxa"/>
            </w:tcMar>
            <w:vAlign w:val="center"/>
          </w:tcPr>
          <w:p>
            <w:pPr>
              <w:pStyle w:val="Normal"/>
              <w:bidi w:val="0"/>
              <w:jc w:val="left"/>
              <w:rPr/>
            </w:pPr>
            <w:r>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D7282F"/>
            </w:tcBorders>
            <w:shd w:fill="EBEB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vMerge w:val="continue"/>
            <w:tcBorders/>
            <w:shd w:fill="EBEBEC" w:val="clear"/>
            <w:tcMar>
              <w:top w:w="0" w:type="dxa"/>
              <w:left w:w="0" w:type="dxa"/>
              <w:bottom w:w="0" w:type="dxa"/>
              <w:right w:w="0" w:type="dxa"/>
            </w:tcMar>
            <w:vAlign w:val="center"/>
          </w:tcPr>
          <w:p>
            <w:pPr>
              <w:pStyle w:val="Normal"/>
              <w:bidi w:val="0"/>
              <w:jc w:val="left"/>
              <w:rPr/>
            </w:pPr>
            <w:r>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D7282F"/>
            </w:tcBorders>
            <w:shd w:fill="EBEB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vMerge w:val="continue"/>
            <w:tcBorders/>
            <w:shd w:fill="EBEBEC" w:val="clear"/>
            <w:tcMar>
              <w:top w:w="0" w:type="dxa"/>
              <w:left w:w="0" w:type="dxa"/>
              <w:bottom w:w="0" w:type="dxa"/>
              <w:right w:w="0" w:type="dxa"/>
            </w:tcMar>
            <w:vAlign w:val="center"/>
          </w:tcPr>
          <w:p>
            <w:pPr>
              <w:pStyle w:val="Normal"/>
              <w:bidi w:val="0"/>
              <w:jc w:val="left"/>
              <w:rPr/>
            </w:pPr>
            <w:r>
              <w:rPr/>
            </w:r>
          </w:p>
        </w:tc>
        <w:tc>
          <w:tcPr>
            <w:tcW w:w="37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BEB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Excludes Sandia National Laboratories (Sandia) and Kansas City National Security Campus (KCNSC) work forces of approximately 19,000 employees. Sandia and KCNSC are U.S. Department of Energy facilities. Honeywell manages these facilities as a contract operator and does not establish or control their human resource policies.</w:t>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OUR CULTURE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has built a reputation of “doing what we say.” At the center of that commitment to excellence is a high-performance culture rooted in our Foundational Principles and driven by the Six Honeywell Behaviors. The Six Behaviors reflect the bold, entrepreneurial spirit we seek to foster while emphasizing our goal to operate with speed and precision. At their foundation is a commitment to Safety Always, Integrity and Ethics, Inclusion and Global Mindset, and Workplace Respect, fundamental values that underlie everything we do.</w:t>
      </w:r>
    </w:p>
    <w:p>
      <w:pPr>
        <w:pStyle w:val="TextBody"/>
        <w:bidi w:val="0"/>
        <w:spacing w:before="120" w:after="120"/>
        <w:jc w:val="center"/>
        <w:rPr/>
      </w:pPr>
      <w:r>
        <w:rPr/>
        <w:drawing>
          <wp:inline distT="0" distB="0" distL="0" distR="0">
            <wp:extent cx="4838700" cy="4524375"/>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4838700" cy="4524375"/>
                    </a:xfrm>
                    <a:prstGeom prst="rect">
                      <a:avLst/>
                    </a:prstGeom>
                  </pic:spPr>
                </pic:pic>
              </a:graphicData>
            </a:graphic>
          </wp:inline>
        </w:drawing>
      </w:r>
      <w:bookmarkStart w:id="13" w:name="i-14"/>
      <w:bookmarkEnd w:id="1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28"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12    </w:t>
                      </w:r>
                      <w:r>
                        <w:rPr>
                          <w:rFonts w:ascii="Arial;sans-serif" w:hAnsi="Arial;sans-serif"/>
                          <w:b w:val="false"/>
                          <w:color w:val="000000"/>
                          <w:sz w:val="16"/>
                        </w:rPr>
                        <w:t>Honeywell International Inc.</w:t>
                      </w:r>
                    </w:p>
                  </w:txbxContent>
                </v:textbox>
                <w10:wrap type="none"/>
              </v:rect>
            </w:pict>
          </mc:Fallback>
        </mc:AlternateContent>
      </w:r>
    </w:p>
    <w:tbl>
      <w:tblPr>
        <w:tblW w:w="2983" w:type="dxa"/>
        <w:jc w:val="righ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Code of Business Conduct establishes the baseline requirements of our integrity and compliance program and promotes an environment where everyone is treated ethically and with respect. It outlines our pledge to recognize the dignity of each individual, respect each employee, provide compensation and benefits that are competitive, promote self-development and well-being through training, and value diverse perspectives and ideas. All employees must complete Code of Business Conduct training and, where permitted by law, must also certify each year that they will comply with the Code.</w:t>
      </w:r>
    </w:p>
    <w:p>
      <w:pPr>
        <w:pStyle w:val="TextBody"/>
        <w:bidi w:val="0"/>
        <w:spacing w:lineRule="auto" w:line="288" w:before="120" w:after="120"/>
        <w:jc w:val="both"/>
        <w:rPr/>
      </w:pPr>
      <w:r>
        <w:rPr>
          <w:rFonts w:ascii="Arial;sans-serif" w:hAnsi="Arial;sans-serif"/>
          <w:b w:val="false"/>
          <w:color w:val="000000"/>
          <w:sz w:val="18"/>
        </w:rPr>
        <w:t xml:space="preserve">Overall, we believe our culture, along with our internal tools and initiatives, enable us to effectively execute our human capital strategy. For discussion on the risks relating to the ability to attract and retain top-performing talent, please see the section titled </w:t>
      </w:r>
      <w:hyperlink w:anchor="ic3922f0530c04df99983ab02c4d22c0f_109">
        <w:r>
          <w:rPr>
            <w:rStyle w:val="InternetLink"/>
            <w:rFonts w:ascii="Arial;sans-serif" w:hAnsi="Arial;sans-serif"/>
            <w:b w:val="false"/>
            <w:color w:val="0000FF"/>
            <w:sz w:val="18"/>
            <w:u w:val="single"/>
          </w:rPr>
          <w:t>Risk Factors</w:t>
        </w:r>
      </w:hyperlink>
      <w:r>
        <w:rPr>
          <w:rFonts w:ascii="Arial;sans-serif" w:hAnsi="Arial;sans-serif"/>
          <w:b w:val="false"/>
          <w:color w:val="000000"/>
          <w:sz w:val="18"/>
        </w:rPr>
        <w:t>.</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TALENT ACQUISITION AND MANAGEMENT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internal talent acquisition and management platform is a key component to recruiting, hiring, and developing top-performing talent. We provide our hiring managers with training and toolkits to reinforce their role in bringing top talent into the Company. Further, we partner with top academic institutions and external professional organizations to attract and retain top talent. Our talent review process requires our people managers to have semi-annual career discussions with each member of their teams to discuss the best opportunity for growth and development, which enhances our identification of candidates for internal promotion and succession planning.</w:t>
      </w:r>
    </w:p>
    <w:p>
      <w:pPr>
        <w:pStyle w:val="TextBody"/>
        <w:bidi w:val="0"/>
        <w:spacing w:lineRule="auto" w:line="288" w:before="220" w:after="120"/>
        <w:jc w:val="left"/>
        <w:rPr>
          <w:rFonts w:ascii="Arial;sans-serif" w:hAnsi="Arial;sans-serif"/>
          <w:b/>
          <w:color w:val="D7282F"/>
          <w:sz w:val="22"/>
        </w:rPr>
      </w:pPr>
      <w:r>
        <w:rPr>
          <w:rFonts w:ascii="Arial;sans-serif" w:hAnsi="Arial;sans-serif"/>
          <w:b/>
          <w:color w:val="D7282F"/>
          <w:sz w:val="22"/>
        </w:rPr>
        <w:t>VOICE OF THE EMPLOYEE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Voice of the Employee feedback survey is conducted annually with all global employees with the commitment to listening, learning, and taking action to make Honeywell an even better place to work. The survey provides data and tools to leaders at all levels to best drive actionable plans around employee engagement and build our desired culture that attracts and retains top talent, improves performance, and distinguishes the Company as a great place to work. </w:t>
      </w:r>
    </w:p>
    <w:p>
      <w:pPr>
        <w:pStyle w:val="TextBody"/>
        <w:bidi w:val="0"/>
        <w:spacing w:lineRule="auto" w:line="288" w:before="220" w:after="120"/>
        <w:jc w:val="left"/>
        <w:rPr>
          <w:rFonts w:ascii="Arial;sans-serif" w:hAnsi="Arial;sans-serif"/>
          <w:b/>
          <w:color w:val="D7282F"/>
          <w:sz w:val="22"/>
        </w:rPr>
      </w:pPr>
      <w:r>
        <w:rPr>
          <w:rFonts w:ascii="Arial;sans-serif" w:hAnsi="Arial;sans-serif"/>
          <w:b/>
          <w:color w:val="D7282F"/>
          <w:sz w:val="22"/>
        </w:rPr>
        <w:t>EMPLOYEE WELL-BEING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well-being focus addresses physical, mental, financial, individual, and community needs, providing benefits and resources to help employees and their families be their best, both personally and professionally. Resources for leaders include a Well-being Guide to help promote team well-being, educational materials in leadership programs, and discussion aids to encourage community and continuous learning. We facilitated several campaigns to promote well-being and help provide visibility to resources and available benefits across a range of topics from health and wellness programs to caring for your family and taking care of finances. We promoted mental health globally during Mental Health Awareness month, during which we offered a variety of benefits and resources, hosted live webinars, and introduced a new global forum for managers on how to support employee well-being. During Global Inclusion Month we hosted weekly well-being sessions facilitated by strategic partners highlighting resources available to Honeywell employees. We offer Employee Assistance Programs or therapy sessions to all employees and family members globally, comprehensive mental health benefits to those enrolled in the U.S. medical plan, virtual mental health options and navigation tools to improve access and speed of care, and preventive/mental health resilience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29"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13    </w:t>
                      </w:r>
                      <w:r>
                        <w:rPr>
                          <w:rFonts w:ascii="Arial;sans-serif" w:hAnsi="Arial;sans-serif"/>
                          <w:b w:val="false"/>
                          <w:color w:val="000000"/>
                          <w:sz w:val="16"/>
                        </w:rPr>
                        <w:t>Honeywell International Inc.</w:t>
                      </w:r>
                    </w:p>
                  </w:txbxContent>
                </v:textbox>
                <w10:wrap type="none"/>
              </v:rect>
            </w:pict>
          </mc:Fallback>
        </mc:AlternateContent>
      </w:r>
    </w:p>
    <w:tbl>
      <w:tblPr>
        <w:tblW w:w="2983" w:type="dxa"/>
        <w:jc w:val="left"/>
        <w:tblInd w:w="0" w:type="dxa"/>
        <w:tblLayout w:type="fixed"/>
        <w:tblCellMar>
          <w:top w:w="28" w:type="dxa"/>
          <w:left w:w="28" w:type="dxa"/>
          <w:bottom w:w="28" w:type="dxa"/>
          <w:right w:w="28" w:type="dxa"/>
        </w:tblCellMar>
      </w:tblPr>
      <w:tblGrid>
        <w:gridCol w:w="548"/>
        <w:gridCol w:w="482"/>
        <w:gridCol w:w="484"/>
        <w:gridCol w:w="429"/>
        <w:gridCol w:w="429"/>
        <w:gridCol w:w="6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ABOUT HONEYWELL</w:t>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TRAINING AND LEADERSHIP DEVELOPMENT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Investing in continuous learning and leadership development is at the core of our culture and long-term business growth strategy. Learning and training underscores our culture of development, continuous improvement, and integrity and compliance. We offer and encourage career and leadership development programs and learning available on Honeywell Accelerator.</w:t>
      </w:r>
    </w:p>
    <w:tbl>
      <w:tblPr>
        <w:tblW w:w="10205" w:type="dxa"/>
        <w:jc w:val="center"/>
        <w:tblInd w:w="0" w:type="dxa"/>
        <w:tblLayout w:type="fixed"/>
        <w:tblCellMar>
          <w:top w:w="28" w:type="dxa"/>
          <w:left w:w="28" w:type="dxa"/>
          <w:bottom w:w="28" w:type="dxa"/>
          <w:right w:w="28" w:type="dxa"/>
        </w:tblCellMar>
      </w:tblPr>
      <w:tblGrid>
        <w:gridCol w:w="1563"/>
        <w:gridCol w:w="1374"/>
        <w:gridCol w:w="1376"/>
        <w:gridCol w:w="1726"/>
        <w:gridCol w:w="1726"/>
        <w:gridCol w:w="2440"/>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MT Std Black;sans-serif" w:hAnsi="Arial MT Std Black;sans-serif"/>
                <w:b/>
                <w:color w:val="D7282F"/>
                <w:sz w:val="48"/>
              </w:rPr>
            </w:pPr>
            <w:r>
              <w:rPr>
                <w:rFonts w:ascii="Arial MT Std Black;sans-serif" w:hAnsi="Arial MT Std Black;sans-serif"/>
                <w:b/>
                <w:color w:val="D7282F"/>
                <w:sz w:val="48"/>
              </w:rPr>
              <w:t>HONEYWELL</w:t>
            </w:r>
          </w:p>
          <w:p>
            <w:pPr>
              <w:pStyle w:val="TableContents"/>
              <w:bidi w:val="0"/>
              <w:spacing w:lineRule="auto" w:line="240" w:before="0" w:after="0"/>
              <w:jc w:val="left"/>
              <w:rPr>
                <w:rFonts w:ascii="Arial MT Std Black;sans-serif" w:hAnsi="Arial MT Std Black;sans-serif"/>
                <w:b/>
                <w:color w:val="000000"/>
                <w:sz w:val="48"/>
              </w:rPr>
            </w:pPr>
            <w:r>
              <w:rPr>
                <w:rFonts w:ascii="Arial MT Std Black;sans-serif" w:hAnsi="Arial MT Std Black;sans-serif"/>
                <w:b/>
                <w:color w:val="000000"/>
                <w:sz w:val="48"/>
              </w:rPr>
              <w:t>ACCELERATOR</w:t>
            </w:r>
          </w:p>
        </w:tc>
        <w:tc>
          <w:tcPr>
            <w:tcW w:w="5892"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57600" cy="36576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3657600" cy="3657600"/>
                          </a:xfrm>
                          <a:prstGeom prst="rect">
                            <a:avLst/>
                          </a:prstGeom>
                        </pic:spPr>
                      </pic:pic>
                    </a:graphicData>
                  </a:graphic>
                </wp:inline>
              </w:drawing>
            </w:r>
            <w:bookmarkStart w:id="14" w:name="i-15"/>
            <w:bookmarkEnd w:id="14"/>
          </w:p>
        </w:tc>
      </w:tr>
      <w:tr>
        <w:trPr/>
        <w:tc>
          <w:tcPr>
            <w:tcW w:w="4313"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Honeywell Accelerator is the framework for how we think, run, and grow our business. It provides a unified approach to drive transformation and continuous improvement to give our teams the capabilities needed to win in the marketplace. This is accomplished by understanding our markets and our four dominant business models and how to most effectively operate them to grow. We design end-to-end digitized business processes, underpinned by global design models, lean and Six Sigma principles, 80/20 rules, and Digital Operations.</w:t>
            </w:r>
          </w:p>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contemporary, interactive, and accessible learning platform, Accelerator Learning, serves as a central source of information and supports our commitment to continuous learning, which is core to our culture and long-term business growth strategy. </w:t>
            </w:r>
          </w:p>
          <w:p>
            <w:pPr>
              <w:pStyle w:val="TableContents"/>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With over 600 virtual learning modules, this digital learning center creates common knowledge across the enterprise, helping new-joiner and long-time employees leverage the Honeywell operating system to make immediate, positive impacts. </w:t>
            </w:r>
          </w:p>
        </w:tc>
        <w:tc>
          <w:tcPr>
            <w:tcW w:w="589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expect our people managers to model behaviors that promote a culture that is open and inclusive for all employees. We help managers develop this skill as they do any other leadership skill through training programs, interactive learning, and real-time events, including the hiring and talent review processes. Our broad portfolio of leadership development programs provide training in core management skills to leaders across the organization. We deploy unconscious bias and inclusive leadership training to our global workforce to educate and influence behavior. Effective and impactful leadership is central to delivering business results, creating transformational products and services, and engaging and retaining our best talent. Across all management levels, Honeywell’s leadership programs continue evolving with market dynamics and business priorities.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INCLUSION AND GLOBAL MINDSET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As a global enterprise serving customers across a wide range of backgrounds, geographies, and end markets, Inclusion and Global Mindset is a foundational principle that supports and strengthens our long-term strategy. We are committed to fostering an inclusive environment where all employees feel valued, respected, and empowered to innovate to solve the world's most challenging problems.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Through our global programs and inclusive culture, we recruit, develop, retain, and promote top talent around the world. We continue to build partnerships and develop resources—including our nine employee networks—to support our employees globally. Each network is open to all employees, participation is voluntary, and together they help promote collaboration, engagement, wellness, and belonging at Honeywell fully.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commitment to Inclusion and Global Mindset starts at the top with a Board of Directors (the Board) and executive management team that represent a broad spectrum of backgrounds and experiences. We believe that the complementary perspectives of Honeywell's Board and executive leadership supports our evolving business strategy and reflects Honeywell’s ongoing commitment to the merit-based hiring, development, and retention of top talent.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31"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14    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MANAGEMENT'S DISCUSSION AND ANALYSIS OF FINANCIAL CONDITION AND RESULTS OF OPERATIONS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(Dollars in tables and graphs in millions, except per share amounts)</w:t>
      </w:r>
    </w:p>
    <w:p>
      <w:pPr>
        <w:pStyle w:val="TextBody"/>
        <w:bidi w:val="0"/>
        <w:spacing w:lineRule="auto" w:line="288" w:before="120" w:after="120"/>
        <w:jc w:val="both"/>
        <w:rPr/>
      </w:pPr>
      <w:r>
        <w:rPr>
          <w:rFonts w:ascii="Arial;sans-serif" w:hAnsi="Arial;sans-serif"/>
          <w:b w:val="false"/>
          <w:color w:val="000000"/>
          <w:sz w:val="18"/>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years ended December 31, 2025. All references to Notes relate to Notes to Consolidated Financial Statements in the section titled </w:t>
      </w:r>
      <w:hyperlink w:anchor="ic3922f0530c04df99983ab02c4d22c0f_175">
        <w:r>
          <w:rPr>
            <w:rStyle w:val="InternetLink"/>
            <w:rFonts w:ascii="Arial;sans-serif" w:hAnsi="Arial;sans-serif"/>
            <w:b w:val="false"/>
            <w:color w:val="0000FF"/>
            <w:sz w:val="18"/>
            <w:u w:val="single"/>
          </w:rPr>
          <w:t>Financial Statements and Supplementary Data</w:t>
        </w:r>
      </w:hyperlink>
      <w:r>
        <w:rPr>
          <w:rFonts w:ascii="Arial;sans-serif" w:hAnsi="Arial;sans-serif"/>
          <w:b w:val="false"/>
          <w:color w:val="000000"/>
          <w:sz w:val="18"/>
        </w:rPr>
        <w:t>.</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BUSINESS UPDATE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MACROECONOMIC CONDITIONS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continue to monitor macroeconomic and geopolitical developments that continue to be characterized by elevated trade tensions, economic policy uncertainty, and evolving inflationary pressures. While continued global growth proved more resilient than widely anticipated, new tariffs imposed in 2025 and 2026 to date, along with ongoing rollbacks and negotiations, are driving volatility in global markets. Global conflicts, tariffs, labor disruptions, and new regulations continue to generate volatility in global markets and contribute to supply chain vulnerabilities and pricing fluctuations. We remain proactive in our collaboration with suppliers to minimize shortages and mitigate supply chain and price volatility.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Mitigation strategies remain crucial to meet customer demand in this evolving environment. Our mitigation strategies include supply chain simplification, continued alignment to local supply sources, digital solutions for identifying and managing shortages, pricing actions and dual source strategies, longer term planning for constrained materials, supply tracking tools, direct engagement with key suppliers, and new supplier development. Strong relationships with strategic primary and secondary suppliers allow us to collaborate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enhanced product, these mitigation strategies have not impacted, and we do not expect them to impact, product quality or reliability.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date, our strategies helped minimize our exposure to these conditions. However, if we are not successful in sustaining or executing these strategies, these macroeconomic conditions could have a material adverse effect on our consolidated results of operations, cash flows, or financial condition.</w:t>
      </w:r>
    </w:p>
    <w:p>
      <w:pPr>
        <w:pStyle w:val="TextBody"/>
        <w:bidi w:val="0"/>
        <w:spacing w:lineRule="auto" w:line="288" w:before="120" w:after="120"/>
        <w:jc w:val="both"/>
        <w:rPr/>
      </w:pPr>
      <w:r>
        <w:rPr>
          <w:rFonts w:ascii="Arial;sans-serif" w:hAnsi="Arial;sans-serif"/>
          <w:b w:val="false"/>
          <w:color w:val="000000"/>
          <w:sz w:val="18"/>
        </w:rPr>
        <w:t xml:space="preserve">See the section titled </w:t>
      </w:r>
      <w:hyperlink w:anchor="ic3922f0530c04df99983ab02c4d22c0f_109">
        <w:r>
          <w:rPr>
            <w:rStyle w:val="InternetLink"/>
            <w:rFonts w:ascii="Arial;sans-serif" w:hAnsi="Arial;sans-serif"/>
            <w:b w:val="false"/>
            <w:color w:val="0000FF"/>
            <w:sz w:val="18"/>
            <w:u w:val="single"/>
          </w:rPr>
          <w:t>Risk Factors</w:t>
        </w:r>
      </w:hyperlink>
      <w:r>
        <w:rPr>
          <w:color w:val="000000"/>
        </w:rPr>
        <w:t xml:space="preserve"> </w:t>
      </w:r>
      <w:r>
        <w:rPr>
          <w:rFonts w:ascii="Arial;sans-serif" w:hAnsi="Arial;sans-serif"/>
          <w:b w:val="false"/>
          <w:color w:val="000000"/>
          <w:sz w:val="18"/>
        </w:rPr>
        <w:t xml:space="preserve">for a discussion of risks associated with the potential adverse effects of inflationary cost pressures, supply chain disruptions, tariffs and other trade restrictions and barriers, and labor shortages to our businesses. </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PORTFOLIO TRANSFORMATION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 During the second quarter of 2025, we completed the divestiture of our PPE business, as well as closed on the acquisition of Sundyne. We also announced our agreement to acquire Johnson Matthey's Catalyst Technologies business segment.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February 6, 2025, we announced our intention to pursue a separation of Honeywell from Honeywell Aerospace, into independent, U.S. publicly traded companies, which is intended to be completed in the third quarter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32"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15    </w:t>
                      </w:r>
                      <w:r>
                        <w:rPr>
                          <w:rFonts w:ascii="Arial;sans-serif" w:hAnsi="Arial;sans-serif"/>
                          <w:b w:val="false"/>
                          <w:color w:val="000000"/>
                          <w:sz w:val="16"/>
                        </w:rPr>
                        <w:t>Honeywell International Inc.</w:t>
                      </w:r>
                    </w:p>
                  </w:txbxContent>
                </v:textbox>
                <w10:wrap type="none"/>
              </v:rect>
            </w:pict>
          </mc:Fallback>
        </mc:AlternateContent>
      </w:r>
    </w:p>
    <w:tbl>
      <w:tblPr>
        <w:tblW w:w="5623" w:type="dxa"/>
        <w:jc w:val="lef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8, 2025, we announced we are evaluating strategic alternatives for our Productivity Solutions and Services and Warehouse and Workflow Solutions businesses within the Industrial Automation reportable segment to further simplify Honeywell's portfolio and accelerate shareowner value creation ahead of the planned separation of Honeywell from Honeywell Aerospace. As of December 31, 2025, the assets and liabilities of these businesses are classified as held for sale.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30, 2025, we entered into a termination agreement for the accelerated monetization of the indemnification and reimbursement agreement we had with Resideo Technologies, Inc. (Resideo), pursuant to which Resideo’s subsidiary had an ongoing obligation to make cash payments to Honeywell in amounts equal to 90% of Honeywell’s annual net spending for environmental matters at certain sites as defined in the agreement. Upon closing of the transactions contemplated pursuant to the termination agreement, we received a one-time cash payment of $1.6 billion in lieu of all future payments to which the Company was entitled pursuant to the indemnification and reimbursement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September 29, 2025, we permanently divested our legacy Bendix asbestos liabilities and certain non-Bendix asbestos liabilities. We recorded a pre-tax loss of $148 million in 2025 related to the divested asbestos liabilities. Under the terms of the divestiture agreement, we contributed $1.4 billion in cash and derecognized $1.5 billion in asbestos liabilities and $0.1 billion of related insurance assets to a third party entity.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October 30, 2025, the Company completed the spin-off of its Advanced Materials business into an independent, publicly traded company named Solstice Advanced Materials, Inc. (Solstice). Honeywell shareowners of record as of the close of business on October 17, 2025 received one share of Solstice common stock for every four shares of Honeywell common stock. Results of operations, financial position, and cash flows for the Advanced Materials business are reported as discontinued operations for all periods presented and the notes to the financial statements have been adjusted on a retrospective basis. Discussions throughout this MD&amp;A are based on continuing operations unless otherwise noted.</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SEGMENT REALIGNMENT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October 2025, we announced a planned realignment, expected to be effective in the first quarter of 2026, of our business units comprising our Industrial Automation and Energy and Sustainability Solutions reportable business segments. This realignment will form a new reportable business segment, Process Automation and Technology, and result in a new composition of our Industrial Automation reportable business segment. Process Automation and Technology will be comprised of UOP, which is currently in Energy and Sustainability Solutions, and the core portion of the Process Solutions business, which is currently in Industrial Automation. The new composition of Industrial Automation will continue to include the smart energy, thermal solutions, and process measurement and control businesses, currently included in the Process Solutions business, as well as the Sensing and Safety Technologies, Warehouse and Workflow Solutions, and Productivity Solutions and Services businesses. Following the realignment, our reportable business segments will be Aerospace Technologies, Building Automation, Process Automation and Technology, and Industrial Automation. In addition to the realignment, also beginning in 2026, the Company will report its disaggregation of revenue within its Building Automation, Process Automation and Technology, and Industrial Automation segments based on the business models of Products, Projects, Solutions, and Aftermarket. The realignment will not impact our historical consolidated financial position, results of operations, or cash flows. We expect to report our financial performance based on this realignment effective with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33"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16    </w:t>
                      </w:r>
                      <w:r>
                        <w:rPr>
                          <w:rFonts w:ascii="Arial;sans-serif" w:hAnsi="Arial;sans-serif"/>
                          <w:b w:val="false"/>
                          <w:color w:val="000000"/>
                          <w:sz w:val="16"/>
                        </w:rPr>
                        <w:t>Honeywell International Inc.</w:t>
                      </w:r>
                    </w:p>
                  </w:txbxContent>
                </v:textbox>
                <w10:wrap type="none"/>
              </v:rect>
            </w:pict>
          </mc:Fallback>
        </mc:AlternateContent>
      </w:r>
    </w:p>
    <w:tbl>
      <w:tblPr>
        <w:tblW w:w="5623" w:type="dxa"/>
        <w:jc w:val="righ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RESULTS OF OPERATIONS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Consolidated Financial Results</w:t>
      </w:r>
    </w:p>
    <w:p>
      <w:pPr>
        <w:pStyle w:val="TextBody"/>
        <w:bidi w:val="0"/>
        <w:spacing w:before="120" w:after="120"/>
        <w:jc w:val="center"/>
        <w:rPr/>
      </w:pPr>
      <w:r>
        <w:rPr/>
        <w:drawing>
          <wp:inline distT="0" distB="0" distL="0" distR="0">
            <wp:extent cx="6477000" cy="28575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6477000" cy="2857500"/>
                    </a:xfrm>
                    <a:prstGeom prst="rect">
                      <a:avLst/>
                    </a:prstGeom>
                  </pic:spPr>
                </pic:pic>
              </a:graphicData>
            </a:graphic>
          </wp:inline>
        </w:drawing>
      </w:r>
      <w:bookmarkStart w:id="15" w:name="i-16"/>
      <w:bookmarkEnd w:id="15"/>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 by Segment</w:t>
      </w:r>
    </w:p>
    <w:p>
      <w:pPr>
        <w:pStyle w:val="TextBody"/>
        <w:bidi w:val="0"/>
        <w:spacing w:before="120" w:after="120"/>
        <w:jc w:val="center"/>
        <w:rPr/>
      </w:pPr>
      <w:r>
        <w:rPr/>
        <w:drawing>
          <wp:inline distT="0" distB="0" distL="0" distR="0">
            <wp:extent cx="6477000" cy="28575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6477000" cy="2857500"/>
                    </a:xfrm>
                    <a:prstGeom prst="rect">
                      <a:avLst/>
                    </a:prstGeom>
                  </pic:spPr>
                </pic:pic>
              </a:graphicData>
            </a:graphic>
          </wp:inline>
        </w:drawing>
      </w:r>
      <w:bookmarkStart w:id="16" w:name="i-17"/>
      <w:bookmarkEnd w:id="1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36"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17    </w:t>
                      </w:r>
                      <w:r>
                        <w:rPr>
                          <w:rFonts w:ascii="Arial;sans-serif" w:hAnsi="Arial;sans-serif"/>
                          <w:b w:val="false"/>
                          <w:color w:val="000000"/>
                          <w:sz w:val="16"/>
                        </w:rPr>
                        <w:t>Honeywell International Inc.</w:t>
                      </w:r>
                    </w:p>
                  </w:txbxContent>
                </v:textbox>
                <w10:wrap type="none"/>
              </v:rect>
            </w:pict>
          </mc:Fallback>
        </mc:AlternateContent>
      </w:r>
    </w:p>
    <w:tbl>
      <w:tblPr>
        <w:tblW w:w="5623" w:type="dxa"/>
        <w:jc w:val="lef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Segment Profit by Segment</w:t>
      </w:r>
    </w:p>
    <w:p>
      <w:pPr>
        <w:pStyle w:val="TextBody"/>
        <w:bidi w:val="0"/>
        <w:spacing w:before="120" w:after="120"/>
        <w:jc w:val="center"/>
        <w:rPr/>
      </w:pPr>
      <w:r>
        <w:rPr/>
        <w:drawing>
          <wp:inline distT="0" distB="0" distL="0" distR="0">
            <wp:extent cx="6477000" cy="28575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6477000" cy="2857500"/>
                    </a:xfrm>
                    <a:prstGeom prst="rect">
                      <a:avLst/>
                    </a:prstGeom>
                  </pic:spPr>
                </pic:pic>
              </a:graphicData>
            </a:graphic>
          </wp:inline>
        </w:drawing>
      </w:r>
      <w:bookmarkStart w:id="17" w:name="i-18"/>
      <w:bookmarkEnd w:id="1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CONSOLIDATED OPERATING RESULTS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3333750" cy="238125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3333750" cy="2381250"/>
                    </a:xfrm>
                    <a:prstGeom prst="rect">
                      <a:avLst/>
                    </a:prstGeom>
                  </pic:spPr>
                </pic:pic>
              </a:graphicData>
            </a:graphic>
          </wp:inline>
        </w:drawing>
      </w:r>
      <w:bookmarkStart w:id="18" w:name="i-19"/>
      <w:bookmarkEnd w:id="18"/>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change in Net sales was attributable to the following:</w:t>
      </w:r>
    </w:p>
    <w:tbl>
      <w:tblPr>
        <w:tblW w:w="5263" w:type="dxa"/>
        <w:jc w:val="left"/>
        <w:tblInd w:w="0" w:type="dxa"/>
        <w:tblLayout w:type="fixed"/>
        <w:tblCellMar>
          <w:top w:w="28" w:type="dxa"/>
          <w:left w:w="28" w:type="dxa"/>
          <w:bottom w:w="28" w:type="dxa"/>
          <w:right w:w="28" w:type="dxa"/>
        </w:tblCellMar>
      </w:tblPr>
      <w:tblGrid>
        <w:gridCol w:w="833"/>
        <w:gridCol w:w="732"/>
        <w:gridCol w:w="745"/>
        <w:gridCol w:w="484"/>
        <w:gridCol w:w="484"/>
        <w:gridCol w:w="486"/>
        <w:gridCol w:w="438"/>
        <w:gridCol w:w="438"/>
        <w:gridCol w:w="623"/>
      </w:tblGrid>
      <w:tr>
        <w:trPr/>
        <w:tc>
          <w:tcPr>
            <w:tcW w:w="8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 Versus 2024</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 Versus 2023</w:t>
            </w:r>
          </w:p>
        </w:tc>
      </w:tr>
      <w:tr>
        <w:trPr/>
        <w:tc>
          <w:tcPr>
            <w:tcW w:w="231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Volume</w:t>
            </w:r>
          </w:p>
        </w:tc>
        <w:tc>
          <w:tcPr>
            <w:tcW w:w="14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w:t>
            </w:r>
          </w:p>
        </w:tc>
        <w:tc>
          <w:tcPr>
            <w:tcW w:w="14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1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w:t>
            </w:r>
          </w:p>
        </w:tc>
        <w:tc>
          <w:tcPr>
            <w:tcW w:w="14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w:t>
            </w:r>
          </w:p>
        </w:tc>
        <w:tc>
          <w:tcPr>
            <w:tcW w:w="14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r>
      <w:tr>
        <w:trPr/>
        <w:tc>
          <w:tcPr>
            <w:tcW w:w="231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14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14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r>
      <w:tr>
        <w:trPr/>
        <w:tc>
          <w:tcPr>
            <w:tcW w:w="231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Acquisitions</w:t>
            </w:r>
          </w:p>
        </w:tc>
        <w:tc>
          <w:tcPr>
            <w:tcW w:w="14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4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231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Divestitures</w:t>
            </w:r>
          </w:p>
        </w:tc>
        <w:tc>
          <w:tcPr>
            <w:tcW w:w="14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c>
          <w:tcPr>
            <w:tcW w:w="14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r>
      <w:tr>
        <w:trPr/>
        <w:tc>
          <w:tcPr>
            <w:tcW w:w="231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145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c>
          <w:tcPr>
            <w:tcW w:w="149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r>
      <w:tr>
        <w:trPr/>
        <w:tc>
          <w:tcPr>
            <w:tcW w:w="231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 change in Net sales</w:t>
            </w:r>
          </w:p>
        </w:tc>
        <w:tc>
          <w:tcPr>
            <w:tcW w:w="145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8 %</w:t>
            </w:r>
          </w:p>
        </w:tc>
        <w:tc>
          <w:tcPr>
            <w:tcW w:w="149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5 %</w:t>
            </w:r>
          </w:p>
        </w:tc>
      </w:tr>
    </w:tbl>
    <w:tbl>
      <w:tblPr>
        <w:tblW w:w="7332" w:type="dxa"/>
        <w:jc w:val="left"/>
        <w:tblInd w:w="0" w:type="dxa"/>
        <w:tblLayout w:type="fixed"/>
        <w:tblCellMar>
          <w:top w:w="28" w:type="dxa"/>
          <w:left w:w="28" w:type="dxa"/>
          <w:bottom w:w="28" w:type="dxa"/>
          <w:right w:w="28" w:type="dxa"/>
        </w:tblCellMar>
      </w:tblPr>
      <w:tblGrid>
        <w:gridCol w:w="124"/>
        <w:gridCol w:w="109"/>
        <w:gridCol w:w="109"/>
        <w:gridCol w:w="2044"/>
        <w:gridCol w:w="2044"/>
        <w:gridCol w:w="29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6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Includes litigation matters considered to be unusual and not indicative of the Company's ongoing performance.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A discussion of Net sales by reportable business segment can be found in the </w:t>
      </w:r>
      <w:hyperlink w:anchor="ic3922f0530c04df99983ab02c4d22c0f_85">
        <w:r>
          <w:rPr>
            <w:rStyle w:val="InternetLink"/>
            <w:rFonts w:ascii="Arial;sans-serif" w:hAnsi="Arial;sans-serif"/>
            <w:b w:val="false"/>
            <w:color w:val="0000FF"/>
            <w:sz w:val="18"/>
            <w:u w:val="single"/>
          </w:rPr>
          <w:t>Review of Business Segments</w:t>
        </w:r>
      </w:hyperlink>
      <w:r>
        <w:rPr>
          <w:color w:val="000000"/>
        </w:rPr>
        <w:t xml:space="preserve"> </w:t>
      </w:r>
      <w:r>
        <w:rPr>
          <w:rFonts w:ascii="Arial;sans-serif" w:hAnsi="Arial;sans-serif"/>
          <w:b w:val="false"/>
          <w:color w:val="000000"/>
          <w:sz w:val="18"/>
        </w:rPr>
        <w:t>section of this Management's Discussion and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39"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18    </w:t>
                      </w:r>
                      <w:r>
                        <w:rPr>
                          <w:rFonts w:ascii="Arial;sans-serif" w:hAnsi="Arial;sans-serif"/>
                          <w:b w:val="false"/>
                          <w:color w:val="000000"/>
                          <w:sz w:val="16"/>
                        </w:rPr>
                        <w:t>Honeywell International Inc.</w:t>
                      </w:r>
                    </w:p>
                  </w:txbxContent>
                </v:textbox>
                <w10:wrap type="none"/>
              </v:rect>
            </w:pict>
          </mc:Fallback>
        </mc:AlternateContent>
      </w:r>
    </w:p>
    <w:tbl>
      <w:tblPr>
        <w:tblW w:w="5623" w:type="dxa"/>
        <w:jc w:val="righ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2025 compared with 2024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Increased pricing and price adjustments to offset inflation,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sales from recent acquisitions,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sales volumes,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lower sales from the divestiture of the PPE business,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The sales impact of the settlement of the Flexjet-related litigation matters. Refer to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 xml:space="preserve">of Notes to Consolidated Financial Statements for further information regarding the Flexjet-related litigation matters. </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sales from recent acquisitions,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Increased pricing and price adjustments to offset inflation,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sales volumes,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unfavorable impact of foreign currency translation, driven by the strengthening of the U.S. dollar against the Turkish lira, Chinese renminbi, and Canadian dollar, offset by the weakening of the U.S. dollar against the British pound.</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Cost of Products and Services Sold</w:t>
      </w:r>
    </w:p>
    <w:p>
      <w:pPr>
        <w:pStyle w:val="TextBody"/>
        <w:bidi w:val="0"/>
        <w:spacing w:before="120" w:after="120"/>
        <w:jc w:val="center"/>
        <w:rPr/>
      </w:pPr>
      <w:r>
        <w:rPr/>
        <w:drawing>
          <wp:inline distT="0" distB="0" distL="0" distR="0">
            <wp:extent cx="3333750" cy="238125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3333750" cy="2381250"/>
                    </a:xfrm>
                    <a:prstGeom prst="rect">
                      <a:avLst/>
                    </a:prstGeom>
                  </pic:spPr>
                </pic:pic>
              </a:graphicData>
            </a:graphic>
          </wp:inline>
        </w:drawing>
      </w:r>
      <w:bookmarkStart w:id="19" w:name="i-20"/>
      <w:bookmarkEnd w:id="19"/>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costs from recent acquisitions of approximately $0.9 billion or 4%,</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direct and indirect material costs and higher labor costs of approximately $0.7 billion or 3%,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sales volumes of approximately $0.6 billion or 3%.</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direct and indirect material costs and higher labor costs of approximately $0.8 billion or 4%,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costs from recent acquisitions of approximately $0.5 billion or 2%,</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productivity of approximately $0.3 billion or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41"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19    </w:t>
                      </w:r>
                      <w:r>
                        <w:rPr>
                          <w:rFonts w:ascii="Arial;sans-serif" w:hAnsi="Arial;sans-serif"/>
                          <w:b w:val="false"/>
                          <w:color w:val="000000"/>
                          <w:sz w:val="16"/>
                        </w:rPr>
                        <w:t>Honeywell International Inc.</w:t>
                      </w:r>
                    </w:p>
                  </w:txbxContent>
                </v:textbox>
                <w10:wrap type="none"/>
              </v:rect>
            </w:pict>
          </mc:Fallback>
        </mc:AlternateContent>
      </w:r>
    </w:p>
    <w:tbl>
      <w:tblPr>
        <w:tblW w:w="5623" w:type="dxa"/>
        <w:jc w:val="lef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Gross Margin</w:t>
      </w:r>
    </w:p>
    <w:p>
      <w:pPr>
        <w:pStyle w:val="TextBody"/>
        <w:bidi w:val="0"/>
        <w:spacing w:before="120" w:after="120"/>
        <w:jc w:val="center"/>
        <w:rPr/>
      </w:pPr>
      <w:r>
        <w:rPr/>
        <w:drawing>
          <wp:inline distT="0" distB="0" distL="0" distR="0">
            <wp:extent cx="3333750" cy="2371725"/>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3333750" cy="2371725"/>
                    </a:xfrm>
                    <a:prstGeom prst="rect">
                      <a:avLst/>
                    </a:prstGeom>
                  </pic:spPr>
                </pic:pic>
              </a:graphicData>
            </a:graphic>
          </wp:inline>
        </w:drawing>
      </w:r>
      <w:bookmarkStart w:id="20" w:name="i-21"/>
      <w:bookmarkEnd w:id="20"/>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increased by approximately $0.5 billion and gross margin as a percentage of Net sales decreased 160 basis points to 36.9% compared to 38.5% for the same period of 2024.</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increased by approximately $1.0 billion and gross margin as a percentage of Net sales increased 100 basis points to 38.5% compared to 37.5% for the same period of 2023.</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Research and Development Expenses</w:t>
      </w:r>
    </w:p>
    <w:p>
      <w:pPr>
        <w:pStyle w:val="TextBody"/>
        <w:bidi w:val="0"/>
        <w:spacing w:before="120" w:after="120"/>
        <w:jc w:val="center"/>
        <w:rPr/>
      </w:pPr>
      <w:r>
        <w:rPr/>
        <w:drawing>
          <wp:inline distT="0" distB="0" distL="0" distR="0">
            <wp:extent cx="3333750" cy="27432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3"/>
                    <a:stretch>
                      <a:fillRect/>
                    </a:stretch>
                  </pic:blipFill>
                  <pic:spPr bwMode="auto">
                    <a:xfrm>
                      <a:off x="0" y="0"/>
                      <a:ext cx="3333750" cy="2743200"/>
                    </a:xfrm>
                    <a:prstGeom prst="rect">
                      <a:avLst/>
                    </a:prstGeom>
                  </pic:spPr>
                </pic:pic>
              </a:graphicData>
            </a:graphic>
          </wp:inline>
        </w:drawing>
      </w:r>
      <w:bookmarkStart w:id="21" w:name="i-22"/>
      <w:bookmarkEnd w:id="21"/>
    </w:p>
    <w:p>
      <w:pPr>
        <w:pStyle w:val="TextBody"/>
        <w:bidi w:val="0"/>
        <w:spacing w:lineRule="auto" w:line="288" w:before="120" w:after="283"/>
        <w:jc w:val="left"/>
        <w:rPr/>
      </w:pPr>
      <w:r>
        <w:rPr>
          <w:rFonts w:ascii="Arial MT Std Black;sans-serif" w:hAnsi="Arial MT Std Black;sans-serif"/>
          <w:b/>
          <w:color w:val="000000"/>
          <w:sz w:val="18"/>
        </w:rPr>
        <w:t>2025</w:t>
      </w:r>
      <w:r>
        <w:rPr>
          <w:color w:val="000000"/>
        </w:rPr>
        <w:t xml:space="preserve"> </w:t>
      </w:r>
      <w:r>
        <w:rPr>
          <w:rFonts w:ascii="Arial MT Std Black;sans-serif" w:hAnsi="Arial MT Std Black;sans-serif"/>
          <w:b/>
          <w:color w:val="000000"/>
          <w:sz w:val="18"/>
        </w:rPr>
        <w:t>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increased as a percentage of net sales primarily due to increased investment in new product development in our Aerospace Technologies business.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slightly increased but were flat as a percentage of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44"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20    </w:t>
                      </w:r>
                      <w:r>
                        <w:rPr>
                          <w:rFonts w:ascii="Arial;sans-serif" w:hAnsi="Arial;sans-serif"/>
                          <w:b w:val="false"/>
                          <w:color w:val="000000"/>
                          <w:sz w:val="16"/>
                        </w:rPr>
                        <w:t>Honeywell International Inc.</w:t>
                      </w:r>
                    </w:p>
                  </w:txbxContent>
                </v:textbox>
                <w10:wrap type="none"/>
              </v:rect>
            </w:pict>
          </mc:Fallback>
        </mc:AlternateContent>
      </w:r>
    </w:p>
    <w:tbl>
      <w:tblPr>
        <w:tblW w:w="5623" w:type="dxa"/>
        <w:jc w:val="righ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summary of our research and development costs for the years ended December 31, 2025, 2024, and 2023, is as follows:</w:t>
      </w:r>
    </w:p>
    <w:tbl>
      <w:tblPr>
        <w:tblW w:w="7452" w:type="dxa"/>
        <w:jc w:val="left"/>
        <w:tblInd w:w="0" w:type="dxa"/>
        <w:tblLayout w:type="fixed"/>
        <w:tblCellMar>
          <w:top w:w="28" w:type="dxa"/>
          <w:left w:w="28" w:type="dxa"/>
          <w:bottom w:w="28" w:type="dxa"/>
          <w:right w:w="28" w:type="dxa"/>
        </w:tblCellMar>
      </w:tblPr>
      <w:tblGrid>
        <w:gridCol w:w="1495"/>
        <w:gridCol w:w="1311"/>
        <w:gridCol w:w="1319"/>
        <w:gridCol w:w="196"/>
        <w:gridCol w:w="571"/>
        <w:gridCol w:w="109"/>
        <w:gridCol w:w="109"/>
        <w:gridCol w:w="109"/>
        <w:gridCol w:w="109"/>
        <w:gridCol w:w="196"/>
        <w:gridCol w:w="571"/>
        <w:gridCol w:w="109"/>
        <w:gridCol w:w="109"/>
        <w:gridCol w:w="109"/>
        <w:gridCol w:w="109"/>
        <w:gridCol w:w="196"/>
        <w:gridCol w:w="571"/>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Company funded research and development expenses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Customer-sponsored research and development</w:t>
            </w:r>
            <w:r>
              <w:rPr>
                <w:rFonts w:ascii="Arial;sans-serif" w:hAnsi="Arial;sans-serif"/>
                <w:b w:val="false"/>
                <w:color w:val="000000"/>
                <w:sz w:val="10"/>
              </w:rPr>
              <w:t>1</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research and development costs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2,520</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 xml:space="preserve">Includes expenditures on customer programs with significant engineering performance obligations and deferred customer funded nonrecurring engineering and development activities included in Cost of products and services sold in the Consolidated Statement of Operations.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Selling, General and Administrative Expenses</w:t>
      </w:r>
    </w:p>
    <w:p>
      <w:pPr>
        <w:pStyle w:val="TextBody"/>
        <w:bidi w:val="0"/>
        <w:spacing w:before="120" w:after="120"/>
        <w:jc w:val="center"/>
        <w:rPr/>
      </w:pPr>
      <w:r>
        <w:rPr/>
        <w:drawing>
          <wp:inline distT="0" distB="0" distL="0" distR="0">
            <wp:extent cx="3333750" cy="238125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3333750" cy="2381250"/>
                    </a:xfrm>
                    <a:prstGeom prst="rect">
                      <a:avLst/>
                    </a:prstGeom>
                  </pic:spPr>
                </pic:pic>
              </a:graphicData>
            </a:graphic>
          </wp:inline>
        </w:drawing>
      </w:r>
      <w:bookmarkStart w:id="22" w:name="i-23"/>
      <w:bookmarkEnd w:id="22"/>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costs from acquisitions of approximately $0.2 billion or 4%,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Higher labor costs of approximately $0.1 billion or 2%, </w:t>
      </w:r>
    </w:p>
    <w:p>
      <w:pPr>
        <w:pStyle w:val="TextBody"/>
        <w:bidi w:val="0"/>
        <w:spacing w:lineRule="auto" w:line="288" w:before="80" w:after="80"/>
        <w:ind w:left="0" w:right="0" w:hanging="216"/>
        <w:jc w:val="left"/>
        <w:rPr/>
      </w:pPr>
      <w:r>
        <w:rPr>
          <w:color w:val="D7282F"/>
        </w:rPr>
        <w:t>•</w:t>
      </w:r>
      <w:r>
        <w:rPr>
          <w:rFonts w:ascii="Arial;sans-serif" w:hAnsi="Arial;sans-serif"/>
          <w:b w:val="false"/>
          <w:color w:val="000000"/>
          <w:sz w:val="18"/>
        </w:rPr>
        <w:t>Partially offset by higher productivity of approximately $0.1 billion or 2%.</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labor costs of approximately $0.2 billion or 4%,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Incremental costs from acquisitions of approximately $0.2 billion or 4%, </w:t>
      </w:r>
    </w:p>
    <w:p>
      <w:pPr>
        <w:pStyle w:val="TextBody"/>
        <w:bidi w:val="0"/>
        <w:spacing w:lineRule="auto" w:line="288" w:before="80" w:after="80"/>
        <w:ind w:left="0" w:right="0" w:hanging="216"/>
        <w:jc w:val="left"/>
        <w:rPr/>
      </w:pPr>
      <w:r>
        <w:rPr>
          <w:color w:val="D7282F"/>
        </w:rPr>
        <w:t>•</w:t>
      </w:r>
      <w:r>
        <w:rPr>
          <w:rFonts w:ascii="Arial;sans-serif" w:hAnsi="Arial;sans-serif"/>
          <w:b w:val="false"/>
          <w:color w:val="000000"/>
          <w:sz w:val="18"/>
        </w:rPr>
        <w:t>Partially offset by higher productivity of approximately $0.1 billion or 2%.</w:t>
      </w:r>
    </w:p>
    <w:p>
      <w:pPr>
        <w:pStyle w:val="TextBody"/>
        <w:bidi w:val="0"/>
        <w:spacing w:before="80" w:after="80"/>
        <w:ind w:left="0" w:right="0" w:firstLine="144"/>
        <w:jc w:val="left"/>
        <w:rPr/>
      </w:pPr>
      <w:r>
        <w:rPr/>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Impairment of Goodwill</w:t>
      </w:r>
    </w:p>
    <w:tbl>
      <w:tblPr>
        <w:tblW w:w="4571" w:type="dxa"/>
        <w:jc w:val="left"/>
        <w:tblInd w:w="0" w:type="dxa"/>
        <w:tblLayout w:type="fixed"/>
        <w:tblCellMar>
          <w:top w:w="28" w:type="dxa"/>
          <w:left w:w="28" w:type="dxa"/>
          <w:bottom w:w="28" w:type="dxa"/>
          <w:right w:w="28" w:type="dxa"/>
        </w:tblCellMar>
      </w:tblPr>
      <w:tblGrid>
        <w:gridCol w:w="624"/>
        <w:gridCol w:w="548"/>
        <w:gridCol w:w="552"/>
        <w:gridCol w:w="196"/>
        <w:gridCol w:w="421"/>
        <w:gridCol w:w="109"/>
        <w:gridCol w:w="109"/>
        <w:gridCol w:w="109"/>
        <w:gridCol w:w="109"/>
        <w:gridCol w:w="196"/>
        <w:gridCol w:w="406"/>
        <w:gridCol w:w="109"/>
        <w:gridCol w:w="109"/>
        <w:gridCol w:w="109"/>
        <w:gridCol w:w="109"/>
        <w:gridCol w:w="196"/>
        <w:gridCol w:w="40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72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Impairment of goodwill increased due to an impairment charge related to the classification of the Productivity Solutions and Services and Warehouse and Workflow Solutions businesses as held for sale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605" cy="14605"/>
                <wp:effectExtent l="0" t="0" r="0" b="0"/>
                <wp:wrapNone/>
                <wp:docPr id="46" name="Frame2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21    </w:t>
                      </w:r>
                      <w:r>
                        <w:rPr>
                          <w:rFonts w:ascii="Arial;sans-serif" w:hAnsi="Arial;sans-serif"/>
                          <w:b w:val="false"/>
                          <w:color w:val="000000"/>
                          <w:sz w:val="16"/>
                        </w:rPr>
                        <w:t>Honeywell International Inc.</w:t>
                      </w:r>
                    </w:p>
                  </w:txbxContent>
                </v:textbox>
                <w10:wrap type="none"/>
              </v:rect>
            </w:pict>
          </mc:Fallback>
        </mc:AlternateContent>
      </w:r>
    </w:p>
    <w:tbl>
      <w:tblPr>
        <w:tblW w:w="5623" w:type="dxa"/>
        <w:jc w:val="lef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Impairment of Assets Held for Sale</w:t>
      </w:r>
    </w:p>
    <w:tbl>
      <w:tblPr>
        <w:tblW w:w="5442" w:type="dxa"/>
        <w:jc w:val="left"/>
        <w:tblInd w:w="0" w:type="dxa"/>
        <w:tblLayout w:type="fixed"/>
        <w:tblCellMar>
          <w:top w:w="28" w:type="dxa"/>
          <w:left w:w="28" w:type="dxa"/>
          <w:bottom w:w="28" w:type="dxa"/>
          <w:right w:w="28" w:type="dxa"/>
        </w:tblCellMar>
      </w:tblPr>
      <w:tblGrid>
        <w:gridCol w:w="934"/>
        <w:gridCol w:w="820"/>
        <w:gridCol w:w="826"/>
        <w:gridCol w:w="196"/>
        <w:gridCol w:w="421"/>
        <w:gridCol w:w="109"/>
        <w:gridCol w:w="109"/>
        <w:gridCol w:w="109"/>
        <w:gridCol w:w="109"/>
        <w:gridCol w:w="196"/>
        <w:gridCol w:w="421"/>
        <w:gridCol w:w="109"/>
        <w:gridCol w:w="109"/>
        <w:gridCol w:w="109"/>
        <w:gridCol w:w="109"/>
        <w:gridCol w:w="196"/>
        <w:gridCol w:w="40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58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Impairment of assets held for sale increased due to the classification of the Productivity Solutions and Services and Warehouse and Workflow Solutions business as held for sale during the year ended December 31, 2025. </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Impairment of assets held for sale increased due to the classification of our personal protective equipment business as held for sale during the year ended December 31, 2024.</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Other (Income) Expense</w:t>
      </w:r>
    </w:p>
    <w:tbl>
      <w:tblPr>
        <w:tblW w:w="5142" w:type="dxa"/>
        <w:jc w:val="left"/>
        <w:tblInd w:w="0" w:type="dxa"/>
        <w:tblLayout w:type="fixed"/>
        <w:tblCellMar>
          <w:top w:w="28" w:type="dxa"/>
          <w:left w:w="28" w:type="dxa"/>
          <w:bottom w:w="28" w:type="dxa"/>
          <w:right w:w="28" w:type="dxa"/>
        </w:tblCellMar>
      </w:tblPr>
      <w:tblGrid>
        <w:gridCol w:w="689"/>
        <w:gridCol w:w="607"/>
        <w:gridCol w:w="609"/>
        <w:gridCol w:w="196"/>
        <w:gridCol w:w="631"/>
        <w:gridCol w:w="109"/>
        <w:gridCol w:w="109"/>
        <w:gridCol w:w="109"/>
        <w:gridCol w:w="109"/>
        <w:gridCol w:w="196"/>
        <w:gridCol w:w="496"/>
        <w:gridCol w:w="109"/>
        <w:gridCol w:w="109"/>
        <w:gridCol w:w="109"/>
        <w:gridCol w:w="109"/>
        <w:gridCol w:w="196"/>
        <w:gridCol w:w="49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90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Other income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Gain recognized on Resideo termination agreement of approximately $0.8 billion,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divestiture-related costs of approximately $0.4 billion.</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Other income was largely flat.</w:t>
      </w:r>
    </w:p>
    <w:p>
      <w:pPr>
        <w:pStyle w:val="TextBody"/>
        <w:bidi w:val="0"/>
        <w:spacing w:lineRule="auto" w:line="288" w:before="360" w:after="120"/>
        <w:jc w:val="left"/>
        <w:rPr>
          <w:rFonts w:ascii="Arial MT Std Black;sans-serif" w:hAnsi="Arial MT Std Black;sans-serif"/>
          <w:b/>
          <w:color w:val="000000"/>
          <w:sz w:val="18"/>
        </w:rPr>
      </w:pPr>
      <w:r>
        <w:rPr>
          <w:rFonts w:ascii="Arial MT Std Black;sans-serif" w:hAnsi="Arial MT Std Black;sans-serif"/>
          <w:b/>
          <w:color w:val="000000"/>
          <w:sz w:val="18"/>
        </w:rPr>
        <w:t>Interest and Other Financial Charges</w:t>
      </w:r>
    </w:p>
    <w:tbl>
      <w:tblPr>
        <w:tblW w:w="5832" w:type="dxa"/>
        <w:jc w:val="left"/>
        <w:tblInd w:w="0" w:type="dxa"/>
        <w:tblLayout w:type="fixed"/>
        <w:tblCellMar>
          <w:top w:w="28" w:type="dxa"/>
          <w:left w:w="28" w:type="dxa"/>
          <w:bottom w:w="28" w:type="dxa"/>
          <w:right w:w="28" w:type="dxa"/>
        </w:tblCellMar>
      </w:tblPr>
      <w:tblGrid>
        <w:gridCol w:w="972"/>
        <w:gridCol w:w="853"/>
        <w:gridCol w:w="860"/>
        <w:gridCol w:w="196"/>
        <w:gridCol w:w="556"/>
        <w:gridCol w:w="109"/>
        <w:gridCol w:w="109"/>
        <w:gridCol w:w="109"/>
        <w:gridCol w:w="109"/>
        <w:gridCol w:w="196"/>
        <w:gridCol w:w="556"/>
        <w:gridCol w:w="109"/>
        <w:gridCol w:w="109"/>
        <w:gridCol w:w="109"/>
        <w:gridCol w:w="109"/>
        <w:gridCol w:w="196"/>
        <w:gridCol w:w="4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68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Interest and other financial charges increased due primarily to issuances of long-term debt in August 2024.</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Interest and other financial charges increased due to issuances of long-term debt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Tax Expense</w:t>
      </w:r>
    </w:p>
    <w:p>
      <w:pPr>
        <w:pStyle w:val="TextBody"/>
        <w:bidi w:val="0"/>
        <w:spacing w:before="120" w:after="120"/>
        <w:jc w:val="center"/>
        <w:rPr/>
      </w:pPr>
      <w:r>
        <w:rPr/>
        <w:drawing>
          <wp:inline distT="0" distB="0" distL="0" distR="0">
            <wp:extent cx="3333750" cy="2381250"/>
            <wp:effectExtent l="0" t="0" r="0" b="0"/>
            <wp:docPr id="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 descr=""/>
                    <pic:cNvPicPr>
                      <a:picLocks noChangeAspect="1" noChangeArrowheads="1"/>
                    </pic:cNvPicPr>
                  </pic:nvPicPr>
                  <pic:blipFill>
                    <a:blip r:embed="rId25"/>
                    <a:stretch>
                      <a:fillRect/>
                    </a:stretch>
                  </pic:blipFill>
                  <pic:spPr bwMode="auto">
                    <a:xfrm>
                      <a:off x="0" y="0"/>
                      <a:ext cx="3333750" cy="2381250"/>
                    </a:xfrm>
                    <a:prstGeom prst="rect">
                      <a:avLst/>
                    </a:prstGeom>
                  </pic:spPr>
                </pic:pic>
              </a:graphicData>
            </a:graphic>
          </wp:inline>
        </w:drawing>
      </w:r>
      <w:bookmarkStart w:id="23" w:name="i-24"/>
      <w:bookmarkEnd w:id="2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48"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22    </w:t>
                      </w:r>
                      <w:r>
                        <w:rPr>
                          <w:rFonts w:ascii="Arial;sans-serif" w:hAnsi="Arial;sans-serif"/>
                          <w:b w:val="false"/>
                          <w:color w:val="000000"/>
                          <w:sz w:val="16"/>
                        </w:rPr>
                        <w:t>Honeywell International Inc.</w:t>
                      </w:r>
                    </w:p>
                  </w:txbxContent>
                </v:textbox>
                <w10:wrap type="none"/>
              </v:rect>
            </w:pict>
          </mc:Fallback>
        </mc:AlternateContent>
      </w:r>
    </w:p>
    <w:tbl>
      <w:tblPr>
        <w:tblW w:w="5623" w:type="dxa"/>
        <w:jc w:val="right"/>
        <w:tblInd w:w="0" w:type="dxa"/>
        <w:tblLayout w:type="fixed"/>
        <w:tblCellMar>
          <w:top w:w="28" w:type="dxa"/>
          <w:left w:w="28" w:type="dxa"/>
          <w:bottom w:w="28" w:type="dxa"/>
          <w:right w:w="28" w:type="dxa"/>
        </w:tblCellMar>
      </w:tblPr>
      <w:tblGrid>
        <w:gridCol w:w="548"/>
        <w:gridCol w:w="482"/>
        <w:gridCol w:w="484"/>
        <w:gridCol w:w="1203"/>
        <w:gridCol w:w="1203"/>
        <w:gridCol w:w="170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 xml:space="preserve">MANAGEMENT’S DISCUSSION AND ANALYSIS OF FINANCIAL </w:t>
              <w:br/>
              <w:t>CONDITION AND RESULTS OF OPERATIONS</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U.S. Statutory Rate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effective tax rate for 2025 was lower than the U.S. federal statutory rate of 21% as a result of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Tax credits, representing a 400 basis-point decrease,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Nontaxable return of basis on the Resideo termination agreement, representing a 310 basis-point decrease,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nondeductible impairment charges representing a 300 basis-point increase,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Changes in accruals on global tax matters, representing a 210 basis-point increase.</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2024 compared with U.S. Statutory Rate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effective tax rate for 2024 was lower than the U.S. federal statutory rate of 21% as a result of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Tax credits, representing a 220 basis-point decrease,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Tax benefits on non-U.S. earnings, representing a 170 basis-point decrease,</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state, local and global minimum taxes, representing a 160 basis-point increase,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Changes in accruals on global tax matters, representing a 160 basis-point increase.</w:t>
      </w:r>
    </w:p>
    <w:p>
      <w:pPr>
        <w:pStyle w:val="TextBody"/>
        <w:bidi w:val="0"/>
        <w:spacing w:lineRule="auto" w:line="288" w:before="80" w:after="80"/>
        <w:ind w:left="0" w:right="0" w:hanging="216"/>
        <w:jc w:val="both"/>
        <w:rPr/>
      </w:pPr>
      <w:r>
        <w:rPr>
          <w:rFonts w:ascii="Arial;sans-serif" w:hAnsi="Arial;sans-serif"/>
          <w:b w:val="false"/>
          <w:color w:val="000000"/>
          <w:sz w:val="18"/>
        </w:rPr>
        <w:t xml:space="preserve">See Note 5 </w:t>
      </w:r>
      <w:hyperlink w:anchor="ic3922f0530c04df99983ab02c4d22c0f_211">
        <w:r>
          <w:rPr>
            <w:rStyle w:val="InternetLink"/>
          </w:rPr>
          <w:t>Inco</w:t>
        </w:r>
      </w:hyperlink>
      <w:hyperlink w:anchor="ic3922f0530c04df99983ab02c4d22c0f_211">
        <w:r>
          <w:rPr>
            <w:rStyle w:val="InternetLink"/>
          </w:rPr>
          <w:t>me Tax</w:t>
        </w:r>
      </w:hyperlink>
      <w:hyperlink w:anchor="ic3922f0530c04df99983ab02c4d22c0f_211">
        <w:r>
          <w:rPr>
            <w:rStyle w:val="InternetLink"/>
            <w:rFonts w:ascii="Arial;sans-serif" w:hAnsi="Arial;sans-serif"/>
            <w:b w:val="false"/>
            <w:color w:val="0000FF"/>
            <w:sz w:val="18"/>
            <w:u w:val="single"/>
            <w:shd w:fill="FFFFFF" w:val="clear"/>
          </w:rPr>
          <w:t>es</w:t>
        </w:r>
      </w:hyperlink>
      <w:r>
        <w:rPr>
          <w:color w:val="000000"/>
          <w:shd w:fill="FFFFFF" w:val="clear"/>
        </w:rPr>
        <w:t xml:space="preserve"> </w:t>
      </w:r>
      <w:r>
        <w:rPr>
          <w:rFonts w:ascii="Arial;sans-serif" w:hAnsi="Arial;sans-serif"/>
          <w:b w:val="false"/>
          <w:color w:val="000000"/>
          <w:sz w:val="18"/>
          <w:shd w:fill="FFFFFF" w:val="clear"/>
        </w:rPr>
        <w:t>of Notes to Consolidated Financial Statements for further discussion of changes in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Income from Continuing Operations</w:t>
      </w:r>
    </w:p>
    <w:p>
      <w:pPr>
        <w:pStyle w:val="TextBody"/>
        <w:bidi w:val="0"/>
        <w:spacing w:before="120" w:after="120"/>
        <w:jc w:val="center"/>
        <w:rPr/>
      </w:pPr>
      <w:r>
        <w:rPr/>
        <w:drawing>
          <wp:inline distT="0" distB="0" distL="0" distR="0">
            <wp:extent cx="3333750" cy="2381250"/>
            <wp:effectExtent l="0" t="0" r="0" b="0"/>
            <wp:docPr id="4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5" descr=""/>
                    <pic:cNvPicPr>
                      <a:picLocks noChangeAspect="1" noChangeArrowheads="1"/>
                    </pic:cNvPicPr>
                  </pic:nvPicPr>
                  <pic:blipFill>
                    <a:blip r:embed="rId26"/>
                    <a:stretch>
                      <a:fillRect/>
                    </a:stretch>
                  </pic:blipFill>
                  <pic:spPr bwMode="auto">
                    <a:xfrm>
                      <a:off x="0" y="0"/>
                      <a:ext cx="3333750" cy="2381250"/>
                    </a:xfrm>
                    <a:prstGeom prst="rect">
                      <a:avLst/>
                    </a:prstGeom>
                  </pic:spPr>
                </pic:pic>
              </a:graphicData>
            </a:graphic>
          </wp:inline>
        </w:drawing>
      </w:r>
      <w:bookmarkStart w:id="24" w:name="i-25"/>
      <w:bookmarkEnd w:id="24"/>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2025 compared with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 from continuing operations–assuming dilution was flat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Impairment of goodwill ($1.10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divestiture-related costs ($0.54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interest and other financial charges ($0.36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 to estimated future environmental liabilities ($0.25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the gain recognized on Resideo termination agreement ($1.22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segment profit ($0.56 after tax).</w:t>
      </w:r>
    </w:p>
    <w:p>
      <w:pPr>
        <w:pStyle w:val="TextBody"/>
        <w:bidi w:val="0"/>
        <w:spacing w:lineRule="auto" w:line="288" w:before="80" w:after="80"/>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 from continuing operations–assuming dilution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Lower repositioning and other charges ($0.72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Lower share count ($0.15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interest expense ($0.36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Impairment charges on assets held for sale ($0.33 after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50"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23    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 xml:space="preserve">REVIEW OF BUSINESS SEGMENTS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globally manage our business operations through four reportable business segments: Aerospace Technologies, Industrial Automation, Building Automation, and Energy and Sustainability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AEROSPACE TECHNOLOGIES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3333750" cy="3200400"/>
            <wp:effectExtent l="0" t="0" r="0" b="0"/>
            <wp:docPr id="5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 descr=""/>
                    <pic:cNvPicPr>
                      <a:picLocks noChangeAspect="1" noChangeArrowheads="1"/>
                    </pic:cNvPicPr>
                  </pic:nvPicPr>
                  <pic:blipFill>
                    <a:blip r:embed="rId27"/>
                    <a:stretch>
                      <a:fillRect/>
                    </a:stretch>
                  </pic:blipFill>
                  <pic:spPr bwMode="auto">
                    <a:xfrm>
                      <a:off x="0" y="0"/>
                      <a:ext cx="3333750" cy="3200400"/>
                    </a:xfrm>
                    <a:prstGeom prst="rect">
                      <a:avLst/>
                    </a:prstGeom>
                  </pic:spPr>
                </pic:pic>
              </a:graphicData>
            </a:graphic>
          </wp:inline>
        </w:drawing>
      </w:r>
      <w:bookmarkStart w:id="25" w:name="i-26"/>
      <w:bookmarkEnd w:id="25"/>
    </w:p>
    <w:tbl>
      <w:tblPr>
        <w:tblW w:w="9739" w:type="dxa"/>
        <w:jc w:val="center"/>
        <w:tblInd w:w="0" w:type="dxa"/>
        <w:tblLayout w:type="fixed"/>
        <w:tblCellMar>
          <w:top w:w="28" w:type="dxa"/>
          <w:left w:w="28" w:type="dxa"/>
          <w:bottom w:w="28" w:type="dxa"/>
          <w:right w:w="28" w:type="dxa"/>
        </w:tblCellMar>
      </w:tblPr>
      <w:tblGrid>
        <w:gridCol w:w="1476"/>
        <w:gridCol w:w="1294"/>
        <w:gridCol w:w="1309"/>
        <w:gridCol w:w="196"/>
        <w:gridCol w:w="646"/>
        <w:gridCol w:w="109"/>
        <w:gridCol w:w="109"/>
        <w:gridCol w:w="109"/>
        <w:gridCol w:w="109"/>
        <w:gridCol w:w="196"/>
        <w:gridCol w:w="646"/>
        <w:gridCol w:w="109"/>
        <w:gridCol w:w="109"/>
        <w:gridCol w:w="109"/>
        <w:gridCol w:w="109"/>
        <w:gridCol w:w="165"/>
        <w:gridCol w:w="166"/>
        <w:gridCol w:w="391"/>
        <w:gridCol w:w="109"/>
        <w:gridCol w:w="109"/>
        <w:gridCol w:w="109"/>
        <w:gridCol w:w="196"/>
        <w:gridCol w:w="646"/>
        <w:gridCol w:w="109"/>
        <w:gridCol w:w="109"/>
        <w:gridCol w:w="109"/>
        <w:gridCol w:w="109"/>
        <w:gridCol w:w="165"/>
        <w:gridCol w:w="166"/>
        <w:gridCol w:w="446"/>
      </w:tblGrid>
      <w:tr>
        <w:trPr/>
        <w:tc>
          <w:tcPr>
            <w:tcW w:w="1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2023</w:t>
            </w:r>
          </w:p>
        </w:tc>
      </w:tr>
      <w:tr>
        <w:trPr/>
        <w:tc>
          <w:tcPr>
            <w:tcW w:w="40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15,458 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7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3,988</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9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4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063" w:type="dxa"/>
        <w:jc w:val="center"/>
        <w:tblInd w:w="0" w:type="dxa"/>
        <w:tblLayout w:type="fixed"/>
        <w:tblCellMar>
          <w:top w:w="28" w:type="dxa"/>
          <w:left w:w="28" w:type="dxa"/>
          <w:bottom w:w="28" w:type="dxa"/>
          <w:right w:w="28" w:type="dxa"/>
        </w:tblCellMar>
      </w:tblPr>
      <w:tblGrid>
        <w:gridCol w:w="1793"/>
        <w:gridCol w:w="1576"/>
        <w:gridCol w:w="1580"/>
        <w:gridCol w:w="202"/>
        <w:gridCol w:w="204"/>
        <w:gridCol w:w="286"/>
        <w:gridCol w:w="109"/>
        <w:gridCol w:w="109"/>
        <w:gridCol w:w="109"/>
        <w:gridCol w:w="203"/>
        <w:gridCol w:w="203"/>
        <w:gridCol w:w="439"/>
        <w:gridCol w:w="109"/>
        <w:gridCol w:w="109"/>
        <w:gridCol w:w="109"/>
        <w:gridCol w:w="202"/>
        <w:gridCol w:w="204"/>
        <w:gridCol w:w="286"/>
        <w:gridCol w:w="109"/>
        <w:gridCol w:w="109"/>
        <w:gridCol w:w="109"/>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18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 vs. 2023</w:t>
            </w:r>
          </w:p>
        </w:tc>
      </w:tr>
      <w:tr>
        <w:trPr/>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Other</w:t>
            </w:r>
            <w:r>
              <w:rPr>
                <w:rFonts w:ascii="Arial;sans-serif" w:hAnsi="Arial;sans-serif"/>
                <w:b w:val="false"/>
                <w:color w:val="000000"/>
                <w:sz w:val="10"/>
              </w:rPr>
              <w:t>2</w:t>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3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Organic percent change</w:t>
            </w:r>
            <w:r>
              <w:rPr>
                <w:rFonts w:ascii="Arial;sans-serif" w:hAnsi="Arial;sans-serif"/>
                <w:b/>
                <w:color w:val="000000"/>
                <w:sz w:val="10"/>
              </w:rPr>
              <w:t>1</w:t>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43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4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Organic sales % change, presented for all of our reportable business segments, is defined as the change in Net sales,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non-GAAP measure is useful to investors and management in understanding the ongoing operations and analysis of ongoing operating trends.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Includes Flexjet-related litigation matters, which are considered to be unusual and not indicative of the Company's ongoing performance.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52"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24    </w:t>
                      </w:r>
                      <w:r>
                        <w:rPr>
                          <w:rFonts w:ascii="Arial;sans-serif" w:hAnsi="Arial;sans-serif"/>
                          <w:b w:val="false"/>
                          <w:color w:val="000000"/>
                          <w:sz w:val="16"/>
                        </w:rPr>
                        <w:t>Honeywell International Inc.</w:t>
                      </w:r>
                    </w:p>
                  </w:txbxContent>
                </v:textbox>
                <w10:wrap type="none"/>
              </v:rect>
            </w:pict>
          </mc:Fallback>
        </mc:AlternateContent>
      </w:r>
    </w:p>
    <w:tbl>
      <w:tblPr>
        <w:tblW w:w="3913" w:type="dxa"/>
        <w:jc w:val="left"/>
        <w:tblInd w:w="0" w:type="dxa"/>
        <w:tblLayout w:type="fixed"/>
        <w:tblCellMar>
          <w:top w:w="28" w:type="dxa"/>
          <w:left w:w="28" w:type="dxa"/>
          <w:bottom w:w="28" w:type="dxa"/>
          <w:right w:w="28" w:type="dxa"/>
        </w:tblCellMar>
      </w:tblPr>
      <w:tblGrid>
        <w:gridCol w:w="548"/>
        <w:gridCol w:w="482"/>
        <w:gridCol w:w="484"/>
        <w:gridCol w:w="701"/>
        <w:gridCol w:w="701"/>
        <w:gridCol w:w="99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REVIEW OF BUSINESS SEGMENTS</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2025 compared with 2024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$2,052 million due to higher organic sales of $639 million in Defense and Space and higher organic sales of $636 million in Commercial Aviation Aftermarket, both driven by higher sales volume due to increased demand and shipments. Additionally, the acquisitions of CAES and Civitanavi Systems contributed $485 million of inorganic sales in 2025. Beginning September 2025, the results of CAES and Civitanavi Systems are considered organic.</w:t>
      </w:r>
    </w:p>
    <w:p>
      <w:pPr>
        <w:pStyle w:val="TextBody"/>
        <w:bidi w:val="0"/>
        <w:spacing w:lineRule="auto" w:line="288" w:before="0" w:after="120"/>
        <w:jc w:val="both"/>
        <w:rPr/>
      </w:pPr>
      <w:r>
        <w:rPr>
          <w:rFonts w:ascii="Arial;sans-serif" w:hAnsi="Arial;sans-serif"/>
          <w:b w:val="false"/>
          <w:color w:val="000000"/>
          <w:sz w:val="18"/>
        </w:rPr>
        <w:t xml:space="preserve">During the fourth quarter of 2025, our Commercial Aviation Aftermarket business recorded charges for the settlement negotiations with Flexjet and the other parties to related litigation matters. Based on negotiations as of December 31, 2025, Aerospace Technologies' sales and segment profit for 2025 decreased by approximately $310 million and $370 million, respectively. Refer to Note 19 </w:t>
      </w:r>
      <w:hyperlink w:anchor="ic3922f0530c04df99983ab02c4d22c0f_259">
        <w:r>
          <w:rPr>
            <w:rStyle w:val="InternetLink"/>
          </w:rPr>
          <w:t>Co</w:t>
        </w:r>
      </w:hyperlink>
      <w:hyperlink w:anchor="ic3922f0530c04df99983ab02c4d22c0f_259">
        <w:r>
          <w:rPr>
            <w:rStyle w:val="InternetLink"/>
          </w:rPr>
          <w:t>mmitments and Contingencies</w:t>
        </w:r>
      </w:hyperlink>
      <w:r>
        <w:rPr>
          <w:color w:val="000000"/>
        </w:rPr>
        <w:t xml:space="preserve"> </w:t>
      </w:r>
      <w:r>
        <w:rPr>
          <w:rFonts w:ascii="Arial;sans-serif" w:hAnsi="Arial;sans-serif"/>
          <w:b w:val="false"/>
          <w:color w:val="000000"/>
          <w:sz w:val="18"/>
        </w:rPr>
        <w:t>of Notes to Consolidated Financial Statements for further information regarding the Flexjet-related litigation matters.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During the fourth quarter of 2024, our Commercial Aviation Original Equipment business entered into a strategic agreement with Bombardier (the Bombardier Agreement) to provide advanced technology for current and future Bombardier aircraft in avionics, propulsion, and satellite communications technologies. Aerospace Technologies' sales and segment profit for 2024 decreased by approximately $370 million due to the Bombardier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Segment profit increased $296 million and segment margin decreased 130 basis points to 24.5% compared to 25.8% for the same period of 2024. </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2024 compared with 2023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$1,834 million due to higher organic sales of $907 million in Commercial Aviation Aftermarket driven by higher sales volumes in air transport due to an increase in flight hours and higher organic sales of $772 million in Defense and Space driven by higher sales volumes due to increased shipments. Additionally, the acquisitions of CAES and Civitanavi Systems contributed $332 million to 2024 sales.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Additionally, Aerospace Technologies' sales and segment profit for 2024 decreased by approximately $370 million due to the Bombardier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$228 million and segment margin percentage decreased 180 basis points to 25.8% compared to 27.6% for the same period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INDUSTRIAL AUTOMATION</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3333750" cy="3200400"/>
            <wp:effectExtent l="0" t="0" r="0" b="0"/>
            <wp:docPr id="5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7" descr=""/>
                    <pic:cNvPicPr>
                      <a:picLocks noChangeAspect="1" noChangeArrowheads="1"/>
                    </pic:cNvPicPr>
                  </pic:nvPicPr>
                  <pic:blipFill>
                    <a:blip r:embed="rId28"/>
                    <a:stretch>
                      <a:fillRect/>
                    </a:stretch>
                  </pic:blipFill>
                  <pic:spPr bwMode="auto">
                    <a:xfrm>
                      <a:off x="0" y="0"/>
                      <a:ext cx="3333750" cy="3200400"/>
                    </a:xfrm>
                    <a:prstGeom prst="rect">
                      <a:avLst/>
                    </a:prstGeom>
                  </pic:spPr>
                </pic:pic>
              </a:graphicData>
            </a:graphic>
          </wp:inline>
        </w:drawing>
      </w:r>
      <w:bookmarkStart w:id="26" w:name="i-27"/>
      <w:bookmarkEnd w:id="2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54"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25    </w:t>
                      </w:r>
                      <w:r>
                        <w:rPr>
                          <w:rFonts w:ascii="Arial;sans-serif" w:hAnsi="Arial;sans-serif"/>
                          <w:b w:val="false"/>
                          <w:color w:val="000000"/>
                          <w:sz w:val="16"/>
                        </w:rPr>
                        <w:t>Honeywell International Inc.</w:t>
                      </w:r>
                    </w:p>
                  </w:txbxContent>
                </v:textbox>
                <w10:wrap type="none"/>
              </v:rect>
            </w:pict>
          </mc:Fallback>
        </mc:AlternateContent>
      </w:r>
    </w:p>
    <w:tbl>
      <w:tblPr>
        <w:tblW w:w="3913" w:type="dxa"/>
        <w:jc w:val="left"/>
        <w:tblInd w:w="0" w:type="dxa"/>
        <w:tblLayout w:type="fixed"/>
        <w:tblCellMar>
          <w:top w:w="28" w:type="dxa"/>
          <w:left w:w="28" w:type="dxa"/>
          <w:bottom w:w="28" w:type="dxa"/>
          <w:right w:w="28" w:type="dxa"/>
        </w:tblCellMar>
      </w:tblPr>
      <w:tblGrid>
        <w:gridCol w:w="548"/>
        <w:gridCol w:w="482"/>
        <w:gridCol w:w="484"/>
        <w:gridCol w:w="701"/>
        <w:gridCol w:w="701"/>
        <w:gridCol w:w="99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REVIEW OF BUSINESS SEGMENTS</w:t>
            </w:r>
          </w:p>
        </w:tc>
      </w:tr>
    </w:tbl>
    <w:tbl>
      <w:tblPr>
        <w:tblW w:w="9814" w:type="dxa"/>
        <w:jc w:val="left"/>
        <w:tblInd w:w="0" w:type="dxa"/>
        <w:tblLayout w:type="fixed"/>
        <w:tblCellMar>
          <w:top w:w="28" w:type="dxa"/>
          <w:left w:w="28" w:type="dxa"/>
          <w:bottom w:w="28" w:type="dxa"/>
          <w:right w:w="28" w:type="dxa"/>
        </w:tblCellMar>
      </w:tblPr>
      <w:tblGrid>
        <w:gridCol w:w="1476"/>
        <w:gridCol w:w="1294"/>
        <w:gridCol w:w="1309"/>
        <w:gridCol w:w="196"/>
        <w:gridCol w:w="571"/>
        <w:gridCol w:w="109"/>
        <w:gridCol w:w="109"/>
        <w:gridCol w:w="109"/>
        <w:gridCol w:w="109"/>
        <w:gridCol w:w="196"/>
        <w:gridCol w:w="646"/>
        <w:gridCol w:w="109"/>
        <w:gridCol w:w="109"/>
        <w:gridCol w:w="109"/>
        <w:gridCol w:w="109"/>
        <w:gridCol w:w="203"/>
        <w:gridCol w:w="203"/>
        <w:gridCol w:w="391"/>
        <w:gridCol w:w="109"/>
        <w:gridCol w:w="109"/>
        <w:gridCol w:w="109"/>
        <w:gridCol w:w="196"/>
        <w:gridCol w:w="646"/>
        <w:gridCol w:w="109"/>
        <w:gridCol w:w="109"/>
        <w:gridCol w:w="109"/>
        <w:gridCol w:w="109"/>
        <w:gridCol w:w="203"/>
        <w:gridCol w:w="203"/>
        <w:gridCol w:w="446"/>
      </w:tblGrid>
      <w:tr>
        <w:trPr/>
        <w:tc>
          <w:tcPr>
            <w:tcW w:w="1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2023</w:t>
            </w:r>
          </w:p>
        </w:tc>
      </w:tr>
      <w:tr>
        <w:trPr/>
        <w:tc>
          <w:tcPr>
            <w:tcW w:w="40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1,743</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39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4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063" w:type="dxa"/>
        <w:jc w:val="left"/>
        <w:tblInd w:w="0" w:type="dxa"/>
        <w:tblLayout w:type="fixed"/>
        <w:tblCellMar>
          <w:top w:w="28" w:type="dxa"/>
          <w:left w:w="28" w:type="dxa"/>
          <w:bottom w:w="28" w:type="dxa"/>
          <w:right w:w="28" w:type="dxa"/>
        </w:tblCellMar>
      </w:tblPr>
      <w:tblGrid>
        <w:gridCol w:w="1793"/>
        <w:gridCol w:w="1576"/>
        <w:gridCol w:w="1580"/>
        <w:gridCol w:w="203"/>
        <w:gridCol w:w="203"/>
        <w:gridCol w:w="286"/>
        <w:gridCol w:w="109"/>
        <w:gridCol w:w="109"/>
        <w:gridCol w:w="109"/>
        <w:gridCol w:w="203"/>
        <w:gridCol w:w="203"/>
        <w:gridCol w:w="439"/>
        <w:gridCol w:w="109"/>
        <w:gridCol w:w="109"/>
        <w:gridCol w:w="109"/>
        <w:gridCol w:w="203"/>
        <w:gridCol w:w="203"/>
        <w:gridCol w:w="286"/>
        <w:gridCol w:w="109"/>
        <w:gridCol w:w="109"/>
        <w:gridCol w:w="109"/>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18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 vs. 2023</w:t>
            </w:r>
          </w:p>
        </w:tc>
      </w:tr>
      <w:tr>
        <w:trPr/>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3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43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4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2025 compared with 2024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decreased $650 million due to the sale of our PPE business within our Sensing and Safety Technologies business on May 21,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decreased $219 million and segment margin decreased 100 basis points to 18.5% compared to 19.5% for the same period in 2024.</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8, 2025, the Company announced it is evaluating strategic alternatives for its Productivity Solutions and Services and Warehouse and Workflow Solutions businesses. Following the Company's strategic review, the assets and liabilities of these businesses are classified as held for sale as of December 31, 2025.</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2024 compared with 2023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decreased $705 million due to lower organic sales of $527 million in Warehouse and Workflow Solutions driven by lower demand for projects and lower organic sales of $155 million in Sensing and Safety Technologies driven by lower demand for personal protective equipment.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second quarter of 2022, our Productivity Solutions and Services business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decreased $247 million and segment margin percentage decreased 100 basis points to 19.5% compared to 20.5% for the same period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55"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26    </w:t>
                      </w:r>
                      <w:r>
                        <w:rPr>
                          <w:rFonts w:ascii="Arial;sans-serif" w:hAnsi="Arial;sans-serif"/>
                          <w:b w:val="false"/>
                          <w:color w:val="000000"/>
                          <w:sz w:val="16"/>
                        </w:rPr>
                        <w:t>Honeywell International Inc.</w:t>
                      </w:r>
                    </w:p>
                  </w:txbxContent>
                </v:textbox>
                <w10:wrap type="none"/>
              </v:rect>
            </w:pict>
          </mc:Fallback>
        </mc:AlternateContent>
      </w:r>
    </w:p>
    <w:tbl>
      <w:tblPr>
        <w:tblW w:w="3913" w:type="dxa"/>
        <w:jc w:val="left"/>
        <w:tblInd w:w="0" w:type="dxa"/>
        <w:tblLayout w:type="fixed"/>
        <w:tblCellMar>
          <w:top w:w="28" w:type="dxa"/>
          <w:left w:w="28" w:type="dxa"/>
          <w:bottom w:w="28" w:type="dxa"/>
          <w:right w:w="28" w:type="dxa"/>
        </w:tblCellMar>
      </w:tblPr>
      <w:tblGrid>
        <w:gridCol w:w="548"/>
        <w:gridCol w:w="482"/>
        <w:gridCol w:w="484"/>
        <w:gridCol w:w="701"/>
        <w:gridCol w:w="701"/>
        <w:gridCol w:w="99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REVIEW OF BUSINESS SEGMENTS</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BUILDING AUTOMATION</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3333750" cy="3200400"/>
            <wp:effectExtent l="0" t="0" r="0" b="0"/>
            <wp:docPr id="5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 descr=""/>
                    <pic:cNvPicPr>
                      <a:picLocks noChangeAspect="1" noChangeArrowheads="1"/>
                    </pic:cNvPicPr>
                  </pic:nvPicPr>
                  <pic:blipFill>
                    <a:blip r:embed="rId29"/>
                    <a:stretch>
                      <a:fillRect/>
                    </a:stretch>
                  </pic:blipFill>
                  <pic:spPr bwMode="auto">
                    <a:xfrm>
                      <a:off x="0" y="0"/>
                      <a:ext cx="3333750" cy="3200400"/>
                    </a:xfrm>
                    <a:prstGeom prst="rect">
                      <a:avLst/>
                    </a:prstGeom>
                  </pic:spPr>
                </pic:pic>
              </a:graphicData>
            </a:graphic>
          </wp:inline>
        </w:drawing>
      </w:r>
      <w:bookmarkStart w:id="27" w:name="i-28"/>
      <w:bookmarkEnd w:id="27"/>
    </w:p>
    <w:tbl>
      <w:tblPr>
        <w:tblW w:w="9544" w:type="dxa"/>
        <w:jc w:val="left"/>
        <w:tblInd w:w="0" w:type="dxa"/>
        <w:tblLayout w:type="fixed"/>
        <w:tblCellMar>
          <w:top w:w="28" w:type="dxa"/>
          <w:left w:w="28" w:type="dxa"/>
          <w:bottom w:w="28" w:type="dxa"/>
          <w:right w:w="28" w:type="dxa"/>
        </w:tblCellMar>
      </w:tblPr>
      <w:tblGrid>
        <w:gridCol w:w="1476"/>
        <w:gridCol w:w="1294"/>
        <w:gridCol w:w="1309"/>
        <w:gridCol w:w="196"/>
        <w:gridCol w:w="571"/>
        <w:gridCol w:w="109"/>
        <w:gridCol w:w="109"/>
        <w:gridCol w:w="109"/>
        <w:gridCol w:w="109"/>
        <w:gridCol w:w="196"/>
        <w:gridCol w:w="571"/>
        <w:gridCol w:w="109"/>
        <w:gridCol w:w="109"/>
        <w:gridCol w:w="109"/>
        <w:gridCol w:w="109"/>
        <w:gridCol w:w="172"/>
        <w:gridCol w:w="174"/>
        <w:gridCol w:w="391"/>
        <w:gridCol w:w="109"/>
        <w:gridCol w:w="109"/>
        <w:gridCol w:w="109"/>
        <w:gridCol w:w="196"/>
        <w:gridCol w:w="571"/>
        <w:gridCol w:w="109"/>
        <w:gridCol w:w="109"/>
        <w:gridCol w:w="109"/>
        <w:gridCol w:w="109"/>
        <w:gridCol w:w="173"/>
        <w:gridCol w:w="173"/>
        <w:gridCol w:w="446"/>
      </w:tblGrid>
      <w:tr>
        <w:trPr/>
        <w:tc>
          <w:tcPr>
            <w:tcW w:w="1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2023</w:t>
            </w:r>
          </w:p>
        </w:tc>
      </w:tr>
      <w:tr>
        <w:trPr/>
        <w:tc>
          <w:tcPr>
            <w:tcW w:w="40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7,367 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1,953</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1,681</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9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063" w:type="dxa"/>
        <w:jc w:val="left"/>
        <w:tblInd w:w="0" w:type="dxa"/>
        <w:tblLayout w:type="fixed"/>
        <w:tblCellMar>
          <w:top w:w="28" w:type="dxa"/>
          <w:left w:w="28" w:type="dxa"/>
          <w:bottom w:w="28" w:type="dxa"/>
          <w:right w:w="28" w:type="dxa"/>
        </w:tblCellMar>
      </w:tblPr>
      <w:tblGrid>
        <w:gridCol w:w="1793"/>
        <w:gridCol w:w="1576"/>
        <w:gridCol w:w="1580"/>
        <w:gridCol w:w="202"/>
        <w:gridCol w:w="204"/>
        <w:gridCol w:w="286"/>
        <w:gridCol w:w="109"/>
        <w:gridCol w:w="109"/>
        <w:gridCol w:w="109"/>
        <w:gridCol w:w="203"/>
        <w:gridCol w:w="203"/>
        <w:gridCol w:w="439"/>
        <w:gridCol w:w="109"/>
        <w:gridCol w:w="109"/>
        <w:gridCol w:w="109"/>
        <w:gridCol w:w="202"/>
        <w:gridCol w:w="204"/>
        <w:gridCol w:w="286"/>
        <w:gridCol w:w="109"/>
        <w:gridCol w:w="109"/>
        <w:gridCol w:w="109"/>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18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 vs. 2023</w:t>
            </w:r>
          </w:p>
        </w:tc>
      </w:tr>
      <w:tr>
        <w:trPr/>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3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3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2025 compared with 2024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$827 million due to higher organic sales of $287 million in Products and higher organic sales of $217 million in Building Solutions, both driven by higher demand. Additionally, the acquisition of Access Solutions contributed $302 million of inorganic sales growth during 2025. Beginning June 2025, the results of Access Solutions are considered organic.</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$272 million and segment margin increased 80 basis points to 26.5% compared to 25.7% for the same period of 2024.</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2024 compared with 2023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$509 million due to higher organic sales of $245 million in Building Solutions driven by higher demand for building projects and services, partially offset by lower organic sales of $124 million in Products driven by lower demand. The acquisition of Access Solutions contributed $424 million to 2024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57"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27    </w:t>
                      </w:r>
                      <w:r>
                        <w:rPr>
                          <w:rFonts w:ascii="Arial;sans-serif" w:hAnsi="Arial;sans-serif"/>
                          <w:b w:val="false"/>
                          <w:color w:val="000000"/>
                          <w:sz w:val="16"/>
                        </w:rPr>
                        <w:t>Honeywell International Inc.</w:t>
                      </w:r>
                    </w:p>
                  </w:txbxContent>
                </v:textbox>
                <w10:wrap type="none"/>
              </v:rect>
            </w:pict>
          </mc:Fallback>
        </mc:AlternateContent>
      </w:r>
    </w:p>
    <w:tbl>
      <w:tblPr>
        <w:tblW w:w="3913" w:type="dxa"/>
        <w:jc w:val="left"/>
        <w:tblInd w:w="0" w:type="dxa"/>
        <w:tblLayout w:type="fixed"/>
        <w:tblCellMar>
          <w:top w:w="28" w:type="dxa"/>
          <w:left w:w="28" w:type="dxa"/>
          <w:bottom w:w="28" w:type="dxa"/>
          <w:right w:w="28" w:type="dxa"/>
        </w:tblCellMar>
      </w:tblPr>
      <w:tblGrid>
        <w:gridCol w:w="548"/>
        <w:gridCol w:w="482"/>
        <w:gridCol w:w="484"/>
        <w:gridCol w:w="701"/>
        <w:gridCol w:w="701"/>
        <w:gridCol w:w="99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REVIEW OF BUSINESS SEGMENTS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$152 million and segment margin percentage increased 30 basis points to 25.7% compared to 25.4% for the same period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ENERGY AND SUSTAINABILITY SOLUTIONS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3333750" cy="2857500"/>
            <wp:effectExtent l="0" t="0" r="0" b="0"/>
            <wp:docPr id="5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 descr=""/>
                    <pic:cNvPicPr>
                      <a:picLocks noChangeAspect="1" noChangeArrowheads="1"/>
                    </pic:cNvPicPr>
                  </pic:nvPicPr>
                  <pic:blipFill>
                    <a:blip r:embed="rId30"/>
                    <a:stretch>
                      <a:fillRect/>
                    </a:stretch>
                  </pic:blipFill>
                  <pic:spPr bwMode="auto">
                    <a:xfrm>
                      <a:off x="0" y="0"/>
                      <a:ext cx="3333750" cy="2857500"/>
                    </a:xfrm>
                    <a:prstGeom prst="rect">
                      <a:avLst/>
                    </a:prstGeom>
                  </pic:spPr>
                </pic:pic>
              </a:graphicData>
            </a:graphic>
          </wp:inline>
        </w:drawing>
      </w:r>
      <w:bookmarkStart w:id="28" w:name="i-29"/>
      <w:bookmarkEnd w:id="28"/>
    </w:p>
    <w:tbl>
      <w:tblPr>
        <w:tblW w:w="9473" w:type="dxa"/>
        <w:jc w:val="left"/>
        <w:tblInd w:w="0" w:type="dxa"/>
        <w:tblLayout w:type="fixed"/>
        <w:tblCellMar>
          <w:top w:w="28" w:type="dxa"/>
          <w:left w:w="28" w:type="dxa"/>
          <w:bottom w:w="28" w:type="dxa"/>
          <w:right w:w="28" w:type="dxa"/>
        </w:tblCellMar>
      </w:tblPr>
      <w:tblGrid>
        <w:gridCol w:w="1476"/>
        <w:gridCol w:w="1294"/>
        <w:gridCol w:w="1309"/>
        <w:gridCol w:w="196"/>
        <w:gridCol w:w="556"/>
        <w:gridCol w:w="109"/>
        <w:gridCol w:w="109"/>
        <w:gridCol w:w="109"/>
        <w:gridCol w:w="109"/>
        <w:gridCol w:w="196"/>
        <w:gridCol w:w="556"/>
        <w:gridCol w:w="109"/>
        <w:gridCol w:w="109"/>
        <w:gridCol w:w="109"/>
        <w:gridCol w:w="109"/>
        <w:gridCol w:w="172"/>
        <w:gridCol w:w="174"/>
        <w:gridCol w:w="391"/>
        <w:gridCol w:w="109"/>
        <w:gridCol w:w="109"/>
        <w:gridCol w:w="109"/>
        <w:gridCol w:w="196"/>
        <w:gridCol w:w="556"/>
        <w:gridCol w:w="109"/>
        <w:gridCol w:w="109"/>
        <w:gridCol w:w="109"/>
        <w:gridCol w:w="109"/>
        <w:gridCol w:w="160"/>
        <w:gridCol w:w="160"/>
        <w:gridCol w:w="446"/>
      </w:tblGrid>
      <w:tr>
        <w:trPr/>
        <w:tc>
          <w:tcPr>
            <w:tcW w:w="1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2023</w:t>
            </w:r>
          </w:p>
        </w:tc>
      </w:tr>
      <w:tr>
        <w:trPr/>
        <w:tc>
          <w:tcPr>
            <w:tcW w:w="40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7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615</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9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4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063" w:type="dxa"/>
        <w:jc w:val="left"/>
        <w:tblInd w:w="0" w:type="dxa"/>
        <w:tblLayout w:type="fixed"/>
        <w:tblCellMar>
          <w:top w:w="28" w:type="dxa"/>
          <w:left w:w="28" w:type="dxa"/>
          <w:bottom w:w="28" w:type="dxa"/>
          <w:right w:w="28" w:type="dxa"/>
        </w:tblCellMar>
      </w:tblPr>
      <w:tblGrid>
        <w:gridCol w:w="1793"/>
        <w:gridCol w:w="1576"/>
        <w:gridCol w:w="1580"/>
        <w:gridCol w:w="202"/>
        <w:gridCol w:w="204"/>
        <w:gridCol w:w="286"/>
        <w:gridCol w:w="109"/>
        <w:gridCol w:w="109"/>
        <w:gridCol w:w="109"/>
        <w:gridCol w:w="203"/>
        <w:gridCol w:w="203"/>
        <w:gridCol w:w="439"/>
        <w:gridCol w:w="109"/>
        <w:gridCol w:w="109"/>
        <w:gridCol w:w="109"/>
        <w:gridCol w:w="202"/>
        <w:gridCol w:w="204"/>
        <w:gridCol w:w="286"/>
        <w:gridCol w:w="109"/>
        <w:gridCol w:w="109"/>
        <w:gridCol w:w="109"/>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18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 vs. 2023</w:t>
            </w:r>
          </w:p>
        </w:tc>
      </w:tr>
      <w:tr>
        <w:trPr/>
        <w:tc>
          <w:tcPr>
            <w:tcW w:w="4949" w:type="dxa"/>
            <w:gridSpan w:val="3"/>
            <w:vMerge w:val="continue"/>
            <w:tcBorders/>
            <w:tcMar>
              <w:top w:w="0" w:type="dxa"/>
              <w:left w:w="0" w:type="dxa"/>
              <w:bottom w:w="0" w:type="dxa"/>
              <w:right w:w="0" w:type="dxa"/>
            </w:tcMar>
            <w:vAlign w:val="center"/>
          </w:tcPr>
          <w:p>
            <w:pPr>
              <w:pStyle w:val="Normal"/>
              <w:bidi w:val="0"/>
              <w:jc w:val="left"/>
              <w:rPr/>
            </w:pPr>
            <w:r>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43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43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2025 compared with 2024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$490 million due to inorganic sales growth from the acquisitions of LNG and Sundyne. Beginning October 2025, the results of LNG are considered organic.</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$77 million and segment margin decreased 120 basis points to 22.1% compared to 23.3% for the same period of 2024.</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Sales increased $58 million driven by inorganic sales growth from the acquisition of LNG.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59"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28    </w:t>
                      </w:r>
                      <w:r>
                        <w:rPr>
                          <w:rFonts w:ascii="Arial;sans-serif" w:hAnsi="Arial;sans-serif"/>
                          <w:b w:val="false"/>
                          <w:color w:val="000000"/>
                          <w:sz w:val="16"/>
                        </w:rPr>
                        <w:t>Honeywell International Inc.</w:t>
                      </w:r>
                    </w:p>
                  </w:txbxContent>
                </v:textbox>
                <w10:wrap type="none"/>
              </v:rect>
            </w:pict>
          </mc:Fallback>
        </mc:AlternateContent>
      </w:r>
    </w:p>
    <w:tbl>
      <w:tblPr>
        <w:tblW w:w="3913" w:type="dxa"/>
        <w:jc w:val="left"/>
        <w:tblInd w:w="0" w:type="dxa"/>
        <w:tblLayout w:type="fixed"/>
        <w:tblCellMar>
          <w:top w:w="28" w:type="dxa"/>
          <w:left w:w="28" w:type="dxa"/>
          <w:bottom w:w="28" w:type="dxa"/>
          <w:right w:w="28" w:type="dxa"/>
        </w:tblCellMar>
      </w:tblPr>
      <w:tblGrid>
        <w:gridCol w:w="548"/>
        <w:gridCol w:w="482"/>
        <w:gridCol w:w="484"/>
        <w:gridCol w:w="701"/>
        <w:gridCol w:w="701"/>
        <w:gridCol w:w="99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REVIEW OF BUSINESS SEGMENTS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$46 million and segment margin increased 130 basis points to 23.3% compared to 22.0% for the same period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CORPORATE AND ALL OTHER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Corporate and All Other primarily includes unallocated corporate costs, interest expense on holding-company debt, and the controlling majority-owned interest in Quantinuum. Corporate expenses historically allocated to Advanced Materials and not eligible to be part of discontinued operations are now included in Corporate and All Other.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REPOSITIONING CHARGES</w:t>
      </w:r>
    </w:p>
    <w:p>
      <w:pPr>
        <w:pStyle w:val="TextBody"/>
        <w:bidi w:val="0"/>
        <w:spacing w:lineRule="auto" w:line="288" w:before="120" w:after="120"/>
        <w:jc w:val="both"/>
        <w:rPr/>
      </w:pPr>
      <w:r>
        <w:rPr>
          <w:rFonts w:ascii="Arial;sans-serif" w:hAnsi="Arial;sans-serif"/>
          <w:b w:val="false"/>
          <w:color w:val="000000"/>
          <w:sz w:val="18"/>
        </w:rPr>
        <w:t xml:space="preserve">See Note 4 </w:t>
      </w:r>
      <w:hyperlink w:anchor="ic3922f0530c04df99983ab02c4d22c0f_208">
        <w:r>
          <w:rPr>
            <w:rStyle w:val="InternetLink"/>
          </w:rPr>
          <w:t>Repositioning and Other</w:t>
        </w:r>
      </w:hyperlink>
      <w:hyperlink w:anchor="ic3922f0530c04df99983ab02c4d22c0f_208">
        <w:r>
          <w:rPr>
            <w:rStyle w:val="InternetLink"/>
          </w:rPr>
          <w:t xml:space="preserve"> (Gains)</w:t>
        </w:r>
      </w:hyperlink>
      <w:hyperlink w:anchor="ic3922f0530c04df99983ab02c4d22c0f_208">
        <w:r>
          <w:rPr>
            <w:rStyle w:val="InternetLink"/>
          </w:rPr>
          <w:t xml:space="preserve"> Charges</w:t>
        </w:r>
      </w:hyperlink>
      <w:r>
        <w:rPr>
          <w:color w:val="000000"/>
        </w:rPr>
        <w:t xml:space="preserve"> </w:t>
      </w:r>
      <w:r>
        <w:rPr>
          <w:rFonts w:ascii="Arial;sans-serif" w:hAnsi="Arial;sans-serif"/>
          <w:b w:val="false"/>
          <w:color w:val="000000"/>
          <w:sz w:val="18"/>
        </w:rPr>
        <w:t>of Notes to Consolidated Financial Statements for a discussion of our repositioning actions and related charges incurred in 2025, 2024, and 2023</w:t>
      </w:r>
      <w:r>
        <w:rPr>
          <w:rFonts w:ascii="Arial;sans-serif" w:hAnsi="Arial;sans-serif"/>
          <w:b w:val="false"/>
          <w:color w:val="000000"/>
          <w:sz w:val="18"/>
          <w:shd w:fill="FFFFFF" w:val="clear"/>
        </w:rPr>
        <w:t>. Cash spending related to</w:t>
      </w:r>
      <w:r>
        <w:rPr>
          <w:color w:val="000000"/>
        </w:rPr>
        <w:t xml:space="preserve"> </w:t>
      </w:r>
      <w:r>
        <w:rPr>
          <w:rFonts w:ascii="Arial;sans-serif" w:hAnsi="Arial;sans-serif"/>
          <w:b w:val="false"/>
          <w:color w:val="000000"/>
          <w:sz w:val="18"/>
        </w:rPr>
        <w:t xml:space="preserve">our repositioning actions was $153 million, $189 million, and $280 million in 2025, 2024, and 2023, respectively, and was funded through operating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60"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29    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29    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RISK FACTORS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business, operating results, cash flows, and financial condition are subject to the material risks and uncertainties set forth below, any one of which could cause our actual results to vary materially from recent results or from our anticipated future results. Disclosures of risks should not be interpreted to imply that the risks have not already materialized, and there may be additional risks that are not presently material or known. </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MACROECONOMIC AND INDUSTRY RISKS</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The Company and each of our businesses is subject to unique industry and economic conditions that may adversely affect the markets and operating conditions of our customers, which in turn can affect demand for our products and services and our results of operations.</w:t>
      </w:r>
    </w:p>
    <w:p>
      <w:pPr>
        <w:pStyle w:val="TextBody"/>
        <w:bidi w:val="0"/>
        <w:spacing w:lineRule="auto" w:line="288" w:before="80" w:after="80"/>
        <w:ind w:left="0" w:right="0" w:hanging="216"/>
        <w:jc w:val="both"/>
        <w:rPr/>
      </w:pPr>
      <w:r>
        <w:rPr>
          <w:color w:val="D7282F"/>
        </w:rPr>
        <w:t>•</w:t>
      </w:r>
      <w:r>
        <w:rPr>
          <w:rFonts w:ascii="Arial;sans-serif" w:hAnsi="Arial;sans-serif"/>
          <w:b/>
          <w:i/>
          <w:color w:val="000000"/>
          <w:sz w:val="18"/>
        </w:rPr>
        <w:t>Aerospace Technologies</w:t>
      </w:r>
      <w:r>
        <w:rPr>
          <w:color w:val="000000"/>
        </w:rPr>
        <w:t>—</w:t>
      </w:r>
      <w:r>
        <w:rPr>
          <w:rFonts w:ascii="Arial;sans-serif" w:hAnsi="Arial;sans-serif"/>
          <w:b w:val="false"/>
          <w:color w:val="000000"/>
          <w:sz w:val="18"/>
        </w:rPr>
        <w:t>Our Aerospace business is impacted by customer buying patterns of aftermarket parts, supplier stability, factory transitions, and global supply chain capacity constraints that may lead to shortages of crucial components. Operating results may be adversely affected by downturns in the global demand for air travel, which may impact new aircraft production or result in the delay or cancellation of new aircraft orders, delays in launch schedules for new aircrafts, the retirement of aircrafts,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events related to public health, safety, the environment, or regional conflicts.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In addition, delays resulting from a U.S. federal government shutdown may result in us incurring substantial labor or other costs without reimbursement under our customer contracts, delay or decrease the number of purchase orders issued under our contracts with government agencies, or result in the suspension of work on contracts in progress or in payment delays. Results may also be impacted by the potential introduction of counterfeit parts into our global supply chain.</w:t>
      </w:r>
    </w:p>
    <w:p>
      <w:pPr>
        <w:pStyle w:val="TextBody"/>
        <w:bidi w:val="0"/>
        <w:spacing w:lineRule="auto" w:line="268" w:before="0" w:after="0"/>
        <w:ind w:left="0" w:right="0" w:hanging="216"/>
        <w:jc w:val="both"/>
        <w:rPr/>
      </w:pPr>
      <w:r>
        <w:rPr>
          <w:color w:val="D7282F"/>
        </w:rPr>
        <w:t>•</w:t>
      </w:r>
      <w:r>
        <w:rPr>
          <w:rFonts w:ascii="Arial;sans-serif" w:hAnsi="Arial;sans-serif"/>
          <w:b/>
          <w:i/>
          <w:color w:val="000000"/>
          <w:sz w:val="18"/>
        </w:rPr>
        <w:t>Industrial Automation</w:t>
      </w:r>
      <w:r>
        <w:rPr>
          <w:color w:val="000000"/>
        </w:rPr>
        <w:t>—</w:t>
      </w:r>
      <w:r>
        <w:rPr>
          <w:rFonts w:ascii="Arial;sans-serif" w:hAnsi="Arial;sans-serif"/>
          <w:b w:val="false"/>
          <w:color w:val="000000"/>
          <w:sz w:val="18"/>
        </w:rPr>
        <w:t>Operating results may be adversely impacted by reduced investments in process automation, safety monitoring, industrial plants, utilities and plant capacity utilization initiatives, fluctuations in retail, energy and semiconductor markets, changes in the competitive landscape, including new market entrants and new technologies that may lead to product commoditization, and adverse industry economic conditions, all of which could result in lower market share, reduced selling prices, and lower margins.</w:t>
      </w:r>
    </w:p>
    <w:p>
      <w:pPr>
        <w:pStyle w:val="TextBody"/>
        <w:bidi w:val="0"/>
        <w:spacing w:lineRule="auto" w:line="288" w:before="80" w:after="80"/>
        <w:ind w:left="0" w:right="0" w:hanging="216"/>
        <w:jc w:val="both"/>
        <w:rPr/>
      </w:pPr>
      <w:r>
        <w:rPr>
          <w:color w:val="D7282F"/>
        </w:rPr>
        <w:t>•</w:t>
      </w:r>
      <w:r>
        <w:rPr>
          <w:rFonts w:ascii="Arial;sans-serif" w:hAnsi="Arial;sans-serif"/>
          <w:b/>
          <w:i/>
          <w:color w:val="000000"/>
          <w:sz w:val="18"/>
        </w:rPr>
        <w:t>Building Automation</w:t>
      </w:r>
      <w:r>
        <w:rPr>
          <w:color w:val="000000"/>
        </w:rPr>
        <w:t>—</w:t>
      </w:r>
      <w:r>
        <w:rPr>
          <w:rFonts w:ascii="Arial;sans-serif" w:hAnsi="Arial;sans-serif"/>
          <w:b w:val="false"/>
          <w:color w:val="000000"/>
          <w:sz w:val="18"/>
        </w:rPr>
        <w:t>Operating results may be adversely impacted by downturns in the level of global buildings and infrastructure construction activity (including retrofits and upgrades), lower capital spending and operating expenditures on projects, changes in the competitive landscape, including new market entrants and new technologies, and fluctuations in inventory levels in distribution channels.</w:t>
      </w:r>
    </w:p>
    <w:p>
      <w:pPr>
        <w:pStyle w:val="TextBody"/>
        <w:bidi w:val="0"/>
        <w:spacing w:lineRule="auto" w:line="288" w:before="80" w:after="80"/>
        <w:ind w:left="0" w:right="0" w:hanging="216"/>
        <w:jc w:val="both"/>
        <w:rPr/>
      </w:pPr>
      <w:r>
        <w:rPr>
          <w:color w:val="D7282F"/>
        </w:rPr>
        <w:t>•</w:t>
      </w:r>
      <w:r>
        <w:rPr>
          <w:rFonts w:ascii="Arial;sans-serif" w:hAnsi="Arial;sans-serif"/>
          <w:b/>
          <w:i/>
          <w:color w:val="000000"/>
          <w:sz w:val="18"/>
        </w:rPr>
        <w:t>Energy and Sustainability Solutions</w:t>
      </w:r>
      <w:r>
        <w:rPr>
          <w:color w:val="000000"/>
        </w:rPr>
        <w:t>—</w:t>
      </w:r>
      <w:r>
        <w:rPr>
          <w:rFonts w:ascii="Arial;sans-serif" w:hAnsi="Arial;sans-serif"/>
          <w:b w:val="false"/>
          <w:color w:val="000000"/>
          <w:sz w:val="18"/>
        </w:rPr>
        <w:t>Operating results may be adversely impacted by downturns in capacity utilization for chemical, industrial, refining and petrochemical plants, our customers’ availability of capital for refinery construction and expansion, raw material demand and supply, product commoditization, and our ability to maximize our facilities’ production capacity and minimize downtime. Periods of increased volatility in oil and natural gas prices may result in less investment by our customers and therefore, lower demand for our products and services.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the Company and each of its businesses has been, and may continue to be, negatively affected by global macroeconomic conditions, including the impacts of inflation, high interest rates, supply chain and labor disruptions, unemployment rates, geopolitical instability and regional conflicts, the adoption and expansion of, and other changes to, trade restrictions and tariffs, quotas, embargoes, and other related actions, and the occurrence or threat of a trade war or other governmental action related to tariffs or trade agreements or policies. Such factors could adversely impact, demand for our products, our costs, our customers, our suppliers, and the world and U.S. economies. The impact of such factors could have a material adverse effect on our business, operating results, cash flows, and financial condition.</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A significant percentage of our sales and operations is in non-U.S. jurisdictions and is subject to the economic, political, regulatory, foreign exchange, and other risks of international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international operations, including U.S. exports, represent more than half of the Company’s sales. Risks related to international operations include exchange control regulations, wage and price controls, fluctuations in foreign currency exchange rates, antitrust regulations, employment regulations, foreign investment laws, import, export, and other trade restrictions and barriers (such as tariffs, sanctions, and embargoes), differing levels of protection of intellectual property, acts of industrial espionage, violations by our employees or business partners of anti-corruption or anti-money-laundering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61"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30    </w:t>
                      </w:r>
                      <w:r>
                        <w:rPr>
                          <w:rFonts w:ascii="Arial;sans-serif" w:hAnsi="Arial;sans-serif"/>
                          <w:b w:val="false"/>
                          <w:color w:val="000000"/>
                          <w:sz w:val="16"/>
                        </w:rPr>
                        <w:t>Honeywell International Inc.</w:t>
                      </w:r>
                    </w:p>
                  </w:txbxContent>
                </v:textbox>
                <w10:wrap type="none"/>
              </v:rect>
            </w:pict>
          </mc:Fallback>
        </mc:AlternateContent>
      </w:r>
    </w:p>
    <w:tbl>
      <w:tblPr>
        <w:tblW w:w="2639" w:type="dxa"/>
        <w:jc w:val="righ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U.S. continues to implement certain trade actions, including imposing tariffs on certain goods imported from China and other countries, which has resulted in retaliatory tariffs by China and other countries. The recent changes in U.S. trade policy involving the application or increase of tariffs and the subsequent retaliatory measures against the U.S. have created a dynamic environment that may have a material adverse impact on our business. While we have deployed strategies to mitigate the impact of these dynamic trade policies, there is no assurance that we will be able to mitigate the full impact of all such tariffs, retaliatory tariffs or other trade policies that have or may develop in this rapidly changing environment. Increasing trade tensions and changes in trade policies have the potential to adversely impact our costs, the demand for our products, our supply chain and the global economy, and could result in fines and penalties or reputational harm if we are found not to be in compliance, which may have an adverse impact on our business, including operating and financial results and conditions.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Given the uncertainty inherent in our remaining obligations related to our contracts with Russian counterparties, we do not believe it is possible to develop estimates of reasonably possible loss in excess of current accruals for these matters.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 impacts on our operations and may adversely affect our ability to meet contractual and financial obligations, results of operations, and financial condition.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the extent the current conflict between Russia and Ukraine persists, it may also negatively impact other risk factors disclosed in this Form 10-K and further impact our financial results. Such risks include, but are not limited to, adverse effects on macroeconomic conditions, including inflation and consumer spending; cybersecurity incidents and other disruptions to our information technology (IT)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Risks related to our defined benefit pension plans may adversely impact our results of operations and cash flow.</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62"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31    </w:t>
                      </w:r>
                      <w:r>
                        <w:rPr>
                          <w:rFonts w:ascii="Arial;sans-serif" w:hAnsi="Arial;sans-serif"/>
                          <w:b w:val="false"/>
                          <w:color w:val="000000"/>
                          <w:sz w:val="16"/>
                        </w:rPr>
                        <w:t>Honeywell International Inc.</w:t>
                      </w:r>
                    </w:p>
                  </w:txbxContent>
                </v:textbox>
                <w10:wrap type="none"/>
              </v:rect>
            </w:pict>
          </mc:Fallback>
        </mc:AlternateContent>
      </w:r>
    </w:p>
    <w:tbl>
      <w:tblPr>
        <w:tblW w:w="2639" w:type="dxa"/>
        <w:jc w:val="lef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OPERATIONAL RISKS</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cost of raw materials is a key element in the cost of our products, particularly in Energy and Sustainability Solutions (copper, tungsten salts, aluminum, and molybdenum) and in Aerospace Technologies (nickel, steel, titanium, and other metals). As of December 31, 2025, the majority of the raw materials supply base of Aerospace Technologies and Energy and Sustainability Solutions were under contract. While we have implemented mitigation strategies to reduce the impact of supply chain disruptions, any inability to source necessary materials when and as needed, offset material price or labor inflation through increased prices to customers, formula-driven or long-term fixed price contracts with suppliers, productivity actions, or commodity hedges could adversely affect our results of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Many major components, product equipment items, and raw materials, particularly in Aerospace Technologies,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inflation and high interest rates, supply chain and labor disruptions, tariffs and other trade barriers and restrictions, unemployment rates, banking instability, any U.S. government shutdown, any downgrades in the U.S. government's sovereign credit rating, public health crises, volatile financial markets, geopolitical instability and regional conflicts, and potential recession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certain of our businesses, our contracts are typically awarded on a competitive basis. Our bids are based upon, among other factors, the cost to timely provide the products and services. To generate an acceptable return, we must accurately estimate our input costs and delivery schedules. If we fail to do so, the profitability of contracts may be adversely affected – including because some of our contracts provide for liquidated damages if we do not perform on time – which could have a material adverse effect on our competitive position, results of operations, cash flows or financial condition.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an effort to reduce the impact of current and future supply chain disruptions, we have implemented short-term and long-term strategies to reduce the impact of such disruptions, including supply chain simplification, continued alignment to local supply sources, digital solutions for identifying and managing shortages, pricing actions and dual source strategies, longer-term planning for constrained materials, supply tracking tools, direct engagement with key suppliers to meet customer demand, new supplier development, and development of new or redesigned products that satisfy our product quality controls and engineering qualifications and/or any applicable regulatory requirements. We cannot provide any assurance that our mitigation strategies will continue to be successful, or that we will be able to alter our strategies or develop new strategies if and as needed.</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We may be unable to successfully execute or effectively integrate acquisitions, and divestitures may not occur as planned.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have divested a number of businesses, including as part of spin-offs. With respect to some of these former businesses, we have contractually agreed to indemnify the counterparties against, or otherwise retain, certain liabilities, including, certain lawsuits, product liability claims, and environmental matters. Even without ongoing contractual indemnification obligations, we could be exposed to liabilities arising out of such divestitures. In addition, the counterparties to those divestitures or spun-off businesses may have agreed to indemnify us or assume certain liabilities relating to those divestitures. However, there can be no assurance that the indemnity or assumption of liability by the counterparties will be sufficient to protect us against the full amount of these liabilities, or that a counterparty will be able to fully satisfy its obligations. Third parties also could seek to hold us responsible for any of the liabilities that a counterparty agreed to assume. Even if we ultimately succeed in recovering any amounts for which we were initially held liable, we may be temporarily required to bear these losses ourselves.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63"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32    </w:t>
                      </w:r>
                      <w:r>
                        <w:rPr>
                          <w:rFonts w:ascii="Arial;sans-serif" w:hAnsi="Arial;sans-serif"/>
                          <w:b w:val="false"/>
                          <w:color w:val="000000"/>
                          <w:sz w:val="16"/>
                        </w:rPr>
                        <w:t>Honeywell International Inc.</w:t>
                      </w:r>
                    </w:p>
                  </w:txbxContent>
                </v:textbox>
                <w10:wrap type="none"/>
              </v:rect>
            </w:pict>
          </mc:Fallback>
        </mc:AlternateContent>
      </w:r>
    </w:p>
    <w:tbl>
      <w:tblPr>
        <w:tblW w:w="2639" w:type="dxa"/>
        <w:jc w:val="righ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120" w:after="120"/>
        <w:jc w:val="both"/>
        <w:rPr/>
      </w:pPr>
      <w:r>
        <w:rPr>
          <w:rFonts w:ascii="Arial;sans-serif" w:hAnsi="Arial;sans-serif"/>
          <w:b/>
          <w:color w:val="DC202E"/>
          <w:sz w:val="18"/>
        </w:rPr>
        <w:t>The Company is subject to risks related to its plan to separa</w:t>
      </w:r>
      <w:r>
        <w:rPr>
          <w:rFonts w:ascii="Arial;sans-serif" w:hAnsi="Arial;sans-serif"/>
          <w:b/>
          <w:color w:val="D7282F"/>
          <w:sz w:val="18"/>
        </w:rPr>
        <w:t>te Honeywell from Honeywell Aerospace, in</w:t>
      </w:r>
      <w:r>
        <w:rPr>
          <w:rFonts w:ascii="Arial;sans-serif" w:hAnsi="Arial;sans-serif"/>
          <w:b/>
          <w:color w:val="DC202E"/>
          <w:sz w:val="18"/>
        </w:rPr>
        <w:t>to standalone, publicly traded companies.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has previously announced its intent to separate its Aerospace Technologies segment from Honeywell, which will comprise its Industrial Automation, the Building Automation, and the remainder of the Energy and Sustainability Solutions segments (the “Separation”), into standalone, publicly traded companies, in a transaction that is intended to be tax-free for the Company’s shareowners for U.S. federal income tax purposes. The Separation will be subject to the satisfaction of a number of customary conditions, including, among others, finalization of applicable financial statements, the filing and effectiveness of applicable filings (including a Form 10 registration statement) with the SEC, assurance that the transaction will be tax-free to Honeywell’s shareowners, receipt of applicable regulatory and other customary approvals, and final approval by Honeywell’s Board of Directors. The failure to satisfy all of the required conditions for the Separation, as well as additional factors such as conditions in the equity and debt markets and other external conditions, including, but not limited to, a government shutdown or shareowner actions or challenges relating to the Separation or to other aspects of the Company’s business or strategy, many of which are outside of the Company’s control, could delay the completion of the Separation relative to its anticipated timeline or prevent it from occurring. These or other unanticipated developments could also cause the Separation to occur on terms or conditions that are less favorable than anticipated. Furthermore, there is no guarantee that the Separation, if completed, will be successful in meeting its objectives or achieving its intended benefits. Whether or not the Separation is ultimately completed, the Company and our business may face challenges, including as a result of actions or challenges from shareowners, including activist shareowners, that may not be aligned with our business strategies or the interests of our other shareowners, including potential business disruption; the diversion of management’s time; and potential negative impacts on the Company’s relationships with its customers, employees, regulators, and other counterparties. Any of these factors could negatively impact our business, financial condition, results of operations, cash flows, and the price of our common stock, which may exhibit significant fluctuations based on temporary or speculative market perceptions or other factors that do not necessarily reflect the fundamental underlying value of our business or of the standalone, publicly traded companies that would be formed following the planned Separation.</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Our future growth is largely dependent upon our ability to develop new technologies and introduce new products that achieve market acceptance in increasingly competitive markets with acceptable margins.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future growth rate depends upon a number of factors, including our ability to (i) identify and evolve with emerging technological and broader industry trends, including technologies such as artificial intelligence and machine learning in our target end 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adequately protect the intellectual property associated with our inventions; (vii) monitor disruptive technologies and business models; (viii) achieve sufficient return on investment for new products introduced based on capital expenditures and research and development spending; (ix) respond to changes in overall trends related to end market demand; and (x)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 Emerging technology, such as generative and agentic artificial intelligence, is complex and rapidly evolving, and while we aim to develop and use artificial intelligence responsibly, we may ultimately be unsuccessful in identifying or resolving all problems, and the technologies that we develop or use may ultimately be flawed, which could harm our reputation and expose us to risks related to potential infringement of others' intellectual property, biases, inaccuracies or errors in outputs from these technologies. Furthermore, any integration of third-party artificial intelligence models with our products and solutions relies on certain safeguards implemented by the third-party developers of the models, and there can be no guarantee that those safeguards are adequate to protect against the risks associated with their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64"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33    </w:t>
                      </w:r>
                      <w:r>
                        <w:rPr>
                          <w:rFonts w:ascii="Arial;sans-serif" w:hAnsi="Arial;sans-serif"/>
                          <w:b w:val="false"/>
                          <w:color w:val="000000"/>
                          <w:sz w:val="16"/>
                        </w:rPr>
                        <w:t>Honeywell International Inc.</w:t>
                      </w:r>
                    </w:p>
                  </w:txbxContent>
                </v:textbox>
                <w10:wrap type="none"/>
              </v:rect>
            </w:pict>
          </mc:Fallback>
        </mc:AlternateContent>
      </w:r>
    </w:p>
    <w:tbl>
      <w:tblPr>
        <w:tblW w:w="2639" w:type="dxa"/>
        <w:jc w:val="lef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Failure to increase productivity or enhance operations through sustainable operational improvements, as well as an inability to successfully execute repositioning projects or to effectively manage our workforce, may reduce our profitability or adversely impact our businesses.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trends in rising labor costs and labor availability, labor relations difficulties, or workforce stoppage could have a material adverse effect on our business, reputation, financial position, and results of operations. Additionally, certain personnel may be required to receive various immigration visas, clearances and substantial training in order to work in certain geographies on certain programs or perform certain tasks. Necessary visas and security clearances may be delayed, or become increasingly expensive, which may impact our ability to perform on our contracts. We also may not be successful in training or developing qualified personnel with the requisite relevant skills or security clearances. </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As a supplier to the U.S. government, we are subject to unique risks, such as the right of the U.S. government to terminate contracts for convenience and to conduct audits and investigations of our operations and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 In addition, U.S. government contracts are subject to congressional funding, which may be unavailable due to changes in priorities or subject to continuing resolution, which may result in funding reductions, eliminations, or other effects that could impact our business. Furthermore, any U.S. federal government shutdown could result in us experiencing delays or decreases in the number of purchase orders issued under our contracts with government agencies or with our prime contractor customers, incurring substantial labor or other costs without reimbursement under our customer contracts, or the suspension of work on contracts in progress or in payment delays.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Our operations and the prior operations of predecessor companies expose us to the risk of material environmental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65"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34    </w:t>
                      </w:r>
                      <w:r>
                        <w:rPr>
                          <w:rFonts w:ascii="Arial;sans-serif" w:hAnsi="Arial;sans-serif"/>
                          <w:b w:val="false"/>
                          <w:color w:val="000000"/>
                          <w:sz w:val="16"/>
                        </w:rPr>
                        <w:t>Honeywell International Inc.</w:t>
                      </w:r>
                    </w:p>
                  </w:txbxContent>
                </v:textbox>
                <w10:wrap type="none"/>
              </v:rect>
            </w:pict>
          </mc:Fallback>
        </mc:AlternateContent>
      </w:r>
    </w:p>
    <w:tbl>
      <w:tblPr>
        <w:tblW w:w="2639" w:type="dxa"/>
        <w:jc w:val="righ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Our business, reputation, and financial performance may be materially impacted by cybersecurity attacks on our IT infrastructure and products.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Cybersecurity is a critical component of the Company’s enterprise risk management program. Global cybersecurity threats and incidents can range from uncoordinated individual attempts to gain unauthorized access to IT, operational technology, and online services infrastructure to sophisticated and targeted measures known as advanced persistent threats, directed at the Company, its products, its customers, and/or its third-party software and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(against us, parties with whom we contract, or software used in our business), including incidents due to human error, third-party action, including actions of foreign actors, which risk may be exacerbated by the current geopolitical conflicts and U.S. and international response, insider attacks, the introduction of computer viruses and/or malicious or destructive code, phishing or denial-of-service attacks, the introduction of computer viruses and/or malicious or destructive code, ransomware or other malware, social engineering, malfeasance, other unauthorized physical or electronic access, or other vulnerabilities, depending on their nature and scope, could potentially result in the misappropriation, destruction, corruption or unavailability of critical data and confidential or proprietary information (our own or that of third parties), theft of funds, and the disruption of business operations. We face an increased level of risk during significant IT infrastructure transitions, such as those we are undertaking in connection with our spin-off of Solstice and announcement to pursue a separation of Honeywell from Honeywell Aerospace, into independent, U.S. publicly traded companies, which is intended to be completed in the third quarter of 2026. In addition, the techniques used to obtain unauthorized access to sensitive data continue to evolve and become more sophisticated and may not be recognized until launched against a target; accordingly, we may be unable to anticipate these techniques or implement adequate preventative measures, and future cybersecurity incidents could go undetected and persist for an extended period of time. Furthermore, to the extent artificial intelligence capabilities continue to improve and are increasingly adopted, they may be used to identify vulnerabilities and craft increasingly sophisticated cybersecurity attacks, including the use of generative artificial intelligence to conduct more sophisticated social engineering attacks on the Company, suppliers, or customers. In addition, vulnerabilities may be introduced from the use of artificial intelligence by us, our financial services providers and other vendors and third-party providers.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customers, partners (including our suppliers), subcontractors, and other third parties to whom we entrust confidential data, and on whom we rely on to provide products and services, face similar threats and growing requirements. While we aim to perform cybersecurity due diligence on our key vendors and service providers, we do not control such third parties, and our ability to monitor their cybersecurity-related controls, safeguards and processes is limited. Further, we cannot ensure the cybersecurity measures they take will be sufficient to protect any information we share with them or prevent any disruption arising from a technology failure, cyber-attack, or other information or security breach. We depend on such parties to implement adequate controls and safeguards to protect against and report cyber incidents. If such parties fail to deter, detect, or report cybersecurity incidents in a timely manner, we may suffer from financial and other harm, including to our information, operations, performance, employees, and reputation.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potential consequences of a material cybersecurity incident and its effects include financial loss, reputational damage, litigation with third parties, theft of intellectual property, fines levied by the Federal Trade Commission or other government agencies, diminution in the value of our investment in research, development, and engineering, and increased cybersecurity protection and remediation costs due to the increasing sophistication and proliferation of threats, which in turn could have a material impact on our competitiveness, business, financial condition, and results of operations. In addition, cybersecurity laws and regulations continue to evolve, and are increasingly demanding, both in the U.S. and globally, which adds compliance complexity and may increase our costs of compliance and expose us to reputational damage or litigation, monetary damages, regulatory enforcement actions, or fines in one or more jurisdictions. We cannot be certain that our cybersecurity insurance coverage will be adequate for liabilities actually incurred, that insurance will continue to be available to us on economically reasonable terms, or at all, or that any insurer will not deny coverage as to any future claim.</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The development of technology products and services presents security and safety risks.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 increasing number of our products, services, and technologies are delivered with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inclusive of artificial intelligence and machine learning technologies,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 Additionally, our ability to continue to develop or use certain technologies may depend on our access to technology offered by third-party software and infrastructure providers, including those that provide hardware or artificial intelligence models, and we cannot control the quality, availability, or cost of these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66"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35    </w:t>
                      </w:r>
                      <w:r>
                        <w:rPr>
                          <w:rFonts w:ascii="Arial;sans-serif" w:hAnsi="Arial;sans-serif"/>
                          <w:b w:val="false"/>
                          <w:color w:val="000000"/>
                          <w:sz w:val="16"/>
                        </w:rPr>
                        <w:t>Honeywell International Inc.</w:t>
                      </w:r>
                    </w:p>
                  </w:txbxContent>
                </v:textbox>
                <w10:wrap type="none"/>
              </v:rect>
            </w:pict>
          </mc:Fallback>
        </mc:AlternateContent>
      </w:r>
    </w:p>
    <w:tbl>
      <w:tblPr>
        <w:tblW w:w="2639" w:type="dxa"/>
        <w:jc w:val="lef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Emerging cybersecurity regulations (including the EU Cyber Resilience Act) increasingly mandate rigorous cybersecurity standards for our products and services. These mandates may increase our operational costs by requiring additional investment in secure product development, vulnerability management, and product lifecycle management. Adapting our diverse portfolio to meet these requirements may require costly product redesigns, delay market entry for new solutions, or necessitate strategic retirement of legacy offerings. Failure to meet these standards could result in significant financial penalties, restricted market access, and reputational harm that could adversely affect our competitive position and financial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Moreover, beyond the regulations generally applicable to data collection and use, technologies such as artificial intelligence and machine learning may introduce novel compliance, security, and operational risks due to the rapidly evolving legal and regulatory environment, both in the United States and internationally, surrounding the development, sale and use of these technologies. Governments globally—including through frameworks such as the EU AI Act, the Colorado Artificial Intelligence Act, and the California AI Transparency Act—are adopting rules that impose heightened transparency, risk</w:t>
        <w:noBreakHyphen/>
        <w:t>management, monitoring, and human</w:t>
        <w:noBreakHyphen/>
        <w:t>oversight obligations. As these frameworks develop, we may be required to modify our practices, contracts, or products. Their ultimate impact is uncertain, and additional jurisdictions may adopt similar requirements. Failure to comply could result in regulatory scrutiny, fines, or reputational harm.</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Data privacy, data protection, and information security may require significant resources and present certain risks.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collect, store, have access to, and otherwise process certain confidential or sensitive data, including proprietary business information, personal data, or other information that is subject to data privacy and security laws, regulations, and/or contractual obligations with third parties. Despite our efforts to protect such data, we may be vulnerable to material security breaches, theft, misplaced or lost data, artificial intelligence-related data leaks, programming errors, or human errors that could potentially lead to the compromise of such data, improper use of our products, systems, software solutions, or networks, unauthorized access, use, disclosure, modification, or destruction of data, defective products, production downtimes, and operational disruptions. A significant actual or perceived risk of theft, loss, fraudulent use or misuse of customer, employee, or other data, including misuse of artificial intelligence features, whether by us, our suppliers, channel partners, customers, or other third parties, as a result of employee error or malfeasance, or as a result of the imaging, software, security, and other products we incorporate into our products, as well as non-compliance with applicable industry standards or our contractual or other legal obligations or privacy and information security policies regarding such data, could result in costs, fines, litigation, or regulatory actions, or could lead customers to select the products and services of our competitors. In addition, we operate in an environment in which there are different and potentially conflicting laws in effect in the U.S. and foreign jurisdictions in which we operate, and we must understand and comply with each law and standard in these jurisdictions while also ensuring the data is secure. Many of these laws impose stringent requirements as to how we collect, store, maintain, transfer, and otherwise process personal data and provide significant or material penalties for noncompliance. Many jurisdictions have passed or are considering laws that require personal data relating to their residents or citizens to be maintained or replicated on local servers or impose specific obligations related to extraterritorial data transfers. Government enforcement actions can be costly and interrupt the regular operation of our business, and actual or alleged violations of such laws, including in relation to the Company’s processing of personal data or adoption of emerging technologies such as artificial intelligence and machine learning, can result in fines, reputational damage, and civil lawsuits, any of which may adversely affect our business, reputation, and financial statements.</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A material disruption of our operations, particularly at our manufacturing facilities or within our IT infrastructure, could adversely affect our business.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Our facilities, supply chains, distribution systems, and IT systems are subject to catastrophic loss due to natural disasters or other weather-related disruptions, including hurricanes and floods, which may be exacerbated by the effects of climate change, power outages, fires, explosions, terrorism, equipment failures, sabotage, cyber incidents, any potential effects of climate change and adverse weather conditions, including water scarcity and rising sea levels, labor disputes and shortages, critical supply failure, inaccurate downtime forecast, political disruption and regional conflicts, public health crises, like a regional or global pandemic, and other reasons, which can result in undesirable consequences, including financial losses and damaged relationships with customers. We employ IT systems and networks to support the business and rely on them to process, transmit and store electronic information, and to manage or support a variety of business processes and activities. Although preventative measures may help to mitigate damage, such measures could be costly, and disruptions to our manufacturing facilities or IT infrastructure from system failures, shutdowns, power outages and energy shortages,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67"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36    </w:t>
                      </w:r>
                      <w:r>
                        <w:rPr>
                          <w:rFonts w:ascii="Arial;sans-serif" w:hAnsi="Arial;sans-serif"/>
                          <w:b w:val="false"/>
                          <w:color w:val="000000"/>
                          <w:sz w:val="16"/>
                        </w:rPr>
                        <w:t>Honeywell International Inc.</w:t>
                      </w:r>
                    </w:p>
                  </w:txbxContent>
                </v:textbox>
                <w10:wrap type="none"/>
              </v:rect>
            </w:pict>
          </mc:Fallback>
        </mc:AlternateContent>
      </w:r>
    </w:p>
    <w:tbl>
      <w:tblPr>
        <w:tblW w:w="2639" w:type="dxa"/>
        <w:jc w:val="righ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76" w:before="0" w:after="0"/>
        <w:jc w:val="both"/>
        <w:rPr>
          <w:rFonts w:ascii="Arial;sans-serif" w:hAnsi="Arial;sans-serif"/>
          <w:b/>
          <w:color w:val="D7282F"/>
          <w:sz w:val="18"/>
        </w:rPr>
      </w:pPr>
      <w:r>
        <w:rPr>
          <w:rFonts w:ascii="Arial;sans-serif" w:hAnsi="Arial;sans-serif"/>
          <w:b/>
          <w:color w:val="D7282F"/>
          <w:sz w:val="18"/>
        </w:rPr>
        <w:t>Concentrations of credit, counterparty, and market risk, and limitations in our ability to access the capital markets may adversely affect our results of operations and financial condition.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political and economic conditions could also lead to concerns about the creditworthiness of counterparties and their ability to pay in the same or similar industry or geography, impacting our ability to renew our long-term contractual arrangements or collect amounts due under these arrangements. Among other factors, geopolitical events, inflation, high interest rates, banking instability, and changes in economic conditions, including an economic downturn or recession, could also result in the credit deterioration or insolvency of a significant counterparty.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Additionally, instability in U.S. and global capital and credit markets, including market disruptions, limited liquidity and interest rate volatility, or reductions in the credit ratings assigned to us by independent rating agencies could reduce our access to capital markets, including in connection with the Separation, or increase the cost of funding our short- and long-term credit requirements. In particular, if we are unable to access capital and credit markets on terms that are acceptable to us, or at all, we may not be able to make certain investments or fully execute our business plans and strategies. If we were to raise funding through the issuance of equity securities, our shareowners would experience dilution of their existing ownership interest. If we were to raise significant additional funds by issuing debt, rating agencies could downgrade our credit ratings or put them on negative watch.</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We are impacted by stakeholder interest in public company performance, disclosure, and goal-setting with respect to environmental, social, and governance (ESG)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response to customer, investor, employee, governmental, and other stakeholder interest in our ESG practices, including our procedures, standards, performance metrics, and goals, we have increased reporting of our ESG programs and performance and have established and announced goals and other objectives related to ESG matters. These goal statements reflect our current plans and aspirations and are not guarantees that we will be able to achieve them. Our ability to achieve any goal or objective, including with respect to ESG initiatives, is subject to numerous risks, many of which are outside of our control. Examples of such risks include: (i) the availability and cost of low- or non-carbon-based energy sources and technologies, (ii) evolving regulatory requirements affecting ESG standards or disclosures, (iii) the availability of suppliers that can meet our sustainability and other standards, (iv) our ability to recruit, develop, and retain talent in our labor markets, and (v) the impact of our organic growth and acquisitions or dispositions of businesses or operations. In addition, standards for tracking and reporting on ESG matters have not been harmonized and continue to evolve. Our processes and controls for reporting of ESG matters may not always comply with evolving and disparate standards for identifying, measuring, and reporting ESG metrics, our interpretation of reporting standards may differ from those of others, and such standards may change over time, any of which could result in significant revisions to our performance metrics, goals, or reported progress in achieving such goals. In addition, certain of our products and services, including offerings in our Defense and Space business unit, are unattractive to certain investors and may cause us to be increasingly subject to ESG-driven investment practices that preclude investment in our debt and equity. On the other hand, some investors have a negative response to ESG practices as a result of anti-ESG sentiment and may choose not to invest in us, or divest in their holdings of us, as a result of our ESG practices and initiatives. Furthermore, there is also an increasing number of state-level anti-ESG initiatives in the U.S. that may conflict with other regulatory requirements, resulting in regulatory uncertainty.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our ESG practices or business portfolio do not meet evolving investor or other stakeholder expectations and standards, then our reputation, our ability to attract or retain employees, and our attractiveness as an investment, supplier, business partner, or acquiror could be negatively impacted. Our failure or perceived failure to pursue or fulfill our goals, targets, and objectives or to satisfy various reporting standards within the timelines we announce, or at all, could have similar negative impacts and expose us to government enforcement actions and private litigation.</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Global climate change and related regulations and changes in customer demand could negatively affect our operations and our business.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effects of climate change could create financial risks to our business. For example, the effects of physical impacts of climate change could disrupt our operations by impacting the availability and cost of materials needed for manufacturing, exacerbate existing risks to our supply chain, disrupt our operations, and increase insurance and other operating costs. These factors may impact our decisions to construct new facilities or maintain existing facilities in areas most prone to physical climate risks. We could also face indirect financial risks passed through the supply chain and disruptions that could result in increased prices for our products and the resources needed to produce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68"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37    </w:t>
                      </w:r>
                      <w:r>
                        <w:rPr>
                          <w:rFonts w:ascii="Arial;sans-serif" w:hAnsi="Arial;sans-serif"/>
                          <w:b w:val="false"/>
                          <w:color w:val="000000"/>
                          <w:sz w:val="16"/>
                        </w:rPr>
                        <w:t>Honeywell International Inc.</w:t>
                      </w:r>
                    </w:p>
                  </w:txbxContent>
                </v:textbox>
                <w10:wrap type="none"/>
              </v:rect>
            </w:pict>
          </mc:Fallback>
        </mc:AlternateContent>
      </w:r>
    </w:p>
    <w:tbl>
      <w:tblPr>
        <w:tblW w:w="2639" w:type="dxa"/>
        <w:jc w:val="lef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growing focus on addressing global climate change has resulted in more regulations designed to reduce GHG emissions and more customer demand for products and services that have a lower carbon footprint or that help businesses and consumers reduce carbon emissions throughout their value chains. These regulations tend to be implemented under global, national and sub-national climate objectives or policies, and target the global warming potential of refrigerants, energy efficiency, and the combustion of fossil fuels. Although we offer and continue to invest in developing solutions that help our customers meet their carbon reduction and sustainability goals, many of our products combust fossil fuels, consume energy, and use refrigerants. Regulations and carbon reduction goals which seek to reduce GHG emissions could reduce demand for such products and present a risk to our business. We may be required to further increase research and development and other capital expenditures in order to develop offerings that meet these new regulations, standards, and customer demands. There can be no assurance that our new product development efforts will be successful, that our products will be accepted by the market, or that economic returns will reflect our investments in new product development.</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LEGAL AND REGULATORY RISKS</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Our U.S. and non-U.S. tax liabilities are dependent, in part, upon the distribution of income among various jurisdictions in which we operate, as well as changes in tax law or regulation.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In addition, our future effective tax rates could be subject to volatility or adversely affected by changes in tax laws, regulations, accounting principles, or interpretations thereof.</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Organisation for Economic Co-operation and Development (OECD)/G20 and other invited countries, developed a global tax framework inclusive of a 15% global minimum tax under the Pillar Two Global Anti-Base Erosion Rules (Pillar Two). On December 15, 2022, the Council of the European Union (EU) formally adopted the OECD’s framework to achieve a coordinated implementation amongst EU Member States consistent with EU law. All aspects of the EU’s Pillar Two Directive were fully effective on January 1, 2025. Other major jurisdictions are actively considering and implementing changes to their tax laws to adopt certain parts of the OECD’s proposals. On January 5. 2026, the OECD announced a new package of administrative guidance under the Pillar Two rules, the “side-by-side” framework allows for additional safe harbors for US multinationals reducing the Pillar Two impact. We have assessed this framework and determined, based upon available guidance, that these changes will not have a material impact to our results of operations. Any future changes in OECD guidance or interpretations, including local country tax legislative changes thereof, could impact our initial assessment; therefore, we will continue to monitor and refine our assessment as further guidance is made available.</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Changes in legislation or government regulations or policies can have a significant impact on our results of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sales and margins of each of our reportable business segments are directly impacted by government regulations, including environmental, safety, performance, and product certification regulations. Within Aerospace Technologies, the operating results of Commercial Aviation Original Equipment and Commercial Aviation Aftermarket may be impacted by, among other things, mandates of the Federal Aviation Administration and other similar international regulatory bodies regulating the installation of equipment on aircraft. Our Defense and Space business unit may be affected by changes in government procurement regulations. Within Building Automation and Industrial Automation, the demand for and cost of providing products, services and solutions can be impacted by fire, security, safety, health care, environmental, and energy efficiency standards and regulations. Energy and Sustainability Solutions' results of operations can be impacted by environmental and health standards, regulations, and judicial determinations.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69"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38    </w:t>
                      </w:r>
                      <w:r>
                        <w:rPr>
                          <w:rFonts w:ascii="Arial;sans-serif" w:hAnsi="Arial;sans-serif"/>
                          <w:b w:val="false"/>
                          <w:color w:val="000000"/>
                          <w:sz w:val="16"/>
                        </w:rPr>
                        <w:t>Honeywell International Inc.</w:t>
                      </w:r>
                    </w:p>
                  </w:txbxContent>
                </v:textbox>
                <w10:wrap type="none"/>
              </v:rect>
            </w:pict>
          </mc:Fallback>
        </mc:AlternateContent>
      </w:r>
    </w:p>
    <w:tbl>
      <w:tblPr>
        <w:tblW w:w="2639" w:type="dxa"/>
        <w:jc w:val="right"/>
        <w:tblInd w:w="0" w:type="dxa"/>
        <w:tblLayout w:type="fixed"/>
        <w:tblCellMar>
          <w:top w:w="28" w:type="dxa"/>
          <w:left w:w="28" w:type="dxa"/>
          <w:bottom w:w="28" w:type="dxa"/>
          <w:right w:w="28" w:type="dxa"/>
        </w:tblCellMar>
      </w:tblPr>
      <w:tblGrid>
        <w:gridCol w:w="548"/>
        <w:gridCol w:w="482"/>
        <w:gridCol w:w="484"/>
        <w:gridCol w:w="329"/>
        <w:gridCol w:w="329"/>
        <w:gridCol w:w="46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RISK FACTORS</w:t>
            </w:r>
          </w:p>
        </w:tc>
      </w:tr>
    </w:tbl>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Increased focus and evolving views of lawmakers on climate change and other ESG issues could have a long-term impact on our business and result of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Increased public awareness and concern regarding global climate change and other ESG matters may result in more international, regional, and/or federal regulatory or other stakeholder requirements or expectations that could mandate more restrictive or expansive standards, such as stricter limits on GHG emissions or more prescriptive reporting of ESG metrics, practices, and targets, than the voluntary commitments that the Company has adopted or require such changes on a more accelerated time frame. There continues to be a lack of consistent climate and other ESG legislation, which creates economic and regulatory uncertainty; however, there has been an increasing amount of legislative and regulatory activity, particularly in the European Union, the United Kingdom, and the U.S. In addition, there is also an increasing number of state-level anti-ESG initiatives in the U.S. that may conflict with other regulatory requirements, resulting in regulatory uncertainty. New or revised legal and regulatory requirements could impose significant operational restrictions and compliance requirements upon the Company or its products, and could negatively impact the Company’s business, capital expenditures, results of operations, financial condition, and competitive position.</w:t>
      </w:r>
    </w:p>
    <w:p>
      <w:pPr>
        <w:pStyle w:val="TextBody"/>
        <w:bidi w:val="0"/>
        <w:spacing w:lineRule="auto" w:line="288" w:before="120" w:after="120"/>
        <w:jc w:val="both"/>
        <w:rPr>
          <w:rFonts w:ascii="Arial;sans-serif" w:hAnsi="Arial;sans-serif"/>
          <w:b/>
          <w:color w:val="D7282F"/>
          <w:sz w:val="18"/>
        </w:rPr>
      </w:pPr>
      <w:r>
        <w:rPr>
          <w:rFonts w:ascii="Arial;sans-serif" w:hAnsi="Arial;sans-serif"/>
          <w:b/>
          <w:color w:val="D7282F"/>
          <w:sz w:val="18"/>
        </w:rPr>
        <w:t>We cannot predict with certainty the outcome of litigation matters, government proceedings and other contingencies and uncertainties.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currently, and may in the future become, subject to lawsuits, fines, investigations, and disputes (some of which involve substantial amounts claimed) arising out of the conduct of our business, or those of previously-owned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reputation,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70"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39    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39    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QUANTITATIVE AND QUALITATIVE DISCLOSURES ABOUT MARKET RISKS</w:t>
      </w:r>
    </w:p>
    <w:p>
      <w:pPr>
        <w:pStyle w:val="TextBody"/>
        <w:bidi w:val="0"/>
        <w:spacing w:lineRule="auto" w:line="288" w:before="120" w:after="120"/>
        <w:jc w:val="both"/>
        <w:rPr/>
      </w:pPr>
      <w:r>
        <w:rPr>
          <w:rFonts w:ascii="Arial;sans-serif" w:hAnsi="Arial;sans-serif"/>
          <w:b w:val="false"/>
          <w:color w:val="000000"/>
          <w:sz w:val="18"/>
        </w:rPr>
        <w:t xml:space="preserve">Information relating to market risks is included within </w:t>
      </w:r>
      <w:hyperlink w:anchor="ic3922f0530c04df99983ab02c4d22c0f_115">
        <w:r>
          <w:rPr>
            <w:rStyle w:val="InternetLink"/>
            <w:rFonts w:ascii="Arial;sans-serif" w:hAnsi="Arial;sans-serif"/>
            <w:b w:val="false"/>
            <w:color w:val="0000FF"/>
            <w:sz w:val="18"/>
            <w:u w:val="single"/>
          </w:rPr>
          <w:t>Liquidity and Capital Resources</w:t>
        </w:r>
      </w:hyperlink>
      <w:r>
        <w:rPr>
          <w:color w:val="000000"/>
        </w:rPr>
        <w:t xml:space="preserve"> </w:t>
      </w:r>
      <w:r>
        <w:rPr>
          <w:rFonts w:ascii="Arial;sans-serif" w:hAnsi="Arial;sans-serif"/>
          <w:b w:val="false"/>
          <w:color w:val="000000"/>
          <w:sz w:val="18"/>
        </w:rPr>
        <w:t>of our Form 10-K under the caption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LIQUIDITY AND CAPITAL RESOURCES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(Dollars in tables in millions)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CASH</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As of December 31, 2025, and 2024, we held $12.9 billion and $10.3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we held $10.2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CASH FLOW SUMMARY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cash flows from operating, investing, and financing activities, as reflected in the Consolidated Statement of Cash Flows, are summarized as follows:</w:t>
      </w:r>
    </w:p>
    <w:tbl>
      <w:tblPr>
        <w:tblW w:w="10205" w:type="dxa"/>
        <w:jc w:val="left"/>
        <w:tblInd w:w="0" w:type="dxa"/>
        <w:tblLayout w:type="fixed"/>
        <w:tblCellMar>
          <w:top w:w="28" w:type="dxa"/>
          <w:left w:w="28" w:type="dxa"/>
          <w:bottom w:w="28" w:type="dxa"/>
          <w:right w:w="28" w:type="dxa"/>
        </w:tblCellMar>
      </w:tblPr>
      <w:tblGrid>
        <w:gridCol w:w="1603"/>
        <w:gridCol w:w="1365"/>
        <w:gridCol w:w="1369"/>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613"/>
        <w:gridCol w:w="157"/>
      </w:tblGrid>
      <w:tr>
        <w:trPr/>
        <w:tc>
          <w:tcPr>
            <w:tcW w:w="160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7" w:type="dxa"/>
            <w:gridSpan w:val="3"/>
            <w:vMerge w:val="restart"/>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58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337" w:type="dxa"/>
            <w:gridSpan w:val="3"/>
            <w:vMerge w:val="continue"/>
            <w:tcBorders>
              <w:bottom w:val="single" w:sz="4" w:space="0" w:color="D7282F"/>
            </w:tcBorders>
            <w:tcMar>
              <w:top w:w="0" w:type="dxa"/>
              <w:left w:w="0" w:type="dxa"/>
              <w:bottom w:w="30" w:type="dxa"/>
              <w:right w:w="0" w:type="dxa"/>
            </w:tcMar>
            <w:vAlign w:val="center"/>
          </w:tcPr>
          <w:p>
            <w:pPr>
              <w:pStyle w:val="Normal"/>
              <w:bidi w:val="0"/>
              <w:jc w:val="left"/>
              <w:rPr/>
            </w:pPr>
            <w:r>
              <w:rPr/>
            </w:r>
          </w:p>
        </w:tc>
        <w:tc>
          <w:tcPr>
            <w:tcW w:w="96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2023</w:t>
            </w:r>
          </w:p>
        </w:tc>
      </w:tr>
      <w:tr>
        <w:trPr/>
        <w:tc>
          <w:tcPr>
            <w:tcW w:w="433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(1,702)</w:t>
            </w:r>
          </w:p>
        </w:tc>
        <w:tc>
          <w:tcPr>
            <w:tcW w:w="1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adjustments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NARCO Buyout payment</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Resideo indemnification and reimbursement agreement termination payment</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Asbestos liabilities divestiture payment</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activities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 from discontinued operations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5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6,408</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5,340</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w:t>
            </w:r>
            <w:r>
              <w:rPr>
                <w:color w:val="000000"/>
              </w:rPr>
              <w:t> </w:t>
            </w:r>
          </w:p>
        </w:tc>
        <w:tc>
          <w:tcPr>
            <w:tcW w:w="15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71"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40    </w:t>
                      </w:r>
                      <w:r>
                        <w:rPr>
                          <w:rFonts w:ascii="Arial;sans-serif" w:hAnsi="Arial;sans-serif"/>
                          <w:b w:val="false"/>
                          <w:color w:val="000000"/>
                          <w:sz w:val="16"/>
                        </w:rPr>
                        <w:t>Honeywell International Inc.</w:t>
                      </w:r>
                    </w:p>
                  </w:txbxContent>
                </v:textbox>
                <w10:wrap type="none"/>
              </v:rect>
            </w:pict>
          </mc:Fallback>
        </mc:AlternateContent>
      </w:r>
    </w:p>
    <w:tbl>
      <w:tblPr>
        <w:tblW w:w="4109" w:type="dxa"/>
        <w:jc w:val="right"/>
        <w:tblInd w:w="0" w:type="dxa"/>
        <w:tblLayout w:type="fixed"/>
        <w:tblCellMar>
          <w:top w:w="28" w:type="dxa"/>
          <w:left w:w="28" w:type="dxa"/>
          <w:bottom w:w="28" w:type="dxa"/>
          <w:right w:w="28" w:type="dxa"/>
        </w:tblCellMar>
      </w:tblPr>
      <w:tblGrid>
        <w:gridCol w:w="548"/>
        <w:gridCol w:w="482"/>
        <w:gridCol w:w="484"/>
        <w:gridCol w:w="758"/>
        <w:gridCol w:w="758"/>
        <w:gridCol w:w="107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LIQUIDITY AND CAPITAL RESOURCES</w:t>
            </w:r>
          </w:p>
        </w:tc>
      </w:tr>
    </w:tbl>
    <w:tbl>
      <w:tblPr>
        <w:tblW w:w="10205" w:type="dxa"/>
        <w:jc w:val="left"/>
        <w:tblInd w:w="0" w:type="dxa"/>
        <w:tblLayout w:type="fixed"/>
        <w:tblCellMar>
          <w:top w:w="28" w:type="dxa"/>
          <w:left w:w="28" w:type="dxa"/>
          <w:bottom w:w="28" w:type="dxa"/>
          <w:right w:w="28" w:type="dxa"/>
        </w:tblCellMar>
      </w:tblPr>
      <w:tblGrid>
        <w:gridCol w:w="1561"/>
        <w:gridCol w:w="1339"/>
        <w:gridCol w:w="1345"/>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616"/>
        <w:gridCol w:w="156"/>
      </w:tblGrid>
      <w:tr>
        <w:trPr/>
        <w:tc>
          <w:tcPr>
            <w:tcW w:w="156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59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245"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2023</w:t>
            </w:r>
          </w:p>
        </w:tc>
      </w:tr>
      <w:tr>
        <w:trPr/>
        <w:tc>
          <w:tcPr>
            <w:tcW w:w="4245" w:type="dxa"/>
            <w:gridSpan w:val="3"/>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continuing operations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(9,864)</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(8,869)</w:t>
            </w:r>
          </w:p>
        </w:tc>
        <w:tc>
          <w:tcPr>
            <w:tcW w:w="15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discontinued operations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provided by financing activities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(8,792)</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12,602 </w:t>
            </w:r>
          </w:p>
        </w:tc>
        <w:tc>
          <w:tcPr>
            <w:tcW w:w="15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15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and cash equivalents</w:t>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4,344</w:t>
            </w:r>
            <w:r>
              <w:rPr>
                <w:color w:val="000000"/>
              </w:rPr>
              <w:t> </w:t>
            </w:r>
          </w:p>
        </w:tc>
        <w:tc>
          <w:tcPr>
            <w:tcW w:w="15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7,925</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2,642</w:t>
            </w:r>
            <w:r>
              <w:rPr>
                <w:color w:val="000000"/>
              </w:rPr>
              <w:t> </w:t>
            </w:r>
          </w:p>
        </w:tc>
        <w:tc>
          <w:tcPr>
            <w:tcW w:w="1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Year ended December 31,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provided by operating activities from continuing operations driven by Net income, adjusted for $1,388 million of depreciation and amortization, and receipt of the Resideo indemnification and reimbursement agreement termination payment of $1,590 million, partially offset by the Asbestos liabilities divestiture payment of $1,428 million.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investing activities from continuing operations driven by $2,211 million of cash paid for acquisitions, $986 million of capital expenditures, and $399 million of net payments for settlements of derivative contracts, partially offset by $1,157 million proceeds from the sale of the PPE business.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driven by $3,804 million of repurchases of common stock, $2,976 million of cash dividends paid, and $2,909 million of payments of long-term debt, partially offset by $4,035 million of long-term debt proceeds, $1,962 million of pre-separation funding related to the spin-off of the Advanced Materials business, and $1,482 million of net proceeds from commercial paper.</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Year ended December 31, 2024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provided by operating activities from continuing operations largely driven by Net income.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investing activities from continuing operations driven by $8,880 million of cash paid for acquisitions and $871 million of capital expenditures.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provided by financing activities driven by $10,408 million of long-term debt proceeds and $2,260 million of net proceeds of commercial paper, partially offset by $2,902 million of cash dividends paid, $1,812 million of repayments of long-term debt, and $1,655 million of repurchases of common stock.</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2025 compared with 2024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provided by operating activities from continuing operations increased by $963 million, driven by the receipt of the Resideo indemnification and reimbursement agreement termination payment of $1,590 million and $771 million increase in other operating activities, primarily due to a favorable impact of customer advances and deferred revenue, partially offset by the asbestos liabilities divestiture payment of $1,428 million.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investing activities from continuing operations decreased by $7,422 million, driven by a $6,669 million decrease in cash paid for acquisitions and $1,157 million proceeds from the sale of the PPE business.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increased by $8,792 million, driven by $6,373 million decrease in long-term debt proceeds, $2,149 million increase in repurchases of common stock, and $1,097 million increase in payments of long-term debt, partially offset by $1,962 million of pre-separation funding related to the spin-off of the Advanced Materials business.</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c3922f0530c04df99983ab02c4d22c0f_226">
        <w:r>
          <w:rPr>
            <w:rStyle w:val="InternetLink"/>
          </w:rPr>
          <w:t>Debt and Cred</w:t>
        </w:r>
      </w:hyperlink>
      <w:hyperlink w:anchor="ic3922f0530c04df99983ab02c4d22c0f_226">
        <w:r>
          <w:rPr>
            <w:rStyle w:val="InternetLink"/>
          </w:rPr>
          <w:t>it Agreements</w:t>
        </w:r>
      </w:hyperlink>
      <w:r>
        <w:rPr>
          <w:color w:val="000000"/>
        </w:rPr>
        <w:t xml:space="preserve"> </w:t>
      </w:r>
      <w:r>
        <w:rPr>
          <w:rFonts w:ascii="Arial;sans-serif" w:hAnsi="Arial;sans-serif"/>
          <w:b w:val="false"/>
          <w:color w:val="000000"/>
          <w:sz w:val="18"/>
        </w:rPr>
        <w:t xml:space="preserve">of Notes to the Consolidated Financial Statement for additional information on pre-separation funding related to the spin-off of the Advanced Materials business and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 for additional information on the Resideo indemnification and reimbursement agreement termination payment and the Asbestos liabilities divestiture payment.</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2024 compared with 2023</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provided by operating activities from continuing operations increased by $653 million, primarily due to the $1,325 million payment made by the Company pursuant to the NARCO Amended Buyout Agreement in 2023, partially offset by $727 million decrease of noncash adjustments, driven by $605 million decline in repositioning and other charges.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investing activities from continuing operations increased by $8,869 million, driven by a $8,162 million increase in cash paid for acquisitions and $618 million net increase in cash paid for investments.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Net cash provided by financing activities increased by $12,602 million, driven by $7,422 million increase in long-term debt proceeds, primarily to fund our recent acquisitions, $2,932 million increase in net proceeds of commercial paper, and $2,060 million decrease in repurchases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72"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41    </w:t>
                      </w:r>
                      <w:r>
                        <w:rPr>
                          <w:rFonts w:ascii="Arial;sans-serif" w:hAnsi="Arial;sans-serif"/>
                          <w:b w:val="false"/>
                          <w:color w:val="000000"/>
                          <w:sz w:val="16"/>
                        </w:rPr>
                        <w:t>Honeywell International Inc.</w:t>
                      </w:r>
                    </w:p>
                  </w:txbxContent>
                </v:textbox>
                <w10:wrap type="none"/>
              </v:rect>
            </w:pict>
          </mc:Fallback>
        </mc:AlternateContent>
      </w:r>
    </w:p>
    <w:tbl>
      <w:tblPr>
        <w:tblW w:w="4109" w:type="dxa"/>
        <w:jc w:val="right"/>
        <w:tblInd w:w="0" w:type="dxa"/>
        <w:tblLayout w:type="fixed"/>
        <w:tblCellMar>
          <w:top w:w="28" w:type="dxa"/>
          <w:left w:w="28" w:type="dxa"/>
          <w:bottom w:w="28" w:type="dxa"/>
          <w:right w:w="28" w:type="dxa"/>
        </w:tblCellMar>
      </w:tblPr>
      <w:tblGrid>
        <w:gridCol w:w="548"/>
        <w:gridCol w:w="482"/>
        <w:gridCol w:w="484"/>
        <w:gridCol w:w="758"/>
        <w:gridCol w:w="758"/>
        <w:gridCol w:w="107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LIQUIDITY AND CAPITAL RESOURCES</w:t>
            </w:r>
          </w:p>
        </w:tc>
      </w:tr>
    </w:tbl>
    <w:p>
      <w:pPr>
        <w:pStyle w:val="TextBody"/>
        <w:bidi w:val="0"/>
        <w:spacing w:lineRule="auto" w:line="288" w:before="120" w:after="120"/>
        <w:jc w:val="both"/>
        <w:rPr/>
      </w:pPr>
      <w:r>
        <w:rPr>
          <w:rFonts w:ascii="Arial;sans-serif" w:hAnsi="Arial;sans-serif"/>
          <w:b w:val="false"/>
          <w:color w:val="000000"/>
          <w:sz w:val="18"/>
        </w:rPr>
        <w:t xml:space="preserve">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 for additional information on the NARCO Amended Buyout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ASSESSMENT OF CURRENT LIQUIDITY AND CASH REQUIREMENTS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Based on past performance and current expectations, we believe that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 </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c3922f0530c04df99983ab02c4d22c0f_226">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discussion of items impacting our liquidity.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our normal operating cash requirements, we expect our primary cash requirements in 2026 to be as follows: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Capital expenditures—we expect to spend approximately $1.3 billion for capital expenditures in 2026 primarily for growth, production and capacity expansion, implementation of cost reduction measures, maintenance, and replacement.</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Share repurchases—under our share repurchase program, $1.7 billion was available as of December 31, 2025, for additional share repurchases as authorized by the Board on April 24, 2023. We expect to repurchase outstanding shares from time to time to offset the dilutive impact of employee stock-based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our level of operating, financing, and other investing activities.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Mergers and acquisitions—in addition to the intended separation of Honeywell from Honeywell Aerospace, into independent, U.S. publicly traded companies, we expect to evaluate and undertake actions to optimize our portfolio, including executing on strategic bolt-on acquisitions over the course of 2026.</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Dividends—we increased our quarterly dividend rate by 5% to $1.19 per share of common stock effective with the fourth quarter 2025 dividend. We intend to continue to pay quarterly dividends in 2026.</w:t>
      </w:r>
      <w:r>
        <w:rPr>
          <w:color w:val="000000"/>
          <w:shd w:fill="FFFFFF" w:val="clear"/>
        </w:rPr>
        <w:t xml:space="preserv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sell trade receivables to unaffiliated financial institutions with limited or no recourse. We account for trade receivable sales as sales and, accordingly, receivables sold are excluded from Accounts receivable—net in the Consolidated Balance Sheet and are reflected in Cash flows from operating activities in the Consolidated Statement of Cash Flows. The difference between the carrying amount of the trade receivables sold and the cash received is recorded in Cost of products and services sold in the Consolidated Statement of Operations. The impact of this program is not material to our overall liquidity.</w:t>
      </w:r>
    </w:p>
    <w:p>
      <w:pPr>
        <w:pStyle w:val="TextBody"/>
        <w:bidi w:val="0"/>
        <w:spacing w:lineRule="auto" w:line="288" w:before="120" w:after="120"/>
        <w:jc w:val="both"/>
        <w:rPr/>
      </w:pPr>
      <w:r>
        <w:rPr>
          <w:rFonts w:ascii="Arial;sans-serif" w:hAnsi="Arial;sans-serif"/>
          <w:b w:val="false"/>
          <w:color w:val="000000"/>
          <w:sz w:val="18"/>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seek to identify acquisition candidates that will further our strategic plan and strengthen our existing core businesses. In the second quarter of 2025, we acquired Sundyne for total consideration of $2.2 billion, net of cash acquired, as well as announced our agreement to acquire Johnson Matthey's Catalyst Technologies business segment for £1.8 billion.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February 6, 2025, we announced our intention to separate Honeywell from Honeywell Aerospace, into independent, U.S. publicly traded companies, which is expected to be completed in the third quarter of 2026. On May 21, 2025, we completed the sale of our PPE business for $1.2 billion, net of cash transferred. On July 8, 2025, we announced our intent to strategically evaluate alternatives for our Productivity Solutions and Services and Warehouse and Workflow Solutions businesses within the Industrial Automation reportable business segment and classified the assets and liabilities of the businesses as held for sale during the fourth quarter. On September 29, 2025, we permanently divested our legacy Bendix asbestos liabilities and certain non-Bendix asbestos liabilities that had been previously allocated to a separate, wholly owned entity as part of our liability management reorganization on June 23, 2025. Under the terms of the divestiture agreement, we contributed $1.4 billion in cash, as well as certain insurance assets related to these legacy asbestos liabilities, to a third party entity. On October 30, 2025, we completed the spin-off of the Advanced Materials business into Solstice Advanced Materials Inc., an independent, U.S. publicly traded company. See Note 2 </w:t>
      </w:r>
      <w:hyperlink w:anchor="ic3922f0530c04df99983ab02c4d22c0f_202">
        <w:r>
          <w:rPr>
            <w:rStyle w:val="InternetLink"/>
          </w:rPr>
          <w:t>Acquisitions</w:t>
        </w:r>
      </w:hyperlink>
      <w:hyperlink w:anchor="ic3922f0530c04df99983ab02c4d22c0f_202">
        <w:r>
          <w:rPr>
            <w:rStyle w:val="InternetLink"/>
          </w:rPr>
          <w:t>,</w:t>
        </w:r>
      </w:hyperlink>
      <w:hyperlink w:anchor="ic3922f0530c04df99983ab02c4d22c0f_202">
        <w:r>
          <w:rPr>
            <w:rStyle w:val="InternetLink"/>
          </w:rPr>
          <w:t xml:space="preserve"> Divestitures</w:t>
        </w:r>
      </w:hyperlink>
      <w:hyperlink w:anchor="ic3922f0530c04df99983ab02c4d22c0f_202">
        <w:r>
          <w:rPr>
            <w:rStyle w:val="InternetLink"/>
          </w:rPr>
          <w:t xml:space="preserve">, </w:t>
        </w:r>
      </w:hyperlink>
      <w:hyperlink w:anchor="ic3922f0530c04df99983ab02c4d22c0f_202">
        <w:r>
          <w:rPr>
            <w:rStyle w:val="InternetLink"/>
          </w:rPr>
          <w:t>and Discontinued Operations</w:t>
        </w:r>
      </w:hyperlink>
      <w:r>
        <w:rPr>
          <w:color w:val="000000"/>
        </w:rPr>
        <w:t xml:space="preserve"> </w:t>
      </w:r>
      <w:r>
        <w:rPr>
          <w:rFonts w:ascii="Arial;sans-serif" w:hAnsi="Arial;sans-serif"/>
          <w:b w:val="false"/>
          <w:color w:val="000000"/>
          <w:sz w:val="18"/>
        </w:rPr>
        <w:t xml:space="preserve">and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 xml:space="preserve">of Notes to Consolidated Financial Statements for additional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73"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42    </w:t>
                      </w:r>
                      <w:r>
                        <w:rPr>
                          <w:rFonts w:ascii="Arial;sans-serif" w:hAnsi="Arial;sans-serif"/>
                          <w:b w:val="false"/>
                          <w:color w:val="000000"/>
                          <w:sz w:val="16"/>
                        </w:rPr>
                        <w:t>Honeywell International Inc.</w:t>
                      </w:r>
                    </w:p>
                  </w:txbxContent>
                </v:textbox>
                <w10:wrap type="none"/>
              </v:rect>
            </w:pict>
          </mc:Fallback>
        </mc:AlternateContent>
      </w:r>
    </w:p>
    <w:tbl>
      <w:tblPr>
        <w:tblW w:w="4109" w:type="dxa"/>
        <w:jc w:val="right"/>
        <w:tblInd w:w="0" w:type="dxa"/>
        <w:tblLayout w:type="fixed"/>
        <w:tblCellMar>
          <w:top w:w="28" w:type="dxa"/>
          <w:left w:w="28" w:type="dxa"/>
          <w:bottom w:w="28" w:type="dxa"/>
          <w:right w:w="28" w:type="dxa"/>
        </w:tblCellMar>
      </w:tblPr>
      <w:tblGrid>
        <w:gridCol w:w="548"/>
        <w:gridCol w:w="482"/>
        <w:gridCol w:w="484"/>
        <w:gridCol w:w="758"/>
        <w:gridCol w:w="758"/>
        <w:gridCol w:w="107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LIQUIDITY AND CAPITAL RESOURCES</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BORROWINGS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a variety of debt instruments to manage our overall borrowing costs. As of December 31, 2025, and 2024, our total borrowings were $34.6 billion and $31.0 billion, respectively.</w:t>
      </w:r>
    </w:p>
    <w:tbl>
      <w:tblPr>
        <w:tblW w:w="4839" w:type="dxa"/>
        <w:jc w:val="left"/>
        <w:tblInd w:w="0" w:type="dxa"/>
        <w:tblLayout w:type="fixed"/>
        <w:tblCellMar>
          <w:top w:w="28" w:type="dxa"/>
          <w:left w:w="28" w:type="dxa"/>
          <w:bottom w:w="28" w:type="dxa"/>
          <w:right w:w="28" w:type="dxa"/>
        </w:tblCellMar>
      </w:tblPr>
      <w:tblGrid>
        <w:gridCol w:w="915"/>
        <w:gridCol w:w="806"/>
        <w:gridCol w:w="814"/>
        <w:gridCol w:w="196"/>
        <w:gridCol w:w="661"/>
        <w:gridCol w:w="109"/>
        <w:gridCol w:w="109"/>
        <w:gridCol w:w="109"/>
        <w:gridCol w:w="109"/>
        <w:gridCol w:w="196"/>
        <w:gridCol w:w="661"/>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53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 notes</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25,164 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25,853 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 notes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hedging instruments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borrowings</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34,580</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31,038</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key source of liquidity is our ability to access the corporate bond markets. Through these markets, we issue a variety of long-term fixed rate notes to manage our overall funding costs.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also have the following loan and revolving credit agreements: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A $6.0 billion Delayed Draw Term Loan Agreement (the Term Loan Agreement), dated as of May 7, 2025. The Term Loan Agreement is comprised of two tranches: (i) commitments to provide loans in an aggregate principal amount of up to $4.0 billion, which was fully drawn effective May 30, 2025, and (ii) commitments to provide loans in an aggregate amount of up to $2.0 billion, which expired on December 19, 2025. Amounts borrowed under the Term Loan Agreement are required to be paid no later than May 7, 2027, unless the Term Loan Agreement is terminated earlier pursuant to its terms. As of December 31, 2025, there were $2.75 billion of borrowings outstanding on the Term Loan Agreement.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$3.0 billion 364-day credit agreement (the 364-Day Credit Agreement) with a syndicate of banks, dated as of March 17, 2025. Amounts borrowed under the 364-Day Credit Agreement are required to be repaid no later than March 16, 2026, unless (i) we elect to convert all then outstanding amounts into a term loan, upon which such amounts shall be repaid in full on March 16, 2027, or (ii) the 364-Day Credit Agreement is terminated earlier pursuant to its terms. The 364-Day Credit Agreement replaced the previously reported $1.5 billion 364-day credit agreement dated as of March 18, 2024, which was terminated in accordance with its terms effective March 17, 2025. As of December 31, 2025, there were no outstanding borrowings under our 364-Day Credit Agreement.</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$1.0 billion Fixed Rate Term Loan Credit Agreement (the Fixed Rate Term Loan Credit Agreement), dated as of August 12, 2024. Amounts borrowed under the Fixed Rate Term Loan Credit Agreement are required to be repaid no later than August 12, 2027, unless the Fixed Rate Term Loan Credit Agreement is terminated earlier pursuant to its terms. As of December 31, 2025, there were $1.0 billion of borrowings outstanding under the Fixed Rate Term Loan Credit Agreement.</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$4.0 billion five-year credit agreement (the Five-Year Credit Agreement) with a syndicate of banks, dated as of March 18, 2024. Commitments under the Five-Year Credit Agreement can be increased pursuant to the terms of the Five-Year Credit Agreement to an aggregate amount not to exceed $4.5 billion. As of December 31, 2025, there were no outstanding borrowings under our Five-Year Credit Agreement.</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c3922f0530c04df99983ab02c4d22c0f_226">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information regarding our debt instruments.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74"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43    </w:t>
                      </w:r>
                      <w:r>
                        <w:rPr>
                          <w:rFonts w:ascii="Arial;sans-serif" w:hAnsi="Arial;sans-serif"/>
                          <w:b w:val="false"/>
                          <w:color w:val="000000"/>
                          <w:sz w:val="16"/>
                        </w:rPr>
                        <w:t>Honeywell International Inc.</w:t>
                      </w:r>
                    </w:p>
                  </w:txbxContent>
                </v:textbox>
                <w10:wrap type="none"/>
              </v:rect>
            </w:pict>
          </mc:Fallback>
        </mc:AlternateContent>
      </w:r>
    </w:p>
    <w:tbl>
      <w:tblPr>
        <w:tblW w:w="4109" w:type="dxa"/>
        <w:jc w:val="right"/>
        <w:tblInd w:w="0" w:type="dxa"/>
        <w:tblLayout w:type="fixed"/>
        <w:tblCellMar>
          <w:top w:w="28" w:type="dxa"/>
          <w:left w:w="28" w:type="dxa"/>
          <w:bottom w:w="28" w:type="dxa"/>
          <w:right w:w="28" w:type="dxa"/>
        </w:tblCellMar>
      </w:tblPr>
      <w:tblGrid>
        <w:gridCol w:w="548"/>
        <w:gridCol w:w="482"/>
        <w:gridCol w:w="484"/>
        <w:gridCol w:w="758"/>
        <w:gridCol w:w="758"/>
        <w:gridCol w:w="107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LIQUIDITY AND CAPITAL RESOURCES</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CREDIT RATINGS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ability to access the global debt capital markets and the related cost of these borrowings is affected by the strength of our credit rating and market conditions. Our credit ratings are periodically reviewed by the major independent debt-rating agencies. As of December 31, 2025, S&amp;P Global Inc. (S&amp;P), Fitch Ratings Inc. (Fitch), and Moody’s Investor Service (Moody's) have ratings on our debt set forth in the table below: </w:t>
      </w:r>
    </w:p>
    <w:tbl>
      <w:tblPr>
        <w:tblW w:w="4901" w:type="dxa"/>
        <w:jc w:val="left"/>
        <w:tblInd w:w="0" w:type="dxa"/>
        <w:tblLayout w:type="fixed"/>
        <w:tblCellMar>
          <w:top w:w="28" w:type="dxa"/>
          <w:left w:w="28" w:type="dxa"/>
          <w:bottom w:w="28" w:type="dxa"/>
          <w:right w:w="28" w:type="dxa"/>
        </w:tblCellMar>
      </w:tblPr>
      <w:tblGrid>
        <w:gridCol w:w="325"/>
        <w:gridCol w:w="286"/>
        <w:gridCol w:w="290"/>
        <w:gridCol w:w="418"/>
        <w:gridCol w:w="418"/>
        <w:gridCol w:w="424"/>
        <w:gridCol w:w="109"/>
        <w:gridCol w:w="109"/>
        <w:gridCol w:w="109"/>
        <w:gridCol w:w="418"/>
        <w:gridCol w:w="418"/>
        <w:gridCol w:w="424"/>
        <w:gridCol w:w="109"/>
        <w:gridCol w:w="109"/>
        <w:gridCol w:w="109"/>
        <w:gridCol w:w="242"/>
        <w:gridCol w:w="242"/>
        <w:gridCol w:w="342"/>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Moody's</w:t>
            </w:r>
          </w:p>
        </w:tc>
      </w:tr>
      <w:tr>
        <w:trPr/>
        <w:tc>
          <w:tcPr>
            <w:tcW w:w="9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Outlook</w:t>
            </w:r>
          </w:p>
        </w:tc>
        <w:tc>
          <w:tcPr>
            <w:tcW w:w="126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Watch Negative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Watch Negative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Stable</w:t>
            </w:r>
          </w:p>
        </w:tc>
      </w:tr>
      <w:tr>
        <w:trPr/>
        <w:tc>
          <w:tcPr>
            <w:tcW w:w="90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w:t>
            </w:r>
          </w:p>
        </w:tc>
        <w:tc>
          <w:tcPr>
            <w:tcW w:w="126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P1</w:t>
            </w:r>
          </w:p>
        </w:tc>
      </w:tr>
      <w:tr>
        <w:trPr/>
        <w:tc>
          <w:tcPr>
            <w:tcW w:w="901"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w:t>
            </w:r>
          </w:p>
        </w:tc>
        <w:tc>
          <w:tcPr>
            <w:tcW w:w="1260"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CONTRACTUAL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Following is a summary of our significant contractual obligations and probable liability payments as of December 31, 2025:</w:t>
      </w:r>
    </w:p>
    <w:tbl>
      <w:tblPr>
        <w:tblW w:w="10205" w:type="dxa"/>
        <w:jc w:val="left"/>
        <w:tblInd w:w="0" w:type="dxa"/>
        <w:tblLayout w:type="fixed"/>
        <w:tblCellMar>
          <w:top w:w="28" w:type="dxa"/>
          <w:left w:w="28" w:type="dxa"/>
          <w:bottom w:w="28" w:type="dxa"/>
          <w:right w:w="28" w:type="dxa"/>
        </w:tblCellMar>
      </w:tblPr>
      <w:tblGrid>
        <w:gridCol w:w="1509"/>
        <w:gridCol w:w="1295"/>
        <w:gridCol w:w="1303"/>
        <w:gridCol w:w="196"/>
        <w:gridCol w:w="661"/>
        <w:gridCol w:w="109"/>
        <w:gridCol w:w="109"/>
        <w:gridCol w:w="109"/>
        <w:gridCol w:w="109"/>
        <w:gridCol w:w="196"/>
        <w:gridCol w:w="571"/>
        <w:gridCol w:w="109"/>
        <w:gridCol w:w="109"/>
        <w:gridCol w:w="109"/>
        <w:gridCol w:w="109"/>
        <w:gridCol w:w="197"/>
        <w:gridCol w:w="666"/>
        <w:gridCol w:w="109"/>
        <w:gridCol w:w="109"/>
        <w:gridCol w:w="109"/>
        <w:gridCol w:w="109"/>
        <w:gridCol w:w="215"/>
        <w:gridCol w:w="627"/>
        <w:gridCol w:w="119"/>
        <w:gridCol w:w="109"/>
        <w:gridCol w:w="109"/>
        <w:gridCol w:w="109"/>
        <w:gridCol w:w="196"/>
        <w:gridCol w:w="661"/>
        <w:gridCol w:w="158"/>
      </w:tblGrid>
      <w:tr>
        <w:trPr/>
        <w:tc>
          <w:tcPr>
            <w:tcW w:w="15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by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2027 - 2028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2029 - 2030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r>
      <w:tr>
        <w:trPr/>
        <w:tc>
          <w:tcPr>
            <w:tcW w:w="41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Long-term debt, including finance leases</w:t>
            </w:r>
            <w:r>
              <w:rPr>
                <w:rFonts w:ascii="Arial;sans-serif" w:hAnsi="Arial;sans-serif"/>
                <w:b w:val="false"/>
                <w:color w:val="000000"/>
                <w:sz w:val="10"/>
              </w:rPr>
              <w:t>1</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4,832 </w:t>
            </w:r>
          </w:p>
        </w:tc>
        <w:tc>
          <w:tcPr>
            <w:tcW w:w="11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14,349 </w:t>
            </w:r>
          </w:p>
        </w:tc>
        <w:tc>
          <w:tcPr>
            <w:tcW w:w="15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payments on long-term debt, including finance leases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1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5,715 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1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Purchase obligations</w:t>
            </w:r>
            <w:r>
              <w:rPr>
                <w:rFonts w:ascii="Arial;sans-serif" w:hAnsi="Arial;sans-serif"/>
                <w:b w:val="false"/>
                <w:color w:val="000000"/>
                <w:sz w:val="10"/>
              </w:rPr>
              <w:t>2</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1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Estimated environmental liability payments</w:t>
            </w:r>
            <w:r>
              <w:rPr>
                <w:rFonts w:ascii="Arial;sans-serif" w:hAnsi="Arial;sans-serif"/>
                <w:b w:val="false"/>
                <w:color w:val="000000"/>
                <w:sz w:val="10"/>
              </w:rPr>
              <w:t>3</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bookmarkStart w:id="29" w:name="i487fca4f98ec46e6baacc4bb09d9e515_6-1-1-"/>
            <w:bookmarkEnd w:id="29"/>
            <w:r>
              <w:rPr>
                <w:rFonts w:ascii="Arial;sans-serif" w:hAnsi="Arial;sans-serif"/>
                <w:b w:val="false"/>
                <w:color w:val="000000"/>
                <w:sz w:val="16"/>
              </w:rPr>
              <w:t>894 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1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Total contractual obligations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43,451</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11,623</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6,769</w:t>
            </w:r>
            <w:r>
              <w:rPr>
                <w:color w:val="000000"/>
              </w:rPr>
              <w:t> </w:t>
            </w:r>
          </w:p>
        </w:tc>
        <w:tc>
          <w:tcPr>
            <w:tcW w:w="11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20,740</w:t>
            </w:r>
            <w:r>
              <w:rPr>
                <w:color w:val="000000"/>
              </w:rPr>
              <w:t> </w:t>
            </w:r>
          </w:p>
        </w:tc>
        <w:tc>
          <w:tcPr>
            <w:tcW w:w="15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1"/>
        <w:gridCol w:w="2783"/>
        <w:gridCol w:w="39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Assumes all long-term debt is outstanding until scheduled maturity.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obligations are entered into with various vendors in the normal course of business and are consistent with our expected requirements.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The payment amounts in the table only reflect the environmental liabilities which are probable and reasonably estimable as of December 31,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pPr>
            <w:r>
              <w:rPr>
                <w:rFonts w:ascii="Arial;sans-serif" w:hAnsi="Arial;sans-serif"/>
                <w:b w:val="false"/>
                <w:color w:val="000000"/>
                <w:sz w:val="14"/>
              </w:rPr>
              <w:t xml:space="preserve">The table excludes tax liability payments, including those for unrecognized tax benefits. See Note 5 </w:t>
            </w:r>
            <w:hyperlink w:anchor="ic3922f0530c04df99983ab02c4d22c0f_211">
              <w:r>
                <w:rPr>
                  <w:rStyle w:val="InternetLink"/>
                  <w:rFonts w:ascii="Arial;sans-serif" w:hAnsi="Arial;sans-serif"/>
                  <w:b w:val="false"/>
                  <w:color w:val="0000FF"/>
                  <w:sz w:val="14"/>
                  <w:u w:val="single"/>
                </w:rPr>
                <w:t>Income Taxes</w:t>
              </w:r>
            </w:hyperlink>
            <w:r>
              <w:rPr>
                <w:color w:val="000000"/>
              </w:rPr>
              <w:t xml:space="preserve"> </w:t>
            </w:r>
            <w:r>
              <w:rPr>
                <w:rFonts w:ascii="Arial;sans-serif" w:hAnsi="Arial;sans-serif"/>
                <w:b w:val="false"/>
                <w:color w:val="000000"/>
                <w:sz w:val="14"/>
              </w:rPr>
              <w:t>of Notes to Consolidated Financial Statements for additional information.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ASBESTOS MATTERS</w:t>
      </w:r>
    </w:p>
    <w:p>
      <w:pPr>
        <w:pStyle w:val="TextBody"/>
        <w:bidi w:val="0"/>
        <w:spacing w:lineRule="auto" w:line="288" w:before="120" w:after="120"/>
        <w:jc w:val="both"/>
        <w:rPr/>
      </w:pPr>
      <w:r>
        <w:rPr>
          <w:rFonts w:ascii="Arial;sans-serif" w:hAnsi="Arial;sans-serif"/>
          <w:b w:val="false"/>
          <w:color w:val="000000"/>
          <w:sz w:val="18"/>
        </w:rPr>
        <w:t xml:space="preserve">Payments, net of insurance recoveries, related to known asbestos matters were $155 million, $209 million, and $109 million for the years ended December 31, 2025, 2024, and 2023, respectively. On September 29, 2025, the Company permanently divested all of its legacy Bendix asbestos liabilities and certain non-Bendix asbestos liabilities, contributing $1.4 billion in cash and transferring asbestos liabilities to a third party entity. As part of the agreement, the Company will be indemnified from future asbestos claims. In early 2023, we made payments of approximately $1.3 billion in connection with the NARCO Buyout. For additional information regarding the divestiture of asbestos liabilities and NARCO Buyout, 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ENVIRONMENTAL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Accruals for environmental matters deemed probable and reasonably estimable were $443 million, $261 million, and $213 million for the years ended December 31, 2025, 2024, and 2023, respectively. In addition, for the years ended December 31, 2025, 2024, and 2023, we incurred operating costs for ongoing businesses of approximately $32 million, $39 million, and $35 million, respectively, relating to compliance with environmental regulations.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Payments related to known environmental matters were $175 million, $221 million, and $196 million for the years ended December 31, 2025, 2024, and 2023, respectively, and are estimated to be approximately $180 million in 2026. We expect to make payments associated with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75"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44    </w:t>
                      </w:r>
                      <w:r>
                        <w:rPr>
                          <w:rFonts w:ascii="Arial;sans-serif" w:hAnsi="Arial;sans-serif"/>
                          <w:b w:val="false"/>
                          <w:color w:val="000000"/>
                          <w:sz w:val="16"/>
                        </w:rPr>
                        <w:t>Honeywell International Inc.</w:t>
                      </w:r>
                    </w:p>
                  </w:txbxContent>
                </v:textbox>
                <w10:wrap type="none"/>
              </v:rect>
            </w:pict>
          </mc:Fallback>
        </mc:AlternateContent>
      </w:r>
    </w:p>
    <w:tbl>
      <w:tblPr>
        <w:tblW w:w="4109" w:type="dxa"/>
        <w:jc w:val="right"/>
        <w:tblInd w:w="0" w:type="dxa"/>
        <w:tblLayout w:type="fixed"/>
        <w:tblCellMar>
          <w:top w:w="28" w:type="dxa"/>
          <w:left w:w="28" w:type="dxa"/>
          <w:bottom w:w="28" w:type="dxa"/>
          <w:right w:w="28" w:type="dxa"/>
        </w:tblCellMar>
      </w:tblPr>
      <w:tblGrid>
        <w:gridCol w:w="548"/>
        <w:gridCol w:w="482"/>
        <w:gridCol w:w="484"/>
        <w:gridCol w:w="758"/>
        <w:gridCol w:w="758"/>
        <w:gridCol w:w="107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LIQUIDITY AND CAPITAL RESOURCES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Reimbursements from Resideo for payments related to environmental matters at certain sites, as defined in the indemnification and reimbursement agreement, were $105 million in 2025. In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As a result of the termination agreement, Resideo no longer has any obligation to make cash payments to Honeywell in respect of Honeywell's net spending for environmental matters.</w:t>
      </w:r>
    </w:p>
    <w:p>
      <w:pPr>
        <w:pStyle w:val="TextBody"/>
        <w:bidi w:val="0"/>
        <w:spacing w:lineRule="auto" w:line="288" w:before="120" w:after="120"/>
        <w:jc w:val="both"/>
        <w:rPr/>
      </w:pPr>
      <w:r>
        <w:rPr>
          <w:rFonts w:ascii="Arial;sans-serif" w:hAnsi="Arial;sans-serif"/>
          <w:b w:val="false"/>
          <w:color w:val="000000"/>
          <w:sz w:val="18"/>
        </w:rPr>
        <w:t xml:space="preserve">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 for further discussion of our environmental matters and the indemnification and reimbursement agreement and termination agreement entered into with Resideo.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FINANCIAL INSTRUMENTS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uses derivative financial instruments to reduce risks from interest and foreign currency exchange rate fluctuations. Derivative financial instruments are not used for trading or other speculative purposes, and we do not use leveraged derivative financial instruments.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as of December 31, 2025, and 2024:</w:t>
      </w:r>
    </w:p>
    <w:tbl>
      <w:tblPr>
        <w:tblW w:w="9136" w:type="dxa"/>
        <w:jc w:val="left"/>
        <w:tblInd w:w="0" w:type="dxa"/>
        <w:tblLayout w:type="fixed"/>
        <w:tblCellMar>
          <w:top w:w="28" w:type="dxa"/>
          <w:left w:w="28" w:type="dxa"/>
          <w:bottom w:w="28" w:type="dxa"/>
          <w:right w:w="28" w:type="dxa"/>
        </w:tblCellMar>
      </w:tblPr>
      <w:tblGrid>
        <w:gridCol w:w="1322"/>
        <w:gridCol w:w="1158"/>
        <w:gridCol w:w="1165"/>
        <w:gridCol w:w="298"/>
        <w:gridCol w:w="1006"/>
        <w:gridCol w:w="165"/>
        <w:gridCol w:w="109"/>
        <w:gridCol w:w="109"/>
        <w:gridCol w:w="109"/>
        <w:gridCol w:w="196"/>
        <w:gridCol w:w="721"/>
        <w:gridCol w:w="109"/>
        <w:gridCol w:w="109"/>
        <w:gridCol w:w="109"/>
        <w:gridCol w:w="109"/>
        <w:gridCol w:w="196"/>
        <w:gridCol w:w="721"/>
        <w:gridCol w:w="109"/>
        <w:gridCol w:w="109"/>
        <w:gridCol w:w="109"/>
        <w:gridCol w:w="109"/>
        <w:gridCol w:w="197"/>
        <w:gridCol w:w="637"/>
        <w:gridCol w:w="155"/>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 or</w:t>
              <w:b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40" w:before="0" w:after="0"/>
              <w:jc w:val="center"/>
              <w:rPr/>
            </w:pPr>
            <w:r>
              <w:rPr>
                <w:rFonts w:ascii="Arial;sans-serif" w:hAnsi="Arial;sans-serif"/>
                <w:b/>
                <w:color w:val="000000"/>
                <w:sz w:val="16"/>
              </w:rPr>
              <w:t>Value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w:t>
            </w:r>
          </w:p>
          <w:p>
            <w:pPr>
              <w:pStyle w:val="TableContents"/>
              <w:bidi w:val="0"/>
              <w:spacing w:lineRule="auto" w:line="240" w:before="0" w:after="0"/>
              <w:jc w:val="center"/>
              <w:rPr/>
            </w:pPr>
            <w:r>
              <w:rPr>
                <w:rFonts w:ascii="Arial;sans-serif" w:hAnsi="Arial;sans-serif"/>
                <w:b/>
                <w:color w:val="000000"/>
                <w:sz w:val="16"/>
              </w:rPr>
              <w:t>Value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Estimated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Increase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(Decrease)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Fair</w:t>
            </w:r>
          </w:p>
          <w:p>
            <w:pPr>
              <w:pStyle w:val="TableContents"/>
              <w:bidi w:val="0"/>
              <w:spacing w:lineRule="auto" w:line="240" w:before="0" w:after="0"/>
              <w:jc w:val="center"/>
              <w:rPr/>
            </w:pPr>
            <w:r>
              <w:rPr>
                <w:rFonts w:ascii="Arial;sans-serif" w:hAnsi="Arial;sans-serif"/>
                <w:b/>
                <w:color w:val="000000"/>
                <w:sz w:val="16"/>
              </w:rPr>
              <w:t>Value</w:t>
            </w:r>
            <w:r>
              <w:rPr>
                <w:rFonts w:ascii="Arial;sans-serif" w:hAnsi="Arial;sans-serif"/>
                <w:b/>
                <w:color w:val="000000"/>
                <w:sz w:val="10"/>
              </w:rPr>
              <w:t>2</w:t>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146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rate sensitive instruments</w:t>
            </w:r>
          </w:p>
        </w:tc>
        <w:tc>
          <w:tcPr>
            <w:tcW w:w="146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(including current maturities)</w:t>
            </w:r>
          </w:p>
        </w:tc>
        <w:tc>
          <w:tcPr>
            <w:tcW w:w="2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28,688 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(28,688)</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(28,144)</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130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32,756</w:t>
            </w:r>
            <w:r>
              <w:rPr>
                <w:color w:val="000000"/>
              </w:rPr>
              <w:t> </w:t>
            </w:r>
          </w:p>
        </w:tc>
        <w:tc>
          <w:tcPr>
            <w:tcW w:w="16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(28,767)</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(28,223)</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(1,436)</w:t>
            </w:r>
          </w:p>
        </w:tc>
        <w:tc>
          <w:tcPr>
            <w:tcW w:w="15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Foreign exchange rate sensitive instruments</w:t>
            </w:r>
          </w:p>
        </w:tc>
        <w:tc>
          <w:tcPr>
            <w:tcW w:w="14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Foreign currency exchange contracts</w:t>
            </w:r>
            <w:r>
              <w:rPr>
                <w:rFonts w:ascii="Arial;sans-serif" w:hAnsi="Arial;sans-serif"/>
                <w:b w:val="false"/>
                <w:color w:val="000000"/>
                <w:sz w:val="10"/>
              </w:rPr>
              <w:t>3</w:t>
            </w:r>
          </w:p>
        </w:tc>
        <w:tc>
          <w:tcPr>
            <w:tcW w:w="2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10,191 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130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6,139 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16,330</w:t>
            </w:r>
            <w:r>
              <w:rPr>
                <w:color w:val="000000"/>
              </w:rPr>
              <w:t> </w:t>
            </w:r>
          </w:p>
        </w:tc>
        <w:tc>
          <w:tcPr>
            <w:tcW w:w="16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(808)</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(808)</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(960)</w:t>
            </w:r>
          </w:p>
        </w:tc>
        <w:tc>
          <w:tcPr>
            <w:tcW w:w="15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w:t>
            </w:r>
          </w:p>
        </w:tc>
        <w:tc>
          <w:tcPr>
            <w:tcW w:w="14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rate sensitive instruments</w:t>
            </w:r>
          </w:p>
        </w:tc>
        <w:tc>
          <w:tcPr>
            <w:tcW w:w="146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(including current maturities)</w:t>
            </w:r>
          </w:p>
        </w:tc>
        <w:tc>
          <w:tcPr>
            <w:tcW w:w="2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26,826 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(26,826)</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(25,503)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130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30,725</w:t>
            </w:r>
            <w:r>
              <w:rPr>
                <w:color w:val="000000"/>
              </w:rPr>
              <w:t> </w:t>
            </w:r>
          </w:p>
        </w:tc>
        <w:tc>
          <w:tcPr>
            <w:tcW w:w="16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(26,962)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(25,639)</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(1,572)</w:t>
            </w:r>
          </w:p>
        </w:tc>
        <w:tc>
          <w:tcPr>
            <w:tcW w:w="15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Foreign exchange rate sensitive instruments</w:t>
            </w:r>
          </w:p>
        </w:tc>
        <w:tc>
          <w:tcPr>
            <w:tcW w:w="14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Foreign currency exchange contracts</w:t>
            </w:r>
            <w:r>
              <w:rPr>
                <w:rFonts w:ascii="Arial;sans-serif" w:hAnsi="Arial;sans-serif"/>
                <w:b w:val="false"/>
                <w:color w:val="000000"/>
                <w:sz w:val="10"/>
              </w:rPr>
              <w:t>3</w:t>
            </w:r>
          </w:p>
        </w:tc>
        <w:tc>
          <w:tcPr>
            <w:tcW w:w="29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9,155 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130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7,214 </w:t>
            </w:r>
          </w:p>
        </w:tc>
        <w:tc>
          <w:tcPr>
            <w:tcW w:w="16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16,369</w:t>
            </w:r>
            <w:r>
              <w:rPr>
                <w:color w:val="000000"/>
              </w:rPr>
              <w:t> </w:t>
            </w:r>
          </w:p>
        </w:tc>
        <w:tc>
          <w:tcPr>
            <w:tcW w:w="16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(1,091)</w:t>
            </w:r>
          </w:p>
        </w:tc>
        <w:tc>
          <w:tcPr>
            <w:tcW w:w="15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7"/>
        <w:gridCol w:w="2814"/>
        <w:gridCol w:w="38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38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Asset or (liability).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40" w:after="80"/>
              <w:jc w:val="both"/>
              <w:rPr>
                <w:rFonts w:ascii="Arial;sans-serif" w:hAnsi="Arial;sans-serif"/>
                <w:b w:val="false"/>
                <w:color w:val="000000"/>
                <w:sz w:val="14"/>
              </w:rPr>
            </w:pPr>
            <w:r>
              <w:rPr>
                <w:rFonts w:ascii="Arial;sans-serif" w:hAnsi="Arial;sans-serif"/>
                <w:b w:val="false"/>
                <w:color w:val="000000"/>
                <w:sz w:val="14"/>
              </w:rPr>
              <w:t>A potential change in fair value of interest rate sensitive instruments based on 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40" w:after="80"/>
              <w:jc w:val="both"/>
              <w:rPr>
                <w:rFonts w:ascii="Arial;sans-serif" w:hAnsi="Arial;sans-serif"/>
                <w:b w:val="false"/>
                <w:color w:val="000000"/>
                <w:sz w:val="14"/>
              </w:rPr>
            </w:pPr>
            <w:r>
              <w:rPr>
                <w:rFonts w:ascii="Arial;sans-serif" w:hAnsi="Arial;sans-serif"/>
                <w:b w:val="false"/>
                <w:color w:val="000000"/>
                <w:sz w:val="14"/>
              </w:rPr>
              <w:t>Changes in the fair value of foreign currency exchange contracts are offset by changes in the fair value, cash flows, or net investments of underlying hedged foreign currency transactions or foreign operations.</w:t>
            </w:r>
          </w:p>
        </w:tc>
      </w:tr>
    </w:tbl>
    <w:p>
      <w:pPr>
        <w:pStyle w:val="TextBody"/>
        <w:bidi w:val="0"/>
        <w:spacing w:lineRule="auto" w:line="288" w:before="120" w:after="120"/>
        <w:jc w:val="both"/>
        <w:rPr/>
      </w:pPr>
      <w:r>
        <w:rPr>
          <w:rFonts w:ascii="Arial;sans-serif" w:hAnsi="Arial;sans-serif"/>
          <w:b w:val="false"/>
          <w:color w:val="000000"/>
          <w:sz w:val="18"/>
        </w:rPr>
        <w:t xml:space="preserve">See Note 11 </w:t>
      </w:r>
      <w:hyperlink w:anchor="ic3922f0530c04df99983ab02c4d22c0f_235">
        <w:r>
          <w:rPr>
            <w:rStyle w:val="InternetLink"/>
            <w:rFonts w:ascii="Arial;sans-serif" w:hAnsi="Arial;sans-serif"/>
            <w:b w:val="false"/>
            <w:color w:val="0000FF"/>
            <w:sz w:val="18"/>
            <w:u w:val="single"/>
          </w:rPr>
          <w:t>Derivative Instruments and Hedging Transactions</w:t>
        </w:r>
      </w:hyperlink>
      <w:r>
        <w:rPr>
          <w:color w:val="000000"/>
        </w:rPr>
        <w:t xml:space="preserve"> </w:t>
      </w:r>
      <w:r>
        <w:rPr>
          <w:rFonts w:ascii="Arial;sans-serif" w:hAnsi="Arial;sans-serif"/>
          <w:b w:val="false"/>
          <w:color w:val="000000"/>
          <w:sz w:val="18"/>
        </w:rPr>
        <w:t>of Notes to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76"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45    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CRITICAL ACCOUNTING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pStyle w:val="TextBody"/>
        <w:bidi w:val="0"/>
        <w:spacing w:lineRule="auto" w:line="288" w:before="120" w:after="120"/>
        <w:jc w:val="both"/>
        <w:rPr/>
      </w:pPr>
      <w:r>
        <w:rPr>
          <w:rFonts w:ascii="Arial;sans-serif" w:hAnsi="Arial;sans-serif"/>
          <w:b/>
          <w:i/>
          <w:color w:val="000000"/>
          <w:sz w:val="18"/>
        </w:rPr>
        <w:t>Sales Recognition on Long-Term Contracts</w:t>
      </w:r>
      <w:r>
        <w:rPr>
          <w:color w:val="000000"/>
        </w:rPr>
        <w:t>—</w:t>
      </w:r>
      <w:r>
        <w:rPr>
          <w:rFonts w:ascii="Arial;sans-serif" w:hAnsi="Arial;sans-serif"/>
          <w:b w:val="false"/>
          <w:color w:val="000000"/>
          <w:sz w:val="18"/>
        </w:rPr>
        <w:t>We recognize sales for long-term contracts with performance obligations satisfied over time using either an 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pStyle w:val="TextBody"/>
        <w:bidi w:val="0"/>
        <w:spacing w:lineRule="auto" w:line="288" w:before="120" w:after="120"/>
        <w:jc w:val="both"/>
        <w:rPr/>
      </w:pPr>
      <w:r>
        <w:rPr>
          <w:rFonts w:ascii="Arial;sans-serif" w:hAnsi="Arial;sans-serif"/>
          <w:b/>
          <w:i/>
          <w:color w:val="000000"/>
          <w:sz w:val="18"/>
        </w:rPr>
        <w:t>Income Taxes</w:t>
      </w:r>
      <w:r>
        <w:rPr>
          <w:color w:val="000000"/>
        </w:rPr>
        <w:t>—</w:t>
      </w:r>
      <w:r>
        <w:rPr>
          <w:rFonts w:ascii="Arial;sans-serif" w:hAnsi="Arial;sans-serif"/>
          <w:b w:val="false"/>
          <w:color w:val="000000"/>
          <w:sz w:val="18"/>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t>
      </w:r>
    </w:p>
    <w:p>
      <w:pPr>
        <w:pStyle w:val="TextBody"/>
        <w:bidi w:val="0"/>
        <w:spacing w:lineRule="auto" w:line="288" w:before="120" w:after="120"/>
        <w:jc w:val="both"/>
        <w:rPr/>
      </w:pPr>
      <w:r>
        <w:rPr>
          <w:rFonts w:ascii="Arial;sans-serif" w:hAnsi="Arial;sans-serif"/>
          <w:b w:val="false"/>
          <w:color w:val="000000"/>
          <w:sz w:val="18"/>
        </w:rPr>
        <w:t xml:space="preserve">See Note 1 </w:t>
      </w:r>
      <w:hyperlink w:anchor="ic3922f0530c04df99983ab02c4d22c0f_196">
        <w:r>
          <w:rPr>
            <w:rStyle w:val="InternetLink"/>
            <w:rFonts w:ascii="Arial;sans-serif" w:hAnsi="Arial;sans-serif"/>
            <w:b w:val="false"/>
            <w:color w:val="0000FF"/>
            <w:sz w:val="18"/>
            <w:u w:val="single"/>
          </w:rPr>
          <w:t>Summary of Significant Accounting Policies</w:t>
        </w:r>
      </w:hyperlink>
      <w:r>
        <w:rPr>
          <w:color w:val="000000"/>
        </w:rPr>
        <w:t xml:space="preserve"> </w:t>
      </w:r>
      <w:r>
        <w:rPr>
          <w:rFonts w:ascii="Arial;sans-serif" w:hAnsi="Arial;sans-serif"/>
          <w:b w:val="false"/>
          <w:color w:val="000000"/>
          <w:sz w:val="18"/>
        </w:rPr>
        <w:t>of Notes to Consolidated Financial Statements for further discussion of additional income tax policies.</w:t>
      </w:r>
    </w:p>
    <w:p>
      <w:pPr>
        <w:pStyle w:val="TextBody"/>
        <w:bidi w:val="0"/>
        <w:spacing w:lineRule="auto" w:line="288" w:before="120" w:after="120"/>
        <w:jc w:val="both"/>
        <w:rPr/>
      </w:pPr>
      <w:r>
        <w:rPr>
          <w:rFonts w:ascii="Arial;sans-serif" w:hAnsi="Arial;sans-serif"/>
          <w:b/>
          <w:i/>
          <w:color w:val="000000"/>
          <w:sz w:val="18"/>
        </w:rPr>
        <w:t>Goodwill and Indefinite-Lived Intangible Assets</w:t>
      </w:r>
      <w:r>
        <w:rPr>
          <w:color w:val="000000"/>
        </w:rPr>
        <w:t>—</w:t>
      </w:r>
      <w:r>
        <w:rPr>
          <w:rFonts w:ascii="Arial;sans-serif" w:hAnsi="Arial;sans-serif"/>
          <w:b w:val="false"/>
          <w:color w:val="000000"/>
          <w:sz w:val="18"/>
        </w:rPr>
        <w:t>The Company’s business combinations typically result in the recognition of goodwill and intangible assets. The Company generally engages an independent third-party valuation specialist for assistance in the allocation of the purchase price and determination of the fair value of goodwill and intangible assets, which involves the use of accounting estimates and assumptions based on information available at or near the acquisition date. The Company believes the accounting estimates and assumptions are reasonable based on information available at the date of acquisition through historical experience and information obtained from management of the acquired entity; however, there is inherent uncertainty in the accounting estimates as assumptions are forward-looking and could be affected by future economic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77"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46    </w:t>
                      </w:r>
                      <w:r>
                        <w:rPr>
                          <w:rFonts w:ascii="Arial;sans-serif" w:hAnsi="Arial;sans-serif"/>
                          <w:b w:val="false"/>
                          <w:color w:val="000000"/>
                          <w:sz w:val="16"/>
                        </w:rPr>
                        <w:t>Honeywell International Inc.</w:t>
                      </w:r>
                    </w:p>
                  </w:txbxContent>
                </v:textbox>
                <w10:wrap type="none"/>
              </v:rect>
            </w:pict>
          </mc:Fallback>
        </mc:AlternateContent>
      </w:r>
    </w:p>
    <w:tbl>
      <w:tblPr>
        <w:tblW w:w="3973" w:type="dxa"/>
        <w:jc w:val="right"/>
        <w:tblInd w:w="0" w:type="dxa"/>
        <w:tblLayout w:type="fixed"/>
        <w:tblCellMar>
          <w:top w:w="28" w:type="dxa"/>
          <w:left w:w="28" w:type="dxa"/>
          <w:bottom w:w="28" w:type="dxa"/>
          <w:right w:w="28" w:type="dxa"/>
        </w:tblCellMar>
      </w:tblPr>
      <w:tblGrid>
        <w:gridCol w:w="548"/>
        <w:gridCol w:w="482"/>
        <w:gridCol w:w="484"/>
        <w:gridCol w:w="720"/>
        <w:gridCol w:w="720"/>
        <w:gridCol w:w="10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CRITICAL ACCOUNTING ESTIMATES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Goodwill and intangible assets deemed to have indefinite lives are not amortized, but are subject to annual, or more frequent, if necessary, impairment testing. In testing goodwill and indefinite-lived intangible assets, the fair value is estimated primarily utilizing a discounted cash flow approach, including strategic and annual operating plans, adjusted for terminal value assumptions, as well as estimated sales prices for businesses classified as held for sale. These impairment tests involve the use of accounting estimates and assumptions, and changes to those assumptions could materially impact our financial condition or operating performance if actual results differ from such accounting estimates and assumptions. To address this uncertainty, we perform sensitivity analyses on key accounting estimates and assumptions. Once the fair value is determined, if the carrying amount exceeds the fair value, it is impaired. Any impairment is measured as the difference between the carrying amount and its fair value.</w:t>
      </w:r>
    </w:p>
    <w:p>
      <w:pPr>
        <w:pStyle w:val="TextBody"/>
        <w:bidi w:val="0"/>
        <w:spacing w:lineRule="auto" w:line="288" w:before="120" w:after="120"/>
        <w:jc w:val="both"/>
        <w:rPr/>
      </w:pPr>
      <w:r>
        <w:rPr>
          <w:rFonts w:ascii="Arial;sans-serif" w:hAnsi="Arial;sans-serif"/>
          <w:b/>
          <w:i/>
          <w:color w:val="000000"/>
          <w:sz w:val="18"/>
        </w:rPr>
        <w:t>Definite-Lived Intangible Assets</w:t>
      </w:r>
      <w:r>
        <w:rPr>
          <w:color w:val="000000"/>
        </w:rPr>
        <w:t>—</w:t>
      </w:r>
      <w:r>
        <w:rPr>
          <w:rFonts w:ascii="Arial;sans-serif" w:hAnsi="Arial;sans-serif"/>
          <w:b w:val="false"/>
          <w:color w:val="000000"/>
          <w:sz w:val="18"/>
        </w:rPr>
        <w:t>The Company’s business combinations typically result in the recognition of customer relationships, patents, and trademarks, in addition to other definite-lived intangible assets. The determination of fair value for definite-lived intangible assets, useful lives for amortization purposes, and whether or not intangible assets are impaired involves the use of accounting estimates and assumptions. The assumptions used in developing the accounting estimates may include business growth rates, sales volume, selling prices and costs, cash flows, and the discount rate selected. Changes to those assumptions could materially impact our financial condition or operating performance if actual results differ from such estimates and assumptions.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evaluate the recoverability of the carrying amount of our definite-lived intangible assets whenever events or changes in circumstances indicate that the carrying amount of a definite-lived intangible asset group may not be fully recoverable. The principal factors in considering when to perform an impairment review are as follows: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Significant under-performance (i.e., declines in sales, earnings, or cash flows) of a business or product line in relation to expectations;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Annual operating plans or strategic plan outlook that indicates an unfavorable trend in operating performance of a business or product line;</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Significant negative industry or economic trends; or</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Significant changes or planned changes in our use of the assets.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Once it is determined that an impairment review is necessary, recoverability of assets is measured by comparing the carrying amount of the asset group to the estimated future undiscounted cash flows. If the carrying amount exceeds the estimated future undiscounted cash flows, impairment is then measured as the excess, if any, of the carrying amount of the asset group over its fair value.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fair value estimates are subject to changes in the economic environment, including market interest rates and expected volatility. Management believes the estimates of future cash flows and fair values are reasonable; however, changes in estimates due to variances from assumptions could materially affect the valuations.</w:t>
      </w:r>
    </w:p>
    <w:p>
      <w:pPr>
        <w:pStyle w:val="TextBody"/>
        <w:bidi w:val="0"/>
        <w:spacing w:lineRule="auto" w:line="288" w:before="120" w:after="120"/>
        <w:jc w:val="both"/>
        <w:rPr/>
      </w:pPr>
      <w:r>
        <w:rPr>
          <w:rFonts w:ascii="Arial;sans-serif" w:hAnsi="Arial;sans-serif"/>
          <w:b/>
          <w:i/>
          <w:color w:val="000000"/>
          <w:sz w:val="18"/>
        </w:rPr>
        <w:t>Defined Benefit Pension Plans</w:t>
      </w:r>
      <w:r>
        <w:rPr>
          <w:color w:val="000000"/>
        </w:rPr>
        <w:t>—</w:t>
      </w:r>
      <w:r>
        <w:rPr>
          <w:rFonts w:ascii="Arial;sans-serif" w:hAnsi="Arial;sans-serif"/>
          <w:b w:val="false"/>
          <w:color w:val="000000"/>
          <w:sz w:val="18"/>
        </w:rPr>
        <w:t>We sponsor both funded and unfunded U.S. and non-U.S. defined benefit pension plans. For financial reporting purposes, net periodic pension (income) expense is calculated annually based upon 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key assumptions used in developing our net periodic pension (income) expense for our U.S. plans included the following:</w:t>
      </w:r>
    </w:p>
    <w:tbl>
      <w:tblPr>
        <w:tblW w:w="7200" w:type="dxa"/>
        <w:jc w:val="left"/>
        <w:tblInd w:w="0" w:type="dxa"/>
        <w:tblLayout w:type="fixed"/>
        <w:tblCellMar>
          <w:top w:w="28" w:type="dxa"/>
          <w:left w:w="28" w:type="dxa"/>
          <w:bottom w:w="28" w:type="dxa"/>
          <w:right w:w="28" w:type="dxa"/>
        </w:tblCellMar>
      </w:tblPr>
      <w:tblGrid>
        <w:gridCol w:w="1567"/>
        <w:gridCol w:w="1382"/>
        <w:gridCol w:w="1386"/>
        <w:gridCol w:w="233"/>
        <w:gridCol w:w="233"/>
        <w:gridCol w:w="256"/>
        <w:gridCol w:w="109"/>
        <w:gridCol w:w="109"/>
        <w:gridCol w:w="109"/>
        <w:gridCol w:w="233"/>
        <w:gridCol w:w="233"/>
        <w:gridCol w:w="256"/>
        <w:gridCol w:w="109"/>
        <w:gridCol w:w="109"/>
        <w:gridCol w:w="109"/>
        <w:gridCol w:w="233"/>
        <w:gridCol w:w="233"/>
        <w:gridCol w:w="301"/>
      </w:tblGrid>
      <w:tr>
        <w:trPr/>
        <w:tc>
          <w:tcPr>
            <w:tcW w:w="15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3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7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Projected benefit obligation</w:t>
            </w:r>
          </w:p>
        </w:tc>
        <w:tc>
          <w:tcPr>
            <w:tcW w:w="466"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25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466"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25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466"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25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22"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rate of return</w:t>
            </w:r>
          </w:p>
        </w:tc>
        <w:tc>
          <w:tcPr>
            <w:tcW w:w="466"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25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rate of return</w:t>
            </w:r>
          </w:p>
        </w:tc>
        <w:tc>
          <w:tcPr>
            <w:tcW w:w="466"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25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35"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10-year average annual compounded rate of return</w:t>
            </w:r>
          </w:p>
        </w:tc>
        <w:tc>
          <w:tcPr>
            <w:tcW w:w="466"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25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256"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301"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MTM Adjustment represents the recognition of net actuarial gains or losses in excess of 10% of the greater of the fair value of plan assets or the plans’ projected benefit obligation (the corridor). Net actuarial gains or losses occur when the actual experience differs from any of the various assumptions used to value our pension plans or when assumptions change. The primary factors contributing to actuarial gains or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These adjustments resulted in expenses of $163 million, $126 million, and $153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78"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47    </w:t>
                      </w:r>
                      <w:r>
                        <w:rPr>
                          <w:rFonts w:ascii="Arial;sans-serif" w:hAnsi="Arial;sans-serif"/>
                          <w:b w:val="false"/>
                          <w:color w:val="000000"/>
                          <w:sz w:val="16"/>
                        </w:rPr>
                        <w:t>Honeywell International Inc.</w:t>
                      </w:r>
                    </w:p>
                  </w:txbxContent>
                </v:textbox>
                <w10:wrap type="none"/>
              </v:rect>
            </w:pict>
          </mc:Fallback>
        </mc:AlternateContent>
      </w:r>
    </w:p>
    <w:tbl>
      <w:tblPr>
        <w:tblW w:w="3973" w:type="dxa"/>
        <w:jc w:val="right"/>
        <w:tblInd w:w="0" w:type="dxa"/>
        <w:tblLayout w:type="fixed"/>
        <w:tblCellMar>
          <w:top w:w="28" w:type="dxa"/>
          <w:left w:w="28" w:type="dxa"/>
          <w:bottom w:w="28" w:type="dxa"/>
          <w:right w:w="28" w:type="dxa"/>
        </w:tblCellMar>
      </w:tblPr>
      <w:tblGrid>
        <w:gridCol w:w="548"/>
        <w:gridCol w:w="482"/>
        <w:gridCol w:w="484"/>
        <w:gridCol w:w="720"/>
        <w:gridCol w:w="720"/>
        <w:gridCol w:w="10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CRITICAL ACCOUNTING ESTIMATES</w:t>
            </w:r>
          </w:p>
        </w:tc>
      </w:tr>
    </w:tbl>
    <w:p>
      <w:pPr>
        <w:pStyle w:val="TextBody"/>
        <w:bidi w:val="0"/>
        <w:spacing w:lineRule="auto" w:line="288" w:before="120" w:after="120"/>
        <w:jc w:val="both"/>
        <w:rPr/>
      </w:pPr>
      <w:r>
        <w:rPr>
          <w:rFonts w:ascii="Arial;sans-serif" w:hAnsi="Arial;sans-serif"/>
          <w:b w:val="false"/>
          <w:color w:val="000000"/>
          <w:sz w:val="18"/>
        </w:rPr>
        <w:t>We determine the expected long-term rate of return on plan assets utilizing historical plan asset returns over varying long-term periods combined with our expectations of f</w:t>
      </w:r>
      <w:r>
        <w:rPr>
          <w:rFonts w:ascii="Arial;sans-serif" w:hAnsi="Arial;sans-serif"/>
          <w:b w:val="false"/>
          <w:color w:val="000000"/>
          <w:sz w:val="18"/>
          <w:shd w:fill="FFFFFF" w:val="clear"/>
        </w:rPr>
        <w:t xml:space="preserve">uture market conditions and asset mix considerations (see Note 20 </w:t>
      </w:r>
      <w:hyperlink w:anchor="ic3922f0530c04df99983ab02c4d22c0f_262">
        <w:r>
          <w:rPr>
            <w:rStyle w:val="InternetLink"/>
            <w:rFonts w:ascii="Arial;sans-serif" w:hAnsi="Arial;sans-serif"/>
            <w:b w:val="false"/>
            <w:color w:val="0000FF"/>
            <w:sz w:val="18"/>
            <w:u w:val="single"/>
            <w:shd w:fill="FFFFFF" w:val="clear"/>
          </w:rPr>
          <w:t>Pension and Other Postretirement Benefits</w:t>
        </w:r>
      </w:hyperlink>
      <w:r>
        <w:rPr>
          <w:color w:val="000000"/>
          <w:shd w:fill="FFFFFF" w:val="clear"/>
        </w:rPr>
        <w:t xml:space="preserve"> </w:t>
      </w:r>
      <w:r>
        <w:rPr>
          <w:rFonts w:ascii="Arial;sans-serif" w:hAnsi="Arial;sans-serif"/>
          <w:b w:val="false"/>
          <w:color w:val="000000"/>
          <w:sz w:val="18"/>
          <w:shd w:fill="FFFFFF" w:val="clear"/>
        </w:rPr>
        <w:t>of Notes to Consolidated Financial Statements for details on the actual various asset classes and targeted asset all</w:t>
      </w:r>
      <w:r>
        <w:rPr>
          <w:rFonts w:ascii="Arial;sans-serif" w:hAnsi="Arial;sans-serif"/>
          <w:b w:val="false"/>
          <w:color w:val="000000"/>
          <w:sz w:val="18"/>
        </w:rPr>
        <w:t>ocation percentages for our pension plans). We plan to use an expected rate of return on plan assets of 7.25% for 2026, which is the same assumption used for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discount rate reflects the market rate on December 31 (measurement date) for high-quality fixed income investments with maturities corresponding to our benefit obligations and is subject to change each year. The discount rate can be volatile from year to year as it is determined based upon prevailing interest rates as of the measurement date. We used a 5.25% discount rate to determine benefit obligations as of December 31, 2025, reflecting a decrease in the market interest rate environment since the prior year-end.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the potential for MTM Adjustments, changes in our expected rate of return on plan assets and discount rate resulting from economic events also affect future Pension ongoing (income) expense. The following table highlights the sensitivity of our U.S. pension obligations and ongoing (income) expense to changes in these assumptions, with all other assumptions remaining constant. These estimates exclude any potential MTM Adjustment:</w:t>
      </w:r>
    </w:p>
    <w:tbl>
      <w:tblPr>
        <w:tblW w:w="10205" w:type="dxa"/>
        <w:jc w:val="left"/>
        <w:tblInd w:w="0" w:type="dxa"/>
        <w:tblLayout w:type="fixed"/>
        <w:tblCellMar>
          <w:top w:w="28" w:type="dxa"/>
          <w:left w:w="28" w:type="dxa"/>
          <w:bottom w:w="28" w:type="dxa"/>
          <w:right w:w="28" w:type="dxa"/>
        </w:tblCellMar>
      </w:tblPr>
      <w:tblGrid>
        <w:gridCol w:w="1753"/>
        <w:gridCol w:w="1542"/>
        <w:gridCol w:w="1545"/>
        <w:gridCol w:w="642"/>
        <w:gridCol w:w="641"/>
        <w:gridCol w:w="643"/>
        <w:gridCol w:w="109"/>
        <w:gridCol w:w="109"/>
        <w:gridCol w:w="109"/>
        <w:gridCol w:w="910"/>
        <w:gridCol w:w="910"/>
        <w:gridCol w:w="1292"/>
      </w:tblGrid>
      <w:tr>
        <w:trPr/>
        <w:tc>
          <w:tcPr>
            <w:tcW w:w="17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Assumption</w:t>
            </w:r>
          </w:p>
        </w:tc>
        <w:tc>
          <w:tcPr>
            <w:tcW w:w="1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Impact on 2026 Pension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Ongoing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Impact on Projected Benefit Obligation</w:t>
            </w:r>
          </w:p>
        </w:tc>
      </w:tr>
      <w:tr>
        <w:trPr/>
        <w:tc>
          <w:tcPr>
            <w:tcW w:w="484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0.25 percentage point decrease in discount rate</w:t>
            </w:r>
          </w:p>
        </w:tc>
        <w:tc>
          <w:tcPr>
            <w:tcW w:w="19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Decrease $17 million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Increase $216 million</w:t>
            </w:r>
          </w:p>
        </w:tc>
      </w:tr>
      <w:tr>
        <w:trPr/>
        <w:tc>
          <w:tcPr>
            <w:tcW w:w="48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0.25 percentage point increase in discount rate</w:t>
            </w:r>
          </w:p>
        </w:tc>
        <w:tc>
          <w:tcPr>
            <w:tcW w:w="192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Increase $16 million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Decrease $209 million</w:t>
            </w:r>
          </w:p>
        </w:tc>
      </w:tr>
      <w:tr>
        <w:trPr/>
        <w:tc>
          <w:tcPr>
            <w:tcW w:w="48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0.25 percentage point decrease in expected rate of return on assets</w:t>
            </w:r>
          </w:p>
        </w:tc>
        <w:tc>
          <w:tcPr>
            <w:tcW w:w="192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Increase $39 million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840"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0.25 percentage point increase in expected rate of return on assets</w:t>
            </w:r>
          </w:p>
        </w:tc>
        <w:tc>
          <w:tcPr>
            <w:tcW w:w="1926"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Decrease $39 million</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Pension ongoing income for our world-wide pension plans is expected to be approximately $665 million in 2026 compared with Pension ongoing income of $544 million in 2025. Also, if required, a MTM Adjustment will be recorded in the fourth quarter of 2026 in accordance with our pension accounting method as previously described. It is difficult to reliably forecast or predict whether there will be a MTM Adjustment in 2026, and if one is required, what the magnitude of such adjustment will be. MTM Adjustments are primarily driven by events and circumstances beyond the control of the Company such as changes in interest rates and the performance of the financial markets.</w:t>
      </w:r>
    </w:p>
    <w:p>
      <w:pPr>
        <w:pStyle w:val="TextBody"/>
        <w:bidi w:val="0"/>
        <w:spacing w:lineRule="auto" w:line="288" w:before="120" w:after="120"/>
        <w:jc w:val="both"/>
        <w:rPr/>
      </w:pPr>
      <w:r>
        <w:rPr>
          <w:rFonts w:ascii="Arial;sans-serif" w:hAnsi="Arial;sans-serif"/>
          <w:b/>
          <w:i/>
          <w:color w:val="000000"/>
          <w:sz w:val="18"/>
        </w:rPr>
        <w:t>Contingent Liabilities</w:t>
      </w:r>
      <w:r>
        <w:rPr>
          <w:color w:val="000000"/>
        </w:rPr>
        <w:t>—</w:t>
      </w:r>
      <w:r>
        <w:rPr>
          <w:rFonts w:ascii="Arial;sans-serif" w:hAnsi="Arial;sans-serif"/>
          <w:b w:val="false"/>
          <w:color w:val="000000"/>
          <w:sz w:val="18"/>
        </w:rPr>
        <w:t xml:space="preserve">We are subject to, and in the future may become subject to, a number of lawsuits, investigations, and claims (some of which involve substantial dollar amounts) arising out of the conduct of our business operations or those of previously 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 for a discussion of management’s judgment applied in the recognition and measurement of our environmental and asbestos liabilities, which represent our most significant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OTHER MATTERS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LITIGATION </w:t>
      </w:r>
    </w:p>
    <w:p>
      <w:pPr>
        <w:pStyle w:val="TextBody"/>
        <w:bidi w:val="0"/>
        <w:spacing w:lineRule="auto" w:line="288" w:before="120" w:after="120"/>
        <w:jc w:val="both"/>
        <w:rPr/>
      </w:pPr>
      <w:r>
        <w:rPr>
          <w:rFonts w:ascii="Arial;sans-serif" w:hAnsi="Arial;sans-serif"/>
          <w:b w:val="false"/>
          <w:color w:val="000000"/>
          <w:sz w:val="18"/>
        </w:rPr>
        <w:t xml:space="preserve">See Note 19 </w:t>
      </w:r>
      <w:hyperlink w:anchor="ic3922f0530c04df99983ab02c4d22c0f_259">
        <w:r>
          <w:rPr>
            <w:rStyle w:val="InternetLink"/>
            <w:rFonts w:ascii="Arial;sans-serif" w:hAnsi="Arial;sans-serif"/>
            <w:b w:val="false"/>
            <w:color w:val="0000FF"/>
            <w:sz w:val="18"/>
            <w:u w:val="single"/>
          </w:rPr>
          <w:t>Commitments and Contingencie</w:t>
        </w:r>
      </w:hyperlink>
      <w:r>
        <w:rPr>
          <w:rFonts w:ascii="Arial;sans-serif" w:hAnsi="Arial;sans-serif"/>
          <w:b w:val="false"/>
          <w:color w:val="000000"/>
          <w:sz w:val="18"/>
        </w:rPr>
        <w:t>s of Notes to Consolidated Financial Statements for a discussion of environmental, asbestos, and other litigation matters.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RECENT ACCOUNTING PRONOUNCEMENTS</w:t>
      </w:r>
    </w:p>
    <w:p>
      <w:pPr>
        <w:pStyle w:val="TextBody"/>
        <w:bidi w:val="0"/>
        <w:spacing w:lineRule="auto" w:line="288" w:before="120" w:after="120"/>
        <w:jc w:val="both"/>
        <w:rPr/>
      </w:pPr>
      <w:r>
        <w:rPr>
          <w:rFonts w:ascii="Arial;sans-serif" w:hAnsi="Arial;sans-serif"/>
          <w:b w:val="false"/>
          <w:color w:val="000000"/>
          <w:sz w:val="18"/>
        </w:rPr>
        <w:t xml:space="preserve">See Note 1 </w:t>
      </w:r>
      <w:hyperlink w:anchor="ic3922f0530c04df99983ab02c4d22c0f_196">
        <w:r>
          <w:rPr>
            <w:rStyle w:val="InternetLink"/>
            <w:rFonts w:ascii="Arial;sans-serif" w:hAnsi="Arial;sans-serif"/>
            <w:b w:val="false"/>
            <w:color w:val="0000FF"/>
            <w:sz w:val="18"/>
            <w:u w:val="single"/>
          </w:rPr>
          <w:t>Summary of Significant Accounting Policies</w:t>
        </w:r>
      </w:hyperlink>
      <w:r>
        <w:rPr>
          <w:color w:val="000000"/>
        </w:rPr>
        <w:t xml:space="preserve"> </w:t>
      </w:r>
      <w:r>
        <w:rPr>
          <w:rFonts w:ascii="Arial;sans-serif" w:hAnsi="Arial;sans-serif"/>
          <w:b w:val="false"/>
          <w:color w:val="000000"/>
          <w:sz w:val="18"/>
        </w:rPr>
        <w:t>of Notes to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79"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48    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INFORMATION ABOUT OUR EXECUTIVE OFFICERS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executive officers of Honeywell, listed as follows, are elected annually by the Board. There are no family relationships among them or any of the directors.</w:t>
      </w:r>
    </w:p>
    <w:tbl>
      <w:tblPr>
        <w:tblW w:w="10205" w:type="dxa"/>
        <w:jc w:val="left"/>
        <w:tblInd w:w="0" w:type="dxa"/>
        <w:tblLayout w:type="fixed"/>
        <w:tblCellMar>
          <w:top w:w="28" w:type="dxa"/>
          <w:left w:w="28" w:type="dxa"/>
          <w:bottom w:w="28" w:type="dxa"/>
          <w:right w:w="28" w:type="dxa"/>
        </w:tblCellMar>
      </w:tblPr>
      <w:tblGrid>
        <w:gridCol w:w="450"/>
        <w:gridCol w:w="395"/>
        <w:gridCol w:w="396"/>
        <w:gridCol w:w="435"/>
        <w:gridCol w:w="435"/>
        <w:gridCol w:w="213"/>
        <w:gridCol w:w="2540"/>
        <w:gridCol w:w="2210"/>
        <w:gridCol w:w="3131"/>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r>
      <w:tr>
        <w:trPr/>
        <w:tc>
          <w:tcPr>
            <w:tcW w:w="23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 Age, Year First</w:t>
              <w:br/>
              <w:t>Elected an Executive Officer</w:t>
            </w:r>
          </w:p>
        </w:tc>
        <w:tc>
          <w:tcPr>
            <w:tcW w:w="7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Business Experience</w:t>
            </w:r>
          </w:p>
        </w:tc>
      </w:tr>
      <w:tr>
        <w:trPr/>
        <w:tc>
          <w:tcPr>
            <w:tcW w:w="1241" w:type="dxa"/>
            <w:gridSpan w:val="3"/>
            <w:tcBorders>
              <w:top w:val="single" w:sz="4" w:space="0" w:color="D7282F"/>
            </w:tcBorders>
            <w:tcMar>
              <w:left w:w="0" w:type="dxa"/>
              <w:bottom w:w="0" w:type="dxa"/>
              <w:right w:w="0" w:type="dxa"/>
            </w:tcMar>
            <w:vAlign w:val="center"/>
          </w:tcPr>
          <w:p>
            <w:pPr>
              <w:pStyle w:val="TableContents"/>
              <w:bidi w:val="0"/>
              <w:spacing w:before="0" w:after="0"/>
              <w:jc w:val="left"/>
              <w:rPr/>
            </w:pPr>
            <w:r>
              <w:rPr/>
              <w:drawing>
                <wp:inline distT="0" distB="0" distL="0" distR="0">
                  <wp:extent cx="723900" cy="523875"/>
                  <wp:effectExtent l="0" t="0" r="0" b="0"/>
                  <wp:docPr id="8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0" descr=""/>
                          <pic:cNvPicPr>
                            <a:picLocks noChangeAspect="1" noChangeArrowheads="1"/>
                          </pic:cNvPicPr>
                        </pic:nvPicPr>
                        <pic:blipFill>
                          <a:blip r:embed="rId31"/>
                          <a:stretch>
                            <a:fillRect/>
                          </a:stretch>
                        </pic:blipFill>
                        <pic:spPr bwMode="auto">
                          <a:xfrm>
                            <a:off x="0" y="0"/>
                            <a:ext cx="723900" cy="523875"/>
                          </a:xfrm>
                          <a:prstGeom prst="rect">
                            <a:avLst/>
                          </a:prstGeom>
                        </pic:spPr>
                      </pic:pic>
                    </a:graphicData>
                  </a:graphic>
                </wp:inline>
              </w:drawing>
            </w:r>
            <w:bookmarkStart w:id="30" w:name="i-30"/>
            <w:bookmarkEnd w:id="30"/>
          </w:p>
        </w:tc>
        <w:tc>
          <w:tcPr>
            <w:tcW w:w="108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Jim Currier</w:t>
            </w:r>
            <w:r>
              <w:rPr>
                <w:rFonts w:ascii="Arial;sans-serif" w:hAnsi="Arial;sans-serif"/>
                <w:b w:val="false"/>
                <w:color w:val="000000"/>
                <w:sz w:val="16"/>
              </w:rPr>
              <w:t>, 59</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2023</w:t>
            </w:r>
          </w:p>
        </w:tc>
        <w:tc>
          <w:tcPr>
            <w:tcW w:w="78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President and Chief Executive Officer, Aerospace Technologies since January 2024. President and Chief Executive Officer, Aerospace from August 2023 to December 2023. President, Electronic Solutions from June 2021 to August 2023. President, EMAI Aftermarket organization from October 2019 to June 2021. Vice President of Airlines, North America from October 2018 to October 2019.</w:t>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7881"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op w:val="single" w:sz="2" w:space="0" w:color="61656A"/>
            </w:tcBorders>
            <w:tcMar>
              <w:left w:w="0" w:type="dxa"/>
              <w:bottom w:w="0" w:type="dxa"/>
              <w:right w:w="0" w:type="dxa"/>
            </w:tcMar>
            <w:vAlign w:val="center"/>
          </w:tcPr>
          <w:p>
            <w:pPr>
              <w:pStyle w:val="TableContents"/>
              <w:bidi w:val="0"/>
              <w:spacing w:before="0" w:after="0"/>
              <w:jc w:val="left"/>
              <w:rPr/>
            </w:pPr>
            <w:r>
              <w:rPr/>
              <w:drawing>
                <wp:inline distT="0" distB="0" distL="0" distR="0">
                  <wp:extent cx="723900" cy="523875"/>
                  <wp:effectExtent l="0" t="0" r="0" b="0"/>
                  <wp:docPr id="8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1" descr=""/>
                          <pic:cNvPicPr>
                            <a:picLocks noChangeAspect="1" noChangeArrowheads="1"/>
                          </pic:cNvPicPr>
                        </pic:nvPicPr>
                        <pic:blipFill>
                          <a:blip r:embed="rId32"/>
                          <a:stretch>
                            <a:fillRect/>
                          </a:stretch>
                        </pic:blipFill>
                        <pic:spPr bwMode="auto">
                          <a:xfrm>
                            <a:off x="0" y="0"/>
                            <a:ext cx="723900" cy="523875"/>
                          </a:xfrm>
                          <a:prstGeom prst="rect">
                            <a:avLst/>
                          </a:prstGeom>
                        </pic:spPr>
                      </pic:pic>
                    </a:graphicData>
                  </a:graphic>
                </wp:inline>
              </w:drawing>
            </w:r>
            <w:bookmarkStart w:id="31" w:name="i-31"/>
            <w:bookmarkEnd w:id="31"/>
          </w:p>
        </w:tc>
        <w:tc>
          <w:tcPr>
            <w:tcW w:w="108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Billal Hammoud</w:t>
            </w:r>
            <w:r>
              <w:rPr>
                <w:rFonts w:ascii="Arial;sans-serif" w:hAnsi="Arial;sans-serif"/>
                <w:b w:val="false"/>
                <w:color w:val="000000"/>
                <w:sz w:val="16"/>
              </w:rPr>
              <w:t>, 53</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2023</w:t>
            </w:r>
          </w:p>
        </w:tc>
        <w:tc>
          <w:tcPr>
            <w:tcW w:w="788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President and Chief Executive Officer, Building Automation since January 2024. President and Chief Executive Officer, Honeywell Building Technologies from April 2023 to December 2023. President of Smart Energy and Thermal Solutions in Performance Materials and Technologies from November 2021 to March 2023. From April 2017 to November 2021, Mr. Hammoud served as President of ESAB Americas and Global Fabrication Solutions at Colfax where he led strategy, business operations, and financial performance. </w:t>
            </w:r>
          </w:p>
        </w:tc>
      </w:tr>
      <w:tr>
        <w:trPr/>
        <w:tc>
          <w:tcPr>
            <w:tcW w:w="1241" w:type="dxa"/>
            <w:gridSpan w:val="3"/>
            <w:tcBorders>
              <w:top w:val="single" w:sz="2" w:space="0" w:color="61656A"/>
            </w:tcBorders>
            <w:tcMar>
              <w:left w:w="0" w:type="dxa"/>
              <w:bottom w:w="0" w:type="dxa"/>
              <w:right w:w="0" w:type="dxa"/>
            </w:tcMar>
            <w:vAlign w:val="center"/>
          </w:tcPr>
          <w:p>
            <w:pPr>
              <w:pStyle w:val="TableContents"/>
              <w:bidi w:val="0"/>
              <w:spacing w:before="120" w:after="120"/>
              <w:jc w:val="both"/>
              <w:rPr/>
            </w:pPr>
            <w:r>
              <w:rPr/>
              <w:drawing>
                <wp:inline distT="0" distB="0" distL="0" distR="0">
                  <wp:extent cx="723900" cy="523875"/>
                  <wp:effectExtent l="0" t="0" r="0" b="0"/>
                  <wp:docPr id="8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2" descr=""/>
                          <pic:cNvPicPr>
                            <a:picLocks noChangeAspect="1" noChangeArrowheads="1"/>
                          </pic:cNvPicPr>
                        </pic:nvPicPr>
                        <pic:blipFill>
                          <a:blip r:embed="rId33"/>
                          <a:stretch>
                            <a:fillRect/>
                          </a:stretch>
                        </pic:blipFill>
                        <pic:spPr bwMode="auto">
                          <a:xfrm>
                            <a:off x="0" y="0"/>
                            <a:ext cx="723900" cy="523875"/>
                          </a:xfrm>
                          <a:prstGeom prst="rect">
                            <a:avLst/>
                          </a:prstGeom>
                        </pic:spPr>
                      </pic:pic>
                    </a:graphicData>
                  </a:graphic>
                </wp:inline>
              </w:drawing>
            </w:r>
            <w:bookmarkStart w:id="32" w:name="i-32"/>
            <w:bookmarkEnd w:id="32"/>
          </w:p>
        </w:tc>
        <w:tc>
          <w:tcPr>
            <w:tcW w:w="108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Vimal Kapur</w:t>
            </w:r>
            <w:r>
              <w:rPr>
                <w:rFonts w:ascii="Arial;sans-serif" w:hAnsi="Arial;sans-serif"/>
                <w:b w:val="false"/>
                <w:color w:val="000000"/>
                <w:sz w:val="16"/>
              </w:rPr>
              <w:t>, 60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2018</w:t>
            </w:r>
          </w:p>
        </w:tc>
        <w:tc>
          <w:tcPr>
            <w:tcW w:w="788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Chairman of the Board since June 2024 and Chief Executive Officer since June 2023. President and Chief Operating Officer from July 2022 to May 2023. President and Chief Executive Officer, Performance Materials and Technologies from July 2021 to October 2022. President and Chief Executive Officer, Honeywell Building Technologies from June 2018 to June 2021. President of Honeywell Process Solutions from May 2014 to May 2018.</w:t>
            </w:r>
          </w:p>
        </w:tc>
      </w:tr>
      <w:tr>
        <w:trPr/>
        <w:tc>
          <w:tcPr>
            <w:tcW w:w="1241" w:type="dxa"/>
            <w:gridSpan w:val="3"/>
            <w:tcBorders>
              <w:top w:val="single" w:sz="2" w:space="0" w:color="61656A"/>
            </w:tcBorders>
            <w:tcMar>
              <w:left w:w="0" w:type="dxa"/>
              <w:bottom w:w="0" w:type="dxa"/>
              <w:right w:w="0" w:type="dxa"/>
            </w:tcMar>
            <w:vAlign w:val="center"/>
          </w:tcPr>
          <w:p>
            <w:pPr>
              <w:pStyle w:val="TableContents"/>
              <w:bidi w:val="0"/>
              <w:spacing w:before="0" w:after="0"/>
              <w:jc w:val="left"/>
              <w:rPr/>
            </w:pPr>
            <w:r>
              <w:rPr/>
              <w:drawing>
                <wp:inline distT="0" distB="0" distL="0" distR="0">
                  <wp:extent cx="723900" cy="523875"/>
                  <wp:effectExtent l="0" t="0" r="0" b="0"/>
                  <wp:docPr id="8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3" descr=""/>
                          <pic:cNvPicPr>
                            <a:picLocks noChangeAspect="1" noChangeArrowheads="1"/>
                          </pic:cNvPicPr>
                        </pic:nvPicPr>
                        <pic:blipFill>
                          <a:blip r:embed="rId34"/>
                          <a:stretch>
                            <a:fillRect/>
                          </a:stretch>
                        </pic:blipFill>
                        <pic:spPr bwMode="auto">
                          <a:xfrm>
                            <a:off x="0" y="0"/>
                            <a:ext cx="723900" cy="523875"/>
                          </a:xfrm>
                          <a:prstGeom prst="rect">
                            <a:avLst/>
                          </a:prstGeom>
                        </pic:spPr>
                      </pic:pic>
                    </a:graphicData>
                  </a:graphic>
                </wp:inline>
              </w:drawing>
            </w:r>
            <w:bookmarkStart w:id="33" w:name="i-33"/>
            <w:bookmarkEnd w:id="33"/>
          </w:p>
        </w:tc>
        <w:tc>
          <w:tcPr>
            <w:tcW w:w="108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Pete Lau</w:t>
            </w:r>
            <w:r>
              <w:rPr>
                <w:rFonts w:ascii="Arial;sans-serif" w:hAnsi="Arial;sans-serif"/>
                <w:b w:val="false"/>
                <w:color w:val="000000"/>
                <w:sz w:val="16"/>
              </w:rPr>
              <w:t>, 46</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w:t>
            </w:r>
          </w:p>
        </w:tc>
        <w:tc>
          <w:tcPr>
            <w:tcW w:w="788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President and Chief Executive Officer, Industrial Automation since October 2025. President and Chief Executive Officer of FARO Technologies from July 2023 to October 2025. Chief Executive Officer of Catalyst Nutraceuticals from October 2022 to July 2023. President of the Electrical Segment at Hubbell Incorporated from August 2020 to September 2022 where he led strategic, operational, and financial operations. President of Honeywell's Fire Detection and Control business from April 2019 to August 2020 and President of Honeywell's Global Security business from January 2018 to April 2019.</w:t>
            </w:r>
          </w:p>
        </w:tc>
      </w:tr>
      <w:tr>
        <w:trPr/>
        <w:tc>
          <w:tcPr>
            <w:tcW w:w="1241" w:type="dxa"/>
            <w:gridSpan w:val="3"/>
            <w:tcBorders>
              <w:top w:val="single" w:sz="2" w:space="0" w:color="61656A"/>
            </w:tcBorders>
            <w:tcMar>
              <w:left w:w="0" w:type="dxa"/>
              <w:bottom w:w="0" w:type="dxa"/>
              <w:right w:w="0" w:type="dxa"/>
            </w:tcMar>
            <w:vAlign w:val="center"/>
          </w:tcPr>
          <w:p>
            <w:pPr>
              <w:pStyle w:val="TableContents"/>
              <w:bidi w:val="0"/>
              <w:spacing w:before="0" w:after="0"/>
              <w:jc w:val="left"/>
              <w:rPr/>
            </w:pPr>
            <w:r>
              <w:rPr/>
              <w:drawing>
                <wp:inline distT="0" distB="0" distL="0" distR="0">
                  <wp:extent cx="723900" cy="523875"/>
                  <wp:effectExtent l="0" t="0" r="0" b="0"/>
                  <wp:docPr id="8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4" descr=""/>
                          <pic:cNvPicPr>
                            <a:picLocks noChangeAspect="1" noChangeArrowheads="1"/>
                          </pic:cNvPicPr>
                        </pic:nvPicPr>
                        <pic:blipFill>
                          <a:blip r:embed="rId35"/>
                          <a:stretch>
                            <a:fillRect/>
                          </a:stretch>
                        </pic:blipFill>
                        <pic:spPr bwMode="auto">
                          <a:xfrm>
                            <a:off x="0" y="0"/>
                            <a:ext cx="723900" cy="523875"/>
                          </a:xfrm>
                          <a:prstGeom prst="rect">
                            <a:avLst/>
                          </a:prstGeom>
                        </pic:spPr>
                      </pic:pic>
                    </a:graphicData>
                  </a:graphic>
                </wp:inline>
              </w:drawing>
            </w:r>
            <w:bookmarkStart w:id="34" w:name="i-34"/>
            <w:bookmarkEnd w:id="34"/>
          </w:p>
        </w:tc>
        <w:tc>
          <w:tcPr>
            <w:tcW w:w="108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Su Ping Lu</w:t>
            </w:r>
            <w:r>
              <w:rPr>
                <w:rFonts w:ascii="Arial;sans-serif" w:hAnsi="Arial;sans-serif"/>
                <w:b w:val="false"/>
                <w:color w:val="000000"/>
                <w:sz w:val="16"/>
              </w:rPr>
              <w:t>, 50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w:t>
            </w:r>
          </w:p>
        </w:tc>
        <w:tc>
          <w:tcPr>
            <w:tcW w:w="788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Senior Vice President, General Counsel and Corporate Secretary since May 2025. Vice President and Corporate Secretary from January 2024 to May 2025. Vice President, Deputy Corporate Secretary, and General Counsel for ESG, Investigations, and International from August 2021 to December 2023. Assistant General Counsel for Corporate Governance and Finance from October 2016 to August 2021.</w:t>
            </w:r>
          </w:p>
        </w:tc>
      </w:tr>
      <w:tr>
        <w:trPr/>
        <w:tc>
          <w:tcPr>
            <w:tcW w:w="1241" w:type="dxa"/>
            <w:gridSpan w:val="3"/>
            <w:tcBorders>
              <w:top w:val="single" w:sz="2" w:space="0" w:color="61656A"/>
            </w:tcBorders>
            <w:tcMar>
              <w:left w:w="0" w:type="dxa"/>
              <w:bottom w:w="0" w:type="dxa"/>
              <w:right w:w="0" w:type="dxa"/>
            </w:tcMar>
            <w:vAlign w:val="center"/>
          </w:tcPr>
          <w:p>
            <w:pPr>
              <w:pStyle w:val="TableContents"/>
              <w:bidi w:val="0"/>
              <w:spacing w:before="0" w:after="0"/>
              <w:jc w:val="left"/>
              <w:rPr/>
            </w:pPr>
            <w:r>
              <w:rPr/>
              <w:drawing>
                <wp:inline distT="0" distB="0" distL="0" distR="0">
                  <wp:extent cx="723900" cy="523875"/>
                  <wp:effectExtent l="0" t="0" r="0" b="0"/>
                  <wp:docPr id="8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5" descr=""/>
                          <pic:cNvPicPr>
                            <a:picLocks noChangeAspect="1" noChangeArrowheads="1"/>
                          </pic:cNvPicPr>
                        </pic:nvPicPr>
                        <pic:blipFill>
                          <a:blip r:embed="rId36"/>
                          <a:stretch>
                            <a:fillRect/>
                          </a:stretch>
                        </pic:blipFill>
                        <pic:spPr bwMode="auto">
                          <a:xfrm>
                            <a:off x="0" y="0"/>
                            <a:ext cx="723900" cy="523875"/>
                          </a:xfrm>
                          <a:prstGeom prst="rect">
                            <a:avLst/>
                          </a:prstGeom>
                        </pic:spPr>
                      </pic:pic>
                    </a:graphicData>
                  </a:graphic>
                </wp:inline>
              </w:drawing>
            </w:r>
            <w:bookmarkStart w:id="35" w:name="i-35"/>
            <w:bookmarkEnd w:id="35"/>
          </w:p>
        </w:tc>
        <w:tc>
          <w:tcPr>
            <w:tcW w:w="108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Jim Masso</w:t>
            </w:r>
            <w:r>
              <w:rPr>
                <w:rFonts w:ascii="Arial;sans-serif" w:hAnsi="Arial;sans-serif"/>
                <w:b w:val="false"/>
                <w:color w:val="000000"/>
                <w:sz w:val="16"/>
              </w:rPr>
              <w:t>, 41</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w:t>
            </w:r>
          </w:p>
        </w:tc>
        <w:tc>
          <w:tcPr>
            <w:tcW w:w="788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President and Chief Executive Officer, Process Automation since January 2026. President and Chief Executive Officer, Honeywell Process Solutions from July 2025 to December 2025. President and Chief Executive Officer, Allied Power Group from November 2019 to June 2025.</w:t>
            </w:r>
          </w:p>
        </w:tc>
      </w:tr>
      <w:tr>
        <w:trPr/>
        <w:tc>
          <w:tcPr>
            <w:tcW w:w="1241" w:type="dxa"/>
            <w:gridSpan w:val="3"/>
            <w:tcBorders>
              <w:top w:val="single" w:sz="2" w:space="0" w:color="61656A"/>
            </w:tcBorders>
            <w:tcMar>
              <w:left w:w="0" w:type="dxa"/>
              <w:bottom w:w="0" w:type="dxa"/>
              <w:right w:w="0" w:type="dxa"/>
            </w:tcMar>
            <w:vAlign w:val="center"/>
          </w:tcPr>
          <w:p>
            <w:pPr>
              <w:pStyle w:val="TableContents"/>
              <w:bidi w:val="0"/>
              <w:spacing w:before="120" w:after="120"/>
              <w:jc w:val="both"/>
              <w:rPr/>
            </w:pPr>
            <w:r>
              <w:rPr/>
              <w:drawing>
                <wp:inline distT="0" distB="0" distL="0" distR="0">
                  <wp:extent cx="723900" cy="523875"/>
                  <wp:effectExtent l="0" t="0" r="0" b="0"/>
                  <wp:docPr id="8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6" descr=""/>
                          <pic:cNvPicPr>
                            <a:picLocks noChangeAspect="1" noChangeArrowheads="1"/>
                          </pic:cNvPicPr>
                        </pic:nvPicPr>
                        <pic:blipFill>
                          <a:blip r:embed="rId37"/>
                          <a:stretch>
                            <a:fillRect/>
                          </a:stretch>
                        </pic:blipFill>
                        <pic:spPr bwMode="auto">
                          <a:xfrm>
                            <a:off x="0" y="0"/>
                            <a:ext cx="723900" cy="523875"/>
                          </a:xfrm>
                          <a:prstGeom prst="rect">
                            <a:avLst/>
                          </a:prstGeom>
                        </pic:spPr>
                      </pic:pic>
                    </a:graphicData>
                  </a:graphic>
                </wp:inline>
              </w:drawing>
            </w:r>
            <w:bookmarkStart w:id="36" w:name="i-36"/>
            <w:bookmarkEnd w:id="36"/>
          </w:p>
        </w:tc>
        <w:tc>
          <w:tcPr>
            <w:tcW w:w="108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Karen Mattimore</w:t>
            </w:r>
            <w:r>
              <w:rPr>
                <w:rFonts w:ascii="Arial;sans-serif" w:hAnsi="Arial;sans-serif"/>
                <w:b w:val="false"/>
                <w:color w:val="000000"/>
                <w:sz w:val="16"/>
              </w:rPr>
              <w:t>, 59</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2020</w:t>
            </w:r>
          </w:p>
        </w:tc>
        <w:tc>
          <w:tcPr>
            <w:tcW w:w="788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6"/>
              </w:rPr>
            </w:pPr>
            <w:r>
              <w:rPr>
                <w:rFonts w:ascii="Arial;sans-serif" w:hAnsi="Arial;sans-serif"/>
                <w:b w:val="false"/>
                <w:color w:val="000000"/>
                <w:sz w:val="16"/>
              </w:rPr>
              <w:t xml:space="preserve">Senior Vice President and Chief Human Resources Officer since June 2020. Vice President, Human Resources and Communications, Aerospace from February 2018 to June 2020. Vice President, Human Resources Services from April 2015 to February 2018. </w:t>
            </w:r>
          </w:p>
        </w:tc>
      </w:tr>
      <w:tr>
        <w:trPr/>
        <w:tc>
          <w:tcPr>
            <w:tcW w:w="1241" w:type="dxa"/>
            <w:gridSpan w:val="3"/>
            <w:tcBorders>
              <w:top w:val="single" w:sz="2" w:space="0" w:color="61656A"/>
            </w:tcBorders>
            <w:tcMar>
              <w:left w:w="0" w:type="dxa"/>
              <w:bottom w:w="0" w:type="dxa"/>
              <w:right w:w="0" w:type="dxa"/>
            </w:tcMar>
            <w:vAlign w:val="center"/>
          </w:tcPr>
          <w:p>
            <w:pPr>
              <w:pStyle w:val="TableContents"/>
              <w:bidi w:val="0"/>
              <w:spacing w:before="0" w:after="0"/>
              <w:jc w:val="left"/>
              <w:rPr/>
            </w:pPr>
            <w:r>
              <w:rPr/>
              <w:drawing>
                <wp:inline distT="0" distB="0" distL="0" distR="0">
                  <wp:extent cx="723900" cy="523875"/>
                  <wp:effectExtent l="0" t="0" r="0" b="0"/>
                  <wp:docPr id="8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7" descr=""/>
                          <pic:cNvPicPr>
                            <a:picLocks noChangeAspect="1" noChangeArrowheads="1"/>
                          </pic:cNvPicPr>
                        </pic:nvPicPr>
                        <pic:blipFill>
                          <a:blip r:embed="rId38"/>
                          <a:stretch>
                            <a:fillRect/>
                          </a:stretch>
                        </pic:blipFill>
                        <pic:spPr bwMode="auto">
                          <a:xfrm>
                            <a:off x="0" y="0"/>
                            <a:ext cx="723900" cy="523875"/>
                          </a:xfrm>
                          <a:prstGeom prst="rect">
                            <a:avLst/>
                          </a:prstGeom>
                        </pic:spPr>
                      </pic:pic>
                    </a:graphicData>
                  </a:graphic>
                </wp:inline>
              </w:drawing>
            </w:r>
            <w:bookmarkStart w:id="37" w:name="i-37"/>
            <w:bookmarkEnd w:id="37"/>
          </w:p>
        </w:tc>
        <w:tc>
          <w:tcPr>
            <w:tcW w:w="108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Michal Stepniak</w:t>
            </w:r>
            <w:r>
              <w:rPr>
                <w:rFonts w:ascii="Arial;sans-serif" w:hAnsi="Arial;sans-serif"/>
                <w:b w:val="false"/>
                <w:color w:val="000000"/>
                <w:sz w:val="16"/>
              </w:rPr>
              <w:t>, 48</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w:t>
            </w:r>
          </w:p>
        </w:tc>
        <w:tc>
          <w:tcPr>
            <w:tcW w:w="788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Senior Vice President and Chief Financial Officer since February 2025. Vice President, Corporate Finance from October 2024 to February 2025. Vice President and Chief Financial Officer of Aerospace Technologies from January 2023 to October 2024. Vice President and Chief Financial Officer of Honeywell Building Technologies from March 2020 to January 2023.</w:t>
            </w:r>
          </w:p>
        </w:tc>
      </w:tr>
      <w:tr>
        <w:trPr/>
        <w:tc>
          <w:tcPr>
            <w:tcW w:w="1241"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0"/>
              <w:jc w:val="left"/>
              <w:rPr/>
            </w:pPr>
            <w:r>
              <w:rPr/>
              <w:drawing>
                <wp:inline distT="0" distB="0" distL="0" distR="0">
                  <wp:extent cx="723900" cy="523875"/>
                  <wp:effectExtent l="0" t="0" r="0" b="0"/>
                  <wp:docPr id="8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8" descr=""/>
                          <pic:cNvPicPr>
                            <a:picLocks noChangeAspect="1" noChangeArrowheads="1"/>
                          </pic:cNvPicPr>
                        </pic:nvPicPr>
                        <pic:blipFill>
                          <a:blip r:embed="rId39"/>
                          <a:stretch>
                            <a:fillRect/>
                          </a:stretch>
                        </pic:blipFill>
                        <pic:spPr bwMode="auto">
                          <a:xfrm>
                            <a:off x="0" y="0"/>
                            <a:ext cx="723900" cy="523875"/>
                          </a:xfrm>
                          <a:prstGeom prst="rect">
                            <a:avLst/>
                          </a:prstGeom>
                        </pic:spPr>
                      </pic:pic>
                    </a:graphicData>
                  </a:graphic>
                </wp:inline>
              </w:drawing>
            </w:r>
            <w:bookmarkStart w:id="38" w:name="i-38"/>
            <w:bookmarkEnd w:id="38"/>
          </w:p>
        </w:tc>
        <w:tc>
          <w:tcPr>
            <w:tcW w:w="1083"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Ken West</w:t>
            </w:r>
            <w:r>
              <w:rPr>
                <w:rFonts w:ascii="Arial;sans-serif" w:hAnsi="Arial;sans-serif"/>
                <w:b w:val="false"/>
                <w:color w:val="000000"/>
                <w:sz w:val="16"/>
              </w:rPr>
              <w:t>, 48</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2024</w:t>
            </w:r>
          </w:p>
        </w:tc>
        <w:tc>
          <w:tcPr>
            <w:tcW w:w="7881"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President and Chief Executive Officer, Energy and Sustainability Solutions since January 2024. President of UOP from July 2023 to December 2023, President of Advanced Materials from January 2022 to July 2023, Vice President and General Manager of the Fluorine Products business from April 2021 to January 2022, Vice President and General Manager of the Life Sciences, Protective, and Industrial Products business from June 2020 to April 2021, and Vice President and General Manager of the Packaging and Composites business from October 2018 to June 2020.</w:t>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89"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49    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49    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UNRESOLVED STAFF COMMENTS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CYBERSECURITY</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maintain a cybersecurity risk management program designed to assess, identify, manage, and govern material risks from cybersecurity threats. Our cybersecurity risk management program is a key component of our overall enterprise risk management program. We maintain cybersecurity policies and procedures in accordance with industry standard control frameworks and applicable regulations, laws, and standards. We maintain oversight of our cybersecurity risk management program via a corporate structure that includes a Cybersecurity Disclosure Committee, a Security Governance Council, the Audit Committee, and the Board. </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assess and evaluate cybersecurity-related risks on a quarterly basis or as needed, to determine whether any such risks have the potential to materially impact our business operations, revenue, and expenditures and to understand the degree of such risks relative to other risks faced by Honeywell. Our Chief Security Officer served in various roles in IT and information security for over 30 years, including security-related roles in technology deployments, product development, product security, supply chain, and operations. He holds a Bachelor of Science in computer science from the Georgia Institute of Technology. </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Security Governance Council, which meets quarterly or as needed, is led by our Chief Security Officer, and includes members of senior executive leadership. Our Security Governance Council maintains a security program designed to monitor and track key security performance indicators, and provides regular updates to the Audit Committee for review and oversight. Our Chief Security Officer also provides updates directly to the full Board once a year and directly to the Audit Committee at least twice a year or as needed. These updates cover topics related to information security, privacy, cyber risks and risk management processes, including the status of significant cybersecurity incidents, the emerging threat landscape, and the status of projects to strengthen the Company’s information security posture. </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Honeywell’s Cybersecurity Disclosure Committee receives updates at least quarterly or as needed from Honeywell’s global security organization regarding cybersecurity incidents. The Cybersecurity Disclosure Committee includes Honeywell’s Chief Information Security Officer, Chief Security Officer, and senior representatives from finance, controllership, internal audit, investor relations, tax, and legal. Our governance, risk and compliance team, which is part of Honeywell’s enterprise security team, works in partnership with the Company’s internal audit team to review cybersecurity and IT-related internal controls as part of our overall internal controls process. The Cybersecurity Disclosure Committee informs the Security Governance Council and the Audit Committee of any cybersecurity incidents (if any) that have the potential to materially adversely impact the Company or our information systems. </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Honeywell’s Board is responsible for cybersecurity risk oversight and delegated such oversight to the Audit Committee. The Audit Committee, a committee comprised of independent Board members, four of whom have notable experience related to the oversight of cybersecurity issues, is responsible for oversight of Honeywell’s IT and cybersecurity risks and regularly reports to the Board on IT and cybersecurity matters. The Audit Committee oversees risk related to the protection of customer and employee data, trade secrets, and other proprietary information, the security of data on the cloud, persistent threats, and cybersecurity risks associated with the Company’s own products and facilities. </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Chief Information Security Officer reports to our Chief Security Officer and oversees the global enterprise security team responsible for leading enterprise-wide information security strategy, architecture, and processes. The global enterprise information security team is responsible for infrastructure defense and security controls, performing vulnerability assessments, security incident management, and defining the parameters and standards of our information security risk management program. Our cybersecurity and information security risk management program includes risk assessment and mitigation through a threat intelligence-driven approach, application controls, and security monitoring. The risk management program leverages recognized industry standards such as International Organization for Standardizations (ISO) 22301 standard for business continuity, ISO 27001 standard for information security management systems, and the National Institute of Standards and Technology (NIST) Cyber Security Framework for measuring overall readiness to respond to cyber threats, and NIST 800-171 on protecting controlled unclassified information. To provide stakeholder assurance and fulfill our regulatory obligations, we subject our information security management system to third-party assessment and certification against recognized industry standards such as ISO 27001 and the U.S. Department of War’s Cybersecurity Maturity Model Certification (CMMC).</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Chief Information Security Officer has more than 20 years of experience in IT and information security, particularly in the engineering and technology industries. Our information security organization has more than 300 members, with expertise in: (i) application security, (ii) governance and compliance, (iii) program and vulnerability management, (iv) security engineering, (v) identity and access management, (vi) security operations security assurance, (vii) threat intelligence and security architecture, and (viii) incident response.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0"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50    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50    </w:t>
                      </w:r>
                      <w:r>
                        <w:rPr>
                          <w:rFonts w:ascii="Arial;sans-serif" w:hAnsi="Arial;sans-serif"/>
                          <w:b w:val="false"/>
                          <w:color w:val="000000"/>
                          <w:sz w:val="16"/>
                        </w:rPr>
                        <w:t>Honeywell International Inc.</w:t>
                      </w:r>
                    </w:p>
                  </w:txbxContent>
                </v:textbox>
                <w10:wrap type="none"/>
              </v:rect>
            </w:pict>
          </mc:Fallback>
        </mc:AlternateContent>
      </w:r>
    </w:p>
    <w:tbl>
      <w:tblPr>
        <w:tblW w:w="2775" w:type="dxa"/>
        <w:jc w:val="left"/>
        <w:tblInd w:w="0" w:type="dxa"/>
        <w:tblLayout w:type="fixed"/>
        <w:tblCellMar>
          <w:top w:w="28" w:type="dxa"/>
          <w:left w:w="28" w:type="dxa"/>
          <w:bottom w:w="28" w:type="dxa"/>
          <w:right w:w="28" w:type="dxa"/>
        </w:tblCellMar>
      </w:tblPr>
      <w:tblGrid>
        <w:gridCol w:w="548"/>
        <w:gridCol w:w="482"/>
        <w:gridCol w:w="484"/>
        <w:gridCol w:w="369"/>
        <w:gridCol w:w="369"/>
        <w:gridCol w:w="52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CYBERSECURITY</w:t>
            </w:r>
          </w:p>
        </w:tc>
      </w:tr>
    </w:tbl>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maintain an incident response plan and procedures to identify, assess, respond to, and recover from cybersecurity incidents. When we detect an incident or identify a vulnerability, cross-functional teams coordinate triage, containment, remediation, and recovery activities, and engage external experts, as appropriate. Incidents are escalated based on established criteria to relevant management stakeholders and governance bodies, including, as appropriate, the Cybersecurity Disclosure Committee, Security Governance Council, and the Audit Committee.</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rely on third-party service providers for certain critical or key infrastructure, solutions, and services across our operations. Honeywell has a third-party risk management program that assesses risks from vendors and suppliers that provide, amongst other things, key information and supply chain services to Honeywell. In addition, the Company maintains business continuity and disaster recovery plans as well as a cybersecurity insurance policy. </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Honeywell maintains cybersecurity and information security awareness training programs for employees. Formal training on topics relating to the Company’s cybersecurity, data privacy and information security policies and procedures is mandatory for all employees with access to the Company’s network. Training is administered and tracked through online learning modules. Additionally, Honeywell periodically engages in cyber crisis response table-top simulations to assess our ability to adapt to security-related threats. Improper or illegitimate use of the Company’s information system resources or violation of the Company’s information security policies and procedures may result in disciplinary action. </w:t>
      </w:r>
    </w:p>
    <w:p>
      <w:pPr>
        <w:pStyle w:val="TextBody"/>
        <w:bidi w:val="0"/>
        <w:spacing w:lineRule="auto" w:line="288" w:before="120" w:after="120"/>
        <w:jc w:val="both"/>
        <w:rPr/>
      </w:pPr>
      <w:r>
        <w:rPr>
          <w:rFonts w:ascii="Arial;sans-serif" w:hAnsi="Arial;sans-serif"/>
          <w:b w:val="false"/>
          <w:color w:val="000000"/>
          <w:sz w:val="18"/>
        </w:rPr>
        <w:t>To date, no risks from cybersecurity threats, including as a result of any previous cybersecurity incidents, materially affected or are reasonably likely to materially affect our b</w:t>
      </w:r>
      <w:r>
        <w:rPr>
          <w:rFonts w:ascii="Arial;sans-serif" w:hAnsi="Arial;sans-serif"/>
          <w:b w:val="false"/>
          <w:color w:val="000000"/>
          <w:sz w:val="18"/>
          <w:shd w:fill="FFFFFF" w:val="clear"/>
        </w:rPr>
        <w:t xml:space="preserve">usiness, our business strategy, our results of operations or financial condition. Refer to “Our business, reputation, and financial performance may be materially impacted by cybersecurity attacks on our IT infrastructure and products” in the section titled </w:t>
      </w:r>
      <w:hyperlink w:anchor="ic3922f0530c04df99983ab02c4d22c0f_109">
        <w:r>
          <w:rPr>
            <w:rStyle w:val="InternetLink"/>
            <w:rFonts w:ascii="Arial;sans-serif" w:hAnsi="Arial;sans-serif"/>
            <w:b w:val="false"/>
            <w:color w:val="0000FF"/>
            <w:sz w:val="18"/>
            <w:u w:val="single"/>
            <w:shd w:fill="FFFFFF" w:val="clear"/>
          </w:rPr>
          <w:t>Risk Factors</w:t>
        </w:r>
      </w:hyperlink>
      <w:r>
        <w:rPr>
          <w:color w:val="000000"/>
          <w:shd w:fill="FFFFFF" w:val="clear"/>
        </w:rPr>
        <w:t xml:space="preserve"> </w:t>
      </w:r>
      <w:r>
        <w:rPr>
          <w:rFonts w:ascii="Arial;sans-serif" w:hAnsi="Arial;sans-serif"/>
          <w:b w:val="false"/>
          <w:color w:val="000000"/>
          <w:sz w:val="18"/>
          <w:shd w:fill="FFFFFF" w:val="clear"/>
        </w:rPr>
        <w:t>of this Annual Report for further information on our cybersecurity risks. In the event an attack or other intrusion were to be successful, we have a response team of internal and external resources engaged and prepared to respond</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shd w:fill="FFFFFF" w:val="clear"/>
        </w:rPr>
      </w:pPr>
      <w:r>
        <w:rPr>
          <w:rFonts w:ascii="Arial MT Std Black;sans-serif" w:hAnsi="Arial MT Std Black;sans-serif"/>
          <w:b/>
          <w:color w:val="000000"/>
          <w:sz w:val="40"/>
          <w:shd w:fill="FFFFFF" w:val="clear"/>
        </w:rPr>
        <w:t>PROPERTIES</w:t>
      </w:r>
    </w:p>
    <w:p>
      <w:pPr>
        <w:pStyle w:val="TextBody"/>
        <w:bidi w:val="0"/>
        <w:spacing w:lineRule="auto" w:line="288" w:before="120" w:after="120"/>
        <w:jc w:val="both"/>
        <w:rPr/>
      </w:pPr>
      <w:r>
        <w:rPr>
          <w:rFonts w:ascii="Arial;sans-serif" w:hAnsi="Arial;sans-serif"/>
          <w:b w:val="false"/>
          <w:color w:val="000000"/>
          <w:sz w:val="18"/>
        </w:rPr>
        <w:t>We have approxim</w:t>
      </w:r>
      <w:r>
        <w:rPr>
          <w:rFonts w:ascii="Arial;sans-serif" w:hAnsi="Arial;sans-serif"/>
          <w:b w:val="false"/>
          <w:color w:val="000000"/>
          <w:sz w:val="18"/>
          <w:shd w:fill="FFFFFF" w:val="clear"/>
        </w:rPr>
        <w:t>ately 667 locations, of which 142 are manufacturing sites.</w:t>
      </w:r>
      <w:r>
        <w:rPr>
          <w:color w:val="000000"/>
        </w:rPr>
        <w:t xml:space="preserve"> </w:t>
      </w:r>
      <w:r>
        <w:rPr>
          <w:rFonts w:ascii="Arial;sans-serif" w:hAnsi="Arial;sans-serif"/>
          <w:b w:val="false"/>
          <w:color w:val="000000"/>
          <w:sz w:val="18"/>
        </w:rPr>
        <w:t>Our properties and equipment are in good operating condition and are adequate for our present needs. We do not anticipate difficulty in renewing existing leases as they expire or in finding alternative facilities. Our locations by geographic area are as follows:</w:t>
      </w:r>
    </w:p>
    <w:tbl>
      <w:tblPr>
        <w:tblW w:w="4760" w:type="dxa"/>
        <w:jc w:val="left"/>
        <w:tblInd w:w="0" w:type="dxa"/>
        <w:tblLayout w:type="fixed"/>
        <w:tblCellMar>
          <w:top w:w="28" w:type="dxa"/>
          <w:left w:w="28" w:type="dxa"/>
          <w:bottom w:w="28" w:type="dxa"/>
          <w:right w:w="28" w:type="dxa"/>
        </w:tblCellMar>
      </w:tblPr>
      <w:tblGrid>
        <w:gridCol w:w="527"/>
        <w:gridCol w:w="462"/>
        <w:gridCol w:w="465"/>
        <w:gridCol w:w="449"/>
        <w:gridCol w:w="449"/>
        <w:gridCol w:w="451"/>
        <w:gridCol w:w="564"/>
        <w:gridCol w:w="564"/>
        <w:gridCol w:w="566"/>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957" w:type="dxa"/>
            <w:gridSpan w:val="5"/>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Geographic Area</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Locations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Manufacturing Sites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8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56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3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234</w:t>
            </w:r>
          </w:p>
        </w:tc>
        <w:tc>
          <w:tcPr>
            <w:tcW w:w="169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international</w:t>
            </w:r>
          </w:p>
        </w:tc>
        <w:tc>
          <w:tcPr>
            <w:tcW w:w="13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213</w:t>
            </w:r>
          </w:p>
        </w:tc>
        <w:tc>
          <w:tcPr>
            <w:tcW w:w="169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957" w:type="dxa"/>
            <w:gridSpan w:val="5"/>
            <w:tcBorders/>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34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667</w:t>
            </w:r>
          </w:p>
        </w:tc>
        <w:tc>
          <w:tcPr>
            <w:tcW w:w="169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 xml:space="preserve">LEGAL PROCEEDINGS </w:t>
      </w:r>
    </w:p>
    <w:p>
      <w:pPr>
        <w:pStyle w:val="TextBody"/>
        <w:bidi w:val="0"/>
        <w:spacing w:lineRule="auto" w:line="288" w:before="120" w:after="120"/>
        <w:jc w:val="both"/>
        <w:rPr/>
      </w:pPr>
      <w:r>
        <w:rPr>
          <w:rFonts w:ascii="Arial;sans-serif" w:hAnsi="Arial;sans-serif"/>
          <w:b w:val="false"/>
          <w:color w:val="000000"/>
          <w:sz w:val="18"/>
        </w:rPr>
        <w:t xml:space="preserve">We are subject to a number of lawsuits, investigations, and claims (some of which involve substantial amounts) arising out of the conduct of our business. See a discussion of environmental, asbestos, and other litigation matters in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There were no matters requiring disclosure pursuant to the requirement to disclose certain environmental matters involving potential monetary sanctions in excess of $300,000.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MINE SAFETY DISCLOSURES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1"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51    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51    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 xml:space="preserve">MARKET FOR REGISTRANT'S COMMON EQUITY, RELATED STOCKHOLDER MATTERS AND ISSUER PURCHASES OF EQUITY SECURITIES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common stock is listed on The Nasdaq Stock Market LLC (Nasdaq) under the ticker symbol “HON.” We increased our quarterly dividend rate by 5% to $1.19 per share of common stock effective with the fourth quarter 2025 dividend. We intend to continue to pay quarterly dividends in 2026. </w:t>
      </w:r>
    </w:p>
    <w:p>
      <w:pPr>
        <w:pStyle w:val="TextBody"/>
        <w:bidi w:val="0"/>
        <w:spacing w:lineRule="auto" w:line="288" w:before="120" w:after="120"/>
        <w:jc w:val="both"/>
        <w:rPr/>
      </w:pPr>
      <w:r>
        <w:rPr>
          <w:rFonts w:ascii="Arial;sans-serif" w:hAnsi="Arial;sans-serif"/>
          <w:b w:val="false"/>
          <w:color w:val="000000"/>
          <w:sz w:val="18"/>
        </w:rPr>
        <w:t>The number of record holders of our common stock as of December 31, 2025, was 30,150</w:t>
      </w:r>
      <w:r>
        <w:rPr>
          <w:rFonts w:ascii="Arial;sans-serif" w:hAnsi="Arial;sans-serif"/>
          <w:b w:val="false"/>
          <w:color w:val="000000"/>
          <w:sz w:val="18"/>
          <w:shd w:fill="FFFFFF" w:val="clear"/>
        </w:rPr>
        <w:t>.</w:t>
      </w:r>
    </w:p>
    <w:p>
      <w:pPr>
        <w:pStyle w:val="TextBody"/>
        <w:bidi w:val="0"/>
        <w:spacing w:lineRule="auto" w:line="288" w:before="120" w:after="120"/>
        <w:jc w:val="both"/>
        <w:rPr/>
      </w:pPr>
      <w:r>
        <w:rPr>
          <w:rFonts w:ascii="Arial;sans-serif" w:hAnsi="Arial;sans-serif"/>
          <w:b w:val="false"/>
          <w:color w:val="000000"/>
          <w:sz w:val="18"/>
        </w:rPr>
        <w:t xml:space="preserve">Information regarding securities authorized for issuance under equity compensation plans is included in the section titled </w:t>
      </w:r>
      <w:hyperlink w:anchor="ic3922f0530c04df99983ab02c4d22c0f_310">
        <w:r>
          <w:rPr>
            <w:rStyle w:val="InternetLink"/>
            <w:rFonts w:ascii="Arial;sans-serif" w:hAnsi="Arial;sans-serif"/>
            <w:b w:val="false"/>
            <w:color w:val="0000FF"/>
            <w:sz w:val="18"/>
            <w:u w:val="single"/>
          </w:rPr>
          <w:t>Security Ownership of Certain Beneficial Owners and Management and Related Stockholder Matters</w:t>
        </w:r>
      </w:hyperlink>
      <w:r>
        <w:rPr>
          <w:color w:val="000000"/>
        </w:rPr>
        <w:t xml:space="preserve"> </w:t>
      </w:r>
      <w:r>
        <w:rPr>
          <w:rFonts w:ascii="Arial;sans-serif" w:hAnsi="Arial;sans-serif"/>
          <w:b w:val="false"/>
          <w:color w:val="000000"/>
          <w:sz w:val="18"/>
        </w:rPr>
        <w:t>under the caption “Equity Compensation Plans.”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April 24, 2023, the Board authorized the repurchase of up to $10.0 billion of Honeywell common stock, including approximately $2.1 billion of remaining availability under the previously announced $10 billion share repurchase authorization. The repurchase authorization does not have an expiration date and may be amended or terminated by the Board at any time without prior notice.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 </w:t>
      </w:r>
    </w:p>
    <w:p>
      <w:pPr>
        <w:pStyle w:val="TextBody"/>
        <w:bidi w:val="0"/>
        <w:spacing w:lineRule="auto" w:line="288" w:before="120" w:after="120"/>
        <w:jc w:val="both"/>
        <w:rPr/>
      </w:pPr>
      <w:r>
        <w:rPr>
          <w:rFonts w:ascii="Arial;sans-serif" w:hAnsi="Arial;sans-serif"/>
          <w:b w:val="false"/>
          <w:color w:val="000000"/>
          <w:sz w:val="18"/>
        </w:rPr>
        <w:t>During the quarter ended December 31, 2025</w:t>
      </w:r>
      <w:r>
        <w:rPr>
          <w:rFonts w:ascii="Arial;sans-serif" w:hAnsi="Arial;sans-serif"/>
          <w:b w:val="false"/>
          <w:color w:val="000000"/>
          <w:sz w:val="18"/>
          <w:shd w:fill="FFFFFF" w:val="clear"/>
        </w:rPr>
        <w:t xml:space="preserve">, Honeywell purchased </w:t>
      </w:r>
      <w:r>
        <w:rPr>
          <w:rFonts w:ascii="Arial;sans-serif" w:hAnsi="Arial;sans-serif"/>
          <w:b w:val="false"/>
          <w:color w:val="000000"/>
          <w:sz w:val="18"/>
        </w:rPr>
        <w:t>0.5 million sh</w:t>
      </w:r>
      <w:r>
        <w:rPr>
          <w:rFonts w:ascii="Arial;sans-serif" w:hAnsi="Arial;sans-serif"/>
          <w:b w:val="false"/>
          <w:color w:val="000000"/>
          <w:sz w:val="18"/>
          <w:shd w:fill="FFFFFF" w:val="clear"/>
        </w:rPr>
        <w:t>ares of its common stock, par value $1 per share. As of December 31, 2025,</w:t>
      </w:r>
      <w:r>
        <w:rPr>
          <w:color w:val="000000"/>
        </w:rPr>
        <w:t xml:space="preserve"> </w:t>
      </w:r>
      <w:r>
        <w:rPr>
          <w:rFonts w:ascii="Arial;sans-serif" w:hAnsi="Arial;sans-serif"/>
          <w:b w:val="false"/>
          <w:color w:val="000000"/>
          <w:sz w:val="18"/>
        </w:rPr>
        <w:t>$1.7</w:t>
      </w:r>
      <w:r>
        <w:rPr>
          <w:color w:val="000000"/>
          <w:shd w:fill="FFFFFF" w:val="clear"/>
        </w:rPr>
        <w:t xml:space="preserve"> </w:t>
      </w:r>
      <w:r>
        <w:rPr>
          <w:rFonts w:ascii="Arial;sans-serif" w:hAnsi="Arial;sans-serif"/>
          <w:b w:val="false"/>
          <w:color w:val="000000"/>
          <w:sz w:val="18"/>
          <w:shd w:fill="FFFFFF" w:val="clear"/>
        </w:rPr>
        <w:t>billion remained available</w:t>
      </w:r>
      <w:r>
        <w:rPr>
          <w:color w:val="000000"/>
        </w:rPr>
        <w:t xml:space="preserve"> </w:t>
      </w:r>
      <w:r>
        <w:rPr>
          <w:rFonts w:ascii="Arial;sans-serif" w:hAnsi="Arial;sans-serif"/>
          <w:b w:val="false"/>
          <w:color w:val="000000"/>
          <w:sz w:val="18"/>
        </w:rPr>
        <w:t>under the share repurchase authorization for additional share repurchases. The following table summarizes our purchases of Honeywell's common stock for the quarter ended December 31, 2025:</w:t>
      </w:r>
    </w:p>
    <w:tbl>
      <w:tblPr>
        <w:tblW w:w="9326" w:type="dxa"/>
        <w:jc w:val="left"/>
        <w:tblInd w:w="0" w:type="dxa"/>
        <w:tblLayout w:type="fixed"/>
        <w:tblCellMar>
          <w:top w:w="28" w:type="dxa"/>
          <w:left w:w="28" w:type="dxa"/>
          <w:bottom w:w="28" w:type="dxa"/>
          <w:right w:w="28" w:type="dxa"/>
        </w:tblCellMar>
      </w:tblPr>
      <w:tblGrid>
        <w:gridCol w:w="1134"/>
        <w:gridCol w:w="1001"/>
        <w:gridCol w:w="1014"/>
        <w:gridCol w:w="368"/>
        <w:gridCol w:w="368"/>
        <w:gridCol w:w="316"/>
        <w:gridCol w:w="109"/>
        <w:gridCol w:w="109"/>
        <w:gridCol w:w="109"/>
        <w:gridCol w:w="196"/>
        <w:gridCol w:w="646"/>
        <w:gridCol w:w="109"/>
        <w:gridCol w:w="109"/>
        <w:gridCol w:w="109"/>
        <w:gridCol w:w="109"/>
        <w:gridCol w:w="434"/>
        <w:gridCol w:w="434"/>
        <w:gridCol w:w="436"/>
        <w:gridCol w:w="109"/>
        <w:gridCol w:w="109"/>
        <w:gridCol w:w="109"/>
        <w:gridCol w:w="408"/>
        <w:gridCol w:w="1159"/>
        <w:gridCol w:w="322"/>
      </w:tblGrid>
      <w:tr>
        <w:trPr/>
        <w:tc>
          <w:tcPr>
            <w:tcW w:w="113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932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3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05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Number of</w:t>
              <w:br/>
              <w:t>Shares</w:t>
              <w:br/>
              <w:t>Purchased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40" w:before="0" w:after="0"/>
              <w:jc w:val="center"/>
              <w:rPr/>
            </w:pPr>
            <w:r>
              <w:rPr>
                <w:rFonts w:ascii="Arial;sans-serif" w:hAnsi="Arial;sans-serif"/>
                <w:b/>
                <w:color w:val="000000"/>
                <w:sz w:val="16"/>
              </w:rPr>
              <w:t>per Share</w:t>
            </w:r>
            <w:r>
              <w:rPr>
                <w:rFonts w:ascii="Arial;sans-serif" w:hAnsi="Arial;sans-serif"/>
                <w:b/>
                <w:color w:val="000000"/>
                <w:sz w:val="10"/>
              </w:rPr>
              <w:t>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w:t>
              <w:br/>
              <w:t>of Shares</w:t>
              <w:br/>
              <w:t>Purchased as</w:t>
              <w:br/>
              <w:t>Part of Publicly</w:t>
              <w:br/>
              <w:t>Announced</w:t>
              <w:br/>
              <w:t>Plans</w:t>
              <w:br/>
              <w:t>or Programs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Approximate Dollar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Value of Shares that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May Yet be Purchased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Under the Plans or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Programs</w:t>
            </w:r>
          </w:p>
          <w:p>
            <w:pPr>
              <w:pStyle w:val="TableContents"/>
              <w:bidi w:val="0"/>
              <w:spacing w:lineRule="auto" w:line="240" w:before="0" w:after="0"/>
              <w:jc w:val="center"/>
              <w:rPr/>
            </w:pPr>
            <w:r>
              <w:rPr>
                <w:rFonts w:ascii="Arial;sans-serif" w:hAnsi="Arial;sans-serif"/>
                <w:b/>
                <w:color w:val="000000"/>
                <w:sz w:val="16"/>
              </w:rPr>
              <w:t>(Dollars in millions)</w:t>
            </w:r>
            <w:r>
              <w:rPr>
                <w:rFonts w:ascii="Arial;sans-serif" w:hAnsi="Arial;sans-serif"/>
                <w:b/>
                <w:color w:val="000000"/>
                <w:sz w:val="10"/>
              </w:rPr>
              <w:t>1</w:t>
            </w:r>
          </w:p>
        </w:tc>
      </w:tr>
      <w:tr>
        <w:trPr/>
        <w:tc>
          <w:tcPr>
            <w:tcW w:w="31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September 28, 2025 - October 25, 2025</w:t>
            </w:r>
          </w:p>
        </w:tc>
        <w:tc>
          <w:tcPr>
            <w:tcW w:w="73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1,779 </w:t>
            </w:r>
          </w:p>
        </w:tc>
        <w:tc>
          <w:tcPr>
            <w:tcW w:w="32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October 26, 2025 - November 22, 2025</w:t>
            </w:r>
          </w:p>
        </w:tc>
        <w:tc>
          <w:tcPr>
            <w:tcW w:w="73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416,785 </w:t>
            </w:r>
          </w:p>
        </w:tc>
        <w:tc>
          <w:tcPr>
            <w:tcW w:w="31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416,785 </w:t>
            </w:r>
          </w:p>
        </w:tc>
        <w:tc>
          <w:tcPr>
            <w:tcW w:w="43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1,699 </w:t>
            </w:r>
          </w:p>
        </w:tc>
        <w:tc>
          <w:tcPr>
            <w:tcW w:w="32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November 23, 2025 - December 31, 2025</w:t>
            </w:r>
          </w:p>
        </w:tc>
        <w:tc>
          <w:tcPr>
            <w:tcW w:w="73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105,447 </w:t>
            </w:r>
          </w:p>
        </w:tc>
        <w:tc>
          <w:tcPr>
            <w:tcW w:w="31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189.67 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105,447 </w:t>
            </w:r>
          </w:p>
        </w:tc>
        <w:tc>
          <w:tcPr>
            <w:tcW w:w="43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1,679 </w:t>
            </w:r>
          </w:p>
        </w:tc>
        <w:tc>
          <w:tcPr>
            <w:tcW w:w="322"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7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3"/>
        <w:gridCol w:w="903"/>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Excludes excise tax on net share repurchases.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92"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52    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52    </w:t>
                      </w:r>
                      <w:r>
                        <w:rPr>
                          <w:rFonts w:ascii="Arial;sans-serif" w:hAnsi="Arial;sans-serif"/>
                          <w:b w:val="false"/>
                          <w:color w:val="000000"/>
                          <w:sz w:val="16"/>
                        </w:rPr>
                        <w:t>Honeywell International Inc.</w:t>
                      </w:r>
                    </w:p>
                  </w:txbxContent>
                </v:textbox>
                <w10:wrap type="none"/>
              </v:rect>
            </w:pict>
          </mc:Fallback>
        </mc:AlternateContent>
      </w:r>
    </w:p>
    <w:tbl>
      <w:tblPr>
        <w:tblW w:w="10205" w:type="dxa"/>
        <w:jc w:val="right"/>
        <w:tblInd w:w="0" w:type="dxa"/>
        <w:tblLayout w:type="fixed"/>
        <w:tblCellMar>
          <w:top w:w="28" w:type="dxa"/>
          <w:left w:w="28" w:type="dxa"/>
          <w:bottom w:w="28" w:type="dxa"/>
          <w:right w:w="28" w:type="dxa"/>
        </w:tblCellMar>
      </w:tblPr>
      <w:tblGrid>
        <w:gridCol w:w="541"/>
        <w:gridCol w:w="476"/>
        <w:gridCol w:w="478"/>
        <w:gridCol w:w="2549"/>
        <w:gridCol w:w="2549"/>
        <w:gridCol w:w="3612"/>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8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MARKET FOR REGISTRANT'S COMMON EQUITY, RELATED STOCKHOLDER MATTERS AND ISSUER PURCHASES OF EQUITY SECURITIES</w:t>
            </w:r>
          </w:p>
        </w:tc>
      </w:tr>
    </w:tbl>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PERFORMANCE GRAPH</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graph compares the five-year cumulative total return on our common stock to the total returns on the Standard &amp; Poor's (S&amp;P) 500 Stock Index, composite of S&amp;P’s Industrial Conglomerates and Aerospace and Defense indices, on a 45%/55% weighted basis (the Composite Index) and Nasdaq Industrial Select Sector (XLI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was invested in Honeywell stock and each index on December 31, 2020, and that all dividends were reinvested.</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Comparison of Cumulative Five-Year Total Return</w:t>
      </w:r>
    </w:p>
    <w:p>
      <w:pPr>
        <w:pStyle w:val="TextBody"/>
        <w:bidi w:val="0"/>
        <w:spacing w:before="120" w:after="120"/>
        <w:jc w:val="center"/>
        <w:rPr/>
      </w:pPr>
      <w:r>
        <w:rPr/>
        <w:drawing>
          <wp:inline distT="0" distB="0" distL="0" distR="0">
            <wp:extent cx="5238750" cy="2381250"/>
            <wp:effectExtent l="0" t="0" r="0" b="0"/>
            <wp:docPr id="9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9" descr=""/>
                    <pic:cNvPicPr>
                      <a:picLocks noChangeAspect="1" noChangeArrowheads="1"/>
                    </pic:cNvPicPr>
                  </pic:nvPicPr>
                  <pic:blipFill>
                    <a:blip r:embed="rId40"/>
                    <a:stretch>
                      <a:fillRect/>
                    </a:stretch>
                  </pic:blipFill>
                  <pic:spPr bwMode="auto">
                    <a:xfrm>
                      <a:off x="0" y="0"/>
                      <a:ext cx="5238750" cy="2381250"/>
                    </a:xfrm>
                    <a:prstGeom prst="rect">
                      <a:avLst/>
                    </a:prstGeom>
                  </pic:spPr>
                </pic:pic>
              </a:graphicData>
            </a:graphic>
          </wp:inline>
        </w:drawing>
      </w:r>
      <w:bookmarkStart w:id="39" w:name="i-39"/>
      <w:bookmarkEnd w:id="39"/>
    </w:p>
    <w:tbl>
      <w:tblPr>
        <w:tblW w:w="7475" w:type="dxa"/>
        <w:jc w:val="center"/>
        <w:tblInd w:w="0" w:type="dxa"/>
        <w:tblLayout w:type="fixed"/>
        <w:tblCellMar>
          <w:top w:w="28" w:type="dxa"/>
          <w:left w:w="28" w:type="dxa"/>
          <w:bottom w:w="28" w:type="dxa"/>
          <w:right w:w="28" w:type="dxa"/>
        </w:tblCellMar>
      </w:tblPr>
      <w:tblGrid>
        <w:gridCol w:w="134"/>
        <w:gridCol w:w="118"/>
        <w:gridCol w:w="119"/>
        <w:gridCol w:w="444"/>
        <w:gridCol w:w="444"/>
        <w:gridCol w:w="446"/>
        <w:gridCol w:w="109"/>
        <w:gridCol w:w="196"/>
        <w:gridCol w:w="646"/>
        <w:gridCol w:w="109"/>
        <w:gridCol w:w="196"/>
        <w:gridCol w:w="556"/>
        <w:gridCol w:w="109"/>
        <w:gridCol w:w="196"/>
        <w:gridCol w:w="646"/>
        <w:gridCol w:w="109"/>
        <w:gridCol w:w="196"/>
        <w:gridCol w:w="646"/>
        <w:gridCol w:w="109"/>
        <w:gridCol w:w="196"/>
        <w:gridCol w:w="646"/>
        <w:gridCol w:w="109"/>
        <w:gridCol w:w="196"/>
        <w:gridCol w:w="646"/>
        <w:gridCol w:w="154"/>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2020</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2021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2022</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2023</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2024</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 2025</w:t>
            </w:r>
          </w:p>
        </w:tc>
      </w:tr>
      <w:tr>
        <w:trPr/>
        <w:tc>
          <w:tcPr>
            <w:tcW w:w="371" w:type="dxa"/>
            <w:gridSpan w:val="3"/>
            <w:tcBorders>
              <w:top w:val="single" w:sz="4" w:space="0" w:color="D7282F"/>
            </w:tcBorders>
            <w:tcMar>
              <w:left w:w="0" w:type="dxa"/>
              <w:bottom w:w="0" w:type="dxa"/>
              <w:right w:w="0" w:type="dxa"/>
            </w:tcMar>
            <w:vAlign w:val="center"/>
          </w:tcPr>
          <w:p>
            <w:pPr>
              <w:pStyle w:val="TableContents"/>
              <w:bidi w:val="0"/>
              <w:spacing w:before="0" w:after="0"/>
              <w:jc w:val="left"/>
              <w:rPr/>
            </w:pPr>
            <w:r>
              <w:rPr/>
              <w:drawing>
                <wp:inline distT="0" distB="0" distL="0" distR="0">
                  <wp:extent cx="171450" cy="47625"/>
                  <wp:effectExtent l="0" t="0" r="0" b="0"/>
                  <wp:docPr id="9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0" descr=""/>
                          <pic:cNvPicPr>
                            <a:picLocks noChangeAspect="1" noChangeArrowheads="1"/>
                          </pic:cNvPicPr>
                        </pic:nvPicPr>
                        <pic:blipFill>
                          <a:blip r:embed="rId41"/>
                          <a:stretch>
                            <a:fillRect/>
                          </a:stretch>
                        </pic:blipFill>
                        <pic:spPr bwMode="auto">
                          <a:xfrm>
                            <a:off x="0" y="0"/>
                            <a:ext cx="171450" cy="47625"/>
                          </a:xfrm>
                          <a:prstGeom prst="rect">
                            <a:avLst/>
                          </a:prstGeom>
                        </pic:spPr>
                      </pic:pic>
                    </a:graphicData>
                  </a:graphic>
                </wp:inline>
              </w:drawing>
            </w:r>
            <w:bookmarkStart w:id="40" w:name="i-40"/>
            <w:bookmarkEnd w:id="40"/>
          </w:p>
        </w:tc>
        <w:tc>
          <w:tcPr>
            <w:tcW w:w="13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Honeywell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107.80 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2" w:space="0" w:color="888B8D"/>
            </w:tcBorders>
            <w:tcMar>
              <w:left w:w="0" w:type="dxa"/>
              <w:bottom w:w="0" w:type="dxa"/>
              <w:right w:w="0" w:type="dxa"/>
            </w:tcMar>
            <w:vAlign w:val="center"/>
          </w:tcPr>
          <w:p>
            <w:pPr>
              <w:pStyle w:val="TableContents"/>
              <w:bidi w:val="0"/>
              <w:spacing w:before="0" w:after="0"/>
              <w:jc w:val="left"/>
              <w:rPr/>
            </w:pPr>
            <w:r>
              <w:rPr/>
              <w:drawing>
                <wp:inline distT="0" distB="0" distL="0" distR="0">
                  <wp:extent cx="171450" cy="47625"/>
                  <wp:effectExtent l="0" t="0" r="0" b="0"/>
                  <wp:docPr id="9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1" descr=""/>
                          <pic:cNvPicPr>
                            <a:picLocks noChangeAspect="1" noChangeArrowheads="1"/>
                          </pic:cNvPicPr>
                        </pic:nvPicPr>
                        <pic:blipFill>
                          <a:blip r:embed="rId42"/>
                          <a:stretch>
                            <a:fillRect/>
                          </a:stretch>
                        </pic:blipFill>
                        <pic:spPr bwMode="auto">
                          <a:xfrm>
                            <a:off x="0" y="0"/>
                            <a:ext cx="171450" cy="47625"/>
                          </a:xfrm>
                          <a:prstGeom prst="rect">
                            <a:avLst/>
                          </a:prstGeom>
                        </pic:spPr>
                      </pic:pic>
                    </a:graphicData>
                  </a:graphic>
                </wp:inline>
              </w:drawing>
            </w:r>
            <w:bookmarkStart w:id="41" w:name="i-41"/>
            <w:bookmarkEnd w:id="41"/>
          </w:p>
        </w:tc>
        <w:tc>
          <w:tcPr>
            <w:tcW w:w="133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500 Index</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196.16 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2" w:space="0" w:color="888B8D"/>
            </w:tcBorders>
            <w:tcMar>
              <w:left w:w="0" w:type="dxa"/>
              <w:bottom w:w="0" w:type="dxa"/>
              <w:right w:w="0" w:type="dxa"/>
            </w:tcMar>
            <w:vAlign w:val="center"/>
          </w:tcPr>
          <w:p>
            <w:pPr>
              <w:pStyle w:val="TableContents"/>
              <w:bidi w:val="0"/>
              <w:spacing w:before="0" w:after="0"/>
              <w:jc w:val="left"/>
              <w:rPr/>
            </w:pPr>
            <w:r>
              <w:rPr/>
              <w:drawing>
                <wp:inline distT="0" distB="0" distL="0" distR="0">
                  <wp:extent cx="171450" cy="47625"/>
                  <wp:effectExtent l="0" t="0" r="0" b="0"/>
                  <wp:docPr id="9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2" descr=""/>
                          <pic:cNvPicPr>
                            <a:picLocks noChangeAspect="1" noChangeArrowheads="1"/>
                          </pic:cNvPicPr>
                        </pic:nvPicPr>
                        <pic:blipFill>
                          <a:blip r:embed="rId43"/>
                          <a:stretch>
                            <a:fillRect/>
                          </a:stretch>
                        </pic:blipFill>
                        <pic:spPr bwMode="auto">
                          <a:xfrm>
                            <a:off x="0" y="0"/>
                            <a:ext cx="171450" cy="47625"/>
                          </a:xfrm>
                          <a:prstGeom prst="rect">
                            <a:avLst/>
                          </a:prstGeom>
                        </pic:spPr>
                      </pic:pic>
                    </a:graphicData>
                  </a:graphic>
                </wp:inline>
              </w:drawing>
            </w:r>
            <w:bookmarkStart w:id="42" w:name="i-42"/>
            <w:bookmarkEnd w:id="42"/>
          </w:p>
        </w:tc>
        <w:tc>
          <w:tcPr>
            <w:tcW w:w="133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Composite Index</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204.18 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0"/>
              <w:jc w:val="left"/>
              <w:rPr/>
            </w:pPr>
            <w:r>
              <w:rPr/>
              <w:drawing>
                <wp:inline distT="0" distB="0" distL="0" distR="0">
                  <wp:extent cx="152400" cy="19050"/>
                  <wp:effectExtent l="0" t="0" r="0" b="0"/>
                  <wp:docPr id="9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3" descr=""/>
                          <pic:cNvPicPr>
                            <a:picLocks noChangeAspect="1" noChangeArrowheads="1"/>
                          </pic:cNvPicPr>
                        </pic:nvPicPr>
                        <pic:blipFill>
                          <a:blip r:embed="rId44"/>
                          <a:stretch>
                            <a:fillRect/>
                          </a:stretch>
                        </pic:blipFill>
                        <pic:spPr bwMode="auto">
                          <a:xfrm>
                            <a:off x="0" y="0"/>
                            <a:ext cx="152400" cy="19050"/>
                          </a:xfrm>
                          <a:prstGeom prst="rect">
                            <a:avLst/>
                          </a:prstGeom>
                        </pic:spPr>
                      </pic:pic>
                    </a:graphicData>
                  </a:graphic>
                </wp:inline>
              </w:drawing>
            </w:r>
            <w:bookmarkStart w:id="43" w:name="i-43"/>
            <w:bookmarkEnd w:id="43"/>
          </w:p>
        </w:tc>
        <w:tc>
          <w:tcPr>
            <w:tcW w:w="1334"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XLI Index</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121.08 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114.34 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135.07 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158.45 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189.10 </w:t>
            </w:r>
          </w:p>
        </w:tc>
        <w:tc>
          <w:tcPr>
            <w:tcW w:w="154"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250"/>
                <wp:effectExtent l="0" t="0" r="0" b="0"/>
                <wp:wrapNone/>
                <wp:docPr id="98"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53    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53    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MT Std Black;sans-serif" w:hAnsi="Arial MT Std Black;sans-serif"/>
          <w:b/>
          <w:color w:val="000000"/>
          <w:sz w:val="40"/>
        </w:rPr>
      </w:pPr>
      <w:r>
        <w:rPr>
          <w:rFonts w:ascii="Arial MT Std Black;sans-serif" w:hAnsi="Arial MT Std Black;sans-serif"/>
          <w:b/>
          <w:color w:val="000000"/>
          <w:sz w:val="40"/>
        </w:rPr>
        <w:t>FINANCIAL STATEMENTS</w:t>
      </w:r>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Arial;sans-serif" w:hAnsi="Arial;sans-serif"/>
          <w:b/>
          <w:color w:val="000000"/>
          <w:sz w:val="18"/>
        </w:rPr>
      </w:pPr>
      <w:r>
        <w:rPr>
          <w:rFonts w:ascii="Arial;sans-serif" w:hAnsi="Arial;sans-serif"/>
          <w:b/>
          <w:color w:val="000000"/>
          <w:sz w:val="18"/>
        </w:rPr>
        <w:t>INDEX TO THE CONSOLIDATED FINANCIAL STATEMENTS</w:t>
      </w:r>
    </w:p>
    <w:tbl>
      <w:tblPr>
        <w:tblW w:w="5731" w:type="dxa"/>
        <w:jc w:val="center"/>
        <w:tblInd w:w="0" w:type="dxa"/>
        <w:tblLayout w:type="fixed"/>
        <w:tblCellMar>
          <w:top w:w="28" w:type="dxa"/>
          <w:left w:w="28" w:type="dxa"/>
          <w:bottom w:w="28" w:type="dxa"/>
          <w:right w:w="28" w:type="dxa"/>
        </w:tblCellMar>
      </w:tblPr>
      <w:tblGrid>
        <w:gridCol w:w="158"/>
        <w:gridCol w:w="138"/>
        <w:gridCol w:w="140"/>
        <w:gridCol w:w="1551"/>
        <w:gridCol w:w="1551"/>
        <w:gridCol w:w="2193"/>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81">
              <w:r>
                <w:rPr>
                  <w:rStyle w:val="InternetLink"/>
                  <w:rFonts w:ascii="Arial;sans-serif" w:hAnsi="Arial;sans-serif"/>
                  <w:b/>
                  <w:strike w:val="false"/>
                  <w:dstrike w:val="false"/>
                  <w:color w:val="D7282F"/>
                  <w:sz w:val="18"/>
                  <w:u w:val="none"/>
                  <w:effect w:val="none"/>
                </w:rPr>
                <w:t>55</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81">
              <w:r>
                <w:rPr>
                  <w:rStyle w:val="InternetLink"/>
                  <w:rFonts w:ascii="Arial;sans-serif" w:hAnsi="Arial;sans-serif"/>
                  <w:b w:val="false"/>
                  <w:strike w:val="false"/>
                  <w:dstrike w:val="false"/>
                  <w:color w:val="000000"/>
                  <w:sz w:val="18"/>
                  <w:u w:val="none"/>
                  <w:effect w:val="none"/>
                </w:rPr>
                <w:t>Consolidated Statement of Operations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84">
              <w:r>
                <w:rPr>
                  <w:rStyle w:val="InternetLink"/>
                  <w:rFonts w:ascii="Arial;sans-serif" w:hAnsi="Arial;sans-serif"/>
                  <w:b/>
                  <w:strike w:val="false"/>
                  <w:dstrike w:val="false"/>
                  <w:color w:val="D7282F"/>
                  <w:sz w:val="18"/>
                  <w:u w:val="none"/>
                  <w:effect w:val="none"/>
                </w:rPr>
                <w:t>56</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84">
              <w:r>
                <w:rPr>
                  <w:rStyle w:val="InternetLink"/>
                  <w:rFonts w:ascii="Arial;sans-serif" w:hAnsi="Arial;sans-serif"/>
                  <w:b w:val="false"/>
                  <w:strike w:val="false"/>
                  <w:dstrike w:val="false"/>
                  <w:color w:val="000000"/>
                  <w:sz w:val="18"/>
                  <w:u w:val="none"/>
                  <w:effect w:val="none"/>
                </w:rPr>
                <w:t>Consolidated Statement of Comprehensive Income</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87">
              <w:r>
                <w:rPr>
                  <w:rStyle w:val="InternetLink"/>
                  <w:rFonts w:ascii="Arial;sans-serif" w:hAnsi="Arial;sans-serif"/>
                  <w:b/>
                  <w:strike w:val="false"/>
                  <w:dstrike w:val="false"/>
                  <w:color w:val="D7282F"/>
                  <w:sz w:val="18"/>
                  <w:u w:val="none"/>
                  <w:effect w:val="none"/>
                </w:rPr>
                <w:t>57</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87">
              <w:r>
                <w:rPr>
                  <w:rStyle w:val="InternetLink"/>
                  <w:rFonts w:ascii="Arial;sans-serif" w:hAnsi="Arial;sans-serif"/>
                  <w:b w:val="false"/>
                  <w:strike w:val="false"/>
                  <w:dstrike w:val="false"/>
                  <w:color w:val="000000"/>
                  <w:sz w:val="18"/>
                  <w:u w:val="none"/>
                  <w:effect w:val="none"/>
                </w:rPr>
                <w:t>Consolidated Balance Sheet</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90">
              <w:r>
                <w:rPr>
                  <w:rStyle w:val="InternetLink"/>
                  <w:rFonts w:ascii="Arial;sans-serif" w:hAnsi="Arial;sans-serif"/>
                  <w:b/>
                  <w:strike w:val="false"/>
                  <w:dstrike w:val="false"/>
                  <w:color w:val="D7282F"/>
                  <w:sz w:val="18"/>
                  <w:u w:val="none"/>
                  <w:effect w:val="none"/>
                </w:rPr>
                <w:t>58</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90">
              <w:r>
                <w:rPr>
                  <w:rStyle w:val="InternetLink"/>
                  <w:rFonts w:ascii="Arial;sans-serif" w:hAnsi="Arial;sans-serif"/>
                  <w:b w:val="false"/>
                  <w:strike w:val="false"/>
                  <w:dstrike w:val="false"/>
                  <w:color w:val="000000"/>
                  <w:sz w:val="18"/>
                  <w:u w:val="none"/>
                  <w:effect w:val="none"/>
                </w:rPr>
                <w:t>Consolidated Statement of Cash Flows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93">
              <w:r>
                <w:rPr>
                  <w:rStyle w:val="InternetLink"/>
                  <w:rFonts w:ascii="Arial;sans-serif" w:hAnsi="Arial;sans-serif"/>
                  <w:b/>
                  <w:strike w:val="false"/>
                  <w:dstrike w:val="false"/>
                  <w:color w:val="D7282F"/>
                  <w:sz w:val="18"/>
                  <w:u w:val="none"/>
                  <w:effect w:val="none"/>
                </w:rPr>
                <w:t>59</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93">
              <w:r>
                <w:rPr>
                  <w:rStyle w:val="InternetLink"/>
                  <w:rFonts w:ascii="Arial;sans-serif" w:hAnsi="Arial;sans-serif"/>
                  <w:b w:val="false"/>
                  <w:strike w:val="false"/>
                  <w:dstrike w:val="false"/>
                  <w:color w:val="000000"/>
                  <w:sz w:val="18"/>
                  <w:u w:val="none"/>
                  <w:effect w:val="none"/>
                </w:rPr>
                <w:t>Consolidated Statement of Shareowners' Equity</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99">
              <w:r>
                <w:rPr>
                  <w:rStyle w:val="InternetLink"/>
                  <w:rFonts w:ascii="Arial;sans-serif" w:hAnsi="Arial;sans-serif"/>
                  <w:b/>
                  <w:strike w:val="false"/>
                  <w:dstrike w:val="false"/>
                  <w:color w:val="D7282F"/>
                  <w:sz w:val="18"/>
                  <w:u w:val="none"/>
                  <w:effect w:val="none"/>
                </w:rPr>
                <w:t>60</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99">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w:t>
            </w:r>
            <w:hyperlink w:anchor="ic3922f0530c04df99983ab02c4d22c0f_196">
              <w:r>
                <w:rPr>
                  <w:rStyle w:val="InternetLink"/>
                  <w:rFonts w:ascii="Arial;sans-serif" w:hAnsi="Arial;sans-serif"/>
                  <w:b w:val="false"/>
                  <w:strike w:val="false"/>
                  <w:dstrike w:val="false"/>
                  <w:color w:val="000000"/>
                  <w:sz w:val="18"/>
                  <w:u w:val="none"/>
                  <w:effect w:val="none"/>
                </w:rPr>
                <w:t xml:space="preserve"> Summary of Significant Accounting Policies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02">
              <w:r>
                <w:rPr>
                  <w:rStyle w:val="InternetLink"/>
                  <w:rFonts w:ascii="Arial;sans-serif" w:hAnsi="Arial;sans-serif"/>
                  <w:b/>
                  <w:strike w:val="false"/>
                  <w:dstrike w:val="false"/>
                  <w:color w:val="D7282F"/>
                  <w:sz w:val="18"/>
                  <w:u w:val="none"/>
                  <w:effect w:val="none"/>
                </w:rPr>
                <w:t>65</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02">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 xml:space="preserve">2. </w:t>
            </w:r>
            <w:hyperlink w:anchor="ic3922f0530c04df99983ab02c4d22c0f_202">
              <w:r>
                <w:rPr>
                  <w:rStyle w:val="InternetLink"/>
                  <w:rFonts w:ascii="Arial;sans-serif" w:hAnsi="Arial;sans-serif"/>
                  <w:b w:val="false"/>
                  <w:strike w:val="false"/>
                  <w:dstrike w:val="false"/>
                  <w:color w:val="000080"/>
                  <w:sz w:val="18"/>
                  <w:u w:val="single"/>
                  <w:effect w:val="none"/>
                </w:rPr>
                <w:t xml:space="preserve">Acquisitions, Divestitures, and </w:t>
              </w:r>
            </w:hyperlink>
            <w:hyperlink w:anchor="ic3922f0530c04df99983ab02c4d22c0f_202">
              <w:r>
                <w:rPr>
                  <w:rStyle w:val="InternetLink"/>
                  <w:rFonts w:ascii="Arial;sans-serif" w:hAnsi="Arial;sans-serif"/>
                  <w:b w:val="false"/>
                  <w:strike w:val="false"/>
                  <w:dstrike w:val="false"/>
                  <w:color w:val="000080"/>
                  <w:sz w:val="18"/>
                  <w:u w:val="single"/>
                  <w:effect w:val="none"/>
                </w:rPr>
                <w:t>D</w:t>
              </w:r>
            </w:hyperlink>
            <w:hyperlink w:anchor="ic3922f0530c04df99983ab02c4d22c0f_202">
              <w:r>
                <w:rPr>
                  <w:rStyle w:val="InternetLink"/>
                  <w:rFonts w:ascii="Arial;sans-serif" w:hAnsi="Arial;sans-serif"/>
                  <w:b w:val="false"/>
                  <w:strike w:val="false"/>
                  <w:dstrike w:val="false"/>
                  <w:color w:val="000080"/>
                  <w:sz w:val="18"/>
                  <w:u w:val="single"/>
                  <w:effect w:val="none"/>
                </w:rPr>
                <w:t>iscontinued Operations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05">
              <w:r>
                <w:rPr>
                  <w:rStyle w:val="InternetLink"/>
                  <w:rFonts w:ascii="Arial;sans-serif" w:hAnsi="Arial;sans-serif"/>
                  <w:b/>
                  <w:strike w:val="false"/>
                  <w:dstrike w:val="false"/>
                  <w:color w:val="D7282F"/>
                  <w:sz w:val="18"/>
                  <w:u w:val="none"/>
                  <w:effect w:val="none"/>
                </w:rPr>
                <w:t>71</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05">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3</w:t>
            </w:r>
            <w:hyperlink w:anchor="ic3922f0530c04df99983ab02c4d22c0f_205">
              <w:r>
                <w:rPr>
                  <w:rStyle w:val="InternetLink"/>
                  <w:rFonts w:ascii="Arial;sans-serif" w:hAnsi="Arial;sans-serif"/>
                  <w:b w:val="false"/>
                  <w:strike w:val="false"/>
                  <w:dstrike w:val="false"/>
                  <w:color w:val="000000"/>
                  <w:sz w:val="18"/>
                  <w:u w:val="none"/>
                  <w:effect w:val="none"/>
                </w:rPr>
                <w:t>. Revenue Recognition and Contracts with Customers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08">
              <w:r>
                <w:rPr>
                  <w:rStyle w:val="InternetLink"/>
                  <w:rFonts w:ascii="Arial;sans-serif" w:hAnsi="Arial;sans-serif"/>
                  <w:b/>
                  <w:strike w:val="false"/>
                  <w:dstrike w:val="false"/>
                  <w:color w:val="D7282F"/>
                  <w:sz w:val="18"/>
                  <w:u w:val="none"/>
                  <w:effect w:val="none"/>
                </w:rPr>
                <w:t>74</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08">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4</w:t>
            </w:r>
            <w:hyperlink w:anchor="ic3922f0530c04df99983ab02c4d22c0f_208">
              <w:r>
                <w:rPr>
                  <w:rStyle w:val="InternetLink"/>
                  <w:rFonts w:ascii="Arial;sans-serif" w:hAnsi="Arial;sans-serif"/>
                  <w:b w:val="false"/>
                  <w:strike w:val="false"/>
                  <w:dstrike w:val="false"/>
                  <w:color w:val="000080"/>
                  <w:sz w:val="18"/>
                  <w:u w:val="single"/>
                  <w:effect w:val="none"/>
                </w:rPr>
                <w:t>. Repositioning and Other</w:t>
              </w:r>
            </w:hyperlink>
            <w:hyperlink w:anchor="ic3922f0530c04df99983ab02c4d22c0f_208">
              <w:r>
                <w:rPr>
                  <w:rStyle w:val="InternetLink"/>
                  <w:rFonts w:ascii="Arial;sans-serif" w:hAnsi="Arial;sans-serif"/>
                  <w:b w:val="false"/>
                  <w:strike w:val="false"/>
                  <w:dstrike w:val="false"/>
                  <w:color w:val="000080"/>
                  <w:sz w:val="18"/>
                  <w:u w:val="single"/>
                  <w:effect w:val="none"/>
                </w:rPr>
                <w:t xml:space="preserve"> (Gains)</w:t>
              </w:r>
            </w:hyperlink>
            <w:hyperlink w:anchor="ic3922f0530c04df99983ab02c4d22c0f_208">
              <w:r>
                <w:rPr>
                  <w:rStyle w:val="InternetLink"/>
                  <w:rFonts w:ascii="Arial;sans-serif" w:hAnsi="Arial;sans-serif"/>
                  <w:b w:val="false"/>
                  <w:strike w:val="false"/>
                  <w:dstrike w:val="false"/>
                  <w:color w:val="000080"/>
                  <w:sz w:val="18"/>
                  <w:u w:val="single"/>
                  <w:effect w:val="none"/>
                </w:rPr>
                <w:t xml:space="preserve"> Charges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11">
              <w:r>
                <w:rPr>
                  <w:rStyle w:val="InternetLink"/>
                  <w:rFonts w:ascii="Arial;sans-serif" w:hAnsi="Arial;sans-serif"/>
                  <w:b/>
                  <w:strike w:val="false"/>
                  <w:dstrike w:val="false"/>
                  <w:color w:val="D7282F"/>
                  <w:sz w:val="18"/>
                  <w:u w:val="none"/>
                  <w:effect w:val="none"/>
                </w:rPr>
                <w:t>76</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11">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5</w:t>
            </w:r>
            <w:hyperlink w:anchor="ic3922f0530c04df99983ab02c4d22c0f_211">
              <w:r>
                <w:rPr>
                  <w:rStyle w:val="InternetLink"/>
                  <w:rFonts w:ascii="Arial;sans-serif" w:hAnsi="Arial;sans-serif"/>
                  <w:b w:val="false"/>
                  <w:strike w:val="false"/>
                  <w:dstrike w:val="false"/>
                  <w:color w:val="000000"/>
                  <w:sz w:val="18"/>
                  <w:u w:val="none"/>
                  <w:effect w:val="none"/>
                </w:rPr>
                <w:t>. Income Taxes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17">
              <w:r>
                <w:rPr>
                  <w:rStyle w:val="InternetLink"/>
                  <w:rFonts w:ascii="Arial;sans-serif" w:hAnsi="Arial;sans-serif"/>
                  <w:b/>
                  <w:strike w:val="false"/>
                  <w:dstrike w:val="false"/>
                  <w:color w:val="D7282F"/>
                  <w:sz w:val="18"/>
                  <w:u w:val="none"/>
                  <w:effect w:val="none"/>
                </w:rPr>
                <w:t>81</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17">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6</w:t>
            </w:r>
            <w:hyperlink w:anchor="ic3922f0530c04df99983ab02c4d22c0f_217">
              <w:r>
                <w:rPr>
                  <w:rStyle w:val="InternetLink"/>
                  <w:rFonts w:ascii="Arial;sans-serif" w:hAnsi="Arial;sans-serif"/>
                  <w:b w:val="false"/>
                  <w:strike w:val="false"/>
                  <w:dstrike w:val="false"/>
                  <w:color w:val="000000"/>
                  <w:sz w:val="18"/>
                  <w:u w:val="none"/>
                  <w:effect w:val="none"/>
                </w:rPr>
                <w:t>. Inventories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20">
              <w:r>
                <w:rPr>
                  <w:rStyle w:val="InternetLink"/>
                  <w:rFonts w:ascii="Arial;sans-serif" w:hAnsi="Arial;sans-serif"/>
                  <w:b/>
                  <w:strike w:val="false"/>
                  <w:dstrike w:val="false"/>
                  <w:color w:val="D7282F"/>
                  <w:sz w:val="18"/>
                  <w:u w:val="none"/>
                  <w:effect w:val="none"/>
                </w:rPr>
                <w:t>81</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20">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7</w:t>
            </w:r>
            <w:hyperlink w:anchor="ic3922f0530c04df99983ab02c4d22c0f_220">
              <w:r>
                <w:rPr>
                  <w:rStyle w:val="InternetLink"/>
                  <w:rFonts w:ascii="Arial;sans-serif" w:hAnsi="Arial;sans-serif"/>
                  <w:b w:val="false"/>
                  <w:strike w:val="false"/>
                  <w:dstrike w:val="false"/>
                  <w:color w:val="000000"/>
                  <w:sz w:val="18"/>
                  <w:u w:val="none"/>
                  <w:effect w:val="none"/>
                </w:rPr>
                <w:t>. Property, Plant and Equipment—Net</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23">
              <w:r>
                <w:rPr>
                  <w:rStyle w:val="InternetLink"/>
                  <w:rFonts w:ascii="Arial;sans-serif" w:hAnsi="Arial;sans-serif"/>
                  <w:b/>
                  <w:strike w:val="false"/>
                  <w:dstrike w:val="false"/>
                  <w:color w:val="D7282F"/>
                  <w:sz w:val="18"/>
                  <w:u w:val="none"/>
                  <w:effect w:val="none"/>
                </w:rPr>
                <w:t>82</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23">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8</w:t>
            </w:r>
            <w:hyperlink w:anchor="ic3922f0530c04df99983ab02c4d22c0f_223">
              <w:r>
                <w:rPr>
                  <w:rStyle w:val="InternetLink"/>
                  <w:rFonts w:ascii="Arial;sans-serif" w:hAnsi="Arial;sans-serif"/>
                  <w:b w:val="false"/>
                  <w:strike w:val="false"/>
                  <w:dstrike w:val="false"/>
                  <w:color w:val="000000"/>
                  <w:sz w:val="18"/>
                  <w:u w:val="none"/>
                  <w:effect w:val="none"/>
                </w:rPr>
                <w:t>. Goodwill and Other Intangible Assets—Net</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26">
              <w:r>
                <w:rPr>
                  <w:rStyle w:val="InternetLink"/>
                  <w:rFonts w:ascii="Arial;sans-serif" w:hAnsi="Arial;sans-serif"/>
                  <w:b/>
                  <w:strike w:val="false"/>
                  <w:dstrike w:val="false"/>
                  <w:color w:val="D7282F"/>
                  <w:sz w:val="18"/>
                  <w:u w:val="none"/>
                  <w:effect w:val="none"/>
                </w:rPr>
                <w:t>83</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26">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9</w:t>
            </w:r>
            <w:hyperlink w:anchor="ic3922f0530c04df99983ab02c4d22c0f_226">
              <w:r>
                <w:rPr>
                  <w:rStyle w:val="InternetLink"/>
                  <w:rFonts w:ascii="Arial;sans-serif" w:hAnsi="Arial;sans-serif"/>
                  <w:b w:val="false"/>
                  <w:strike w:val="false"/>
                  <w:dstrike w:val="false"/>
                  <w:color w:val="000080"/>
                  <w:sz w:val="18"/>
                  <w:u w:val="single"/>
                  <w:effect w:val="none"/>
                </w:rPr>
                <w:t xml:space="preserve">. </w:t>
              </w:r>
            </w:hyperlink>
            <w:hyperlink w:anchor="ic3922f0530c04df99983ab02c4d22c0f_226">
              <w:r>
                <w:rPr>
                  <w:rStyle w:val="InternetLink"/>
                  <w:rFonts w:ascii="Arial;sans-serif" w:hAnsi="Arial;sans-serif"/>
                  <w:b w:val="false"/>
                  <w:strike w:val="false"/>
                  <w:dstrike w:val="false"/>
                  <w:color w:val="000080"/>
                  <w:sz w:val="18"/>
                  <w:u w:val="single"/>
                  <w:effect w:val="none"/>
                </w:rPr>
                <w:t>Debt and Credit Agreements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32">
              <w:r>
                <w:rPr>
                  <w:rStyle w:val="InternetLink"/>
                  <w:rFonts w:ascii="Arial;sans-serif" w:hAnsi="Arial;sans-serif"/>
                  <w:b/>
                  <w:strike w:val="false"/>
                  <w:dstrike w:val="false"/>
                  <w:color w:val="D7282F"/>
                  <w:sz w:val="18"/>
                  <w:u w:val="none"/>
                  <w:effect w:val="none"/>
                </w:rPr>
                <w:t>85</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32">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10</w:t>
            </w:r>
            <w:hyperlink w:anchor="ic3922f0530c04df99983ab02c4d22c0f_232">
              <w:r>
                <w:rPr>
                  <w:rStyle w:val="InternetLink"/>
                  <w:rFonts w:ascii="Arial;sans-serif" w:hAnsi="Arial;sans-serif"/>
                  <w:b w:val="false"/>
                  <w:strike w:val="false"/>
                  <w:dstrike w:val="false"/>
                  <w:color w:val="000000"/>
                  <w:sz w:val="18"/>
                  <w:u w:val="none"/>
                  <w:effect w:val="none"/>
                </w:rPr>
                <w:t>. Leases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35">
              <w:r>
                <w:rPr>
                  <w:rStyle w:val="InternetLink"/>
                  <w:rFonts w:ascii="Arial;sans-serif" w:hAnsi="Arial;sans-serif"/>
                  <w:b/>
                  <w:strike w:val="false"/>
                  <w:dstrike w:val="false"/>
                  <w:color w:val="D7282F"/>
                  <w:sz w:val="18"/>
                  <w:u w:val="none"/>
                  <w:effect w:val="none"/>
                </w:rPr>
                <w:t>88</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35">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11</w:t>
            </w:r>
            <w:hyperlink w:anchor="ic3922f0530c04df99983ab02c4d22c0f_235">
              <w:r>
                <w:rPr>
                  <w:rStyle w:val="InternetLink"/>
                  <w:rFonts w:ascii="Arial;sans-serif" w:hAnsi="Arial;sans-serif"/>
                  <w:b w:val="false"/>
                  <w:strike w:val="false"/>
                  <w:dstrike w:val="false"/>
                  <w:color w:val="000000"/>
                  <w:sz w:val="18"/>
                  <w:u w:val="none"/>
                  <w:effect w:val="none"/>
                </w:rPr>
                <w:t>. Derivative Instruments and Hedging Transactions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38">
              <w:r>
                <w:rPr>
                  <w:rStyle w:val="InternetLink"/>
                  <w:rFonts w:ascii="Arial;sans-serif" w:hAnsi="Arial;sans-serif"/>
                  <w:b/>
                  <w:strike w:val="false"/>
                  <w:dstrike w:val="false"/>
                  <w:color w:val="D7282F"/>
                  <w:sz w:val="18"/>
                  <w:u w:val="none"/>
                  <w:effect w:val="none"/>
                </w:rPr>
                <w:t>91</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38">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12</w:t>
            </w:r>
            <w:hyperlink w:anchor="ic3922f0530c04df99983ab02c4d22c0f_238">
              <w:r>
                <w:rPr>
                  <w:rStyle w:val="InternetLink"/>
                  <w:rFonts w:ascii="Arial;sans-serif" w:hAnsi="Arial;sans-serif"/>
                  <w:b w:val="false"/>
                  <w:strike w:val="false"/>
                  <w:dstrike w:val="false"/>
                  <w:color w:val="000000"/>
                  <w:sz w:val="18"/>
                  <w:u w:val="none"/>
                  <w:effect w:val="none"/>
                </w:rPr>
                <w:t>. Fair Value Measurements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41">
              <w:r>
                <w:rPr>
                  <w:rStyle w:val="InternetLink"/>
                  <w:rFonts w:ascii="Arial;sans-serif" w:hAnsi="Arial;sans-serif"/>
                  <w:b/>
                  <w:strike w:val="false"/>
                  <w:dstrike w:val="false"/>
                  <w:color w:val="D7282F"/>
                  <w:sz w:val="18"/>
                  <w:u w:val="none"/>
                  <w:effect w:val="none"/>
                </w:rPr>
                <w:t>93</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41">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13</w:t>
            </w:r>
            <w:hyperlink w:anchor="ic3922f0530c04df99983ab02c4d22c0f_241">
              <w:r>
                <w:rPr>
                  <w:rStyle w:val="InternetLink"/>
                  <w:rFonts w:ascii="Arial;sans-serif" w:hAnsi="Arial;sans-serif"/>
                  <w:b w:val="false"/>
                  <w:strike w:val="false"/>
                  <w:dstrike w:val="false"/>
                  <w:color w:val="000000"/>
                  <w:sz w:val="18"/>
                  <w:u w:val="none"/>
                  <w:effect w:val="none"/>
                </w:rPr>
                <w:t>. Accrued Liabilities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44">
              <w:r>
                <w:rPr>
                  <w:rStyle w:val="InternetLink"/>
                  <w:rFonts w:ascii="Arial;sans-serif" w:hAnsi="Arial;sans-serif"/>
                  <w:b/>
                  <w:strike w:val="false"/>
                  <w:dstrike w:val="false"/>
                  <w:color w:val="D7282F"/>
                  <w:sz w:val="18"/>
                  <w:u w:val="none"/>
                  <w:effect w:val="none"/>
                </w:rPr>
                <w:t>93</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44">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14</w:t>
            </w:r>
            <w:hyperlink w:anchor="ic3922f0530c04df99983ab02c4d22c0f_244">
              <w:r>
                <w:rPr>
                  <w:rStyle w:val="InternetLink"/>
                  <w:rFonts w:ascii="Arial;sans-serif" w:hAnsi="Arial;sans-serif"/>
                  <w:b w:val="false"/>
                  <w:strike w:val="false"/>
                  <w:dstrike w:val="false"/>
                  <w:color w:val="000000"/>
                  <w:sz w:val="18"/>
                  <w:u w:val="none"/>
                  <w:effect w:val="none"/>
                </w:rPr>
                <w:t>. Other Liabilities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47">
              <w:r>
                <w:rPr>
                  <w:rStyle w:val="InternetLink"/>
                  <w:rFonts w:ascii="Arial;sans-serif" w:hAnsi="Arial;sans-serif"/>
                  <w:b/>
                  <w:strike w:val="false"/>
                  <w:dstrike w:val="false"/>
                  <w:color w:val="D7282F"/>
                  <w:sz w:val="18"/>
                  <w:u w:val="none"/>
                  <w:effect w:val="none"/>
                </w:rPr>
                <w:t>94</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47">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15</w:t>
            </w:r>
            <w:hyperlink w:anchor="ic3922f0530c04df99983ab02c4d22c0f_247">
              <w:r>
                <w:rPr>
                  <w:rStyle w:val="InternetLink"/>
                  <w:rFonts w:ascii="Arial;sans-serif" w:hAnsi="Arial;sans-serif"/>
                  <w:b w:val="false"/>
                  <w:strike w:val="false"/>
                  <w:dstrike w:val="false"/>
                  <w:color w:val="000000"/>
                  <w:sz w:val="18"/>
                  <w:u w:val="none"/>
                  <w:effect w:val="none"/>
                </w:rPr>
                <w:t>. Stock-Based Compensation Plans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50">
              <w:r>
                <w:rPr>
                  <w:rStyle w:val="InternetLink"/>
                  <w:rFonts w:ascii="Arial;sans-serif" w:hAnsi="Arial;sans-serif"/>
                  <w:b/>
                  <w:strike w:val="false"/>
                  <w:dstrike w:val="false"/>
                  <w:color w:val="D7282F"/>
                  <w:sz w:val="18"/>
                  <w:u w:val="none"/>
                  <w:effect w:val="none"/>
                </w:rPr>
                <w:t>97</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50">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16</w:t>
            </w:r>
            <w:hyperlink w:anchor="ic3922f0530c04df99983ab02c4d22c0f_250">
              <w:r>
                <w:rPr>
                  <w:rStyle w:val="InternetLink"/>
                  <w:rFonts w:ascii="Arial;sans-serif" w:hAnsi="Arial;sans-serif"/>
                  <w:b w:val="false"/>
                  <w:strike w:val="false"/>
                  <w:dstrike w:val="false"/>
                  <w:color w:val="000000"/>
                  <w:sz w:val="18"/>
                  <w:u w:val="none"/>
                  <w:effect w:val="none"/>
                </w:rPr>
                <w:t>. Earnings Per Share</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53">
              <w:r>
                <w:rPr>
                  <w:rStyle w:val="InternetLink"/>
                  <w:rFonts w:ascii="Arial;sans-serif" w:hAnsi="Arial;sans-serif"/>
                  <w:b/>
                  <w:strike w:val="false"/>
                  <w:dstrike w:val="false"/>
                  <w:color w:val="D7282F"/>
                  <w:sz w:val="18"/>
                  <w:u w:val="none"/>
                  <w:effect w:val="none"/>
                </w:rPr>
                <w:t>98</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53">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17</w:t>
            </w:r>
            <w:hyperlink w:anchor="ic3922f0530c04df99983ab02c4d22c0f_253">
              <w:r>
                <w:rPr>
                  <w:rStyle w:val="InternetLink"/>
                  <w:rFonts w:ascii="Arial;sans-serif" w:hAnsi="Arial;sans-serif"/>
                  <w:b w:val="false"/>
                  <w:strike w:val="false"/>
                  <w:dstrike w:val="false"/>
                  <w:color w:val="000000"/>
                  <w:sz w:val="18"/>
                  <w:u w:val="none"/>
                  <w:effect w:val="none"/>
                </w:rPr>
                <w:t>. Accumulated Other Comprehensive Loss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56">
              <w:r>
                <w:rPr>
                  <w:rStyle w:val="InternetLink"/>
                  <w:rFonts w:ascii="Arial;sans-serif" w:hAnsi="Arial;sans-serif"/>
                  <w:b/>
                  <w:strike w:val="false"/>
                  <w:dstrike w:val="false"/>
                  <w:color w:val="D7282F"/>
                  <w:sz w:val="18"/>
                  <w:u w:val="none"/>
                  <w:effect w:val="none"/>
                </w:rPr>
                <w:t>100</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56">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18</w:t>
            </w:r>
            <w:hyperlink w:anchor="ic3922f0530c04df99983ab02c4d22c0f_256">
              <w:r>
                <w:rPr>
                  <w:rStyle w:val="InternetLink"/>
                  <w:rFonts w:ascii="Arial;sans-serif" w:hAnsi="Arial;sans-serif"/>
                  <w:b w:val="false"/>
                  <w:strike w:val="false"/>
                  <w:dstrike w:val="false"/>
                  <w:color w:val="000000"/>
                  <w:sz w:val="18"/>
                  <w:u w:val="none"/>
                  <w:effect w:val="none"/>
                </w:rPr>
                <w:t>. Capital Stock</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59">
              <w:r>
                <w:rPr>
                  <w:rStyle w:val="InternetLink"/>
                  <w:rFonts w:ascii="Arial;sans-serif" w:hAnsi="Arial;sans-serif"/>
                  <w:b/>
                  <w:strike w:val="false"/>
                  <w:dstrike w:val="false"/>
                  <w:color w:val="D7282F"/>
                  <w:sz w:val="18"/>
                  <w:u w:val="none"/>
                  <w:effect w:val="none"/>
                </w:rPr>
                <w:t>101</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59">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19</w:t>
            </w:r>
            <w:hyperlink w:anchor="ic3922f0530c04df99983ab02c4d22c0f_259">
              <w:r>
                <w:rPr>
                  <w:rStyle w:val="InternetLink"/>
                  <w:rFonts w:ascii="Arial;sans-serif" w:hAnsi="Arial;sans-serif"/>
                  <w:b w:val="false"/>
                  <w:strike w:val="false"/>
                  <w:dstrike w:val="false"/>
                  <w:color w:val="000000"/>
                  <w:sz w:val="18"/>
                  <w:u w:val="none"/>
                  <w:effect w:val="none"/>
                </w:rPr>
                <w:t>. Commitments and Contingencies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62">
              <w:r>
                <w:rPr>
                  <w:rStyle w:val="InternetLink"/>
                  <w:rFonts w:ascii="Arial;sans-serif" w:hAnsi="Arial;sans-serif"/>
                  <w:b/>
                  <w:strike w:val="false"/>
                  <w:dstrike w:val="false"/>
                  <w:color w:val="D7282F"/>
                  <w:sz w:val="18"/>
                  <w:u w:val="none"/>
                  <w:effect w:val="none"/>
                </w:rPr>
                <w:t>106</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62">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20</w:t>
            </w:r>
            <w:hyperlink w:anchor="ic3922f0530c04df99983ab02c4d22c0f_262">
              <w:r>
                <w:rPr>
                  <w:rStyle w:val="InternetLink"/>
                  <w:rFonts w:ascii="Arial;sans-serif" w:hAnsi="Arial;sans-serif"/>
                  <w:b w:val="false"/>
                  <w:strike w:val="false"/>
                  <w:dstrike w:val="false"/>
                  <w:color w:val="000000"/>
                  <w:sz w:val="18"/>
                  <w:u w:val="none"/>
                  <w:effect w:val="none"/>
                </w:rPr>
                <w:t>. Pension and Other Postretirement Benefits</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65">
              <w:r>
                <w:rPr>
                  <w:rStyle w:val="InternetLink"/>
                  <w:rFonts w:ascii="Arial;sans-serif" w:hAnsi="Arial;sans-serif"/>
                  <w:b/>
                  <w:strike w:val="false"/>
                  <w:dstrike w:val="false"/>
                  <w:color w:val="D7282F"/>
                  <w:sz w:val="18"/>
                  <w:u w:val="none"/>
                  <w:effect w:val="none"/>
                </w:rPr>
                <w:t>116</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65">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21</w:t>
            </w:r>
            <w:hyperlink w:anchor="ic3922f0530c04df99983ab02c4d22c0f_265">
              <w:r>
                <w:rPr>
                  <w:rStyle w:val="InternetLink"/>
                  <w:rFonts w:ascii="Arial;sans-serif" w:hAnsi="Arial;sans-serif"/>
                  <w:b w:val="false"/>
                  <w:strike w:val="false"/>
                  <w:dstrike w:val="false"/>
                  <w:color w:val="000000"/>
                  <w:sz w:val="18"/>
                  <w:u w:val="none"/>
                  <w:effect w:val="none"/>
                </w:rPr>
                <w:t>. Other (Income) Expense</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68">
              <w:r>
                <w:rPr>
                  <w:rStyle w:val="InternetLink"/>
                  <w:rFonts w:ascii="Arial;sans-serif" w:hAnsi="Arial;sans-serif"/>
                  <w:b/>
                  <w:strike w:val="false"/>
                  <w:dstrike w:val="false"/>
                  <w:color w:val="D7282F"/>
                  <w:sz w:val="18"/>
                  <w:u w:val="none"/>
                  <w:effect w:val="none"/>
                </w:rPr>
                <w:t>116</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68">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22</w:t>
            </w:r>
            <w:hyperlink w:anchor="ic3922f0530c04df99983ab02c4d22c0f_268">
              <w:r>
                <w:rPr>
                  <w:rStyle w:val="InternetLink"/>
                  <w:rFonts w:ascii="Arial;sans-serif" w:hAnsi="Arial;sans-serif"/>
                  <w:b w:val="false"/>
                  <w:strike w:val="false"/>
                  <w:dstrike w:val="false"/>
                  <w:color w:val="000000"/>
                  <w:sz w:val="18"/>
                  <w:u w:val="none"/>
                  <w:effect w:val="none"/>
                </w:rPr>
                <w:t>. Segment Financial Data</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74">
              <w:r>
                <w:rPr>
                  <w:rStyle w:val="InternetLink"/>
                  <w:rFonts w:ascii="Arial;sans-serif" w:hAnsi="Arial;sans-serif"/>
                  <w:b/>
                  <w:strike w:val="false"/>
                  <w:dstrike w:val="false"/>
                  <w:color w:val="D7282F"/>
                  <w:sz w:val="18"/>
                  <w:u w:val="none"/>
                  <w:effect w:val="none"/>
                </w:rPr>
                <w:t>119</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74">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23</w:t>
            </w:r>
            <w:hyperlink w:anchor="ic3922f0530c04df99983ab02c4d22c0f_274">
              <w:r>
                <w:rPr>
                  <w:rStyle w:val="InternetLink"/>
                  <w:rFonts w:ascii="Arial;sans-serif" w:hAnsi="Arial;sans-serif"/>
                  <w:b w:val="false"/>
                  <w:strike w:val="false"/>
                  <w:dstrike w:val="false"/>
                  <w:color w:val="000000"/>
                  <w:sz w:val="18"/>
                  <w:u w:val="none"/>
                  <w:effect w:val="none"/>
                </w:rPr>
                <w:t>. Geographic Areas—Financial Data</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77">
              <w:r>
                <w:rPr>
                  <w:rStyle w:val="InternetLink"/>
                  <w:rFonts w:ascii="Arial;sans-serif" w:hAnsi="Arial;sans-serif"/>
                  <w:b/>
                  <w:strike w:val="false"/>
                  <w:dstrike w:val="false"/>
                  <w:color w:val="D7282F"/>
                  <w:sz w:val="18"/>
                  <w:u w:val="none"/>
                  <w:effect w:val="none"/>
                </w:rPr>
                <w:t>119</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77">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24</w:t>
            </w:r>
            <w:hyperlink w:anchor="ic3922f0530c04df99983ab02c4d22c0f_277">
              <w:r>
                <w:rPr>
                  <w:rStyle w:val="InternetLink"/>
                  <w:rFonts w:ascii="Arial;sans-serif" w:hAnsi="Arial;sans-serif"/>
                  <w:b w:val="false"/>
                  <w:strike w:val="false"/>
                  <w:dstrike w:val="false"/>
                  <w:color w:val="000000"/>
                  <w:sz w:val="18"/>
                  <w:u w:val="none"/>
                  <w:effect w:val="none"/>
                </w:rPr>
                <w:t>. Supplemental Cash Flow Information</w:t>
              </w:r>
            </w:hyperlink>
          </w:p>
        </w:tc>
      </w:tr>
      <w:tr>
        <w:trPr/>
        <w:tc>
          <w:tcPr>
            <w:tcW w:w="43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80">
              <w:r>
                <w:rPr>
                  <w:rStyle w:val="InternetLink"/>
                  <w:rFonts w:ascii="Arial;sans-serif" w:hAnsi="Arial;sans-serif"/>
                  <w:b/>
                  <w:strike w:val="false"/>
                  <w:dstrike w:val="false"/>
                  <w:color w:val="D7282F"/>
                  <w:sz w:val="18"/>
                  <w:u w:val="none"/>
                  <w:effect w:val="none"/>
                </w:rPr>
                <w:t>120</w:t>
              </w:r>
            </w:hyperlink>
          </w:p>
        </w:tc>
        <w:tc>
          <w:tcPr>
            <w:tcW w:w="52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80">
              <w:r>
                <w:rPr>
                  <w:rStyle w:val="InternetLink"/>
                  <w:rFonts w:ascii="Arial;sans-serif" w:hAnsi="Arial;sans-serif"/>
                  <w:b w:val="false"/>
                  <w:strike w:val="false"/>
                  <w:dstrike w:val="false"/>
                  <w:color w:val="000000"/>
                  <w:sz w:val="18"/>
                  <w:u w:val="none"/>
                  <w:effect w:val="none"/>
                </w:rPr>
                <w:t xml:space="preserve">Note </w:t>
              </w:r>
            </w:hyperlink>
            <w:r>
              <w:rPr>
                <w:rFonts w:ascii="Arial;sans-serif" w:hAnsi="Arial;sans-serif"/>
                <w:b w:val="false"/>
                <w:color w:val="000000"/>
                <w:sz w:val="18"/>
              </w:rPr>
              <w:t>25.</w:t>
            </w:r>
            <w:hyperlink w:anchor="ic3922f0530c04df99983ab02c4d22c0f_280">
              <w:r>
                <w:rPr>
                  <w:rStyle w:val="InternetLink"/>
                  <w:rFonts w:ascii="Arial;sans-serif" w:hAnsi="Arial;sans-serif"/>
                  <w:b w:val="false"/>
                  <w:strike w:val="false"/>
                  <w:dstrike w:val="false"/>
                  <w:color w:val="000080"/>
                  <w:sz w:val="18"/>
                  <w:u w:val="single"/>
                  <w:effect w:val="none"/>
                </w:rPr>
                <w:t xml:space="preserve"> </w:t>
              </w:r>
            </w:hyperlink>
            <w:hyperlink w:anchor="ic3922f0530c04df99983ab02c4d22c0f_280">
              <w:r>
                <w:rPr>
                  <w:rStyle w:val="InternetLink"/>
                  <w:rFonts w:ascii="Arial;sans-serif" w:hAnsi="Arial;sans-serif"/>
                  <w:b w:val="false"/>
                  <w:strike w:val="false"/>
                  <w:dstrike w:val="false"/>
                  <w:color w:val="000080"/>
                  <w:sz w:val="18"/>
                  <w:u w:val="single"/>
                  <w:effect w:val="none"/>
                </w:rPr>
                <w:t>Unaudited Quarterly Financial Inf</w:t>
              </w:r>
            </w:hyperlink>
            <w:hyperlink w:anchor="ic3922f0530c04df99983ab02c4d22c0f_280">
              <w:r>
                <w:rPr>
                  <w:rStyle w:val="InternetLink"/>
                  <w:rFonts w:ascii="Arial;sans-serif" w:hAnsi="Arial;sans-serif"/>
                  <w:b w:val="false"/>
                  <w:strike w:val="false"/>
                  <w:dstrike w:val="false"/>
                  <w:color w:val="000080"/>
                  <w:sz w:val="18"/>
                  <w:u w:val="single"/>
                  <w:effect w:val="none"/>
                </w:rPr>
                <w:t>or</w:t>
              </w:r>
            </w:hyperlink>
            <w:hyperlink w:anchor="ic3922f0530c04df99983ab02c4d22c0f_280">
              <w:r>
                <w:rPr>
                  <w:rStyle w:val="InternetLink"/>
                  <w:rFonts w:ascii="Arial;sans-serif" w:hAnsi="Arial;sans-serif"/>
                  <w:b w:val="false"/>
                  <w:strike w:val="false"/>
                  <w:dstrike w:val="false"/>
                  <w:color w:val="000080"/>
                  <w:sz w:val="18"/>
                  <w:u w:val="single"/>
                  <w:effect w:val="none"/>
                </w:rPr>
                <w:t>mation</w:t>
              </w:r>
            </w:hyperlink>
          </w:p>
        </w:tc>
      </w:tr>
      <w:tr>
        <w:trPr/>
        <w:tc>
          <w:tcPr>
            <w:tcW w:w="43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0"/>
              <w:jc w:val="right"/>
              <w:rPr/>
            </w:pPr>
            <w:hyperlink w:anchor="ic3922f0530c04df99983ab02c4d22c0f_283">
              <w:r>
                <w:rPr>
                  <w:rStyle w:val="InternetLink"/>
                  <w:rFonts w:ascii="Arial;sans-serif" w:hAnsi="Arial;sans-serif"/>
                  <w:b/>
                  <w:strike w:val="false"/>
                  <w:dstrike w:val="false"/>
                  <w:color w:val="D7282F"/>
                  <w:sz w:val="18"/>
                  <w:u w:val="none"/>
                  <w:effect w:val="none"/>
                </w:rPr>
                <w:t>121</w:t>
              </w:r>
            </w:hyperlink>
          </w:p>
        </w:tc>
        <w:tc>
          <w:tcPr>
            <w:tcW w:w="5295" w:type="dxa"/>
            <w:gridSpan w:val="3"/>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0"/>
              <w:jc w:val="left"/>
              <w:rPr/>
            </w:pPr>
            <w:hyperlink w:anchor="ic3922f0530c04df99983ab02c4d22c0f_283">
              <w:r>
                <w:rPr>
                  <w:rStyle w:val="InternetLink"/>
                  <w:rFonts w:ascii="Arial;sans-serif" w:hAnsi="Arial;sans-serif"/>
                  <w:b w:val="false"/>
                  <w:strike w:val="false"/>
                  <w:dstrike w:val="false"/>
                  <w:color w:val="000000"/>
                  <w:sz w:val="18"/>
                  <w:u w:val="none"/>
                  <w:effect w:val="none"/>
                </w:rPr>
                <w:t>Report of Independent Registered Public Accounting Firm</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99"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54    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54    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CONSOLIDATED STATEMENT OF OPERATIONS</w:t>
      </w:r>
    </w:p>
    <w:tbl>
      <w:tblPr>
        <w:tblW w:w="9926" w:type="dxa"/>
        <w:jc w:val="left"/>
        <w:tblInd w:w="0" w:type="dxa"/>
        <w:tblLayout w:type="fixed"/>
        <w:tblCellMar>
          <w:top w:w="28" w:type="dxa"/>
          <w:left w:w="28" w:type="dxa"/>
          <w:bottom w:w="28" w:type="dxa"/>
          <w:right w:w="28" w:type="dxa"/>
        </w:tblCellMar>
      </w:tblPr>
      <w:tblGrid>
        <w:gridCol w:w="2306"/>
        <w:gridCol w:w="2027"/>
        <w:gridCol w:w="2041"/>
        <w:gridCol w:w="196"/>
        <w:gridCol w:w="646"/>
        <w:gridCol w:w="109"/>
        <w:gridCol w:w="109"/>
        <w:gridCol w:w="109"/>
        <w:gridCol w:w="109"/>
        <w:gridCol w:w="196"/>
        <w:gridCol w:w="646"/>
        <w:gridCol w:w="109"/>
        <w:gridCol w:w="109"/>
        <w:gridCol w:w="109"/>
        <w:gridCol w:w="109"/>
        <w:gridCol w:w="196"/>
        <w:gridCol w:w="646"/>
        <w:gridCol w:w="154"/>
      </w:tblGrid>
      <w:tr>
        <w:trPr/>
        <w:tc>
          <w:tcPr>
            <w:tcW w:w="230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63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br/>
              <w:t>except per share amounts)</w:t>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24,515 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22,345 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sales</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10,664 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34,717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33,009</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95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sold</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 of products and services sold</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23,613</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21,360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20,637</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costs, expenses and other</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31,966</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28,473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26,818</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Income from continuing operations before taxes</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5,476</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6,244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6,191</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from continuing operations</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4,468</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4,929</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discontinued operations</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4,772</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5,672</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attributable to noncontrolling interest</w:t>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4,729</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5,658</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stock—basic:</w:t>
            </w:r>
          </w:p>
        </w:tc>
        <w:tc>
          <w:tcPr>
            <w:tcW w:w="95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operations—basic</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discontinued operations—basic</w:t>
            </w:r>
          </w:p>
        </w:tc>
        <w:tc>
          <w:tcPr>
            <w:tcW w:w="19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109"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54"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earnings per share of common stock—basic</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8.76</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stock—assuming dilution:</w:t>
            </w:r>
          </w:p>
        </w:tc>
        <w:tc>
          <w:tcPr>
            <w:tcW w:w="95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operations—assuming dilution</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discontinued operations—assuming dilution</w:t>
            </w:r>
          </w:p>
        </w:tc>
        <w:tc>
          <w:tcPr>
            <w:tcW w:w="19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109"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earnings per share of common stock—assuming dilution</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30250"/>
                <wp:effectExtent l="0" t="0" r="0" b="0"/>
                <wp:wrapNone/>
                <wp:docPr id="100" name="Frame57"/>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55    </w:t>
                      </w:r>
                      <w:r>
                        <w:rPr>
                          <w:rFonts w:ascii="Arial;sans-serif" w:hAnsi="Arial;sans-serif"/>
                          <w:b w:val="false"/>
                          <w:color w:val="000000"/>
                          <w:sz w:val="16"/>
                        </w:rPr>
                        <w:t>Honeywell International Inc.</w:t>
                      </w:r>
                    </w:p>
                  </w:txbxContent>
                </v:textbox>
                <w10:wrap type="none"/>
              </v:rect>
            </w:pict>
          </mc:Fallback>
        </mc:AlternateContent>
      </w:r>
    </w:p>
    <w:tbl>
      <w:tblPr>
        <w:tblW w:w="5173" w:type="dxa"/>
        <w:jc w:val="lef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CONSOLIDATED STATEMENT OF COMPREHENSIVE INCOME</w:t>
      </w:r>
    </w:p>
    <w:tbl>
      <w:tblPr>
        <w:tblW w:w="8546" w:type="dxa"/>
        <w:jc w:val="left"/>
        <w:tblInd w:w="0" w:type="dxa"/>
        <w:tblLayout w:type="fixed"/>
        <w:tblCellMar>
          <w:top w:w="28" w:type="dxa"/>
          <w:left w:w="28" w:type="dxa"/>
          <w:bottom w:w="28" w:type="dxa"/>
          <w:right w:w="28" w:type="dxa"/>
        </w:tblCellMar>
      </w:tblPr>
      <w:tblGrid>
        <w:gridCol w:w="1888"/>
        <w:gridCol w:w="1655"/>
        <w:gridCol w:w="1676"/>
        <w:gridCol w:w="196"/>
        <w:gridCol w:w="571"/>
        <w:gridCol w:w="109"/>
        <w:gridCol w:w="109"/>
        <w:gridCol w:w="109"/>
        <w:gridCol w:w="109"/>
        <w:gridCol w:w="196"/>
        <w:gridCol w:w="571"/>
        <w:gridCol w:w="109"/>
        <w:gridCol w:w="109"/>
        <w:gridCol w:w="109"/>
        <w:gridCol w:w="109"/>
        <w:gridCol w:w="196"/>
        <w:gridCol w:w="571"/>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2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27" w:type="dxa"/>
            <w:gridSpan w:val="15"/>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4,772 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5,740 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5,672 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tax</w:t>
            </w:r>
          </w:p>
        </w:tc>
        <w:tc>
          <w:tcPr>
            <w:tcW w:w="876"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Foreign exchange translation adjustment</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(883)</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 recognized</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recognized</w:t>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recognized during year</w:t>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losses recognized during year</w:t>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 and curtailments</w:t>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and other</w:t>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 and other postretirement benefit adjustments</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(736)</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(407)</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fair value of available for sale investments</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 recognized in other comprehensive income (loss)</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Reclassification adjustment for gains included in net income</w:t>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fair value of cash flow hedges</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 of tax</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(1,631)</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(665)</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5,007</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Comprehensive income attributable to the noncontrolling interest</w:t>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attributable to Honeywell</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3,074</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6,349</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4,998</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0250"/>
                <wp:effectExtent l="0" t="0" r="0" b="0"/>
                <wp:wrapNone/>
                <wp:docPr id="101" name="Frame5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56    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CONSOLIDATED BALANCE SHEET</w:t>
      </w:r>
    </w:p>
    <w:tbl>
      <w:tblPr>
        <w:tblW w:w="8453" w:type="dxa"/>
        <w:jc w:val="center"/>
        <w:tblInd w:w="0" w:type="dxa"/>
        <w:tblLayout w:type="fixed"/>
        <w:tblCellMar>
          <w:top w:w="28" w:type="dxa"/>
          <w:left w:w="28" w:type="dxa"/>
          <w:bottom w:w="28" w:type="dxa"/>
          <w:right w:w="28" w:type="dxa"/>
        </w:tblCellMar>
      </w:tblPr>
      <w:tblGrid>
        <w:gridCol w:w="2223"/>
        <w:gridCol w:w="1959"/>
        <w:gridCol w:w="1967"/>
        <w:gridCol w:w="196"/>
        <w:gridCol w:w="661"/>
        <w:gridCol w:w="109"/>
        <w:gridCol w:w="109"/>
        <w:gridCol w:w="109"/>
        <w:gridCol w:w="109"/>
        <w:gridCol w:w="196"/>
        <w:gridCol w:w="661"/>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61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66"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6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966"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less allowances of $202 and $307, respectively</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5,884 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Current assets of discontinued operations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30,387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27,908</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and long-term receivables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4,629 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21,079 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21,019 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6,736 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 of discontinued operations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75,196</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939598"/>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966" w:type="dxa"/>
            <w:gridSpan w:val="3"/>
            <w:tcBorders>
              <w:top w:val="single" w:sz="4" w:space="0" w:color="93959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93959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6,109 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 and other short-term borrowings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4,273 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bookmarkStart w:id="44" w:name="ib9bb12e8c3124e8d861115b5696d1741_25-3-1"/>
            <w:bookmarkEnd w:id="44"/>
            <w:r>
              <w:rPr>
                <w:rFonts w:ascii="Arial;sans-serif" w:hAnsi="Arial;sans-serif"/>
                <w:b w:val="false"/>
                <w:color w:val="000000"/>
                <w:sz w:val="16"/>
              </w:rPr>
              <w:t>8,055 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Current liabilities of discontinued operations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held for sale</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23,414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21,256</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27,141 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25,440 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other than pensions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Asbestos-related liabilities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6,408 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Liabilities of discontinued operations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SHAREOWNERS’ EQUITY</w:t>
            </w:r>
          </w:p>
        </w:tc>
        <w:tc>
          <w:tcPr>
            <w:tcW w:w="966"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Capital—common stock issued</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6"/>
              </w:rPr>
              <w:t>additional paid-in capital</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held in treasury, at cost</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(43,029)</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(39,378)</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Honeywell shareowners’ equity</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18,619</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shareowners’ equity</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15,030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19,154</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noncontrolling interest and shareowners’ equity</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75,196</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30250"/>
                <wp:effectExtent l="0" t="0" r="0" b="0"/>
                <wp:wrapNone/>
                <wp:docPr id="102" name="Frame5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57    </w:t>
                      </w:r>
                      <w:r>
                        <w:rPr>
                          <w:rFonts w:ascii="Arial;sans-serif" w:hAnsi="Arial;sans-serif"/>
                          <w:b w:val="false"/>
                          <w:color w:val="000000"/>
                          <w:sz w:val="16"/>
                        </w:rPr>
                        <w:t>Honeywell International Inc.</w:t>
                      </w:r>
                    </w:p>
                  </w:txbxContent>
                </v:textbox>
                <w10:wrap type="none"/>
              </v:rect>
            </w:pict>
          </mc:Fallback>
        </mc:AlternateContent>
      </w:r>
    </w:p>
    <w:tbl>
      <w:tblPr>
        <w:tblW w:w="5173" w:type="dxa"/>
        <w:jc w:val="lef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CASH FLOWS</w:t>
      </w:r>
    </w:p>
    <w:tbl>
      <w:tblPr>
        <w:tblW w:w="10205" w:type="dxa"/>
        <w:jc w:val="center"/>
        <w:tblInd w:w="0" w:type="dxa"/>
        <w:tblLayout w:type="fixed"/>
        <w:tblCellMar>
          <w:top w:w="28" w:type="dxa"/>
          <w:left w:w="28" w:type="dxa"/>
          <w:bottom w:w="28" w:type="dxa"/>
          <w:right w:w="28" w:type="dxa"/>
        </w:tblCellMar>
      </w:tblPr>
      <w:tblGrid>
        <w:gridCol w:w="2562"/>
        <w:gridCol w:w="2177"/>
        <w:gridCol w:w="2183"/>
        <w:gridCol w:w="196"/>
        <w:gridCol w:w="556"/>
        <w:gridCol w:w="109"/>
        <w:gridCol w:w="109"/>
        <w:gridCol w:w="109"/>
        <w:gridCol w:w="109"/>
        <w:gridCol w:w="196"/>
        <w:gridCol w:w="556"/>
        <w:gridCol w:w="109"/>
        <w:gridCol w:w="109"/>
        <w:gridCol w:w="109"/>
        <w:gridCol w:w="109"/>
        <w:gridCol w:w="196"/>
        <w:gridCol w:w="556"/>
        <w:gridCol w:w="155"/>
      </w:tblGrid>
      <w:tr>
        <w:trPr/>
        <w:tc>
          <w:tcPr>
            <w:tcW w:w="2562"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8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692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6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83" w:type="dxa"/>
            <w:gridSpan w:val="15"/>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86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5,672 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from discontinued operations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from continuing operations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4,468</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4,929</w:t>
            </w:r>
            <w:r>
              <w:rPr>
                <w:color w:val="000000"/>
              </w:rPr>
              <w:t> </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income from continuing operations to net cash provided by operating activities</w:t>
            </w:r>
          </w:p>
        </w:tc>
        <w:tc>
          <w:tcPr>
            <w:tcW w:w="86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sale of non-strategic businesses and assets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Repositioning and other (gains) charges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for repositioning and other charges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NARCO Buyout payment</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w:t>
            </w:r>
          </w:p>
        </w:tc>
        <w:tc>
          <w:tcPr>
            <w:tcW w:w="155"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Resideo indemnification and reimbursement agreement termination payment</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 liabilities divestiture payment</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income</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w:t>
            </w:r>
          </w:p>
        </w:tc>
        <w:tc>
          <w:tcPr>
            <w:tcW w:w="155"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payments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 net of the effects of acquisitions and divestitures</w:t>
            </w:r>
          </w:p>
        </w:tc>
        <w:tc>
          <w:tcPr>
            <w:tcW w:w="86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taxes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 from continuing operations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6,075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5,112</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4,459</w:t>
            </w:r>
            <w:r>
              <w:rPr>
                <w:color w:val="000000"/>
              </w:rPr>
              <w:t> </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 from discontinued operations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6,408</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5,340</w:t>
            </w:r>
            <w:r>
              <w:rPr>
                <w:color w:val="000000"/>
              </w:rPr>
              <w:t> </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86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disposals of property, plant and equipment</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investments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investments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(Payments) receipts from settlements of derivative contracts</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acquisitions, net of cash acquired</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(2,211)</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of businesses, net of fees paid</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 from continuing operations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(2,442)</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(9,864)</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(995)</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discontinued operations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w:t>
            </w:r>
          </w:p>
        </w:tc>
        <w:tc>
          <w:tcPr>
            <w:tcW w:w="752"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(2,711)</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(10,157)</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(1,293)</w:t>
            </w:r>
          </w:p>
        </w:tc>
        <w:tc>
          <w:tcPr>
            <w:tcW w:w="15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CASH FLOWS—(Continued)</w:t>
      </w:r>
    </w:p>
    <w:tbl>
      <w:tblPr>
        <w:tblW w:w="9342" w:type="dxa"/>
        <w:jc w:val="center"/>
        <w:tblInd w:w="0" w:type="dxa"/>
        <w:tblLayout w:type="fixed"/>
        <w:tblCellMar>
          <w:top w:w="28" w:type="dxa"/>
          <w:left w:w="28" w:type="dxa"/>
          <w:bottom w:w="28" w:type="dxa"/>
          <w:right w:w="28" w:type="dxa"/>
        </w:tblCellMar>
      </w:tblPr>
      <w:tblGrid>
        <w:gridCol w:w="2111"/>
        <w:gridCol w:w="1855"/>
        <w:gridCol w:w="1869"/>
        <w:gridCol w:w="196"/>
        <w:gridCol w:w="661"/>
        <w:gridCol w:w="109"/>
        <w:gridCol w:w="109"/>
        <w:gridCol w:w="109"/>
        <w:gridCol w:w="109"/>
        <w:gridCol w:w="196"/>
        <w:gridCol w:w="661"/>
        <w:gridCol w:w="109"/>
        <w:gridCol w:w="109"/>
        <w:gridCol w:w="109"/>
        <w:gridCol w:w="109"/>
        <w:gridCol w:w="196"/>
        <w:gridCol w:w="571"/>
        <w:gridCol w:w="154"/>
      </w:tblGrid>
      <w:tr>
        <w:trPr/>
        <w:tc>
          <w:tcPr>
            <w:tcW w:w="211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583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commercial paper and other short-term borrowings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commercial paper and other short-term borrowings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(22,815)</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(11,578)</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(13,663)</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long-term debt</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long-term debt</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(1,731)</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(3,804)</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(1,655)</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(3,715)</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paid</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(2,855)</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Pre-separation funding</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Spin-off cash</w:t>
            </w:r>
          </w:p>
        </w:tc>
        <w:tc>
          <w:tcPr>
            <w:tcW w:w="857" w:type="dxa"/>
            <w:gridSpan w:val="2"/>
            <w:tcBorders>
              <w:top w:val="single" w:sz="4" w:space="0" w:color="939598"/>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09" w:type="dxa"/>
            <w:tcBorders>
              <w:top w:val="single" w:sz="4" w:space="0" w:color="93959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939598"/>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93959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5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provided by financing activities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(1,953)</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6,839</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(5,763)</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and cash equivalents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2,642</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(1,702)</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9,627</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7,925</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0250"/>
                <wp:effectExtent l="0" t="0" r="0" b="0"/>
                <wp:wrapNone/>
                <wp:docPr id="103" name="Frame6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58    </w:t>
                      </w:r>
                      <w:r>
                        <w:rPr>
                          <w:rFonts w:ascii="Arial;sans-serif" w:hAnsi="Arial;sans-serif"/>
                          <w:b w:val="false"/>
                          <w:color w:val="000000"/>
                          <w:sz w:val="16"/>
                        </w:rPr>
                        <w:t>Honeywell International Inc.</w:t>
                      </w:r>
                    </w:p>
                  </w:txbxContent>
                </v:textbox>
                <w10:wrap type="none"/>
              </v:rect>
            </w:pict>
          </mc:Fallback>
        </mc:AlternateContent>
      </w:r>
    </w:p>
    <w:tbl>
      <w:tblPr>
        <w:tblW w:w="5173" w:type="dxa"/>
        <w:jc w:val="lef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CONSOLIDATED STATEMENT OF SHAREOWNERS’ EQUITY</w:t>
      </w:r>
    </w:p>
    <w:tbl>
      <w:tblPr>
        <w:tblW w:w="10205" w:type="dxa"/>
        <w:jc w:val="left"/>
        <w:tblInd w:w="0" w:type="dxa"/>
        <w:tblLayout w:type="fixed"/>
        <w:tblCellMar>
          <w:top w:w="28" w:type="dxa"/>
          <w:left w:w="28" w:type="dxa"/>
          <w:bottom w:w="28" w:type="dxa"/>
          <w:right w:w="28" w:type="dxa"/>
        </w:tblCellMar>
      </w:tblPr>
      <w:tblGrid>
        <w:gridCol w:w="1340"/>
        <w:gridCol w:w="1102"/>
        <w:gridCol w:w="1110"/>
        <w:gridCol w:w="308"/>
        <w:gridCol w:w="310"/>
        <w:gridCol w:w="216"/>
        <w:gridCol w:w="109"/>
        <w:gridCol w:w="109"/>
        <w:gridCol w:w="109"/>
        <w:gridCol w:w="205"/>
        <w:gridCol w:w="506"/>
        <w:gridCol w:w="109"/>
        <w:gridCol w:w="109"/>
        <w:gridCol w:w="109"/>
        <w:gridCol w:w="109"/>
        <w:gridCol w:w="308"/>
        <w:gridCol w:w="310"/>
        <w:gridCol w:w="216"/>
        <w:gridCol w:w="109"/>
        <w:gridCol w:w="109"/>
        <w:gridCol w:w="109"/>
        <w:gridCol w:w="205"/>
        <w:gridCol w:w="506"/>
        <w:gridCol w:w="109"/>
        <w:gridCol w:w="109"/>
        <w:gridCol w:w="109"/>
        <w:gridCol w:w="109"/>
        <w:gridCol w:w="308"/>
        <w:gridCol w:w="310"/>
        <w:gridCol w:w="216"/>
        <w:gridCol w:w="109"/>
        <w:gridCol w:w="109"/>
        <w:gridCol w:w="109"/>
        <w:gridCol w:w="205"/>
        <w:gridCol w:w="506"/>
        <w:gridCol w:w="165"/>
      </w:tblGrid>
      <w:tr>
        <w:trPr/>
        <w:tc>
          <w:tcPr>
            <w:tcW w:w="13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55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653" w:type="dxa"/>
            <w:gridSpan w:val="33"/>
            <w:tcBorders>
              <w:bottom w:val="single" w:sz="4" w:space="0" w:color="D7282F"/>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55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981" w:type="dxa"/>
            <w:gridSpan w:val="9"/>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55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3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653" w:type="dxa"/>
            <w:gridSpan w:val="3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amounts)</w:t>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Common stock, par value</w:t>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957.6 </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957.6 </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957.6 </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6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Additional paid-in capital</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8,564 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Issued for employee savings and option plans</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Impact of Quantinuum contribution</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10,157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9,695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9,062</w:t>
            </w:r>
            <w:r>
              <w:rPr>
                <w:color w:val="000000"/>
              </w:rPr>
              <w:t> </w:t>
            </w:r>
          </w:p>
        </w:tc>
        <w:tc>
          <w:tcPr>
            <w:tcW w:w="16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Treasury stock</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(39,378)</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(38,008)</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(290.0)</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(34,443)</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Reacquired stock or repurchases of common stock</w:t>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(3,715)</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Issued for employee savings and option plans</w:t>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(322.3)</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(43,029)</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(307.8)</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(39,378)</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(305.8)</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(38,008)</w:t>
            </w:r>
          </w:p>
        </w:tc>
        <w:tc>
          <w:tcPr>
            <w:tcW w:w="16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Retained earnings</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47,979 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45,093 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Honeywell</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5,658 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on common stock</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(2,772)</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Spin-offs</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50,964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50,835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47,979</w:t>
            </w:r>
            <w:r>
              <w:rPr>
                <w:color w:val="000000"/>
              </w:rPr>
              <w:t> </w:t>
            </w:r>
          </w:p>
        </w:tc>
        <w:tc>
          <w:tcPr>
            <w:tcW w:w="16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loss</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(4,135)</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(3,475)</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(5,146)</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(3,491)</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(4,135)</w:t>
            </w:r>
          </w:p>
        </w:tc>
        <w:tc>
          <w:tcPr>
            <w:tcW w:w="16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divestitures, and other</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 holders</w:t>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6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1,126</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578</w:t>
            </w:r>
            <w:r>
              <w:rPr>
                <w:color w:val="000000"/>
              </w:rPr>
              <w:t> </w:t>
            </w:r>
          </w:p>
        </w:tc>
        <w:tc>
          <w:tcPr>
            <w:tcW w:w="16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shareowners’ equity</w:t>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635.3</w:t>
            </w:r>
            <w:r>
              <w:rPr>
                <w:color w:val="000000"/>
              </w:rPr>
              <w:t> </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15,030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649.8</w:t>
            </w:r>
            <w:r>
              <w:rPr>
                <w:color w:val="000000"/>
              </w:rPr>
              <w:t> </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19,154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651.8</w:t>
            </w:r>
            <w:r>
              <w:rPr>
                <w:color w:val="000000"/>
              </w:rPr>
              <w:t> </w:t>
            </w:r>
          </w:p>
        </w:tc>
        <w:tc>
          <w:tcPr>
            <w:tcW w:w="2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16,434</w:t>
            </w:r>
            <w:r>
              <w:rPr>
                <w:color w:val="000000"/>
              </w:rPr>
              <w:t> </w:t>
            </w:r>
          </w:p>
        </w:tc>
        <w:tc>
          <w:tcPr>
            <w:tcW w:w="16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dividends per share of common stock</w:t>
            </w:r>
          </w:p>
        </w:tc>
        <w:tc>
          <w:tcPr>
            <w:tcW w:w="834"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4.37</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w:t>
            </w:r>
            <w:r>
              <w:rPr>
                <w:color w:val="000000"/>
              </w:rPr>
              <w:t> </w:t>
            </w:r>
          </w:p>
        </w:tc>
        <w:tc>
          <w:tcPr>
            <w:tcW w:w="16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30250"/>
                <wp:effectExtent l="0" t="0" r="0" b="0"/>
                <wp:wrapNone/>
                <wp:docPr id="104" name="Frame6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0" w:after="0"/>
                        <w:jc w:val="center"/>
                        <w:rPr/>
                      </w:pPr>
                      <w:r>
                        <w:rPr/>
                      </w:r>
                    </w:p>
                    <w:p>
                      <w:pPr>
                        <w:pStyle w:val="TextBody"/>
                        <w:bidi w:val="0"/>
                        <w:spacing w:lineRule="auto" w:line="288" w:before="120" w:after="120"/>
                        <w:jc w:val="left"/>
                        <w:rPr/>
                      </w:pPr>
                      <w:r>
                        <w:rPr>
                          <w:rFonts w:ascii="Arial;sans-serif" w:hAnsi="Arial;sans-serif"/>
                          <w:b/>
                          <w:color w:val="D7282F"/>
                          <w:sz w:val="20"/>
                        </w:rPr>
                        <w:t>59    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ACCOUNTING PRINCIPLES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financial statements and accompanying notes are prepared in accordance with accounting principles generally accepted in the United States of America. The following is a description of Honeywell’s significant accounting policies.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PRINCIPLES OF CONSOLIDATION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Consolidated Financial Statements include the accounts of Honeywell International Inc. and all of its subsidiaries and entities in which a controlling interest is maintained. The Company's consolidation policy requires equity investments that the Company exercises significant influence over, but does not control the investee and are not the primary beneficiary of the investee’s activities, to be accounted for using the equity method. Investments through which the Company is not able to exercise significant influence over the investee and which the Company does not have readily determinable fair values are accounted for under the cost method. All intercompany transactions and balances are eliminated in consolidation.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USE OF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preparation of the consolidated financial statements in accordance with generally accepted accounting principles, the Company makes certain estimates and assumptions in determining the amounts reflected in the financial statements and the related notes. Actual results could differ from those estimates.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RECLASSIFICATIONS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Certain prior year amounts are reclassified to conform to the current year presentation. This includes the separate disclosure of changes in Income taxes within operating activities on the Consolidated Statement of Cash Flows and the reclassification of Insurance recoveries for asbestos-related liabilities into Other assets on the Consolidated Balance Sheet.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October 30, 2025, the Company completed the spin-off of its Advanced Materials business into an independent, publicly traded company named Solstice Advanced Materials, Inc. (Solstice). Results of operations, financial position, and cash flows for the Advanced Materials business are reported as discontinued operations for all periods presented. Unless otherwise noted, information in these notes to consolidated financial statements relates to continuing operations.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RECENT ACCOUNTING PRONOUNCEMENTS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pStyle w:val="TextBody"/>
        <w:bidi w:val="0"/>
        <w:spacing w:lineRule="auto" w:line="288" w:before="120" w:after="120"/>
        <w:jc w:val="both"/>
        <w:rPr/>
      </w:pPr>
      <w:r>
        <w:rPr>
          <w:rFonts w:ascii="Arial;sans-serif" w:hAnsi="Arial;sans-serif"/>
          <w:b w:val="false"/>
          <w:color w:val="000000"/>
          <w:sz w:val="18"/>
        </w:rPr>
        <w:t xml:space="preserve">In September 2025, the FASB issued ASU 2025-06, </w:t>
      </w:r>
      <w:r>
        <w:rPr>
          <w:rFonts w:ascii="Arial;sans-serif" w:hAnsi="Arial;sans-serif"/>
          <w:b w:val="false"/>
          <w:i/>
          <w:color w:val="000000"/>
          <w:sz w:val="18"/>
        </w:rPr>
        <w:t>Intangibles—Goodwill and Other—Internal-Use Software (Subtopic 350-40): Targeted Improvements to the Accounting for Internal-Use Software</w:t>
      </w:r>
      <w:r>
        <w:rPr>
          <w:rFonts w:ascii="Arial;sans-serif" w:hAnsi="Arial;sans-serif"/>
          <w:b w:val="false"/>
          <w:color w:val="000000"/>
          <w:sz w:val="18"/>
        </w:rPr>
        <w:t xml:space="preserv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Accounting Standard Codification (ASC) 360, </w:t>
      </w:r>
      <w:r>
        <w:rPr>
          <w:rFonts w:ascii="Arial;sans-serif" w:hAnsi="Arial;sans-serif"/>
          <w:b w:val="false"/>
          <w:i/>
          <w:color w:val="000000"/>
          <w:sz w:val="18"/>
        </w:rPr>
        <w:t>Property, Plant, and Equipment</w:t>
      </w:r>
      <w:r>
        <w:rPr>
          <w:rFonts w:ascii="Arial;sans-serif" w:hAnsi="Arial;sans-serif"/>
          <w:b w:val="false"/>
          <w:color w:val="000000"/>
          <w:sz w:val="18"/>
        </w:rPr>
        <w: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Company's Consolidated Financial Statements.</w:t>
      </w:r>
    </w:p>
    <w:p>
      <w:pPr>
        <w:pStyle w:val="TextBody"/>
        <w:bidi w:val="0"/>
        <w:spacing w:lineRule="auto" w:line="288" w:before="120" w:after="120"/>
        <w:jc w:val="both"/>
        <w:rPr/>
      </w:pP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Statement—Reporting Comprehensive Income—Expense Disaggregation Disclosures (Subtopic 220-40): Disaggregation of Income Statement Expenses</w:t>
      </w:r>
      <w:r>
        <w:rPr>
          <w:rFonts w:ascii="Arial;sans-serif" w:hAnsi="Arial;sans-serif"/>
          <w:b w:val="false"/>
          <w:color w:val="000000"/>
          <w:sz w:val="18"/>
        </w:rPr>
        <w:t xml:space="preserve">,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 </w:t>
      </w:r>
    </w:p>
    <w:p>
      <w:pPr>
        <w:pStyle w:val="TextBody"/>
        <w:bidi w:val="0"/>
        <w:spacing w:lineRule="auto" w:line="288" w:before="120" w:after="120"/>
        <w:jc w:val="both"/>
        <w:rPr/>
      </w:pPr>
      <w:r>
        <w:rPr>
          <w:rFonts w:ascii="Arial;sans-serif" w:hAnsi="Arial;sans-serif"/>
          <w:b w:val="false"/>
          <w:color w:val="000000"/>
          <w:sz w:val="18"/>
        </w:rPr>
        <w:t xml:space="preserve">In December 2023, the FASB issued ASU 2023-09, </w:t>
      </w:r>
      <w:r>
        <w:rPr>
          <w:rFonts w:ascii="Arial;sans-serif" w:hAnsi="Arial;sans-serif"/>
          <w:b w:val="false"/>
          <w:i/>
          <w:color w:val="000000"/>
          <w:sz w:val="18"/>
        </w:rPr>
        <w:t>Income Taxes (Topic 740): Improvements to Income Taxes Disclosures</w:t>
      </w:r>
      <w:r>
        <w:rPr>
          <w:rFonts w:ascii="Arial;sans-serif" w:hAnsi="Arial;sans-serif"/>
          <w:b w:val="false"/>
          <w:color w:val="000000"/>
          <w:sz w:val="18"/>
        </w:rPr>
        <w:t xml:space="preserve">, which requires greater disaggregation of income tax disclosures. The new standard requires additional information to be disclosed annually with respect to the income tax rate reconciliation and income taxes paid disaggregated by jurisdiction. This ASU should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250"/>
                <wp:effectExtent l="0" t="0" r="0" b="0"/>
                <wp:wrapNone/>
                <wp:docPr id="105"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60    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pPr>
      <w:r>
        <w:rPr>
          <w:rFonts w:ascii="Arial;sans-serif" w:hAnsi="Arial;sans-serif"/>
          <w:b w:val="false"/>
          <w:color w:val="000000"/>
          <w:sz w:val="18"/>
        </w:rPr>
        <w:t xml:space="preserve">applied prospectively for fiscal years beginning after December 15, 2024, with retrospective application permitted. </w:t>
      </w:r>
      <w:r>
        <w:rPr>
          <w:rFonts w:ascii="Arial;sans-serif" w:hAnsi="Arial;sans-serif"/>
          <w:b w:val="false"/>
          <w:color w:val="000000"/>
          <w:sz w:val="18"/>
          <w:shd w:fill="FFFFFF" w:val="clear"/>
        </w:rPr>
        <w:t>The Company adopted this guidance on a prospective basis for annual disclosures for the year ended December 31, 2025. The adoption of this standard did not have a material impact on the Company’s Consolidated Financial Statements.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RESEARCH AND DEVELOPMENT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Research and development costs for projects are expensed as incurred, unless these costs relate to contracts with customers where the Company receives reimbursements. Costs related to contracts with customers for customer-sponsored research and development projects are included as a contract cost and included in Cost of products and services sold when revenue from such contracts is recognized, consistent with the Company's sales recognition policies.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CASH AND CASH EQUIVALENTS </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Cash and cash equivalents include cash on hand and highly liquid investments having an original maturity of three months or less.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INVENTORIES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Inventories are stated at the lower of cost or net realizable value, with cost determined on a first-in, first-out basis. Carrying value adjustments for inventory obsolescence is equal to the difference between the cost and net realizable value. Net realizable value is the estimated selling price in the ordinary course of business, less reasonably predictable costs of completion, disposal, and transportation. Items capable of being sold, including as spare parts, are classified as finished goods.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PROPERTY, PLANT AND EQUIPMENT</w:t>
      </w:r>
    </w:p>
    <w:p>
      <w:pPr>
        <w:pStyle w:val="TextBody"/>
        <w:bidi w:val="0"/>
        <w:spacing w:lineRule="auto" w:line="288" w:before="120" w:after="120"/>
        <w:jc w:val="both"/>
        <w:rPr/>
      </w:pPr>
      <w:r>
        <w:rPr>
          <w:rFonts w:ascii="Arial;sans-serif" w:hAnsi="Arial;sans-serif"/>
          <w:b w:val="false"/>
          <w:color w:val="000000"/>
          <w:sz w:val="18"/>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w:t>
      </w:r>
      <w:r>
        <w:rPr>
          <w:rFonts w:ascii="Arial;sans-serif" w:hAnsi="Arial;sans-serif"/>
          <w:b w:val="false"/>
          <w:color w:val="000000"/>
          <w:sz w:val="18"/>
          <w:shd w:fill="FFFFFF" w:val="clear"/>
        </w:rPr>
        <w:t>d three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pStyle w:val="TextBody"/>
        <w:bidi w:val="0"/>
        <w:spacing w:lineRule="auto" w:line="288" w:before="280" w:after="120"/>
        <w:jc w:val="left"/>
        <w:rPr>
          <w:rFonts w:ascii="Arial MT Std Black;sans-serif" w:hAnsi="Arial MT Std Black;sans-serif"/>
          <w:b/>
          <w:color w:val="000000"/>
          <w:sz w:val="28"/>
          <w:shd w:fill="FFFFFF" w:val="clear"/>
        </w:rPr>
      </w:pPr>
      <w:r>
        <w:rPr>
          <w:rFonts w:ascii="Arial MT Std Black;sans-serif" w:hAnsi="Arial MT Std Black;sans-serif"/>
          <w:b/>
          <w:color w:val="000000"/>
          <w:sz w:val="28"/>
          <w:shd w:fill="FFFFFF" w:val="clear"/>
        </w:rPr>
        <w:t>GOODWILL AND INDEFINITE-LIVED INTANGIBLE ASSETS</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recognizes goodwill and indefinite-lived intangible asset balances in conjunction with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w:t>
      </w:r>
    </w:p>
    <w:p>
      <w:pPr>
        <w:pStyle w:val="TextBody"/>
        <w:bidi w:val="0"/>
        <w:spacing w:lineRule="auto" w:line="288" w:before="120" w:after="120"/>
        <w:jc w:val="both"/>
        <w:rPr/>
      </w:pPr>
      <w:r>
        <w:rPr>
          <w:rFonts w:ascii="Arial;sans-serif" w:hAnsi="Arial;sans-serif"/>
          <w:b w:val="false"/>
          <w:color w:val="000000"/>
          <w:sz w:val="18"/>
          <w:shd w:fill="FFFFFF" w:val="clear"/>
        </w:rPr>
        <w:t xml:space="preserve">Goodwill and indefinite-lived intangible assets are subject to impairment testing annually as of the first day of the fourth quarter, or if a triggering event occurs or changes in circumstances indicate that the carrying amount may not be fully recoverable. This testing compares carrying values to fair values and, when appropriate, the carrying value of these assets is reduced to fair value, not to exceed the carrying value of goodwill. The Company completed its annual goodwill impairment test as of the first day of the fourth quarter and determined there was no goodwill impairment and an indefinite-lived intangible impairment of $44 million as of that date. As described in Note 2 </w:t>
      </w:r>
      <w:hyperlink w:anchor="ic3922f0530c04df99983ab02c4d22c0f_202">
        <w:r>
          <w:rPr>
            <w:rStyle w:val="InternetLink"/>
            <w:rFonts w:ascii="Arial;sans-serif" w:hAnsi="Arial;sans-serif"/>
            <w:b w:val="false"/>
            <w:color w:val="0000FF"/>
            <w:sz w:val="18"/>
            <w:u w:val="single"/>
            <w:shd w:fill="FFFFFF" w:val="clear"/>
          </w:rPr>
          <w:t>Acquisitions, Divestitures, and Discontinued Operations</w:t>
        </w:r>
      </w:hyperlink>
      <w:r>
        <w:rPr>
          <w:rFonts w:ascii="Arial;sans-serif" w:hAnsi="Arial;sans-serif"/>
          <w:b w:val="false"/>
          <w:color w:val="000000"/>
          <w:sz w:val="18"/>
          <w:shd w:fill="FFFFFF" w:val="clear"/>
        </w:rPr>
        <w:t xml:space="preserve">, </w:t>
      </w:r>
      <w:r>
        <w:rPr>
          <w:rFonts w:ascii="Arial;sans-serif" w:hAnsi="Arial;sans-serif"/>
          <w:b w:val="false"/>
          <w:color w:val="000000"/>
          <w:sz w:val="18"/>
        </w:rPr>
        <w:t>the Company performed an additional evaluation as of December 31, 2025 upon the Productivity Solutions and Services and Warehouse and Workflow Solutions businesses classification to assets held for sale which resulted in a goodwill impairment of $724 million.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DEFINITE-LIVED INTANGIBLE ASSETS</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recognizes definite-lived intangible asset balances in conjunction with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 </w:t>
      </w:r>
    </w:p>
    <w:p>
      <w:pPr>
        <w:pStyle w:val="TextBody"/>
        <w:bidi w:val="0"/>
        <w:spacing w:lineRule="auto" w:line="288" w:before="120" w:after="120"/>
        <w:jc w:val="both"/>
        <w:rPr/>
      </w:pPr>
      <w:r>
        <w:rPr>
          <w:rFonts w:ascii="Arial;sans-serif" w:hAnsi="Arial;sans-serif"/>
          <w:b w:val="false"/>
          <w:color w:val="000000"/>
          <w:sz w:val="18"/>
        </w:rPr>
        <w:t>Definite-lived intangible assets consist of customer relationships, patents and technology, trademarks, and other intangibles and are amortized over their estimated u</w:t>
      </w:r>
      <w:r>
        <w:rPr>
          <w:rFonts w:ascii="Arial;sans-serif" w:hAnsi="Arial;sans-serif"/>
          <w:b w:val="false"/>
          <w:color w:val="000000"/>
          <w:sz w:val="18"/>
          <w:shd w:fill="FFFFFF" w:val="clear"/>
        </w:rPr>
        <w:t>seful lives, ranging from one to 20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250"/>
                <wp:effectExtent l="0" t="0" r="0" b="0"/>
                <wp:wrapNone/>
                <wp:docPr id="106"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61    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shd w:fill="FFFFFF" w:val="clear"/>
        </w:rPr>
      </w:pPr>
      <w:r>
        <w:rPr>
          <w:rFonts w:ascii="Arial MT Std Black;sans-serif" w:hAnsi="Arial MT Std Black;sans-serif"/>
          <w:b/>
          <w:color w:val="000000"/>
          <w:sz w:val="28"/>
          <w:shd w:fill="FFFFFF" w:val="clear"/>
        </w:rPr>
        <w:t>CAPITALIZED SOFTWARE</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capitalizes costs of software developed or obtained for internal use during the application development stage of a project and amortizes those costs using the straight-line method over the expected useful life of the software, not to exceed seven years. Costs incurred during the preliminary and post-implementation stages are expensed as incurred. Development costs for software held for sale are capitalized once a project has reached the point of technological feasibility. Completed projects are amortized after reaching the point of general availability using the straight-line method based on the expected useful life, not to exceed seven years. At each balance sheet date, or earlier if an indicator of an impairment exists, the Company evaluates the recoverability of unamortized capitalized software costs based on estimated future undiscounted revenues net of estimated related costs over the remaining amortization period. Capitalized software held for internal use and held for sale is included in Other assets in the Consolidated Balance Sheet.</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FOREIGN CURRENCY TRANSLATION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Assets and liabilities of subsidiaries operating outside the United States with a functional currency other than the U.S. dollar are translated into U.S. dollars using year-end exchange rates. Sales, costs, and expenses are translated at the average exchange rates in effect during the year. Foreign currency translation gains and losses are included as a component of Accumulated other comprehensive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DERIVATIVE FINANCIAL INSTRUMENTS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All derivative financial instruments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loss and subsequently recognized in earnings when the hedged items impact earnings.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Derivative financial instruments designated as hedges must be designated and effective as a hedge of the identified risk exposure at the inception of the contract. Changes in fair value of the derivative contract must be highly correlated with changes in fair value of the underlying hedged item at inception and over the life of the hedge contract. Cash flows of such derivative financial instruments are classified consistent with the underlying hedged item. The Company elected to exclude the time value of the derivatives (i.e., the forward points) from the assessment of hedge effectiveness and to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loss. The gain or loss will be subsequently reclassified into earnings when the hedged net investment is either sold or substantially liquidated.</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LEASES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At the inception of a contract, the Company assesses whether the contract is, or contains, a lease. The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however, lease expense for these leases is recognized as incurred over the lease term.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ROU assets represent the Company's right to use an underlying asset during the reasonably certain lease term, and lease liabilities represent the obligation to make lease payments arising from the lease. The Company's lease terms may include options to extend or terminate the lease when it is reasonably certain that the Company will exercise that option.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costs and prepayments and excludes lease incentives. Lease expense is recognized on a straight-line basis over the lease term. The Company has lease agreements with lease and non-lease components, which are generally accounted for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250"/>
                <wp:effectExtent l="0" t="0" r="0" b="0"/>
                <wp:wrapNone/>
                <wp:docPr id="107"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62    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primarily uses its incremental borrowing rate, which is based on the information available at the lease commencement date, in determining the present value of the lease payments. In determining the borrowing rate, the Company considers the lease term, secured incremental borrowing rate, and for leases denominated in a currency different than the U.S. dollar, the collateralized borrowing rate in the foreign currency using the U.S. dollar and foreign currency swap spread, when available.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PENSION BENEFITS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presents net periodic pension costs by disaggregating the service cost component of such costs and reports those costs in the same line item or items in the Consolidated Statement of Operations as other compensation costs arising from services rendered by the pertinent employees during the period. The other non-service components of such costs are required to be presented separately from the service cost component.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records the service cost component of Pension ongoing (income) expense in Cost of products and services sold, Research and development expenses, and Selling, general and administrative expenses. The remaining components of costs within Pension ongoing (income) expense, primarily interest costs and assumed return on plan assets, are recorded in Other (income) expense. The Company recognizes net actuarial gains or losses in excess of 10% of the greater of the fair value of plan assets or the plan's projected benefit obligation (the corridor) annually in the fourth quarter each year (MTM Adjustment). The MTM Adjustment is also reported in Other (income) expense.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SUPPLY CHAIN FINANCING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maintains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 60 and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amounts of confirmed invoices from suppliers on the original maturity dates of the invoices.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Amounts outstanding related to SCF programs are included in Accounts payable in the Consolidated Balance Sheet. The impact of these programs is not material to the Company's overall liquidity. The following table summarizes the Company's outstanding obligations confirmed as valid related to the SCF programs for the years ended December 31, 2025, and 2024:</w:t>
      </w:r>
    </w:p>
    <w:tbl>
      <w:tblPr>
        <w:tblW w:w="7284" w:type="dxa"/>
        <w:jc w:val="left"/>
        <w:tblInd w:w="0" w:type="dxa"/>
        <w:tblLayout w:type="fixed"/>
        <w:tblCellMar>
          <w:top w:w="28" w:type="dxa"/>
          <w:left w:w="28" w:type="dxa"/>
          <w:bottom w:w="28" w:type="dxa"/>
          <w:right w:w="28" w:type="dxa"/>
        </w:tblCellMar>
      </w:tblPr>
      <w:tblGrid>
        <w:gridCol w:w="1869"/>
        <w:gridCol w:w="1643"/>
        <w:gridCol w:w="1648"/>
        <w:gridCol w:w="196"/>
        <w:gridCol w:w="571"/>
        <w:gridCol w:w="109"/>
        <w:gridCol w:w="109"/>
        <w:gridCol w:w="109"/>
        <w:gridCol w:w="109"/>
        <w:gridCol w:w="196"/>
        <w:gridCol w:w="571"/>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16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Confirmed obligations outstanding at the beginning of the year</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1,112</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Invoices confirmed during the year</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3,098 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Confirmed invoices paid during the year</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Confirmed obligations outstanding at the end of the year</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1,141</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250"/>
                <wp:effectExtent l="0" t="0" r="0" b="0"/>
                <wp:wrapNone/>
                <wp:docPr id="108"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63    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SALES RECOGNITION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Product and service sales are recognized when or as the Company transfers control of the promised products or services to its customers. Revenue is measured as the amount of consideration the Company expects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The Company recognizes revenue over time as the Company performs on these contracts because of the continuous transfer of control to the customer. With control transferring over time, revenue is recognized based on the extent of progress towards completion of the performance obligation. The Company generally uses the cost-to-cost input method of progress for contracts because it best depicts the transfer of control to the customer that occurs as the Company incurs costs. Under the cost-to-cost input method, the extent of progress towards completion is measured based on the proportion of costs incurred to date to the total estimated costs at completion of the performance obligation. The Company reviews its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Provisions for anticipated losses on long-term contracts are recorded in full when such losses become evident, to the extent required.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customer funding for costs incurred for nonrecurring engineering and development activities of the Company's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within Other assets and deferred revenue (liability) within Accrued liabilities and Other liabilities in the Consolidated Balance Sheet. Deferred contract fulfillment costs were $1,193 million and $1,156 million as of December 31, 2025, and 2024, respectively. The amounts recognized as Cost of products and services sold were $116 million, $188 million, and $148 million for the years ended December 31, 2025, 2024, and 2023, respectively.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Revenues for the Company's mechanical service programs are recognized as performance obligations that are satisfied over time, with recognition reflecting a series of distinct services using the output method.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terms of a contract or the historical business practice can give rise to variable consideration due to, but not limited to, cash-based incentives, rebates, performance awards, or credits. The Company estimates variable consideration at the most likely amount the Company will receive from customers. The Company includes estimated amounts in the transaction price to the extent it is probable that a significant reversal of cumulative revenue recognized for such transaction will not occur, or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STOCK-BASED COMPENSATION PLANS</w:t>
      </w:r>
    </w:p>
    <w:p>
      <w:pPr>
        <w:pStyle w:val="TextBody"/>
        <w:bidi w:val="0"/>
        <w:spacing w:lineRule="auto" w:line="288" w:before="120" w:after="120"/>
        <w:jc w:val="both"/>
        <w:rPr/>
      </w:pPr>
      <w:r>
        <w:rPr>
          <w:rFonts w:ascii="Arial;sans-serif" w:hAnsi="Arial;sans-serif"/>
          <w:b w:val="false"/>
          <w:color w:val="000000"/>
          <w:sz w:val="18"/>
        </w:rPr>
        <w:t xml:space="preserve">The principal awards issued under the Company's stock-based compensation plans, which are described in Note 15 </w:t>
      </w:r>
      <w:hyperlink w:anchor="ic3922f0530c04df99983ab02c4d22c0f_247">
        <w:r>
          <w:rPr>
            <w:rStyle w:val="InternetLink"/>
            <w:rFonts w:ascii="Arial;sans-serif" w:hAnsi="Arial;sans-serif"/>
            <w:b w:val="false"/>
            <w:color w:val="0000FF"/>
            <w:sz w:val="18"/>
            <w:u w:val="single"/>
          </w:rPr>
          <w:t>Stock-Based Compensation Plans</w:t>
        </w:r>
      </w:hyperlink>
      <w:r>
        <w:rPr>
          <w:rFonts w:ascii="Arial;sans-serif" w:hAnsi="Arial;sans-serif"/>
          <w:b w:val="false"/>
          <w:color w:val="000000"/>
          <w:sz w:val="18"/>
        </w:rPr>
        <w:t>,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expected to vest and are based on the Company's historical forfeiture rates.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INCOME TAXES</w:t>
      </w:r>
    </w:p>
    <w:p>
      <w:pPr>
        <w:pStyle w:val="TextBody"/>
        <w:bidi w:val="0"/>
        <w:spacing w:lineRule="auto" w:line="288" w:before="120" w:after="120"/>
        <w:jc w:val="both"/>
        <w:rPr/>
      </w:pPr>
      <w:r>
        <w:rPr>
          <w:rFonts w:ascii="Arial;sans-serif" w:hAnsi="Arial;sans-serif"/>
          <w:b w:val="false"/>
          <w:color w:val="000000"/>
          <w:sz w:val="18"/>
        </w:rPr>
        <w:t xml:space="preserve">Significant judgment is required in evaluating tax positions. The Company establishes reserves for income taxes when, despite the belief that tax positions are fully supportable, certain positions remain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The Company regularly assesses the potential outcomes of these examinations and any future examinations for the current or prior years in determining the adequacy of the Company's provision for income taxes. The Company continually assesses the likelihood and amount of potential adjustments and adjusts the income tax provision, the current tax liability, and deferred taxes in the period in which the facts that give rise to a change in estimate become known. See Note 5 </w:t>
      </w:r>
      <w:hyperlink w:anchor="ic3922f0530c04df99983ab02c4d22c0f_211">
        <w:r>
          <w:rPr>
            <w:rStyle w:val="InternetLink"/>
            <w:rFonts w:ascii="Arial;sans-serif" w:hAnsi="Arial;sans-serif"/>
            <w:b w:val="false"/>
            <w:color w:val="0000FF"/>
            <w:sz w:val="18"/>
            <w:u w:val="single"/>
          </w:rPr>
          <w:t>Income Taxes</w:t>
        </w:r>
      </w:hyperlink>
      <w:r>
        <w:rPr>
          <w:color w:val="000000"/>
        </w:rPr>
        <w:t xml:space="preserve"> </w:t>
      </w:r>
      <w:r>
        <w:rPr>
          <w:rFonts w:ascii="Arial;sans-serif" w:hAnsi="Arial;sans-serif"/>
          <w:b w:val="false"/>
          <w:color w:val="000000"/>
          <w:sz w:val="18"/>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250"/>
                <wp:effectExtent l="0" t="0" r="0" b="0"/>
                <wp:wrapNone/>
                <wp:docPr id="109"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64    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4, 2025, H.R.1, commonly referred to as the One Big Beautiful Bill Act (OBBBA) was enacted. The OBBBA includes a broad range of tax reform provisions affecting businesses, including extending and modifying certain key Tax Cuts &amp; Jobs Act provisions (both domestic and international), expanding certain Inflation Reduction Act incentives, and accelerating the phase-out of or repealing others.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EARNINGS PER SHARE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Basic earnings per share is based on the weighted average number of common shares outstanding. Diluted earnings per share is based on the weighted average number of common shares outstanding and all dilutive potential common shares outstanding.</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ENVIRONMENTAL</w:t>
      </w:r>
    </w:p>
    <w:p>
      <w:pPr>
        <w:pStyle w:val="TextBody"/>
        <w:bidi w:val="0"/>
        <w:spacing w:lineRule="auto" w:line="288" w:before="120" w:after="120"/>
        <w:jc w:val="both"/>
        <w:rPr/>
      </w:pPr>
      <w:r>
        <w:rPr>
          <w:rFonts w:ascii="Arial;sans-serif" w:hAnsi="Arial;sans-serif"/>
          <w:b w:val="false"/>
          <w:color w:val="000000"/>
          <w:sz w:val="18"/>
        </w:rPr>
        <w:t xml:space="preserve">The Company accrues costs related to environmental matters when it is probable that it has incurred a liability related to a contaminated site and the amount can be reasonably estimated. 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for additional information.</w:t>
      </w:r>
    </w:p>
    <w:p>
      <w:pPr>
        <w:pStyle w:val="TextBody"/>
        <w:bidi w:val="0"/>
        <w:spacing w:lineRule="auto" w:line="288" w:before="280" w:after="120"/>
        <w:jc w:val="both"/>
        <w:rPr>
          <w:rFonts w:ascii="Arial MT Std Black;sans-serif" w:hAnsi="Arial MT Std Black;sans-serif"/>
          <w:b/>
          <w:color w:val="000000"/>
          <w:sz w:val="28"/>
        </w:rPr>
      </w:pPr>
      <w:r>
        <w:rPr>
          <w:rFonts w:ascii="Arial MT Std Black;sans-serif" w:hAnsi="Arial MT Std Black;sans-serif"/>
          <w:b/>
          <w:color w:val="000000"/>
          <w:sz w:val="28"/>
        </w:rPr>
        <w:t>REIMBURSEMENT RECEIVABLES</w:t>
      </w:r>
    </w:p>
    <w:p>
      <w:pPr>
        <w:pStyle w:val="TextBody"/>
        <w:bidi w:val="0"/>
        <w:spacing w:lineRule="auto" w:line="288" w:before="120" w:after="120"/>
        <w:jc w:val="both"/>
        <w:rPr/>
      </w:pPr>
      <w:r>
        <w:rPr>
          <w:rFonts w:ascii="Arial;sans-serif" w:hAnsi="Arial;sans-serif"/>
          <w:b w:val="false"/>
          <w:color w:val="000000"/>
          <w:sz w:val="18"/>
        </w:rPr>
        <w:t xml:space="preserve">In conjunction with the Resideo Technologies, Inc. (Resideo) spin-off, the Company entered into a reimbursement agreement under which Honeywell received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the Company monitored the recoverability of such receivables, which were subject to the terms of applicable credit agreements and general ability to pay. In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As a result of the termination agreement, Resideo no longer has any obligation to make cash payments to Honeywell in respect of Honeywell's net spending for environmental matters. 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for additional information.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ASBESTOS-RELATED LIABILITIES AND INSURANCE RECOVERIES</w:t>
      </w:r>
    </w:p>
    <w:p>
      <w:pPr>
        <w:pStyle w:val="TextBody"/>
        <w:bidi w:val="0"/>
        <w:spacing w:lineRule="auto" w:line="288" w:before="120" w:after="120"/>
        <w:jc w:val="both"/>
        <w:rPr/>
      </w:pPr>
      <w:r>
        <w:rPr>
          <w:rFonts w:ascii="Arial;sans-serif" w:hAnsi="Arial;sans-serif"/>
          <w:b w:val="false"/>
          <w:color w:val="000000"/>
          <w:sz w:val="18"/>
        </w:rPr>
        <w:t xml:space="preserve">The Company recognizes a liability for any asbestos-related contingency that is probable of occurrence and reasonably estimable. In connection with the recognition of liabilities for asbestos-related matters, the Company records asbestos-related insurance recoveries that are deemed probable. In 2025, the Company permanently divested all of its legacy Bendix asbestos liabilities and certain non-Bendix asbestos liabilities, contributing $1,428 million in cash and transferring asbestos liabilities to a third party entity. As part of the agreement, the Company will be indemnified from future asbestos claims. 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2. ACQUISITIONS, DIVESTITURES, AND DISCONTINUED OPERATIONS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ACQUISITIONS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Johnson Matthey's Catalyst Technologies Business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May 22, 2025, the Company announced its agreement to acquire Johnson Matthey's Catalyst Technologies business segment in an all-cash transaction for £1.8 billion. The transaction is subject to customary closing conditions, including receipt of certain regulatory approvals. The business will be included within the Process Automation and Technology reportable business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250"/>
                <wp:effectExtent l="0" t="0" r="0" b="0"/>
                <wp:wrapNone/>
                <wp:docPr id="110"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65    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Sundyne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June 6, 2025, the Company acquired 100% of the outstanding equity interests of Sundyne, a leader in the design manufacturing, and aftermarket support of highly-engineered pumps and gas compressors for process industries, for total consideration of $2,160 million, net of cash acquired. The business is part of the Energy and Sustainability Solutions reportable business segment. The following table summarizes the determination of the fair value of identifiable assets acquired and liabilities assumed that are included in the Consolidated Balance Sheet as of December 31, 2025:</w:t>
      </w:r>
    </w:p>
    <w:tbl>
      <w:tblPr>
        <w:tblW w:w="3167" w:type="dxa"/>
        <w:jc w:val="left"/>
        <w:tblInd w:w="0" w:type="dxa"/>
        <w:tblLayout w:type="fixed"/>
        <w:tblCellMar>
          <w:top w:w="28" w:type="dxa"/>
          <w:left w:w="28" w:type="dxa"/>
          <w:bottom w:w="28" w:type="dxa"/>
          <w:right w:w="28" w:type="dxa"/>
        </w:tblCellMar>
      </w:tblPr>
      <w:tblGrid>
        <w:gridCol w:w="696"/>
        <w:gridCol w:w="610"/>
        <w:gridCol w:w="613"/>
        <w:gridCol w:w="109"/>
        <w:gridCol w:w="109"/>
        <w:gridCol w:w="109"/>
        <w:gridCol w:w="196"/>
        <w:gridCol w:w="57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Noncurrent liabilities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1,029</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 price</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Sundyne identifiable intangible assets primarily include customer relationships, technology, and trademarks which will amortize over their estimated useful lives ranging from one to 15 years using straight-line and accelerated amortization methods. The goodwill is not deductible for tax purposes. As of December 31, 2025, the purchase accounting is subject to final adjustment, primarily for the valuation of intangible assets, amounts allocated to goodwill, working capital adjustments, and tax balances. </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Air Products' Liquefied Natural Gas Process Technology and Equipment Business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On September 30, 2024, the Company acquired 100% of the outstanding equity interests of Air Products' liquefied natural gas process technology and equipment business (LNG), strengthening the Company's energy transition portfolio, for total consideration of $1,843 million, net of cash acquired. The business is part of the Energy and Sustainability Solutions reportable business segment. The Company finalized the evaluation for the fair value of all the assets acquired and liabilities assumed with LNG during the third quarter of 2025. The following table summarizes the fair value of identifiable assets acquired and liabilities assumed: </w:t>
      </w:r>
    </w:p>
    <w:tbl>
      <w:tblPr>
        <w:tblW w:w="3167" w:type="dxa"/>
        <w:jc w:val="left"/>
        <w:tblInd w:w="0" w:type="dxa"/>
        <w:tblLayout w:type="fixed"/>
        <w:tblCellMar>
          <w:top w:w="28" w:type="dxa"/>
          <w:left w:w="28" w:type="dxa"/>
          <w:bottom w:w="28" w:type="dxa"/>
          <w:right w:w="28" w:type="dxa"/>
        </w:tblCellMar>
      </w:tblPr>
      <w:tblGrid>
        <w:gridCol w:w="696"/>
        <w:gridCol w:w="610"/>
        <w:gridCol w:w="613"/>
        <w:gridCol w:w="109"/>
        <w:gridCol w:w="109"/>
        <w:gridCol w:w="109"/>
        <w:gridCol w:w="196"/>
        <w:gridCol w:w="57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Noncurrent liabilities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947</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 price</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1,843</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LNG identifiable intangible assets primarily include customer relationships and technology which will amortize over their estimated useful lives ranging from three to 20 years using accelerated amortization methods. The goodwill is deductible for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250"/>
                <wp:effectExtent l="0" t="0" r="0" b="0"/>
                <wp:wrapNone/>
                <wp:docPr id="111"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66    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CAES Systems Holdings LLC</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On August 30, 2024, the Company acquired 100% of the outstanding equity interests of CAES Systems Holdings LLC (CAES), enhancing the Company's defense and space portfolio with high-reliability radio frequency technologies, for total consideration of $1,935 million, net of cash acquired. The business is part of the Aerospace Technologies reportable business segment. The Company finalized the evaluation for the fair value of all the assets acquired and liabilities assumed with CAES during the third quarter of 2025. The following table summarizes the fair value of identifiable assets acquired and liabilities assumed: </w:t>
      </w:r>
    </w:p>
    <w:tbl>
      <w:tblPr>
        <w:tblW w:w="3167" w:type="dxa"/>
        <w:jc w:val="left"/>
        <w:tblInd w:w="0" w:type="dxa"/>
        <w:tblLayout w:type="fixed"/>
        <w:tblCellMar>
          <w:top w:w="28" w:type="dxa"/>
          <w:left w:w="28" w:type="dxa"/>
          <w:bottom w:w="28" w:type="dxa"/>
          <w:right w:w="28" w:type="dxa"/>
        </w:tblCellMar>
      </w:tblPr>
      <w:tblGrid>
        <w:gridCol w:w="696"/>
        <w:gridCol w:w="610"/>
        <w:gridCol w:w="613"/>
        <w:gridCol w:w="109"/>
        <w:gridCol w:w="109"/>
        <w:gridCol w:w="109"/>
        <w:gridCol w:w="196"/>
        <w:gridCol w:w="57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Noncurrent liabilities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1,453</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 price</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1,978</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CAES identifiable intangible assets primarily include customer relationships and trademarks which will amortize over their estimated useful lives ranging from two to 15 years using straight line and accelerated amortization methods. The goodwill is not deductible for tax purposes. </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Civitanavi Systems S.p.A.</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On August 19, 2024, the Company completed the acquisition of Civitanavi Systems S.p.A., a leader in position navigation and timing technology for the aerospace, defense, and industrial markets, for total consideration of $200 million, net of cash acquired. The business is part of the Aerospace Technologies reportable business segment. The assets acquired and liabilities assumed with Civitanavi Systems S.p.A. included $75 million of intangible assets and $107 million of goodwill, which is not deductible for tax purposes. The Company finalized the evaluation for the fair value of all the assets acquired and liabilities assumed with Civitanavi Systems S.p.A. during the third quarter of 2025. </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Carrier Global Corporation's Global Access Solutions Business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$4,913 million, net of cash acquired. The business is part of the Building Automation reportable business segment. The Company finalized the evaluation for the fair value of all the assets acquired and liabilities assumed with Access Solutions during the second quarter of 2025. The following table summarizes the fair value of identifiable assets acquired and liabilities assumed:</w:t>
      </w:r>
    </w:p>
    <w:tbl>
      <w:tblPr>
        <w:tblW w:w="3167" w:type="dxa"/>
        <w:jc w:val="left"/>
        <w:tblInd w:w="0" w:type="dxa"/>
        <w:tblLayout w:type="fixed"/>
        <w:tblCellMar>
          <w:top w:w="28" w:type="dxa"/>
          <w:left w:w="28" w:type="dxa"/>
          <w:bottom w:w="28" w:type="dxa"/>
          <w:right w:w="28" w:type="dxa"/>
        </w:tblCellMar>
      </w:tblPr>
      <w:tblGrid>
        <w:gridCol w:w="696"/>
        <w:gridCol w:w="610"/>
        <w:gridCol w:w="613"/>
        <w:gridCol w:w="109"/>
        <w:gridCol w:w="109"/>
        <w:gridCol w:w="109"/>
        <w:gridCol w:w="196"/>
        <w:gridCol w:w="57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Noncurrent liabilities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2,074</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 price</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4,998</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Access Solutions identifiable intangible assets primarily include customer relationships, technology, and trademarks which will amortize over their estimated useful lives ranging from 10 to 20 years using straight line and accelerated amortization methods. The majority of the goodwill is deductible for tax purposes.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SCADAfence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August 25, 2023, the Company acquired 100% of the outstanding equity interests of SCADAfence, a provider of operational technology and Internet of Things (IoT) cybersecurity solutions for monitoring large scale networks, for total consideration of $52 million, net of cash acquired. The business is part of the Industrial Automation reportable business segment. The Company finalized the evaluation for the fair value of all the assets acquired and liabilities assumed with SCADAfence during the third quarter of 2024. Management recorded intangible assets of $17 million and allocated $42 million to goodwill, which is not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250"/>
                <wp:effectExtent l="0" t="0" r="0" b="0"/>
                <wp:wrapNone/>
                <wp:docPr id="112"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67    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0"/>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Compressor Controls Corporation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June 30, 2023, the Company acquired 100% of the outstanding equity interests of Compressor Controls Corporation, a turbomachinery services and controls company based in the United States, for total cash consideration of $673 million, net of cash acquired. The business is part of the Industrial Automation reportable business segment. The Company finalized the evaluation for the fair value of all the assets acquired and liabilities assumed with Compressor Controls Corporation during the second quarter of 2024. Management recorded intangible assets of $282 million and allocated $351 million to goodwill, which is deductible for tax purposes.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DIVESTITURES AND ASSETS AND LIABILITIES HELD FOR SALE</w:t>
      </w:r>
    </w:p>
    <w:p>
      <w:pPr>
        <w:pStyle w:val="TextBody"/>
        <w:bidi w:val="0"/>
        <w:spacing w:lineRule="auto" w:line="288" w:before="0" w:after="0"/>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Productivity Solutions and Services and Warehouse and Workflow Solutions Businesses</w:t>
      </w:r>
    </w:p>
    <w:p>
      <w:pPr>
        <w:pStyle w:val="TextBody"/>
        <w:bidi w:val="0"/>
        <w:spacing w:lineRule="auto" w:line="288" w:before="0" w:after="120"/>
        <w:jc w:val="both"/>
        <w:rPr/>
      </w:pPr>
      <w:r>
        <w:rPr>
          <w:rFonts w:ascii="Arial;sans-serif" w:hAnsi="Arial;sans-serif"/>
          <w:b w:val="false"/>
          <w:color w:val="000000"/>
          <w:sz w:val="18"/>
        </w:rPr>
        <w:t xml:space="preserve">During the fourth quarter of 2025, the Company concluded the assets and liabilities of each of the Productivity Solutions and Services and Warehouse and Workflow Solutions businesses, which are part of the Productivity goodwill reporting unit within the Industrial Automation reportable business segment, met the held for sale criteria; therefore, the Company presented the associated assets and liabilities of each business as held for sale as of December 31, 2025. The disposal groups, consisting of the associated assets and liabilities, are measured at the lower of carrying value or fair value, less costs to sell. The carrying amount of any assets, including goodwill, that are part of the disposal groups, but not in the scope of ASC 360-10, </w:t>
      </w:r>
      <w:r>
        <w:rPr>
          <w:rFonts w:ascii="Arial;sans-serif" w:hAnsi="Arial;sans-serif"/>
          <w:b w:val="false"/>
          <w:i/>
          <w:color w:val="000000"/>
          <w:sz w:val="18"/>
        </w:rPr>
        <w:t xml:space="preserve">Property, Plant, and Equipment, </w:t>
      </w:r>
      <w:r>
        <w:rPr>
          <w:rFonts w:ascii="Arial;sans-serif" w:hAnsi="Arial;sans-serif"/>
          <w:b w:val="false"/>
          <w:color w:val="000000"/>
          <w:sz w:val="18"/>
        </w:rPr>
        <w:t xml:space="preserve">are tested for impairment under the relevant guidance prior to measuring the disposal groups at fair value, less costs to sell. The fair value is based on the use of estimates and is subject to change based on future developments and actual amounts realized upon sale may vary from those recorded as of December 31, 2025. </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Company performed an evaluation as of December 31, 2025 to assess the recoverability of the carrying value of the assets held for sale. The Company recognized a goodwill impairment of $724 million and a valuation allowance of $255 million during the year ended December 31, 2025, to write down the disposal groups to fair value, less costs to sell, as applicable. Gains resulting from the fair value, less costs to sell, exceeding the carrying value of the disposal groups are not recognized until realized at the completion of the sale. The transactions are expected to be completed in the second half of 2026 and are subject to customary closing conditions.</w:t>
      </w:r>
    </w:p>
    <w:p>
      <w:pPr>
        <w:pStyle w:val="TextBody"/>
        <w:bidi w:val="0"/>
        <w:spacing w:lineRule="auto" w:line="288" w:before="120" w:after="283"/>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Personal Protective Equipment Business</w:t>
      </w:r>
    </w:p>
    <w:p>
      <w:pPr>
        <w:pStyle w:val="TextBody"/>
        <w:bidi w:val="0"/>
        <w:spacing w:lineRule="auto" w:line="288" w:before="0" w:after="120"/>
        <w:jc w:val="both"/>
        <w:rPr/>
      </w:pPr>
      <w:r>
        <w:rPr>
          <w:rFonts w:ascii="Arial;sans-serif" w:hAnsi="Arial;sans-serif"/>
          <w:b w:val="false"/>
          <w:color w:val="000000"/>
          <w:sz w:val="18"/>
        </w:rPr>
        <w:t xml:space="preserve">During the third quarter of 2024, the Company concluded the assets and liabilities of the Personal Protective Equipment (PPE) business, which was part of the Sensing and Safety Technologies business unit within the Industrial Automation reportable business segment, met the held for sale criteria; therefore, the Company presented the associated assets and liabilities of the business as held for sale beginning September 30, 2024. The disposal group, consisting of the associated assets and liabilities, was measured at the lower of carrying value or fair value less costs to sell. Depreciation and amortization expense was not recorded for the period in which assets were classified as held for sale. The carrying amount of any assets, including goodwill, that were part of the disposal group, but not in the scope of ASC 360-10, </w:t>
      </w:r>
      <w:r>
        <w:rPr>
          <w:rFonts w:ascii="Arial;sans-serif" w:hAnsi="Arial;sans-serif"/>
          <w:b w:val="false"/>
          <w:i/>
          <w:color w:val="000000"/>
          <w:sz w:val="18"/>
        </w:rPr>
        <w:t xml:space="preserve">Property, Plant, and Equipment, </w:t>
      </w:r>
      <w:r>
        <w:rPr>
          <w:rFonts w:ascii="Arial;sans-serif" w:hAnsi="Arial;sans-serif"/>
          <w:b w:val="false"/>
          <w:color w:val="000000"/>
          <w:sz w:val="18"/>
        </w:rPr>
        <w:t>were tested for impairment under the relevant guidance prior to measuring the disposal group at fair value, less costs to sell.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performed an evaluation as of December 31, 2024, to assess the recoverability of the carrying value of the assets held for sale. The Company recognized a valuation allowance of $219 million during the year ended December 31, 2024, to write down the disposal group to fair value, less costs to sell. During the first quarter of 2025, the Company recognized a $15 million increase to the valuation allowance to write down the disposal group to fair value, less costs to sell.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May 21, 2025, the Company completed the sale of its PPE business in exchange for total consideration of $1,157 million, net of cash transferred. The Company recognized a pre-tax loss on sale of the PPE business of $30 million for the year ended December 31, 2025, which was recorded in Other (income) expense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250"/>
                <wp:effectExtent l="0" t="0" r="0" b="0"/>
                <wp:wrapNone/>
                <wp:docPr id="113"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68    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assets and liabilities classified as held for sale in the Consolidated Balance Sheet as of December 31, 2025 and December 31, 2024:</w:t>
      </w:r>
    </w:p>
    <w:tbl>
      <w:tblPr>
        <w:tblW w:w="6650" w:type="dxa"/>
        <w:jc w:val="left"/>
        <w:tblInd w:w="0" w:type="dxa"/>
        <w:tblLayout w:type="fixed"/>
        <w:tblCellMar>
          <w:top w:w="28" w:type="dxa"/>
          <w:left w:w="28" w:type="dxa"/>
          <w:bottom w:w="28" w:type="dxa"/>
          <w:right w:w="28" w:type="dxa"/>
        </w:tblCellMar>
      </w:tblPr>
      <w:tblGrid>
        <w:gridCol w:w="1171"/>
        <w:gridCol w:w="1029"/>
        <w:gridCol w:w="1039"/>
        <w:gridCol w:w="351"/>
        <w:gridCol w:w="1026"/>
        <w:gridCol w:w="197"/>
        <w:gridCol w:w="351"/>
        <w:gridCol w:w="1026"/>
        <w:gridCol w:w="197"/>
        <w:gridCol w:w="109"/>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 held for sale</w:t>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Inventories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current assets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Investments and long-term receivables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Goodwill</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assets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Valuation allowance on assets held for sale</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Assets held for sale</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2,492</w:t>
            </w:r>
            <w:r>
              <w:rPr>
                <w:color w:val="000000"/>
              </w:rPr>
              <w:t> </w:t>
            </w:r>
          </w:p>
        </w:tc>
        <w:tc>
          <w:tcPr>
            <w:tcW w:w="1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1,365</w:t>
            </w:r>
            <w:r>
              <w:rPr>
                <w:color w:val="000000"/>
              </w:rPr>
              <w:t> </w:t>
            </w:r>
          </w:p>
        </w:tc>
        <w:tc>
          <w:tcPr>
            <w:tcW w:w="1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Liabilities held for sale</w:t>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liabilities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liabilities</w:t>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9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held for sale</w:t>
            </w:r>
          </w:p>
        </w:tc>
        <w:tc>
          <w:tcPr>
            <w:tcW w:w="35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1,198</w:t>
            </w:r>
            <w:r>
              <w:rPr>
                <w:color w:val="000000"/>
              </w:rPr>
              <w:t> </w:t>
            </w:r>
          </w:p>
        </w:tc>
        <w:tc>
          <w:tcPr>
            <w:tcW w:w="19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19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2024 and 2023, there were no significant divestitures individually or in the aggregate.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SPIN-OFFS AND DISCONTINUED OPERATIONS</w:t>
      </w:r>
    </w:p>
    <w:p>
      <w:pPr>
        <w:pStyle w:val="TextBody"/>
        <w:bidi w:val="0"/>
        <w:spacing w:lineRule="auto" w:line="288" w:before="120" w:after="283"/>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Advanced Materials Business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October 30, 2025, the Company completed the spin-off of its Advanced Materials business into an independent, publicly traded company named Solstice Advanced Materials, Inc. (Solstice). The assets, liabilities, and equity associated with the Advanced Materials business of approximately $5.1 billion, $3.7 billion, and $0.2 billion, respectively, have been removed through Retained earnings from the Company's Consolidated Balance Sheet as of the effective date of the spin. Honeywell shareowners of record as of the close of business on October 17, 2025 received one share of Solstice common stock for every four shares of Honeywell common stock. Immediately prior to the effective date of the spin-off, Solstice incurred debt of $2.0 billion to make a $1.5 billion cash distribution to the Company, to pay fees, costs, and expenses related to the debt, and for other general corporate purposes. The Advanced Materials business was previously included within the Energy and Sustainability Solutions reportable segment.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have continuing involvement with Solstice primarily through a transition services agreement, through which Honeywell and Solstice continue to provide certain services to each other for a period of time following the separation, a tax matters agreement, an employee matters agreement, an intellectual property cross-license agreement, a trademark licensing agreement, and Accelerator license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 spin-off of the Advanced Materials business into Solstice, the results of operations, financial position, and cash flows for Advanced Materials are reported as discontinued operations for all periods presented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2250"/>
                <wp:effectExtent l="0" t="0" r="0" b="0"/>
                <wp:wrapNone/>
                <wp:docPr id="114"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69    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69    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key components of net income from discontinued operations:</w:t>
      </w:r>
    </w:p>
    <w:tbl>
      <w:tblPr>
        <w:tblW w:w="7422" w:type="dxa"/>
        <w:jc w:val="left"/>
        <w:tblInd w:w="0" w:type="dxa"/>
        <w:tblLayout w:type="fixed"/>
        <w:tblCellMar>
          <w:top w:w="28" w:type="dxa"/>
          <w:left w:w="28" w:type="dxa"/>
          <w:bottom w:w="28" w:type="dxa"/>
          <w:right w:w="28" w:type="dxa"/>
        </w:tblCellMar>
      </w:tblPr>
      <w:tblGrid>
        <w:gridCol w:w="1497"/>
        <w:gridCol w:w="1320"/>
        <w:gridCol w:w="1323"/>
        <w:gridCol w:w="196"/>
        <w:gridCol w:w="556"/>
        <w:gridCol w:w="109"/>
        <w:gridCol w:w="109"/>
        <w:gridCol w:w="109"/>
        <w:gridCol w:w="109"/>
        <w:gridCol w:w="196"/>
        <w:gridCol w:w="556"/>
        <w:gridCol w:w="109"/>
        <w:gridCol w:w="109"/>
        <w:gridCol w:w="109"/>
        <w:gridCol w:w="109"/>
        <w:gridCol w:w="196"/>
        <w:gridCol w:w="55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14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Product Sales</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3,428 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Service Sales</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237 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343 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225 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Sales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3,244</w:t>
            </w:r>
            <w:r>
              <w:rPr>
                <w:color w:val="000000"/>
                <w:shd w:fill="FFFFFF" w:val="clear"/>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3,781</w:t>
            </w:r>
            <w:r>
              <w:rPr>
                <w:color w:val="000000"/>
                <w:shd w:fill="FFFFFF" w:val="clear"/>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3,653</w:t>
            </w:r>
            <w:r>
              <w:rPr>
                <w:color w:val="000000"/>
                <w:shd w:fill="FFFFFF" w:val="clear"/>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86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products sold</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1,972 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2,210 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2,137 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services sold</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183 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266 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216 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Cost of products and services sold</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2,155</w:t>
            </w:r>
            <w:r>
              <w:rPr>
                <w:color w:val="000000"/>
                <w:shd w:fill="FFFFFF" w:val="clear"/>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2,476</w:t>
            </w:r>
            <w:r>
              <w:rPr>
                <w:color w:val="000000"/>
                <w:shd w:fill="FFFFFF" w:val="clear"/>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2,353</w:t>
            </w:r>
            <w:r>
              <w:rPr>
                <w:color w:val="000000"/>
                <w:shd w:fill="FFFFFF" w:val="clear"/>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78 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82 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81 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168 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231 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245 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Interest and other financial charges </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(5)</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9 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16 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expense</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242 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14 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(10)</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Income from discontinued operations before taxes</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606</w:t>
            </w:r>
            <w:r>
              <w:rPr>
                <w:color w:val="000000"/>
                <w:shd w:fill="FFFFFF" w:val="clear"/>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969</w:t>
            </w:r>
            <w:r>
              <w:rPr>
                <w:color w:val="000000"/>
                <w:shd w:fill="FFFFFF" w:val="clear"/>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968</w:t>
            </w:r>
            <w:r>
              <w:rPr>
                <w:color w:val="000000"/>
                <w:shd w:fill="FFFFFF" w:val="clear"/>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 expense</w:t>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302 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224 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225 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from discontinued operations</w:t>
            </w:r>
          </w:p>
        </w:tc>
        <w:tc>
          <w:tcPr>
            <w:tcW w:w="752"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304</w:t>
            </w:r>
            <w:r>
              <w:rPr>
                <w:color w:val="000000"/>
                <w:shd w:fill="FFFFFF" w:val="clear"/>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745</w:t>
            </w:r>
            <w:r>
              <w:rPr>
                <w:color w:val="000000"/>
                <w:shd w:fill="FFFFFF" w:val="clear"/>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shd w:fill="FFFFFF" w:val="clear"/>
              </w:rPr>
              <w:t>743</w:t>
            </w:r>
            <w:r>
              <w:rPr>
                <w:color w:val="000000"/>
                <w:shd w:fill="FFFFFF" w:val="clear"/>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major classes of assets and liabilities of discontinued operations:</w:t>
      </w:r>
    </w:p>
    <w:tbl>
      <w:tblPr>
        <w:tblW w:w="5295" w:type="dxa"/>
        <w:jc w:val="left"/>
        <w:tblInd w:w="0" w:type="dxa"/>
        <w:tblLayout w:type="fixed"/>
        <w:tblCellMar>
          <w:top w:w="28" w:type="dxa"/>
          <w:left w:w="28" w:type="dxa"/>
          <w:bottom w:w="28" w:type="dxa"/>
          <w:right w:w="28" w:type="dxa"/>
        </w:tblCellMar>
      </w:tblPr>
      <w:tblGrid>
        <w:gridCol w:w="1329"/>
        <w:gridCol w:w="1169"/>
        <w:gridCol w:w="1177"/>
        <w:gridCol w:w="344"/>
        <w:gridCol w:w="1004"/>
        <w:gridCol w:w="272"/>
      </w:tblGrid>
      <w:tr>
        <w:trPr/>
        <w:tc>
          <w:tcPr>
            <w:tcW w:w="132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2024</w:t>
            </w:r>
          </w:p>
        </w:tc>
      </w:tr>
      <w:tr>
        <w:trPr/>
        <w:tc>
          <w:tcPr>
            <w:tcW w:w="36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6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44"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Inventories</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current assets</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Current assets of discontinued operations</w:t>
            </w:r>
          </w:p>
        </w:tc>
        <w:tc>
          <w:tcPr>
            <w:tcW w:w="134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1,861</w:t>
            </w:r>
            <w:r>
              <w:rPr>
                <w:color w:val="000000"/>
              </w:rPr>
              <w:t> </w:t>
            </w:r>
          </w:p>
        </w:tc>
        <w:tc>
          <w:tcPr>
            <w:tcW w:w="272"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Investments and long-term receivables</w:t>
            </w:r>
          </w:p>
        </w:tc>
        <w:tc>
          <w:tcPr>
            <w:tcW w:w="134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72"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348" w:type="dxa"/>
            <w:gridSpan w:val="2"/>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1,737 </w:t>
            </w:r>
          </w:p>
        </w:tc>
        <w:tc>
          <w:tcPr>
            <w:tcW w:w="272"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Goodwill</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assets</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assets of discontinued operations</w:t>
            </w:r>
          </w:p>
        </w:tc>
        <w:tc>
          <w:tcPr>
            <w:tcW w:w="344"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5,031</w:t>
            </w:r>
            <w:r>
              <w:rPr>
                <w:color w:val="000000"/>
              </w:rPr>
              <w:t> </w:t>
            </w:r>
          </w:p>
        </w:tc>
        <w:tc>
          <w:tcPr>
            <w:tcW w:w="272"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LIABILITIES</w:t>
            </w:r>
          </w:p>
        </w:tc>
        <w:tc>
          <w:tcPr>
            <w:tcW w:w="1620"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liabilities</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Current liabilities of discontinued operations</w:t>
            </w:r>
          </w:p>
        </w:tc>
        <w:tc>
          <w:tcPr>
            <w:tcW w:w="134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1,086</w:t>
            </w:r>
            <w:r>
              <w:rPr>
                <w:color w:val="000000"/>
              </w:rPr>
              <w:t> </w:t>
            </w:r>
          </w:p>
        </w:tc>
        <w:tc>
          <w:tcPr>
            <w:tcW w:w="272"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Long-term debt</w:t>
            </w:r>
          </w:p>
        </w:tc>
        <w:tc>
          <w:tcPr>
            <w:tcW w:w="134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72"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48" w:type="dxa"/>
            <w:gridSpan w:val="2"/>
            <w:tcBorders>
              <w:top w:val="single" w:sz="4" w:space="0" w:color="B1B3B3"/>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272" w:type="dxa"/>
            <w:tcBorders>
              <w:top w:val="single" w:sz="4" w:space="0" w:color="B1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34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27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of discontinued operations</w:t>
            </w:r>
          </w:p>
        </w:tc>
        <w:tc>
          <w:tcPr>
            <w:tcW w:w="34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1,826</w:t>
            </w:r>
            <w:r>
              <w:rPr>
                <w:color w:val="000000"/>
              </w:rPr>
              <w:t> </w:t>
            </w:r>
          </w:p>
        </w:tc>
        <w:tc>
          <w:tcPr>
            <w:tcW w:w="272"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2250"/>
                <wp:effectExtent l="0" t="0" r="0" b="0"/>
                <wp:wrapNone/>
                <wp:docPr id="115"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70    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283"/>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Aerospace Technologies Business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February 6, 2025, the Company announced its intention to pursue a separation of Honeywell from Honeywell Aerospace, into independent, U.S. publicly traded companies, which is expected to be completed in the third quarter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3. REVENUE RECOGNITION AND CONTRACTS WITH CUSTOMERS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tbl>
      <w:tblPr>
        <w:tblW w:w="7316" w:type="dxa"/>
        <w:jc w:val="left"/>
        <w:tblInd w:w="0" w:type="dxa"/>
        <w:tblLayout w:type="fixed"/>
        <w:tblCellMar>
          <w:top w:w="28" w:type="dxa"/>
          <w:left w:w="28" w:type="dxa"/>
          <w:bottom w:w="28" w:type="dxa"/>
          <w:right w:w="28" w:type="dxa"/>
        </w:tblCellMar>
      </w:tblPr>
      <w:tblGrid>
        <w:gridCol w:w="1348"/>
        <w:gridCol w:w="1183"/>
        <w:gridCol w:w="1188"/>
        <w:gridCol w:w="196"/>
        <w:gridCol w:w="661"/>
        <w:gridCol w:w="109"/>
        <w:gridCol w:w="109"/>
        <w:gridCol w:w="109"/>
        <w:gridCol w:w="109"/>
        <w:gridCol w:w="196"/>
        <w:gridCol w:w="661"/>
        <w:gridCol w:w="109"/>
        <w:gridCol w:w="109"/>
        <w:gridCol w:w="109"/>
        <w:gridCol w:w="109"/>
        <w:gridCol w:w="196"/>
        <w:gridCol w:w="661"/>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6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Aerospace Technologies</w:t>
            </w:r>
          </w:p>
        </w:tc>
        <w:tc>
          <w:tcPr>
            <w:tcW w:w="96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Aviation Original Equipment</w:t>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Aviation Aftermarket</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6,241 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Defense and Space</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Aerospace Technologies sales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17,510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15,458</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13,624</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Industrial Automation</w:t>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Sensing and Safety Technologies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Productivity Solutions and Services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 Solutions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6,017 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Warehouse and Workflow Solutions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Industrial Automation sales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10,051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10,756</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Building Automation</w:t>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3,868 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3,583 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Solutions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Building Automation sales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6,031</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and Sustainability Solutions</w:t>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UOP</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Energy and Sustainability Solutions sales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2,586</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Corporate and All Other</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34,717</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33,009</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color w:val="000000"/>
          <w:sz w:val="18"/>
        </w:rPr>
        <w:t xml:space="preserve">Aerospace Technologies </w:t>
      </w:r>
      <w:r>
        <w:rPr>
          <w:color w:val="000000"/>
        </w:rPr>
        <w:t xml:space="preserve">– </w:t>
      </w:r>
      <w:r>
        <w:rPr>
          <w:rFonts w:ascii="Arial;sans-serif" w:hAnsi="Arial;sans-serif"/>
          <w:b w:val="false"/>
          <w:color w:val="000000"/>
          <w:sz w:val="18"/>
        </w:rPr>
        <w:t>A global supplier of products, software, and services for aircrafts that it sells to original equipment manufacturers (OEM) and other customers in a variety of end markets including commercial air transport, business aviation, airlines, aircraft operators, and defense and space primes and U.S. government. Aerospace Technologies products and services include auxiliary power units, propulsion engines, environmental control systems, integrated avionics,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2250"/>
                <wp:effectExtent l="0" t="0" r="0" b="0"/>
                <wp:wrapNone/>
                <wp:docPr id="116"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71    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pPr>
      <w:r>
        <w:rPr>
          <w:rFonts w:ascii="Arial;sans-serif" w:hAnsi="Arial;sans-serif"/>
          <w:b/>
          <w:color w:val="000000"/>
          <w:sz w:val="18"/>
        </w:rPr>
        <w:t xml:space="preserve">Industrial Automation </w:t>
      </w:r>
      <w:r>
        <w:rPr>
          <w:color w:val="000000"/>
        </w:rPr>
        <w:t xml:space="preserve">– </w:t>
      </w:r>
      <w:r>
        <w:rPr>
          <w:rFonts w:ascii="Arial;sans-serif" w:hAnsi="Arial;sans-serif"/>
          <w:b w:val="false"/>
          <w:color w:val="000000"/>
          <w:sz w:val="18"/>
        </w:rPr>
        <w:t>A global provider of industrial automation solutions that deliver intelligent, sustainable, and secure operations for customers in refining/petrochemicals, life sciences, utilities,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system design, advanced automation equipment, software and analytics for manufacturing, distribution, and fulfillment operations. Industrial Automation combines these products and services with proprietary machine learning and artificial intelligence algorithms in products and projects which are digitally enabled through the Company's industry leading industrial IoT platform, Honeywell Forge.</w:t>
      </w:r>
    </w:p>
    <w:p>
      <w:pPr>
        <w:pStyle w:val="TextBody"/>
        <w:bidi w:val="0"/>
        <w:spacing w:lineRule="auto" w:line="288" w:before="120" w:after="120"/>
        <w:jc w:val="both"/>
        <w:rPr/>
      </w:pPr>
      <w:r>
        <w:rPr>
          <w:rFonts w:ascii="Arial;sans-serif" w:hAnsi="Arial;sans-serif"/>
          <w:b/>
          <w:color w:val="000000"/>
          <w:sz w:val="18"/>
        </w:rPr>
        <w:t xml:space="preserve">Building Automation </w:t>
      </w:r>
      <w:r>
        <w:rPr>
          <w:color w:val="000000"/>
        </w:rPr>
        <w:t xml:space="preserve">– </w:t>
      </w:r>
      <w:r>
        <w:rPr>
          <w:rFonts w:ascii="Arial;sans-serif" w:hAnsi="Arial;sans-serif"/>
          <w:b w:val="false"/>
          <w:color w:val="000000"/>
          <w:sz w:val="18"/>
        </w:rPr>
        <w:t>A global provider of products, software, solutions, and technologies that enable building owners and occupants to ensure their 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pStyle w:val="TextBody"/>
        <w:bidi w:val="0"/>
        <w:spacing w:lineRule="auto" w:line="288" w:before="120" w:after="120"/>
        <w:jc w:val="both"/>
        <w:rPr/>
      </w:pPr>
      <w:r>
        <w:rPr>
          <w:rFonts w:ascii="Arial;sans-serif" w:hAnsi="Arial;sans-serif"/>
          <w:b/>
          <w:color w:val="000000"/>
          <w:sz w:val="18"/>
        </w:rPr>
        <w:t xml:space="preserve">Energy and Sustainability Solutions </w:t>
      </w:r>
      <w:r>
        <w:rPr>
          <w:color w:val="000000"/>
        </w:rPr>
        <w:t xml:space="preserve">– </w:t>
      </w:r>
      <w:r>
        <w:rPr>
          <w:rFonts w:ascii="Arial;sans-serif" w:hAnsi="Arial;sans-serif"/>
          <w:b w:val="false"/>
          <w:color w:val="000000"/>
          <w:sz w:val="18"/>
        </w:rPr>
        <w:t>A global provider of energy security for customers through a century of domain expertise and innovation to provide efficient and responsible energy expansion through digitally optimized operations. The business segment is comprised of five end-market focused verticals: Refining, Petrochemicals, Low Carbon Energy, Gas &amp; LNG, and Industrial Solutions. The reportable business segment is comprised of the UOP business unit. The UOP business delivers licensed process technology, equipment, engineering, catalysts, adsorbents, and services through end-to-end solutions to its customers enabled by the convergence of its domain expertise and vast installed base, combined with the Honeywell Forge platform. Forge provides connectivity, data integration, and software solutions powered by deep expertise across ESS which serve customer asset productivity and efficiency needs.</w:t>
      </w:r>
    </w:p>
    <w:p>
      <w:pPr>
        <w:pStyle w:val="TextBody"/>
        <w:bidi w:val="0"/>
        <w:spacing w:lineRule="auto" w:line="288" w:before="120" w:after="120"/>
        <w:jc w:val="both"/>
        <w:rPr/>
      </w:pPr>
      <w:r>
        <w:rPr>
          <w:rFonts w:ascii="Arial;sans-serif" w:hAnsi="Arial;sans-serif"/>
          <w:b/>
          <w:color w:val="000000"/>
          <w:sz w:val="18"/>
        </w:rPr>
        <w:t xml:space="preserve">Corporate and All Other </w:t>
      </w:r>
      <w:r>
        <w:rPr>
          <w:color w:val="000000"/>
        </w:rPr>
        <w:t xml:space="preserve">– </w:t>
      </w:r>
      <w:r>
        <w:rPr>
          <w:rFonts w:ascii="Arial;sans-serif" w:hAnsi="Arial;sans-serif"/>
          <w:b w:val="false"/>
          <w:color w:val="000000"/>
          <w:sz w:val="18"/>
        </w:rPr>
        <w:t>Corporate and All Other includes revenue from Honeywell's majority-owned investment in Quantinuum. Through Quantinuum, Honeywell provides a wide range of service offerings of fully integrated quantum computing hardware and software solutions.</w:t>
      </w:r>
    </w:p>
    <w:p>
      <w:pPr>
        <w:pStyle w:val="TextBody"/>
        <w:bidi w:val="0"/>
        <w:spacing w:lineRule="auto" w:line="288" w:before="120" w:after="120"/>
        <w:jc w:val="both"/>
        <w:rPr/>
      </w:pPr>
      <w:r>
        <w:rPr>
          <w:rFonts w:ascii="Arial;sans-serif" w:hAnsi="Arial;sans-serif"/>
          <w:b w:val="false"/>
          <w:color w:val="000000"/>
          <w:sz w:val="18"/>
        </w:rPr>
        <w:t xml:space="preserve">See Note 22 </w:t>
      </w:r>
      <w:hyperlink w:anchor="ic3922f0530c04df99983ab02c4d22c0f_268">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for a summary by disaggregated product and services sales for each reportable business segment.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recognizes revenue arising from performance obligations outlined in contracts with its customers that are satisfied at a point in time and over time. The disaggregation of the Company's revenue based on timing of recognition is as follows:</w:t>
      </w:r>
    </w:p>
    <w:tbl>
      <w:tblPr>
        <w:tblW w:w="5438" w:type="dxa"/>
        <w:jc w:val="left"/>
        <w:tblInd w:w="0" w:type="dxa"/>
        <w:tblLayout w:type="fixed"/>
        <w:tblCellMar>
          <w:top w:w="28" w:type="dxa"/>
          <w:left w:w="28" w:type="dxa"/>
          <w:bottom w:w="28" w:type="dxa"/>
          <w:right w:w="28" w:type="dxa"/>
        </w:tblCellMar>
      </w:tblPr>
      <w:tblGrid>
        <w:gridCol w:w="934"/>
        <w:gridCol w:w="821"/>
        <w:gridCol w:w="824"/>
        <w:gridCol w:w="216"/>
        <w:gridCol w:w="220"/>
        <w:gridCol w:w="271"/>
        <w:gridCol w:w="115"/>
        <w:gridCol w:w="115"/>
        <w:gridCol w:w="115"/>
        <w:gridCol w:w="216"/>
        <w:gridCol w:w="220"/>
        <w:gridCol w:w="271"/>
        <w:gridCol w:w="115"/>
        <w:gridCol w:w="115"/>
        <w:gridCol w:w="115"/>
        <w:gridCol w:w="216"/>
        <w:gridCol w:w="220"/>
        <w:gridCol w:w="319"/>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257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 transferred point in time</w:t>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19"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 transferred over time</w:t>
            </w:r>
          </w:p>
        </w:tc>
        <w:tc>
          <w:tcPr>
            <w:tcW w:w="436"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7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7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product sales</w:t>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31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transferred point in time</w:t>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1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transferred over time</w:t>
            </w:r>
          </w:p>
        </w:tc>
        <w:tc>
          <w:tcPr>
            <w:tcW w:w="436"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7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7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1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service sales</w:t>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27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1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436"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45"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45"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1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CONTRACT BALANCES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Contract balances are classified as assets or liabilities on a contract-by-contract basis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250"/>
                <wp:effectExtent l="0" t="0" r="0" b="0"/>
                <wp:wrapNone/>
                <wp:docPr id="117"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72    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Company's contract assets and liabilities balances:</w:t>
      </w:r>
    </w:p>
    <w:tbl>
      <w:tblPr>
        <w:tblW w:w="6174" w:type="dxa"/>
        <w:jc w:val="left"/>
        <w:tblInd w:w="0" w:type="dxa"/>
        <w:tblLayout w:type="fixed"/>
        <w:tblCellMar>
          <w:top w:w="28" w:type="dxa"/>
          <w:left w:w="28" w:type="dxa"/>
          <w:bottom w:w="28" w:type="dxa"/>
          <w:right w:w="28" w:type="dxa"/>
        </w:tblCellMar>
      </w:tblPr>
      <w:tblGrid>
        <w:gridCol w:w="1478"/>
        <w:gridCol w:w="1295"/>
        <w:gridCol w:w="1307"/>
        <w:gridCol w:w="196"/>
        <w:gridCol w:w="556"/>
        <w:gridCol w:w="109"/>
        <w:gridCol w:w="109"/>
        <w:gridCol w:w="109"/>
        <w:gridCol w:w="109"/>
        <w:gridCol w:w="196"/>
        <w:gridCol w:w="556"/>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08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assets—January 1</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2,155 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Contract assets—December 31</w:t>
            </w:r>
            <w:r>
              <w:rPr>
                <w:rFonts w:ascii="Arial;sans-serif" w:hAnsi="Arial;sans-serif"/>
                <w:b w:val="false"/>
                <w:color w:val="000000"/>
                <w:sz w:val="10"/>
              </w:rPr>
              <w:t>1</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contract assets—increase (decrease)</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248</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liabilities—January 1</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Contract liabilities—December 31</w:t>
            </w:r>
            <w:r>
              <w:rPr>
                <w:rFonts w:ascii="Arial;sans-serif" w:hAnsi="Arial;sans-serif"/>
                <w:b w:val="false"/>
                <w:color w:val="000000"/>
                <w:sz w:val="10"/>
              </w:rPr>
              <w:t>2</w:t>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contract liabilities—decrease (increase)</w:t>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529</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contract assets excludes $68 million and $3 million, respectively, that are included in Assets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contract liabilities excludes $379 million and $21 million, respectively, that are included in Liabilities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years ended December 31, 2025, and 2024, the Company recognized revenue of $1,964 million and $2,101 million, respectively, that was previously included in the beginning balance of contract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Contract assets included $2,424 million and $2,102 million of unbilled balances under long-term contracts as of December 31, 2025, and 2024, respectively. These amounts are billed in accordance with the terms of customer contracts to which they relate.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PERFORMANCE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December 31, 2025, are $37,475 million.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Performance obligations recognized as of December 31, 2025,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57% and 43%, respectively.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applied the practical expedient for certain revenue streams to exclude the value of remaining performance obligations for contracts for which the Company recognizes revenue in proportion to the amount the Company has the right to invoice for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2250"/>
                <wp:effectExtent l="0" t="0" r="0" b="0"/>
                <wp:wrapNone/>
                <wp:docPr id="118"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73    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4. REPOSITIONING AND OTHER (GAINS) CHARGES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summary of net repositioning and other (gains) charges follows:</w:t>
      </w:r>
    </w:p>
    <w:tbl>
      <w:tblPr>
        <w:tblW w:w="10205" w:type="dxa"/>
        <w:jc w:val="left"/>
        <w:tblInd w:w="0" w:type="dxa"/>
        <w:tblLayout w:type="fixed"/>
        <w:tblCellMar>
          <w:top w:w="28" w:type="dxa"/>
          <w:left w:w="28" w:type="dxa"/>
          <w:bottom w:w="28" w:type="dxa"/>
          <w:right w:w="28" w:type="dxa"/>
        </w:tblCellMar>
      </w:tblPr>
      <w:tblGrid>
        <w:gridCol w:w="2641"/>
        <w:gridCol w:w="2279"/>
        <w:gridCol w:w="2309"/>
        <w:gridCol w:w="196"/>
        <w:gridCol w:w="489"/>
        <w:gridCol w:w="109"/>
        <w:gridCol w:w="109"/>
        <w:gridCol w:w="109"/>
        <w:gridCol w:w="109"/>
        <w:gridCol w:w="196"/>
        <w:gridCol w:w="436"/>
        <w:gridCol w:w="109"/>
        <w:gridCol w:w="109"/>
        <w:gridCol w:w="109"/>
        <w:gridCol w:w="109"/>
        <w:gridCol w:w="196"/>
        <w:gridCol w:w="436"/>
        <w:gridCol w:w="155"/>
      </w:tblGrid>
      <w:tr>
        <w:trPr/>
        <w:tc>
          <w:tcPr>
            <w:tcW w:w="2641"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7229" w:type="dxa"/>
            <w:gridSpan w:val="3"/>
            <w:vMerge w:val="continue"/>
            <w:tcBorders/>
            <w:tcMar>
              <w:top w:w="0" w:type="dxa"/>
              <w:left w:w="0" w:type="dxa"/>
              <w:bottom w:w="0" w:type="dxa"/>
              <w:right w:w="0" w:type="dxa"/>
            </w:tcMar>
            <w:vAlign w:val="center"/>
          </w:tcPr>
          <w:p>
            <w:pPr>
              <w:pStyle w:val="Normal"/>
              <w:bidi w:val="0"/>
              <w:jc w:val="left"/>
              <w:rPr/>
            </w:pPr>
            <w:r>
              <w:rPr/>
            </w:r>
          </w:p>
        </w:tc>
        <w:tc>
          <w:tcPr>
            <w:tcW w:w="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22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9"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impairments</w:t>
            </w:r>
          </w:p>
        </w:tc>
        <w:tc>
          <w:tcPr>
            <w:tcW w:w="68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costs</w:t>
            </w:r>
          </w:p>
        </w:tc>
        <w:tc>
          <w:tcPr>
            <w:tcW w:w="68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adjustments</w:t>
            </w:r>
          </w:p>
        </w:tc>
        <w:tc>
          <w:tcPr>
            <w:tcW w:w="68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repositioning charges</w:t>
            </w:r>
          </w:p>
        </w:tc>
        <w:tc>
          <w:tcPr>
            <w:tcW w:w="685"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Asbestos-related charges and loss on asbestos liabilities divestiture, net of insurance and reimbursements</w:t>
            </w:r>
            <w:r>
              <w:rPr>
                <w:rFonts w:ascii="Arial;sans-serif" w:hAnsi="Arial;sans-serif"/>
                <w:b w:val="false"/>
                <w:color w:val="000000"/>
                <w:sz w:val="10"/>
              </w:rPr>
              <w:t>1</w:t>
            </w:r>
          </w:p>
        </w:tc>
        <w:tc>
          <w:tcPr>
            <w:tcW w:w="685"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5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Probable and reasonably estimable environmental liabilities, net of reimbursements</w:t>
            </w:r>
          </w:p>
        </w:tc>
        <w:tc>
          <w:tcPr>
            <w:tcW w:w="68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on Resideo indemnification and reimbursement agreement termination</w:t>
            </w:r>
            <w:r>
              <w:rPr>
                <w:rFonts w:ascii="Arial;sans-serif" w:hAnsi="Arial;sans-serif"/>
                <w:b w:val="false"/>
                <w:color w:val="000000"/>
                <w:sz w:val="10"/>
              </w:rPr>
              <w:t>1</w:t>
            </w:r>
          </w:p>
        </w:tc>
        <w:tc>
          <w:tcPr>
            <w:tcW w:w="68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charges</w:t>
            </w:r>
          </w:p>
        </w:tc>
        <w:tc>
          <w:tcPr>
            <w:tcW w:w="68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(gains) charges</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w:t>
            </w:r>
            <w:r>
              <w:rPr>
                <w:color w:val="000000"/>
              </w:rPr>
              <w:t> </w:t>
            </w:r>
          </w:p>
        </w:tc>
        <w:tc>
          <w:tcPr>
            <w:tcW w:w="15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Refer to Note 19 </w:t>
            </w:r>
            <w:hyperlink w:anchor="ic3922f0530c04df99983ab02c4d22c0f_259">
              <w:r>
                <w:rPr>
                  <w:rStyle w:val="InternetLink"/>
                  <w:rFonts w:ascii="Arial;sans-serif" w:hAnsi="Arial;sans-serif"/>
                  <w:b w:val="false"/>
                  <w:color w:val="0000FF"/>
                  <w:sz w:val="14"/>
                  <w:u w:val="single"/>
                </w:rPr>
                <w:t>Commitments and Contingencies</w:t>
              </w:r>
            </w:hyperlink>
            <w:r>
              <w:rPr>
                <w:color w:val="000000"/>
              </w:rPr>
              <w:t xml:space="preserve"> </w:t>
            </w:r>
            <w:r>
              <w:rPr>
                <w:rFonts w:ascii="Arial;sans-serif" w:hAnsi="Arial;sans-serif"/>
                <w:b w:val="false"/>
                <w:color w:val="000000"/>
                <w:sz w:val="14"/>
              </w:rPr>
              <w:t>for further discussion of the 2025 asbestos liabilities divestiture transaction and gain related to the Resideo indemnification and reimbursement agreement termination.</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pre-tax distribution of total net repositioning and other (gains) charges by classification in the Consolidated Statement of Operations:</w:t>
      </w:r>
    </w:p>
    <w:tbl>
      <w:tblPr>
        <w:tblW w:w="7001" w:type="dxa"/>
        <w:jc w:val="left"/>
        <w:tblInd w:w="0" w:type="dxa"/>
        <w:tblLayout w:type="fixed"/>
        <w:tblCellMar>
          <w:top w:w="28" w:type="dxa"/>
          <w:left w:w="28" w:type="dxa"/>
          <w:bottom w:w="28" w:type="dxa"/>
          <w:right w:w="28" w:type="dxa"/>
        </w:tblCellMar>
      </w:tblPr>
      <w:tblGrid>
        <w:gridCol w:w="1453"/>
        <w:gridCol w:w="1280"/>
        <w:gridCol w:w="1286"/>
        <w:gridCol w:w="196"/>
        <w:gridCol w:w="496"/>
        <w:gridCol w:w="109"/>
        <w:gridCol w:w="109"/>
        <w:gridCol w:w="109"/>
        <w:gridCol w:w="109"/>
        <w:gridCol w:w="196"/>
        <w:gridCol w:w="436"/>
        <w:gridCol w:w="109"/>
        <w:gridCol w:w="109"/>
        <w:gridCol w:w="109"/>
        <w:gridCol w:w="109"/>
        <w:gridCol w:w="196"/>
        <w:gridCol w:w="43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9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019"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01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69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69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(gains) charges</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The following table summarizes the pre-tax amount of total net repositioning and other (gains) charges by reportable business segment. These amounts are excluded from segment profit as described in Note 22 </w:t>
      </w:r>
      <w:hyperlink w:anchor="ic3922f0530c04df99983ab02c4d22c0f_268">
        <w:r>
          <w:rPr>
            <w:rStyle w:val="InternetLink"/>
            <w:rFonts w:ascii="Arial;sans-serif" w:hAnsi="Arial;sans-serif"/>
            <w:b w:val="false"/>
            <w:color w:val="0000FF"/>
            <w:sz w:val="18"/>
            <w:u w:val="single"/>
          </w:rPr>
          <w:t>Segment Financial Data</w:t>
        </w:r>
      </w:hyperlink>
      <w:r>
        <w:rPr>
          <w:rFonts w:ascii="Arial;sans-serif" w:hAnsi="Arial;sans-serif"/>
          <w:b w:val="false"/>
          <w:color w:val="000000"/>
          <w:sz w:val="18"/>
        </w:rPr>
        <w:t>:</w:t>
      </w:r>
    </w:p>
    <w:tbl>
      <w:tblPr>
        <w:tblW w:w="7001" w:type="dxa"/>
        <w:jc w:val="left"/>
        <w:tblInd w:w="0" w:type="dxa"/>
        <w:tblLayout w:type="fixed"/>
        <w:tblCellMar>
          <w:top w:w="28" w:type="dxa"/>
          <w:left w:w="28" w:type="dxa"/>
          <w:bottom w:w="28" w:type="dxa"/>
          <w:right w:w="28" w:type="dxa"/>
        </w:tblCellMar>
      </w:tblPr>
      <w:tblGrid>
        <w:gridCol w:w="1456"/>
        <w:gridCol w:w="1279"/>
        <w:gridCol w:w="1284"/>
        <w:gridCol w:w="196"/>
        <w:gridCol w:w="496"/>
        <w:gridCol w:w="109"/>
        <w:gridCol w:w="109"/>
        <w:gridCol w:w="109"/>
        <w:gridCol w:w="109"/>
        <w:gridCol w:w="196"/>
        <w:gridCol w:w="436"/>
        <w:gridCol w:w="109"/>
        <w:gridCol w:w="109"/>
        <w:gridCol w:w="109"/>
        <w:gridCol w:w="109"/>
        <w:gridCol w:w="196"/>
        <w:gridCol w:w="43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9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019"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0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Sustainability Solutions</w:t>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(gains) charges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NET REPOSITIONING CHARGES </w:t>
      </w:r>
    </w:p>
    <w:p>
      <w:pPr>
        <w:pStyle w:val="TextBody"/>
        <w:bidi w:val="0"/>
        <w:spacing w:lineRule="auto" w:line="288" w:before="120" w:after="120"/>
        <w:jc w:val="both"/>
        <w:rPr/>
      </w:pPr>
      <w:r>
        <w:rPr>
          <w:rFonts w:ascii="Arial;sans-serif" w:hAnsi="Arial;sans-serif"/>
          <w:b w:val="false"/>
          <w:color w:val="000000"/>
          <w:sz w:val="18"/>
          <w:shd w:fill="FFFFFF" w:val="clear"/>
        </w:rPr>
        <w:t>In 2025, th</w:t>
      </w:r>
      <w:r>
        <w:rPr>
          <w:rFonts w:ascii="Arial;sans-serif" w:hAnsi="Arial;sans-serif"/>
          <w:b w:val="false"/>
          <w:color w:val="000000"/>
          <w:sz w:val="18"/>
        </w:rPr>
        <w:t>e Company recognized gross repositioning charges totaling $210 million, including severance costs of $138 million related to workforce reductions of 3,425 manufacturing and administrative positions primarily in the Company's Industrial Automation and Building Automation reportable business segments. The workforce reductions related to productivity and ongoing functional transformation initiatives. The repositioning charges included asset impairments of $11 million related to the write-down of certain assets primarily within the Company's Industrial Automation reportable business segment and corporate function. The repositioning charges included exit costs of $61 million related to current period costs incurred for closure obligations associated with site transitions in the Company's Industrial Automation reportable business segment and corporate function. Also, $57 million of previously</w:t>
      </w:r>
      <w:r>
        <w:rPr>
          <w:color w:val="000000"/>
          <w:shd w:fill="FFFFFF" w:val="clear"/>
        </w:rPr>
        <w:t xml:space="preserve"> </w:t>
      </w:r>
      <w:r>
        <w:rPr>
          <w:rFonts w:ascii="Arial;sans-serif" w:hAnsi="Arial;sans-serif"/>
          <w:b w:val="false"/>
          <w:color w:val="000000"/>
          <w:sz w:val="18"/>
          <w:shd w:fill="FFFFFF" w:val="clear"/>
        </w:rPr>
        <w:t>established reserves, primarily for severance, were returned to income due to higher-than-expected voluntary exits and adjustments to the scope of previously announced repositioning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2250"/>
                <wp:effectExtent l="0" t="0" r="0" b="0"/>
                <wp:wrapNone/>
                <wp:docPr id="119"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74    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2024, the Company recognized gross repositioning charges totaling $221 million, including severance costs of $136 million related to workforce reductions of 3,486 manufacturing and administrative positions mainly in the Company's Industrial Automation reportable business segment and corporate function. The workforce reductions related to productivity and ongoing functional transformation initiatives. The repositioning charges included asset impairments of $22 million related to the write-down of certain assets primarily within the Company's Building Automation reportable business segment. The repositioning charges included exit costs of $63 million related to current period costs incurred for closure obligations associated with site transitions in the Company's Industrial Automation reportable business segment. Also, $97 million of previously established reserves, primarily for severance, were returned to income due to higher-than-expected voluntary exits and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2023, the Company recognized gross repositioning charges totaling $335 million, including severance costs of $162 million related to workforce reductions of 5,854 manufacturing and administrative positions mainly in the Company's Industrial Automation and Building Automation reportable business segments. The workforce reductions related to productivity and ongoing functional transformation initiatives. The repositioning charges included asset impairments of $41 million related to the write-down of certain assets within the Company's Industrial Automation reportable business segment and corporate function. The repositioning charges included exit costs of $132 million related to current period costs incurred for closure obligations associated with site transitions in the Company's Industrial Automation reportable business segment. Also, $56 million of previously established reserves, primarily for severance, were returned to income due to higher-than-expected voluntary exits and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status of the Company's repositioning reserves, excluding amounts that are included in Liabilities held for sale in the Consolidated Balance Sheet:</w:t>
      </w:r>
    </w:p>
    <w:tbl>
      <w:tblPr>
        <w:tblW w:w="7579" w:type="dxa"/>
        <w:jc w:val="left"/>
        <w:tblInd w:w="0" w:type="dxa"/>
        <w:tblLayout w:type="fixed"/>
        <w:tblCellMar>
          <w:top w:w="28" w:type="dxa"/>
          <w:left w:w="28" w:type="dxa"/>
          <w:bottom w:w="28" w:type="dxa"/>
          <w:right w:w="28" w:type="dxa"/>
        </w:tblCellMar>
      </w:tblPr>
      <w:tblGrid>
        <w:gridCol w:w="1141"/>
        <w:gridCol w:w="1000"/>
        <w:gridCol w:w="1008"/>
        <w:gridCol w:w="242"/>
        <w:gridCol w:w="538"/>
        <w:gridCol w:w="136"/>
        <w:gridCol w:w="109"/>
        <w:gridCol w:w="109"/>
        <w:gridCol w:w="109"/>
        <w:gridCol w:w="302"/>
        <w:gridCol w:w="625"/>
        <w:gridCol w:w="169"/>
        <w:gridCol w:w="109"/>
        <w:gridCol w:w="109"/>
        <w:gridCol w:w="109"/>
        <w:gridCol w:w="196"/>
        <w:gridCol w:w="346"/>
        <w:gridCol w:w="109"/>
        <w:gridCol w:w="109"/>
        <w:gridCol w:w="109"/>
        <w:gridCol w:w="109"/>
        <w:gridCol w:w="196"/>
        <w:gridCol w:w="43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Severance</w:t>
              <w:br/>
              <w:t>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Asset</w:t>
              <w:b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Exit</w:t>
              <w:br/>
              <w:t>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242"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w:t>
            </w:r>
            <w:r>
              <w:rPr>
                <w:color w:val="000000"/>
              </w:rPr>
              <w:t> </w:t>
            </w:r>
          </w:p>
        </w:tc>
        <w:tc>
          <w:tcPr>
            <w:tcW w:w="13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w:t>
            </w:r>
          </w:p>
        </w:tc>
        <w:tc>
          <w:tcPr>
            <w:tcW w:w="780"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3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6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Usage—cash</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Usage—noncash</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780"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w:t>
            </w:r>
            <w:r>
              <w:rPr>
                <w:color w:val="000000"/>
              </w:rPr>
              <w:t> </w:t>
            </w:r>
          </w:p>
        </w:tc>
        <w:tc>
          <w:tcPr>
            <w:tcW w:w="13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w:t>
            </w:r>
          </w:p>
        </w:tc>
        <w:tc>
          <w:tcPr>
            <w:tcW w:w="780"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3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6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Usage—cash</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Usage—noncash</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Reclassifications to Liabilities held for sale</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780"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13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w:t>
            </w:r>
            <w:r>
              <w:rPr>
                <w:color w:val="000000"/>
              </w:rPr>
              <w:t>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w:t>
            </w:r>
          </w:p>
        </w:tc>
        <w:tc>
          <w:tcPr>
            <w:tcW w:w="780"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3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Usage—cash</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Usage—noncash</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Reclassifications to Liabilities held for sale</w:t>
            </w:r>
          </w:p>
        </w:tc>
        <w:tc>
          <w:tcPr>
            <w:tcW w:w="78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242"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w:t>
            </w:r>
            <w:r>
              <w:rPr>
                <w:color w:val="000000"/>
              </w:rPr>
              <w:t> </w:t>
            </w:r>
          </w:p>
        </w:tc>
        <w:tc>
          <w:tcPr>
            <w:tcW w:w="1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Certain repositioning projects will recognize exit costs in future periods when the actual liability is incurred. Such exit costs incurred in 2025, 2024, and 2023</w:t>
      </w:r>
      <w:r>
        <w:rPr>
          <w:color w:val="000000"/>
          <w:shd w:fill="FFFFFF" w:val="clear"/>
        </w:rPr>
        <w:t xml:space="preserve"> </w:t>
      </w:r>
      <w:r>
        <w:rPr>
          <w:rFonts w:ascii="Arial;sans-serif" w:hAnsi="Arial;sans-serif"/>
          <w:b w:val="false"/>
          <w:color w:val="000000"/>
          <w:sz w:val="18"/>
          <w:shd w:fill="FFFFFF" w:val="clear"/>
        </w:rPr>
        <w:t>wer</w:t>
      </w:r>
      <w:r>
        <w:rPr>
          <w:rFonts w:ascii="Arial;sans-serif" w:hAnsi="Arial;sans-serif"/>
          <w:b w:val="false"/>
          <w:color w:val="000000"/>
          <w:sz w:val="18"/>
        </w:rPr>
        <w:t>e $60 million</w:t>
      </w:r>
      <w:r>
        <w:rPr>
          <w:rFonts w:ascii="Arial;sans-serif" w:hAnsi="Arial;sans-serif"/>
          <w:b w:val="false"/>
          <w:color w:val="000000"/>
          <w:sz w:val="18"/>
          <w:shd w:fill="FFFFFF" w:val="clear"/>
        </w:rPr>
        <w:t>, $57 million, and $53 million</w:t>
      </w:r>
      <w:r>
        <w:rPr>
          <w:rFonts w:ascii="Arial;sans-serif" w:hAnsi="Arial;sans-serif"/>
          <w:b w:val="false"/>
          <w:color w:val="000000"/>
          <w:sz w:val="18"/>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250"/>
                <wp:effectExtent l="0" t="0" r="0" b="0"/>
                <wp:wrapNone/>
                <wp:docPr id="120"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75    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NOTE 5. INCOME TAXES </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INCOME BEFORE TAXES</w:t>
      </w:r>
    </w:p>
    <w:tbl>
      <w:tblPr>
        <w:tblW w:w="5502" w:type="dxa"/>
        <w:jc w:val="left"/>
        <w:tblInd w:w="0" w:type="dxa"/>
        <w:tblLayout w:type="fixed"/>
        <w:tblCellMar>
          <w:top w:w="28" w:type="dxa"/>
          <w:left w:w="28" w:type="dxa"/>
          <w:bottom w:w="28" w:type="dxa"/>
          <w:right w:w="28" w:type="dxa"/>
        </w:tblCellMar>
      </w:tblPr>
      <w:tblGrid>
        <w:gridCol w:w="787"/>
        <w:gridCol w:w="686"/>
        <w:gridCol w:w="702"/>
        <w:gridCol w:w="196"/>
        <w:gridCol w:w="571"/>
        <w:gridCol w:w="109"/>
        <w:gridCol w:w="109"/>
        <w:gridCol w:w="109"/>
        <w:gridCol w:w="109"/>
        <w:gridCol w:w="196"/>
        <w:gridCol w:w="571"/>
        <w:gridCol w:w="109"/>
        <w:gridCol w:w="109"/>
        <w:gridCol w:w="109"/>
        <w:gridCol w:w="109"/>
        <w:gridCol w:w="196"/>
        <w:gridCol w:w="57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175"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1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4,539 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Income before taxes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6,244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6,191</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TAX EXPENSE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Tax expense consists of:</w:t>
      </w:r>
    </w:p>
    <w:tbl>
      <w:tblPr>
        <w:tblW w:w="6266" w:type="dxa"/>
        <w:jc w:val="left"/>
        <w:tblInd w:w="0" w:type="dxa"/>
        <w:tblLayout w:type="fixed"/>
        <w:tblCellMar>
          <w:top w:w="28" w:type="dxa"/>
          <w:left w:w="28" w:type="dxa"/>
          <w:bottom w:w="28" w:type="dxa"/>
          <w:right w:w="28" w:type="dxa"/>
        </w:tblCellMar>
      </w:tblPr>
      <w:tblGrid>
        <w:gridCol w:w="1065"/>
        <w:gridCol w:w="934"/>
        <w:gridCol w:w="940"/>
        <w:gridCol w:w="196"/>
        <w:gridCol w:w="571"/>
        <w:gridCol w:w="109"/>
        <w:gridCol w:w="109"/>
        <w:gridCol w:w="109"/>
        <w:gridCol w:w="109"/>
        <w:gridCol w:w="196"/>
        <w:gridCol w:w="571"/>
        <w:gridCol w:w="109"/>
        <w:gridCol w:w="109"/>
        <w:gridCol w:w="109"/>
        <w:gridCol w:w="109"/>
        <w:gridCol w:w="196"/>
        <w:gridCol w:w="57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w:t>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State</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tax expense</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1,073</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w:t>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State</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deferred tax expense (benefit)</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(229)</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Tax expense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1,008</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1,262</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2250"/>
                <wp:effectExtent l="0" t="0" r="0" b="0"/>
                <wp:wrapNone/>
                <wp:docPr id="121"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76    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U.S. federal statutory income tax rate is reconciled to the effective income tax rate as follows:</w:t>
      </w:r>
    </w:p>
    <w:tbl>
      <w:tblPr>
        <w:tblW w:w="7296" w:type="dxa"/>
        <w:jc w:val="left"/>
        <w:tblInd w:w="0" w:type="dxa"/>
        <w:tblLayout w:type="fixed"/>
        <w:tblCellMar>
          <w:top w:w="28" w:type="dxa"/>
          <w:left w:w="28" w:type="dxa"/>
          <w:bottom w:w="28" w:type="dxa"/>
          <w:right w:w="28" w:type="dxa"/>
        </w:tblCellMar>
      </w:tblPr>
      <w:tblGrid>
        <w:gridCol w:w="1822"/>
        <w:gridCol w:w="1606"/>
        <w:gridCol w:w="1612"/>
        <w:gridCol w:w="109"/>
        <w:gridCol w:w="109"/>
        <w:gridCol w:w="228"/>
        <w:gridCol w:w="666"/>
        <w:gridCol w:w="127"/>
        <w:gridCol w:w="240"/>
        <w:gridCol w:w="241"/>
        <w:gridCol w:w="382"/>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tcPr>
          <w:p>
            <w:pPr>
              <w:pStyle w:val="TableContents"/>
              <w:bidi w:val="0"/>
              <w:spacing w:before="0" w:after="283"/>
              <w:jc w:val="left"/>
              <w:rPr>
                <w:sz w:val="4"/>
                <w:szCs w:val="4"/>
              </w:rPr>
            </w:pPr>
            <w:r>
              <w:rPr>
                <w:sz w:val="4"/>
                <w:szCs w:val="4"/>
              </w:rPr>
            </w:r>
          </w:p>
        </w:tc>
      </w:tr>
      <w:tr>
        <w:trPr/>
        <w:tc>
          <w:tcPr>
            <w:tcW w:w="504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86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12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State and local income taxes, net of federal income tax effect</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effects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Puerto Rico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Puerto Rico and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Preferential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Switzerland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Switzerland and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Subnational tax effects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foreign jurisdictions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cross-border tax laws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intangible low-taxed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Indemnification termination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Outside basis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2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8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1,008</w:t>
            </w:r>
            <w:r>
              <w:rPr>
                <w:color w:val="000000"/>
              </w:rPr>
              <w:t> </w:t>
            </w:r>
          </w:p>
        </w:tc>
        <w:tc>
          <w:tcPr>
            <w:tcW w:w="12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38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79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21"/>
        <w:gridCol w:w="2121"/>
        <w:gridCol w:w="30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State taxes in Arizona and Illinois made up the majority (greater than 50 percent) of the tax effect in this category.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2250"/>
                <wp:effectExtent l="0" t="0" r="0" b="0"/>
                <wp:wrapNone/>
                <wp:docPr id="122"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77    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U.S. federal statutory income tax rate is reconciled to the effective income tax rate as follows:</w:t>
      </w:r>
    </w:p>
    <w:tbl>
      <w:tblPr>
        <w:tblW w:w="5519" w:type="dxa"/>
        <w:jc w:val="left"/>
        <w:tblInd w:w="0" w:type="dxa"/>
        <w:tblLayout w:type="fixed"/>
        <w:tblCellMar>
          <w:top w:w="28" w:type="dxa"/>
          <w:left w:w="28" w:type="dxa"/>
          <w:bottom w:w="28" w:type="dxa"/>
          <w:right w:w="28" w:type="dxa"/>
        </w:tblCellMar>
      </w:tblPr>
      <w:tblGrid>
        <w:gridCol w:w="1025"/>
        <w:gridCol w:w="903"/>
        <w:gridCol w:w="907"/>
        <w:gridCol w:w="109"/>
        <w:gridCol w:w="109"/>
        <w:gridCol w:w="240"/>
        <w:gridCol w:w="241"/>
        <w:gridCol w:w="436"/>
        <w:gridCol w:w="185"/>
        <w:gridCol w:w="185"/>
        <w:gridCol w:w="185"/>
        <w:gridCol w:w="240"/>
        <w:gridCol w:w="241"/>
        <w:gridCol w:w="513"/>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8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83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5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1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Taxes on non-U.S. earnings</w:t>
            </w:r>
            <w:r>
              <w:rPr>
                <w:rFonts w:ascii="Arial;sans-serif" w:hAnsi="Arial;sans-serif"/>
                <w:b w:val="false"/>
                <w:color w:val="000000"/>
                <w:sz w:val="10"/>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state income taxes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Reserves for tax contingencies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Restructuring</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federal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valuation allowance</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other items—net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1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5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w:t>
            </w:r>
            <w:r>
              <w:rPr>
                <w:color w:val="000000"/>
              </w:rPr>
              <w:t> </w:t>
            </w:r>
          </w:p>
        </w:tc>
        <w:tc>
          <w:tcPr>
            <w:tcW w:w="51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4"/>
        <w:gridCol w:w="2788"/>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40" w:after="80"/>
              <w:jc w:val="both"/>
              <w:rPr>
                <w:rFonts w:ascii="Arial;sans-serif" w:hAnsi="Arial;sans-serif"/>
                <w:b w:val="false"/>
                <w:color w:val="000000"/>
                <w:sz w:val="14"/>
              </w:rPr>
            </w:pPr>
            <w:r>
              <w:rPr>
                <w:rFonts w:ascii="Arial;sans-serif" w:hAnsi="Arial;sans-serif"/>
                <w:b w:val="false"/>
                <w:color w:val="000000"/>
                <w:sz w:val="14"/>
              </w:rPr>
              <w:t>Net of changes in valuation allowance.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Includes U.S. taxes on non-U.S. earnings, net of foreign tax credits.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2023 includes (4.2)% deferred tax benefit resulting from a non-U.S. legislative change, offset by 4.2% deferred tax expense resulting from a full valuation allowance.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2024 includes (1.0)% deferred tax benefit resulting from an outside basis difference in assets held for sale, offset by 1.0% deferred tax expense resulting from a full valuation allowance.</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effective tax rate decreased by 1.6 percentage points in 2025 compared to 2024, largely driven by an increase in benefit for U.S. federal tax credits. The Company’s 2025 non-U.S. effective tax rate was 19.1%, a decrease of 0.6 percentage points compared to 2024. The decrease in the non-U.S. effective tax rate was primarily attributable to changes in accruals on foreign tax matters partially offset by other foreign discrete adjustments.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effective tax rate decreased by 0.4 percentage points in 2024 compared to 2023. The decrease was primarily attributable to a reduced benefit from taxes on non-U.S. earnings, offset by a decrease in accruals on various foreign tax matters. The Company’s 2024 non-U.S. effective tax rate was 19.7%, a decrease of 5.6 percentage points compared to 2023. The decrease in the non-U.S. effective tax rate was primarily attributable to changes in accruals on foreign tax matters and other foreign discrete adjustments, partially offset by increased expense on global minimum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22250"/>
                <wp:effectExtent l="0" t="0" r="0" b="0"/>
                <wp:wrapNone/>
                <wp:docPr id="123"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78    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DEFERRED TAX ASSETS (LIABILITIES)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tax effects of temporary differences and tax carryforwards which give rise to future income tax benefits and payables are as follows:</w:t>
      </w:r>
    </w:p>
    <w:tbl>
      <w:tblPr>
        <w:tblW w:w="6143" w:type="dxa"/>
        <w:jc w:val="left"/>
        <w:tblInd w:w="0" w:type="dxa"/>
        <w:tblLayout w:type="fixed"/>
        <w:tblCellMar>
          <w:top w:w="28" w:type="dxa"/>
          <w:left w:w="28" w:type="dxa"/>
          <w:bottom w:w="28" w:type="dxa"/>
          <w:right w:w="28" w:type="dxa"/>
        </w:tblCellMar>
      </w:tblPr>
      <w:tblGrid>
        <w:gridCol w:w="1411"/>
        <w:gridCol w:w="1238"/>
        <w:gridCol w:w="1250"/>
        <w:gridCol w:w="196"/>
        <w:gridCol w:w="631"/>
        <w:gridCol w:w="109"/>
        <w:gridCol w:w="109"/>
        <w:gridCol w:w="109"/>
        <w:gridCol w:w="109"/>
        <w:gridCol w:w="196"/>
        <w:gridCol w:w="631"/>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assets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899"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benefits other than pensions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 and environmental</w:t>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research and development</w:t>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compensation and benefits</w:t>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accruals and reserves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losses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loss carryover and outside basis differences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credit carryforwards and other attributes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deferred tax assets</w:t>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3,456</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deferred tax assets</w:t>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2,203</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liabilities</w:t>
            </w:r>
          </w:p>
        </w:tc>
        <w:tc>
          <w:tcPr>
            <w:tcW w:w="9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w:t>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Unremitted earnings of foreign subsidiaries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 basis differences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deferred tax liabilities</w:t>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(3,702)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(3,549)</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deferred tax liability</w:t>
            </w:r>
            <w:r>
              <w:rPr>
                <w:rFonts w:ascii="Arial;sans-serif" w:hAnsi="Arial;sans-serif"/>
                <w:b/>
                <w:color w:val="000000"/>
                <w:sz w:val="10"/>
              </w:rPr>
              <w:t>1</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(1,378)</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(1,346)</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2244" w:type="dxa"/>
            <w:gridSpan w:val="9"/>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Net deferred tax liability excludes $136 million of deferred tax assets that are included in Assets held for sale in the Consolidated Balance Sheet. As of December 31, 2024, Net deferred tax liability excludes $124 million of deferred tax liabilities that are included in Liabilities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gross deferred tax assets include $1,258 million related to non-U.S. operations comprised primarily of net operating losses and other tax attribute carryforwards in Germany, Luxembourg, Switzerland, and the United Kingdom. The Company maintains a valuation allowance of $1,058 million against a portion of the non-U.S. gross deferred tax assets and a valuation allowance of $316 million against the U.S. gross deferred tax asset, primarily related to capital loss and other credit carryforwards. The change in the valuation allowance resulted in an increase of $88 million, a decrease of $13 million, and an increase of $458 million to income tax expense in 2025, 2024, and 2023, respectively. If the Company determines that the likelihood of realization of existing deferred tax assets changes, a corresponding increase or decrease to valuation allowances will be recognized as an increase or reduction to income tax expense in the period that determination is made.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the Company's net operating loss, capital loss, tax credit carryforwards, and other attributes were as follows:</w:t>
      </w:r>
    </w:p>
    <w:tbl>
      <w:tblPr>
        <w:tblW w:w="6113" w:type="dxa"/>
        <w:jc w:val="left"/>
        <w:tblInd w:w="0" w:type="dxa"/>
        <w:tblLayout w:type="fixed"/>
        <w:tblCellMar>
          <w:top w:w="28" w:type="dxa"/>
          <w:left w:w="28" w:type="dxa"/>
          <w:bottom w:w="28" w:type="dxa"/>
          <w:right w:w="28" w:type="dxa"/>
        </w:tblCellMar>
      </w:tblPr>
      <w:tblGrid>
        <w:gridCol w:w="386"/>
        <w:gridCol w:w="339"/>
        <w:gridCol w:w="341"/>
        <w:gridCol w:w="109"/>
        <w:gridCol w:w="109"/>
        <w:gridCol w:w="109"/>
        <w:gridCol w:w="321"/>
        <w:gridCol w:w="938"/>
        <w:gridCol w:w="180"/>
        <w:gridCol w:w="109"/>
        <w:gridCol w:w="109"/>
        <w:gridCol w:w="109"/>
        <w:gridCol w:w="736"/>
        <w:gridCol w:w="1637"/>
        <w:gridCol w:w="58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w:t>
              <w:br/>
              <w:t>and Capital Loss</w:t>
              <w:br/>
              <w:t>Carryforwards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Tax Credit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Carryforwards and Other Attributes</w:t>
            </w:r>
          </w:p>
        </w:tc>
      </w:tr>
      <w:tr>
        <w:trPr/>
        <w:tc>
          <w:tcPr>
            <w:tcW w:w="10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8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58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State</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8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58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3,611 </w:t>
            </w:r>
          </w:p>
        </w:tc>
        <w:tc>
          <w:tcPr>
            <w:tcW w:w="18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58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4,575</w:t>
            </w:r>
            <w:r>
              <w:rPr>
                <w:color w:val="000000"/>
              </w:rPr>
              <w:t> </w:t>
            </w:r>
          </w:p>
        </w:tc>
        <w:tc>
          <w:tcPr>
            <w:tcW w:w="18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w:t>
            </w:r>
            <w:r>
              <w:rPr>
                <w:color w:val="000000"/>
              </w:rPr>
              <w:t> </w:t>
            </w:r>
          </w:p>
        </w:tc>
        <w:tc>
          <w:tcPr>
            <w:tcW w:w="58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22250"/>
                <wp:effectExtent l="0" t="0" r="0" b="0"/>
                <wp:wrapNone/>
                <wp:docPr id="124"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79    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79    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Many jurisdictions impose limitations on the timing and utilization of net operating loss and tax credit carryforwards. Approximately $3,228 million of the non-U.S. net operating loss has no expiration period. The U.S. federal capital loss carryforward of $510 million expires in 2026. The remaining net operating loss, capital loss and credit carryforwards, and other tax attributes have expiration periods through 2045.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table below summarizes the Company's change in unrecognized tax benefits for the years ended December 31, 2025, 2024, and 2023:</w:t>
      </w:r>
    </w:p>
    <w:tbl>
      <w:tblPr>
        <w:tblW w:w="8171" w:type="dxa"/>
        <w:jc w:val="left"/>
        <w:tblInd w:w="0" w:type="dxa"/>
        <w:tblLayout w:type="fixed"/>
        <w:tblCellMar>
          <w:top w:w="28" w:type="dxa"/>
          <w:left w:w="28" w:type="dxa"/>
          <w:bottom w:w="28" w:type="dxa"/>
          <w:right w:w="28" w:type="dxa"/>
        </w:tblCellMar>
      </w:tblPr>
      <w:tblGrid>
        <w:gridCol w:w="1752"/>
        <w:gridCol w:w="1543"/>
        <w:gridCol w:w="1549"/>
        <w:gridCol w:w="196"/>
        <w:gridCol w:w="571"/>
        <w:gridCol w:w="109"/>
        <w:gridCol w:w="109"/>
        <w:gridCol w:w="109"/>
        <w:gridCol w:w="109"/>
        <w:gridCol w:w="196"/>
        <w:gridCol w:w="571"/>
        <w:gridCol w:w="109"/>
        <w:gridCol w:w="109"/>
        <w:gridCol w:w="109"/>
        <w:gridCol w:w="109"/>
        <w:gridCol w:w="196"/>
        <w:gridCol w:w="571"/>
        <w:gridCol w:w="154"/>
      </w:tblGrid>
      <w:tr>
        <w:trPr/>
        <w:tc>
          <w:tcPr>
            <w:tcW w:w="175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84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unrecognized tax benefits</w:t>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year</w:t>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increases related to current period tax positions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increases related to prior periods tax positions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decreases related to prior periods tax positions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related to resolutions of audits with tax authorities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Expiration of the statute of limitations for the assessment of taxes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end of year</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1,238</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1,215</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2024, and 2023, there were $1,238 million, $1,201 million, and $1,215 million, respectively, of unrecognized tax benefits that if recognized would be recorded as a component of tax expense.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tax years that remain subject to examination by major tax jurisdictions as of December 31, 2025:</w:t>
      </w:r>
    </w:p>
    <w:tbl>
      <w:tblPr>
        <w:tblW w:w="5728" w:type="dxa"/>
        <w:jc w:val="left"/>
        <w:tblInd w:w="0" w:type="dxa"/>
        <w:tblLayout w:type="fixed"/>
        <w:tblCellMar>
          <w:top w:w="28" w:type="dxa"/>
          <w:left w:w="28" w:type="dxa"/>
          <w:bottom w:w="28" w:type="dxa"/>
          <w:right w:w="28" w:type="dxa"/>
        </w:tblCellMar>
      </w:tblPr>
      <w:tblGrid>
        <w:gridCol w:w="456"/>
        <w:gridCol w:w="401"/>
        <w:gridCol w:w="403"/>
        <w:gridCol w:w="679"/>
        <w:gridCol w:w="679"/>
        <w:gridCol w:w="681"/>
        <w:gridCol w:w="711"/>
        <w:gridCol w:w="711"/>
        <w:gridCol w:w="1007"/>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Jurisdiction</w:t>
            </w:r>
          </w:p>
        </w:tc>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 Tax Years</w:t>
            </w:r>
          </w:p>
        </w:tc>
      </w:tr>
      <w:tr>
        <w:trPr/>
        <w:tc>
          <w:tcPr>
            <w:tcW w:w="1260" w:type="dxa"/>
            <w:gridSpan w:val="3"/>
            <w:vMerge w:val="continue"/>
            <w:tcBorders/>
            <w:tcMar>
              <w:top w:w="0" w:type="dxa"/>
              <w:left w:w="0" w:type="dxa"/>
              <w:bottom w:w="0" w:type="dxa"/>
              <w:right w:w="0" w:type="dxa"/>
            </w:tcMar>
            <w:vAlign w:val="center"/>
          </w:tcPr>
          <w:p>
            <w:pPr>
              <w:pStyle w:val="Normal"/>
              <w:bidi w:val="0"/>
              <w:jc w:val="left"/>
              <w:rPr/>
            </w:pPr>
            <w:r>
              <w:rPr/>
            </w:r>
          </w:p>
        </w:tc>
        <w:tc>
          <w:tcPr>
            <w:tcW w:w="20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Examination in progress</w:t>
            </w:r>
          </w:p>
        </w:tc>
        <w:tc>
          <w:tcPr>
            <w:tcW w:w="242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Examination not yet initiated</w:t>
            </w:r>
          </w:p>
        </w:tc>
      </w:tr>
      <w:tr>
        <w:trPr/>
        <w:tc>
          <w:tcPr>
            <w:tcW w:w="126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w:t>
            </w:r>
          </w:p>
        </w:tc>
        <w:tc>
          <w:tcPr>
            <w:tcW w:w="203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2017-2021</w:t>
            </w:r>
          </w:p>
        </w:tc>
        <w:tc>
          <w:tcPr>
            <w:tcW w:w="242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State</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2013-2024</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2018-2021</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2013-2024</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Germany</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2017-2020</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India</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2006-2020</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Malaysia</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2019-2023</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Puerto Rico</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2020-2025</w:t>
            </w:r>
          </w:p>
        </w:tc>
      </w:tr>
      <w:tr>
        <w:trPr/>
        <w:tc>
          <w:tcPr>
            <w:tcW w:w="126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Switzerland</w:t>
            </w:r>
          </w:p>
        </w:tc>
        <w:tc>
          <w:tcPr>
            <w:tcW w:w="203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242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2020-2025</w:t>
            </w:r>
          </w:p>
        </w:tc>
      </w:tr>
      <w:tr>
        <w:trPr/>
        <w:tc>
          <w:tcPr>
            <w:tcW w:w="1260"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c>
          <w:tcPr>
            <w:tcW w:w="2039"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2013-2023</w:t>
            </w:r>
          </w:p>
        </w:tc>
        <w:tc>
          <w:tcPr>
            <w:tcW w:w="2429"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2024-2025</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the Company's financial statements. In addition, the outcome of these examinations may impact the valuation of certain deferred tax assets (such as net operating losses) in future periods.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Unrecognized tax benefits for examinations in progress were $874 million, $787 million, and $803 million as of December 31, 2025, 2024, and 2023, respectively. Estimated interest and penalties related to the underpayment of income taxes are classified as a component of Tax expense in the Consolidated Statement of Operations and totaled $55 million, $94 million, and $74 million for the years ended December 31, 2025, 2024, and 2023, respectively. Accrued interest and penalties were $751 million, $707 million, and $612 million as of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22250"/>
                <wp:effectExtent l="0" t="0" r="0" b="0"/>
                <wp:wrapNone/>
                <wp:docPr id="125"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80    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amounts of cash taxes paid by the Company for continuing and discontinued operations are as follows:</w:t>
      </w:r>
    </w:p>
    <w:tbl>
      <w:tblPr>
        <w:tblW w:w="4938" w:type="dxa"/>
        <w:jc w:val="left"/>
        <w:tblInd w:w="0" w:type="dxa"/>
        <w:tblLayout w:type="fixed"/>
        <w:tblCellMar>
          <w:top w:w="28" w:type="dxa"/>
          <w:left w:w="28" w:type="dxa"/>
          <w:bottom w:w="28" w:type="dxa"/>
          <w:right w:w="28" w:type="dxa"/>
        </w:tblCellMar>
      </w:tblPr>
      <w:tblGrid>
        <w:gridCol w:w="1001"/>
        <w:gridCol w:w="879"/>
        <w:gridCol w:w="894"/>
        <w:gridCol w:w="109"/>
        <w:gridCol w:w="109"/>
        <w:gridCol w:w="351"/>
        <w:gridCol w:w="1026"/>
        <w:gridCol w:w="197"/>
        <w:gridCol w:w="109"/>
        <w:gridCol w:w="109"/>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19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Switzerland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other 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9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taxes paid, net of refunds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1,798</w:t>
            </w:r>
            <w:r>
              <w:rPr>
                <w:color w:val="000000"/>
              </w:rPr>
              <w:t> </w:t>
            </w:r>
          </w:p>
        </w:tc>
        <w:tc>
          <w:tcPr>
            <w:tcW w:w="19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6. INVENTORIES</w:t>
      </w:r>
    </w:p>
    <w:tbl>
      <w:tblPr>
        <w:tblW w:w="3639" w:type="dxa"/>
        <w:jc w:val="left"/>
        <w:tblInd w:w="0" w:type="dxa"/>
        <w:tblLayout w:type="fixed"/>
        <w:tblCellMar>
          <w:top w:w="28" w:type="dxa"/>
          <w:left w:w="28" w:type="dxa"/>
          <w:bottom w:w="28" w:type="dxa"/>
          <w:right w:w="28" w:type="dxa"/>
        </w:tblCellMar>
      </w:tblPr>
      <w:tblGrid>
        <w:gridCol w:w="549"/>
        <w:gridCol w:w="481"/>
        <w:gridCol w:w="485"/>
        <w:gridCol w:w="196"/>
        <w:gridCol w:w="571"/>
        <w:gridCol w:w="109"/>
        <w:gridCol w:w="109"/>
        <w:gridCol w:w="109"/>
        <w:gridCol w:w="109"/>
        <w:gridCol w:w="196"/>
        <w:gridCol w:w="571"/>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51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Raw materials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 in process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Finished products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Inventories</w:t>
            </w:r>
            <w:r>
              <w:rPr>
                <w:rFonts w:ascii="Arial;sans-serif" w:hAnsi="Arial;sans-serif"/>
                <w:b/>
                <w:color w:val="000000"/>
                <w:sz w:val="10"/>
              </w:rPr>
              <w:t>1</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6,162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5,884</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Total Inventories excludes $394 million and $197 million, respectively, that are included in Assets held for sale in the Consolidated Balance Sheet. Refer to Note 2 </w:t>
            </w:r>
            <w:hyperlink w:anchor="ic3922f0530c04df99983ab02c4d22c0f_202">
              <w:r>
                <w:rPr>
                  <w:rStyle w:val="InternetLink"/>
                  <w:rFonts w:ascii="Arial;sans-serif" w:hAnsi="Arial;sans-serif"/>
                  <w:b w:val="false"/>
                  <w:color w:val="000080"/>
                  <w:sz w:val="14"/>
                  <w:u w:val="single"/>
                </w:rPr>
                <w:t xml:space="preserve">Acquisitions, Divestitures, and </w:t>
              </w:r>
            </w:hyperlink>
            <w:hyperlink w:anchor="ic3922f0530c04df99983ab02c4d22c0f_202">
              <w:r>
                <w:rPr>
                  <w:rStyle w:val="InternetLink"/>
                  <w:rFonts w:ascii="Arial;sans-serif" w:hAnsi="Arial;sans-serif"/>
                  <w:b w:val="false"/>
                  <w:color w:val="000080"/>
                  <w:sz w:val="14"/>
                  <w:u w:val="single"/>
                </w:rPr>
                <w:t>Discontinued Op</w:t>
              </w:r>
            </w:hyperlink>
            <w:hyperlink w:anchor="ic3922f0530c04df99983ab02c4d22c0f_202">
              <w:r>
                <w:rPr>
                  <w:rStyle w:val="InternetLink"/>
                  <w:rFonts w:ascii="Arial;sans-serif" w:hAnsi="Arial;sans-serif"/>
                  <w:b w:val="false"/>
                  <w:color w:val="000080"/>
                  <w:sz w:val="14"/>
                  <w:u w:val="single"/>
                </w:rPr>
                <w:t>erations</w:t>
              </w:r>
            </w:hyperlink>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7. PROPERTY, PLANT AND EQUIPMENT—NET</w:t>
      </w:r>
    </w:p>
    <w:tbl>
      <w:tblPr>
        <w:tblW w:w="5589" w:type="dxa"/>
        <w:jc w:val="left"/>
        <w:tblInd w:w="0" w:type="dxa"/>
        <w:tblLayout w:type="fixed"/>
        <w:tblCellMar>
          <w:top w:w="28" w:type="dxa"/>
          <w:left w:w="28" w:type="dxa"/>
          <w:bottom w:w="28" w:type="dxa"/>
          <w:right w:w="28" w:type="dxa"/>
        </w:tblCellMar>
      </w:tblPr>
      <w:tblGrid>
        <w:gridCol w:w="1256"/>
        <w:gridCol w:w="1104"/>
        <w:gridCol w:w="1105"/>
        <w:gridCol w:w="196"/>
        <w:gridCol w:w="571"/>
        <w:gridCol w:w="109"/>
        <w:gridCol w:w="109"/>
        <w:gridCol w:w="109"/>
        <w:gridCol w:w="109"/>
        <w:gridCol w:w="196"/>
        <w:gridCol w:w="571"/>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6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and improvements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Machinery and equipment</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7,724 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3,031 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Property, plant and equipment</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12,060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11,711</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Property, plant and equipment—net</w:t>
            </w:r>
            <w:r>
              <w:rPr>
                <w:rFonts w:ascii="Arial;sans-serif" w:hAnsi="Arial;sans-serif"/>
                <w:b/>
                <w:color w:val="000000"/>
                <w:sz w:val="10"/>
              </w:rPr>
              <w:t>1</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4,457</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Total Property, plant and equipment—net excludes $153 million and $155 million, respectively, that are included in Assets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pStyle w:val="TextBody"/>
        <w:bidi w:val="0"/>
        <w:spacing w:lineRule="auto" w:line="288" w:before="120" w:after="120"/>
        <w:jc w:val="both"/>
        <w:rPr/>
      </w:pPr>
      <w:r>
        <w:rPr>
          <w:rFonts w:ascii="Arial;sans-serif" w:hAnsi="Arial;sans-serif"/>
          <w:b w:val="false"/>
          <w:color w:val="000000"/>
          <w:sz w:val="18"/>
        </w:rPr>
        <w:t xml:space="preserve">Depreciation expense was </w:t>
      </w:r>
      <w:r>
        <w:rPr>
          <w:rFonts w:ascii="Arial;sans-serif" w:hAnsi="Arial;sans-serif"/>
          <w:b w:val="false"/>
          <w:color w:val="000000"/>
          <w:sz w:val="18"/>
          <w:shd w:fill="FFFFFF" w:val="clear"/>
        </w:rPr>
        <w:t>$546 million</w:t>
      </w:r>
      <w:r>
        <w:rPr>
          <w:rFonts w:ascii="Arial;sans-serif" w:hAnsi="Arial;sans-serif"/>
          <w:b w:val="false"/>
          <w:color w:val="000000"/>
          <w:sz w:val="18"/>
        </w:rPr>
        <w:t>, $493 million, and $490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2250"/>
                <wp:effectExtent l="0" t="0" r="0" b="0"/>
                <wp:wrapNone/>
                <wp:docPr id="126" name="Frame8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81    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8. GOODWILL AND OTHER INTANGIBLE ASSETS—NET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change in the carrying amount of goodwill for the years ended December 31, 2025, and 2024, by reportable business segment:</w:t>
      </w:r>
    </w:p>
    <w:tbl>
      <w:tblPr>
        <w:tblW w:w="10205" w:type="dxa"/>
        <w:jc w:val="left"/>
        <w:tblInd w:w="0" w:type="dxa"/>
        <w:tblLayout w:type="fixed"/>
        <w:tblCellMar>
          <w:top w:w="28" w:type="dxa"/>
          <w:left w:w="28" w:type="dxa"/>
          <w:bottom w:w="28" w:type="dxa"/>
          <w:right w:w="28" w:type="dxa"/>
        </w:tblCellMar>
      </w:tblPr>
      <w:tblGrid>
        <w:gridCol w:w="511"/>
        <w:gridCol w:w="382"/>
        <w:gridCol w:w="384"/>
        <w:gridCol w:w="297"/>
        <w:gridCol w:w="867"/>
        <w:gridCol w:w="165"/>
        <w:gridCol w:w="109"/>
        <w:gridCol w:w="109"/>
        <w:gridCol w:w="109"/>
        <w:gridCol w:w="263"/>
        <w:gridCol w:w="769"/>
        <w:gridCol w:w="147"/>
        <w:gridCol w:w="109"/>
        <w:gridCol w:w="109"/>
        <w:gridCol w:w="109"/>
        <w:gridCol w:w="261"/>
        <w:gridCol w:w="761"/>
        <w:gridCol w:w="145"/>
        <w:gridCol w:w="109"/>
        <w:gridCol w:w="109"/>
        <w:gridCol w:w="109"/>
        <w:gridCol w:w="328"/>
        <w:gridCol w:w="959"/>
        <w:gridCol w:w="183"/>
        <w:gridCol w:w="109"/>
        <w:gridCol w:w="109"/>
        <w:gridCol w:w="109"/>
        <w:gridCol w:w="285"/>
        <w:gridCol w:w="635"/>
        <w:gridCol w:w="159"/>
        <w:gridCol w:w="109"/>
        <w:gridCol w:w="109"/>
        <w:gridCol w:w="109"/>
        <w:gridCol w:w="205"/>
        <w:gridCol w:w="693"/>
        <w:gridCol w:w="171"/>
      </w:tblGrid>
      <w:tr>
        <w:trPr/>
        <w:tc>
          <w:tcPr>
            <w:tcW w:w="5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Energy and Sustainability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Goodwill</w:t>
            </w:r>
          </w:p>
        </w:tc>
      </w:tr>
      <w:tr>
        <w:trPr/>
        <w:tc>
          <w:tcPr>
            <w:tcW w:w="127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w:t>
            </w:r>
          </w:p>
        </w:tc>
        <w:tc>
          <w:tcPr>
            <w:tcW w:w="29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2,386</w:t>
            </w:r>
            <w:r>
              <w:rPr>
                <w:color w:val="000000"/>
              </w:rPr>
              <w:t> </w:t>
            </w:r>
          </w:p>
        </w:tc>
        <w:tc>
          <w:tcPr>
            <w:tcW w:w="16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9,650</w:t>
            </w:r>
            <w:r>
              <w:rPr>
                <w:color w:val="000000"/>
              </w:rPr>
              <w:t> </w:t>
            </w:r>
          </w:p>
        </w:tc>
        <w:tc>
          <w:tcPr>
            <w:tcW w:w="14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3,380</w:t>
            </w:r>
            <w:r>
              <w:rPr>
                <w:color w:val="000000"/>
              </w:rPr>
              <w:t> </w:t>
            </w:r>
          </w:p>
        </w:tc>
        <w:tc>
          <w:tcPr>
            <w:tcW w:w="14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916</w:t>
            </w:r>
            <w:r>
              <w:rPr>
                <w:color w:val="000000"/>
              </w:rPr>
              <w:t> </w:t>
            </w:r>
          </w:p>
        </w:tc>
        <w:tc>
          <w:tcPr>
            <w:tcW w:w="18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w:t>
            </w:r>
            <w:r>
              <w:rPr>
                <w:color w:val="000000"/>
              </w:rPr>
              <w:t> </w:t>
            </w:r>
          </w:p>
        </w:tc>
        <w:tc>
          <w:tcPr>
            <w:tcW w:w="15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17,238</w:t>
            </w:r>
            <w:r>
              <w:rPr>
                <w:color w:val="000000"/>
              </w:rPr>
              <w:t> </w:t>
            </w:r>
          </w:p>
        </w:tc>
        <w:tc>
          <w:tcPr>
            <w:tcW w:w="17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w:t>
            </w:r>
          </w:p>
        </w:tc>
        <w:tc>
          <w:tcPr>
            <w:tcW w:w="116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6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2,827 </w:t>
            </w:r>
          </w:p>
        </w:tc>
        <w:tc>
          <w:tcPr>
            <w:tcW w:w="14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8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4,363 </w:t>
            </w:r>
          </w:p>
        </w:tc>
        <w:tc>
          <w:tcPr>
            <w:tcW w:w="17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w:t>
            </w:r>
          </w:p>
        </w:tc>
        <w:tc>
          <w:tcPr>
            <w:tcW w:w="116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6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4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4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7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Reclassified to Assets held for sale</w:t>
            </w:r>
          </w:p>
        </w:tc>
        <w:tc>
          <w:tcPr>
            <w:tcW w:w="116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4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7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w:t>
            </w:r>
          </w:p>
        </w:tc>
        <w:tc>
          <w:tcPr>
            <w:tcW w:w="116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3,028</w:t>
            </w:r>
            <w:r>
              <w:rPr>
                <w:color w:val="000000"/>
              </w:rPr>
              <w:t> </w:t>
            </w:r>
          </w:p>
        </w:tc>
        <w:tc>
          <w:tcPr>
            <w:tcW w:w="16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9,164</w:t>
            </w:r>
            <w:r>
              <w:rPr>
                <w:color w:val="000000"/>
              </w:rPr>
              <w:t> </w:t>
            </w:r>
          </w:p>
        </w:tc>
        <w:tc>
          <w:tcPr>
            <w:tcW w:w="14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6,136</w:t>
            </w:r>
            <w:r>
              <w:rPr>
                <w:color w:val="000000"/>
              </w:rPr>
              <w:t> </w:t>
            </w:r>
          </w:p>
        </w:tc>
        <w:tc>
          <w:tcPr>
            <w:tcW w:w="14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w:t>
            </w:r>
            <w:r>
              <w:rPr>
                <w:color w:val="000000"/>
              </w:rPr>
              <w:t> </w:t>
            </w:r>
          </w:p>
        </w:tc>
        <w:tc>
          <w:tcPr>
            <w:tcW w:w="18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899</w:t>
            </w:r>
            <w:r>
              <w:rPr>
                <w:color w:val="000000"/>
              </w:rPr>
              <w:t> </w:t>
            </w:r>
          </w:p>
        </w:tc>
        <w:tc>
          <w:tcPr>
            <w:tcW w:w="15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21,019</w:t>
            </w:r>
            <w:r>
              <w:rPr>
                <w:color w:val="000000"/>
              </w:rPr>
              <w:t> </w:t>
            </w:r>
          </w:p>
        </w:tc>
        <w:tc>
          <w:tcPr>
            <w:tcW w:w="17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w:t>
            </w:r>
          </w:p>
        </w:tc>
        <w:tc>
          <w:tcPr>
            <w:tcW w:w="116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6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4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1,259 </w:t>
            </w:r>
          </w:p>
        </w:tc>
        <w:tc>
          <w:tcPr>
            <w:tcW w:w="18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1,353 </w:t>
            </w:r>
          </w:p>
        </w:tc>
        <w:tc>
          <w:tcPr>
            <w:tcW w:w="17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w:t>
            </w:r>
          </w:p>
        </w:tc>
        <w:tc>
          <w:tcPr>
            <w:tcW w:w="116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6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4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4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7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w:t>
            </w:r>
          </w:p>
        </w:tc>
        <w:tc>
          <w:tcPr>
            <w:tcW w:w="116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w:t>
            </w:r>
          </w:p>
        </w:tc>
        <w:tc>
          <w:tcPr>
            <w:tcW w:w="14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w:t>
            </w:r>
          </w:p>
        </w:tc>
        <w:tc>
          <w:tcPr>
            <w:tcW w:w="17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Reclassified to Assets held for sale</w:t>
            </w:r>
          </w:p>
        </w:tc>
        <w:tc>
          <w:tcPr>
            <w:tcW w:w="1164"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w:t>
            </w:r>
          </w:p>
        </w:tc>
        <w:tc>
          <w:tcPr>
            <w:tcW w:w="147"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w:t>
            </w:r>
          </w:p>
        </w:tc>
        <w:tc>
          <w:tcPr>
            <w:tcW w:w="171"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29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3,025</w:t>
            </w:r>
            <w:r>
              <w:rPr>
                <w:color w:val="000000"/>
              </w:rPr>
              <w:t> </w:t>
            </w:r>
          </w:p>
        </w:tc>
        <w:tc>
          <w:tcPr>
            <w:tcW w:w="16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7,614</w:t>
            </w:r>
            <w:r>
              <w:rPr>
                <w:color w:val="000000"/>
              </w:rPr>
              <w:t> </w:t>
            </w:r>
          </w:p>
        </w:tc>
        <w:tc>
          <w:tcPr>
            <w:tcW w:w="14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6,439</w:t>
            </w:r>
            <w:r>
              <w:rPr>
                <w:color w:val="000000"/>
              </w:rPr>
              <w:t> </w:t>
            </w:r>
          </w:p>
        </w:tc>
        <w:tc>
          <w:tcPr>
            <w:tcW w:w="14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3,052</w:t>
            </w:r>
            <w:r>
              <w:rPr>
                <w:color w:val="000000"/>
              </w:rPr>
              <w:t> </w:t>
            </w:r>
          </w:p>
        </w:tc>
        <w:tc>
          <w:tcPr>
            <w:tcW w:w="18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949</w:t>
            </w:r>
            <w:r>
              <w:rPr>
                <w:color w:val="000000"/>
              </w:rPr>
              <w:t> </w:t>
            </w:r>
          </w:p>
        </w:tc>
        <w:tc>
          <w:tcPr>
            <w:tcW w:w="15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21,079</w:t>
            </w:r>
            <w:r>
              <w:rPr>
                <w:color w:val="000000"/>
              </w:rPr>
              <w:t> </w:t>
            </w:r>
          </w:p>
        </w:tc>
        <w:tc>
          <w:tcPr>
            <w:tcW w:w="1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intangible assets are comprised of:</w:t>
      </w:r>
    </w:p>
    <w:tbl>
      <w:tblPr>
        <w:tblW w:w="10205" w:type="dxa"/>
        <w:jc w:val="left"/>
        <w:tblInd w:w="0" w:type="dxa"/>
        <w:tblLayout w:type="fixed"/>
        <w:tblCellMar>
          <w:top w:w="28" w:type="dxa"/>
          <w:left w:w="28" w:type="dxa"/>
          <w:bottom w:w="28" w:type="dxa"/>
          <w:right w:w="28" w:type="dxa"/>
        </w:tblCellMar>
      </w:tblPr>
      <w:tblGrid>
        <w:gridCol w:w="933"/>
        <w:gridCol w:w="796"/>
        <w:gridCol w:w="799"/>
        <w:gridCol w:w="196"/>
        <w:gridCol w:w="661"/>
        <w:gridCol w:w="109"/>
        <w:gridCol w:w="109"/>
        <w:gridCol w:w="109"/>
        <w:gridCol w:w="109"/>
        <w:gridCol w:w="258"/>
        <w:gridCol w:w="753"/>
        <w:gridCol w:w="145"/>
        <w:gridCol w:w="109"/>
        <w:gridCol w:w="109"/>
        <w:gridCol w:w="109"/>
        <w:gridCol w:w="196"/>
        <w:gridCol w:w="571"/>
        <w:gridCol w:w="109"/>
        <w:gridCol w:w="109"/>
        <w:gridCol w:w="109"/>
        <w:gridCol w:w="109"/>
        <w:gridCol w:w="196"/>
        <w:gridCol w:w="661"/>
        <w:gridCol w:w="109"/>
        <w:gridCol w:w="109"/>
        <w:gridCol w:w="109"/>
        <w:gridCol w:w="109"/>
        <w:gridCol w:w="258"/>
        <w:gridCol w:w="753"/>
        <w:gridCol w:w="145"/>
        <w:gridCol w:w="109"/>
        <w:gridCol w:w="109"/>
        <w:gridCol w:w="109"/>
        <w:gridCol w:w="196"/>
        <w:gridCol w:w="571"/>
        <w:gridCol w:w="155"/>
      </w:tblGrid>
      <w:tr>
        <w:trPr/>
        <w:tc>
          <w:tcPr>
            <w:tcW w:w="9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528"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Carrying</w:t>
              <w:br/>
              <w:t>Amount</w:t>
            </w:r>
          </w:p>
        </w:tc>
      </w:tr>
      <w:tr>
        <w:trPr/>
        <w:tc>
          <w:tcPr>
            <w:tcW w:w="252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Definite-life intangibles</w:t>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Patents and technology</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(1,845)</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1,661 </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4,154 </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Trademarks</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definite-life intangibles—net</w:t>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(4,226)</w:t>
            </w:r>
          </w:p>
        </w:tc>
        <w:tc>
          <w:tcPr>
            <w:tcW w:w="14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10,840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(4,633)</w:t>
            </w:r>
          </w:p>
        </w:tc>
        <w:tc>
          <w:tcPr>
            <w:tcW w:w="14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6,207</w:t>
            </w:r>
            <w:r>
              <w:rPr>
                <w:color w:val="000000"/>
              </w:rPr>
              <w:t> </w:t>
            </w:r>
          </w:p>
        </w:tc>
        <w:tc>
          <w:tcPr>
            <w:tcW w:w="15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Indefinite-life intangibles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Trademarks</w:t>
            </w:r>
            <w:r>
              <w:rPr>
                <w:rFonts w:ascii="Arial;sans-serif" w:hAnsi="Arial;sans-serif"/>
                <w:b w:val="false"/>
                <w:color w:val="000000"/>
                <w:sz w:val="10"/>
              </w:rPr>
              <w:t>1</w:t>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5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Other intangible assets—net</w:t>
            </w:r>
            <w:r>
              <w:rPr>
                <w:rFonts w:ascii="Arial;sans-serif" w:hAnsi="Arial;sans-serif"/>
                <w:b/>
                <w:color w:val="000000"/>
                <w:sz w:val="10"/>
              </w:rPr>
              <w:t>2</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10,962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(4,226)</w:t>
            </w:r>
          </w:p>
        </w:tc>
        <w:tc>
          <w:tcPr>
            <w:tcW w:w="14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6,736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11,254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(4,633)</w:t>
            </w:r>
          </w:p>
        </w:tc>
        <w:tc>
          <w:tcPr>
            <w:tcW w:w="14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6,621</w:t>
            </w:r>
            <w:r>
              <w:rPr>
                <w:color w:val="000000"/>
              </w:rPr>
              <w:t> </w:t>
            </w:r>
          </w:p>
        </w:tc>
        <w:tc>
          <w:tcPr>
            <w:tcW w:w="15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An impairment charge of $44 million and $48 million was recorded on indefinite-lived intangible assets related to the Industrial Automation business and personal protective equipment business during the years ended December 31, 2025 and 2024, respectively.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Total Other intangible assets—net excludes net carrying amount of $262 million and $597 million, respectively, that is included in Assets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Intangible assets amortization expense includes $570 million, $411 million, and $290 million for the years ended December 31, 2025, 2024, and 2023, respectively. Estimated future intangible asset amortization expense for each of the next five years for intangible assets recorded as of December 31, 2025, is as follows: </w:t>
      </w:r>
    </w:p>
    <w:tbl>
      <w:tblPr>
        <w:tblW w:w="2101" w:type="dxa"/>
        <w:jc w:val="left"/>
        <w:tblInd w:w="0" w:type="dxa"/>
        <w:tblLayout w:type="fixed"/>
        <w:tblCellMar>
          <w:top w:w="28" w:type="dxa"/>
          <w:left w:w="28" w:type="dxa"/>
          <w:bottom w:w="28" w:type="dxa"/>
          <w:right w:w="28" w:type="dxa"/>
        </w:tblCellMar>
      </w:tblPr>
      <w:tblGrid>
        <w:gridCol w:w="174"/>
        <w:gridCol w:w="153"/>
        <w:gridCol w:w="154"/>
        <w:gridCol w:w="411"/>
        <w:gridCol w:w="884"/>
        <w:gridCol w:w="32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8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41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32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295"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598 </w:t>
            </w:r>
          </w:p>
        </w:tc>
        <w:tc>
          <w:tcPr>
            <w:tcW w:w="325"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295"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325"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295"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571 </w:t>
            </w:r>
          </w:p>
        </w:tc>
        <w:tc>
          <w:tcPr>
            <w:tcW w:w="325"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295"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325"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22250"/>
                <wp:effectExtent l="0" t="0" r="0" b="0"/>
                <wp:wrapNone/>
                <wp:docPr id="127" name="Frame8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82    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83"/>
        <w:jc w:val="left"/>
        <w:rPr>
          <w:rFonts w:ascii="Arial;sans-serif" w:hAnsi="Arial;sans-serif"/>
          <w:b w:val="false"/>
          <w:color w:val="D7282F"/>
          <w:sz w:val="32"/>
        </w:rPr>
      </w:pPr>
      <w:r>
        <w:rPr>
          <w:rFonts w:ascii="Arial;sans-serif" w:hAnsi="Arial;sans-serif"/>
          <w:b w:val="false"/>
          <w:color w:val="D7282F"/>
          <w:sz w:val="32"/>
        </w:rPr>
        <w:t>NOTE 9. DEBT AND CREDIT AGREEMENTS</w:t>
      </w:r>
    </w:p>
    <w:tbl>
      <w:tblPr>
        <w:tblW w:w="10205" w:type="dxa"/>
        <w:jc w:val="left"/>
        <w:tblInd w:w="0" w:type="dxa"/>
        <w:tblLayout w:type="fixed"/>
        <w:tblCellMar>
          <w:top w:w="28" w:type="dxa"/>
          <w:left w:w="28" w:type="dxa"/>
          <w:bottom w:w="28" w:type="dxa"/>
          <w:right w:w="28" w:type="dxa"/>
        </w:tblCellMar>
      </w:tblPr>
      <w:tblGrid>
        <w:gridCol w:w="2483"/>
        <w:gridCol w:w="2097"/>
        <w:gridCol w:w="2121"/>
        <w:gridCol w:w="196"/>
        <w:gridCol w:w="661"/>
        <w:gridCol w:w="109"/>
        <w:gridCol w:w="109"/>
        <w:gridCol w:w="109"/>
        <w:gridCol w:w="109"/>
        <w:gridCol w:w="196"/>
        <w:gridCol w:w="661"/>
        <w:gridCol w:w="109"/>
        <w:gridCol w:w="109"/>
        <w:gridCol w:w="109"/>
        <w:gridCol w:w="109"/>
        <w:gridCol w:w="109"/>
        <w:gridCol w:w="109"/>
        <w:gridCol w:w="109"/>
        <w:gridCol w:w="109"/>
        <w:gridCol w:w="109"/>
        <w:gridCol w:w="109"/>
        <w:gridCol w:w="109"/>
        <w:gridCol w:w="155"/>
      </w:tblGrid>
      <w:tr>
        <w:trPr/>
        <w:tc>
          <w:tcPr>
            <w:tcW w:w="2483"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1.35% notes due 2025</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2.50% notes due 2026</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1.10% notes due 2027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3.50% euro notes due 2027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4.65% notes due 2027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2028</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2.25% euro notes due 2028</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4.25% notes due 2029</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2.70% notes due 2029</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4.875% notes due 2029</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4.70% notes due 2030</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3.375% euro notes due 2030</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1.95% notes due 2030</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2031</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1.75% notes due 2031</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4.75% notes due 2032</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0.75% euro notes due 2032</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2032</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5.00% notes due 2033</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4.50% notes due 2034</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4.125% euro notes due 2034</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5.00% notes due 2035</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2036</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2036</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5.375% notes due 2041</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3.812% notes due 2047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2.80% notes due 2050</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5.25% notes due 2054</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5.35% notes due 2064</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4.37% term loan due 2027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One month term SOFR plus 0.875% term loan due 2027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6.625% debentures due 2028</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9.065% debentures due 2033</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Industrial development bond obligations, floating rate maturing at various dates through 2037</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(including finance leases), 2.5% weighted average interest rate maturing at various dates through 2040</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hedging instruments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 and current related maturities</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28,687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26,765</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Current maturities of long-term debt</w:t>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1"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27,141</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25,440</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22250"/>
                <wp:effectExtent l="0" t="0" r="0" b="0"/>
                <wp:wrapNone/>
                <wp:docPr id="128"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83    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schedule of principal payments on long-term debt, excluding fair value of hedging instruments and debt issuance costs, is as follows:</w:t>
      </w:r>
    </w:p>
    <w:tbl>
      <w:tblPr>
        <w:tblW w:w="5818" w:type="dxa"/>
        <w:jc w:val="left"/>
        <w:tblInd w:w="0" w:type="dxa"/>
        <w:tblLayout w:type="fixed"/>
        <w:tblCellMar>
          <w:top w:w="28" w:type="dxa"/>
          <w:left w:w="28" w:type="dxa"/>
          <w:bottom w:w="28" w:type="dxa"/>
          <w:right w:w="28" w:type="dxa"/>
        </w:tblCellMar>
      </w:tblPr>
      <w:tblGrid>
        <w:gridCol w:w="1516"/>
        <w:gridCol w:w="1328"/>
        <w:gridCol w:w="1355"/>
        <w:gridCol w:w="314"/>
        <w:gridCol w:w="1059"/>
        <w:gridCol w:w="246"/>
      </w:tblGrid>
      <w:tr>
        <w:trPr/>
        <w:tc>
          <w:tcPr>
            <w:tcW w:w="151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19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14"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24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6,731 </w:t>
            </w:r>
          </w:p>
        </w:tc>
        <w:tc>
          <w:tcPr>
            <w:tcW w:w="246"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3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246"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3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2,002 </w:t>
            </w:r>
          </w:p>
        </w:tc>
        <w:tc>
          <w:tcPr>
            <w:tcW w:w="246"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3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2,830 </w:t>
            </w:r>
          </w:p>
        </w:tc>
        <w:tc>
          <w:tcPr>
            <w:tcW w:w="246"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3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14,349 </w:t>
            </w:r>
          </w:p>
        </w:tc>
        <w:tc>
          <w:tcPr>
            <w:tcW w:w="246"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 and current related maturities</w:t>
            </w:r>
          </w:p>
        </w:tc>
        <w:tc>
          <w:tcPr>
            <w:tcW w:w="31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29,046</w:t>
            </w:r>
            <w:r>
              <w:rPr>
                <w:color w:val="000000"/>
              </w:rPr>
              <w:t> </w:t>
            </w:r>
          </w:p>
        </w:tc>
        <w:tc>
          <w:tcPr>
            <w:tcW w:w="24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Commercial Paper and Other Short-Term Borrowings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December 31, 2025, and 2024, the Company had $5.9 billion and $4.3 billion of Commercial paper and other short-term borrowings outstanding at a weighted average interest rate of 3.68% and 4.22%, respectively.</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Issuances of Senior Notes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August 1, 2024, the Company issued $1.15 billion 4.65% Senior Notes due 2027, $1.0 billion 4.70% Senior Notes due 2030, $650 million 4.75% Senior Notes due 2032, and $700 million 5.00% Senior Notes due 2035 (collectively, the August 2024 USD Notes). The Company may redeem the August 2024 USD Notes at any time, and from time to time, in whole or in part, at the Company's option at the applicable redemption price. The offering provided gross proceeds of $3.5 billion, offset by $20 million in discount and closing costs related to the offering.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March 1, 2024, the Company issued $500 million 4.875% Senior Notes due 2029, $500 million 4.95% Senior Notes due 2031, $750 million 5.00% Senior Notes due 2035, $1.75 billion 5.25% Senior Notes due 2054, and $650 million 5.35% Senior Notes due 2064 (collectively, the March 2024 USD Notes). The Company may redeem the March 2024 USD Notes at any time, and from time to time, in whole or in part, at the Company's option at the applicable redemption price. The offering provided gross proceeds of $4.2 billion, offset by $44 million in discount and closing costs related to the offering.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March 1, 2024, the Company issued €750 million 3.375% Senior Notes due 2030 and €750 million 3.75% Senior Notes due 2036 (collectively, the 2024 Euro Notes). The Company may redeem the 2024 Euro Notes at any time, and from time to time, in whole or in part, at the Company's option at the applicable redemption price. The offering provided gross proceeds of $1.6 billion, offset by $21 million in discount and closing costs related to the offering.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August 2024 USD Notes, March 2024 USD Notes, and 2024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general corporate purposes, which may include, among other things, the repayment of outstanding debt and financing of possible acquisitions or business expansion.</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Term Loan Agreements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July 1, 2025, the Company repaid its €196 million ($230 million) Euro Term Loan Credit Agreement due 2026.</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May 7, 2025, the Company entered into a Delayed Draw Term Loan Agreement (the Term Loan Agreement). The Term Loan Agreement provides for a delayed draw term loan facility of an aggregate principal amount of up to $6.0 billion comprised of two tranches: (i) commitments to provide loans in an aggregate principal amount of up to $4.0 billion (Tranche A-1) and (ii) commitments to provide loans in an aggregate amount of up to $2.0 billion (Tranche A-2), which expired on December 19, 2025. On May 30, 2025, the Company borrowed $4.0 billion under Tranche A-1, of which $2.75 billion remained outstanding as of December 31, 2025. Interest rates on the term loans under each tranche will be based on prevailing market rates, plus a margin, in addition to a commitment fee on unused amounts. Amounts borrowed under the Term Loan Agreement are required to be paid no later than May 7, 2027, unless the Term Loan Agreement is terminated earlier pursuant to its terms. The Term Loan Agreement is maintained for general corporate purposes and provides financial flexibility as the Company manages the separation of Honeywell from Honeywell Aerospace, into two independent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2250"/>
                <wp:effectExtent l="0" t="0" r="0" b="0"/>
                <wp:wrapNone/>
                <wp:docPr id="129"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84    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August 12, 2024, the Company entered into a Fixed Rate Term Loan Credit Agreement (the Fixed Rate Term Loan Credit Agreement). The Fixed Rate Term Loan Credit Agreement provides for term loans in an aggregate principal amount of $1.0 billion at an interest rate of 4.37% and is maintained for general corporate purposes. Amounts borrowed under the Fixed Rate Term Loan Credit Agreement are required to be repaid no later than August 12, 2027, unless the Fixed Rate Term Loan Credit Agreement is terminated earlier pursuant to its terms. Amounts borrowed under the Fixed Rate Term Loan Credit Agreement may be repaid at the Company’s election at any time, and from time to time, in whole or in part. Prior to August 12, 2026, principal payments in respect of the term loans will be subject to a make-whole premium, not to exceed 101% of the aggregate principal amount of the term loans to be prepaid. As of December 31, 2025 and December 31, 2024, there were $1.0 billion of borrowings outstanding under the Fixed Rate Term Loan Credit Agreement.</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Revolving Credit Agreements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March 17, 2025, the Company entered into a $3.0 billion 364-day credit agreement (the 364-Day Credit Agreement). The 364-Day Credit Agreement replaced the $1.5 billion 364-day credit agreement dated as of March 18, 2024, which was terminated in accordance with its terms effective March 17, 2025. Amounts borrowed under the 364-Day Credit Agreement are due no later than March 16, 2026, unless (i) Honeywell elects to convert all then outstanding amounts into a term loan, upon which such amounts shall be repaid in full on March 16, 2027, or (ii) the 364-Day Credit Agreement is terminated earlier pursuant to its terms. The 364-Day Credit Agreement is maintained for general corporate purposes.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Company also maintains a $4.0 billion amended and restated five-year credit agreement dated as of March 18, 2024 (the Five-Year Credit Agreement) for general corporate purposes. Commitments under the Five-Year Credit Agreement can be increased pursuant to the terms of the Five-Year Credit Agreement to an aggregate amount not to exceed $4.5 billion.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there were no outstanding borrowings under the 364-Day Credit Agreement or the Five-Year Credit Agreement.</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Pre-Separation Funding</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 connection with the spin-off of the Advanced Materials business, Solstice issued 5.625% Senior Notes due September 30, 2033 in an aggregate principal amount of $1.0 billion (the Notes) pursuant to an indenture, dated as of September 30, 2025. The proceeds from the Notes offering were held in escrow until satisfaction of the conditions precedent to the spin-off and certain other escrow release conditions. The Notes are senior unsecured obligations of Solstice, guaranteed on a senior unsecured basis by certain of its domestic subsidiaries and, from and after the escrow release date, are guaranteed on a senior unsecured basis by each of Solstice's existing and future domestic subsidiaries that guarantees Solstice's senior credit facilities. On October 29, 2025, the proceeds from the Notes offering were released from escrow.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October 29, 2025, Solstice entered into a credit agreement which provides for (i) a seven-year senior secured first-lien term B loan facility in an aggregate principal amount of $1.0 billion and (ii) a five-year senior secured first-lien revolving credit facility with aggregate commitments of $1.0 billion. Solstice borrowed $1.0 billion under the term B loan on October 29,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Solstice used the net proceeds from the sale of the Notes and the borrowings under the term B loan facility to make a distribution to Honeywell of $1.5 billion upon completion of the spin-off on October 30, 2025. As a result of the spin-off, these borrowings are not an obligation of Honeywell.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10. LEASES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significant portion of the Company's operating and finance lease portfolio includes corporate offices, research and development facilities, manufacturing sites, IT equipment, and automobiles. The majority of the Company's leases have remaining lease terms of one year to 20 years, some of which include options to extend the leases for five years or more. Operating lease ROU assets are included in Other assets. The current portion of operating lease liabilities are included in Accrued liabilities, and the non-current portion of operating lease liabilities are included in Other liabilities in the Consolidated Balance Sheet. Finance lease ROU assets are included in Property, plant and equipment—net. The current portion of finance lease liabilities are included in Current maturities of long-term debt, and the non-current portion of finance lease liabilities are included in Long-term debt in the Consolidated Balance Sheet.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portion of the Company's real estate leases are generally subject to annual changes in the Consumer Price Index (CPI). The changes to the CPI are treated as variable lease payments and recognized in the period in which the obligation for those payments was incurred. In addition, a subset of the Company's automobile leases are considered variable. The variable lease payments for such automobile leases are based on actual mileage incurred at the stated contractual rate and recognized in the period in which the obligation for those payments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22250"/>
                <wp:effectExtent l="0" t="0" r="0" b="0"/>
                <wp:wrapNone/>
                <wp:docPr id="130" name="Frame8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85    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5764" w:type="dxa"/>
        <w:jc w:val="left"/>
        <w:tblInd w:w="0" w:type="dxa"/>
        <w:tblLayout w:type="fixed"/>
        <w:tblCellMar>
          <w:top w:w="28" w:type="dxa"/>
          <w:left w:w="28" w:type="dxa"/>
          <w:bottom w:w="28" w:type="dxa"/>
          <w:right w:w="28" w:type="dxa"/>
        </w:tblCellMar>
      </w:tblPr>
      <w:tblGrid>
        <w:gridCol w:w="949"/>
        <w:gridCol w:w="836"/>
        <w:gridCol w:w="839"/>
        <w:gridCol w:w="196"/>
        <w:gridCol w:w="436"/>
        <w:gridCol w:w="109"/>
        <w:gridCol w:w="109"/>
        <w:gridCol w:w="109"/>
        <w:gridCol w:w="109"/>
        <w:gridCol w:w="196"/>
        <w:gridCol w:w="436"/>
        <w:gridCol w:w="109"/>
        <w:gridCol w:w="109"/>
        <w:gridCol w:w="109"/>
        <w:gridCol w:w="109"/>
        <w:gridCol w:w="196"/>
        <w:gridCol w:w="436"/>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lease cost</w:t>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w:t>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Finance lease cost</w:t>
            </w:r>
          </w:p>
        </w:tc>
        <w:tc>
          <w:tcPr>
            <w:tcW w:w="741"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right-of-use assets</w:t>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lease liability</w:t>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finance lease cost</w:t>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cost</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Supplemental cash flow information related to leases was as follows:</w:t>
      </w:r>
    </w:p>
    <w:tbl>
      <w:tblPr>
        <w:tblW w:w="8794" w:type="dxa"/>
        <w:jc w:val="left"/>
        <w:tblInd w:w="0" w:type="dxa"/>
        <w:tblLayout w:type="fixed"/>
        <w:tblCellMar>
          <w:top w:w="28" w:type="dxa"/>
          <w:left w:w="28" w:type="dxa"/>
          <w:bottom w:w="28" w:type="dxa"/>
          <w:right w:w="28" w:type="dxa"/>
        </w:tblCellMar>
      </w:tblPr>
      <w:tblGrid>
        <w:gridCol w:w="2064"/>
        <w:gridCol w:w="1813"/>
        <w:gridCol w:w="1822"/>
        <w:gridCol w:w="196"/>
        <w:gridCol w:w="421"/>
        <w:gridCol w:w="109"/>
        <w:gridCol w:w="109"/>
        <w:gridCol w:w="109"/>
        <w:gridCol w:w="109"/>
        <w:gridCol w:w="196"/>
        <w:gridCol w:w="421"/>
        <w:gridCol w:w="109"/>
        <w:gridCol w:w="109"/>
        <w:gridCol w:w="109"/>
        <w:gridCol w:w="109"/>
        <w:gridCol w:w="196"/>
        <w:gridCol w:w="421"/>
        <w:gridCol w:w="109"/>
        <w:gridCol w:w="109"/>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paid for amounts included in the measurement of lease liabilities</w:t>
            </w:r>
          </w:p>
        </w:tc>
        <w:tc>
          <w:tcPr>
            <w:tcW w:w="72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for operating leases</w:t>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for finance leases</w:t>
            </w:r>
          </w:p>
        </w:tc>
        <w:tc>
          <w:tcPr>
            <w:tcW w:w="61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cash flows for finance leases</w:t>
            </w:r>
          </w:p>
        </w:tc>
        <w:tc>
          <w:tcPr>
            <w:tcW w:w="61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Right-of-use assets obtained in exchange for lease obligations</w:t>
            </w:r>
          </w:p>
        </w:tc>
        <w:tc>
          <w:tcPr>
            <w:tcW w:w="726"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leases</w:t>
            </w:r>
          </w:p>
        </w:tc>
        <w:tc>
          <w:tcPr>
            <w:tcW w:w="617"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22250"/>
                <wp:effectExtent l="0" t="0" r="0" b="0"/>
                <wp:wrapNone/>
                <wp:docPr id="131" name="Frame8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86    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Supplemental balance sheet information related to leases was as follows:</w:t>
      </w:r>
    </w:p>
    <w:tbl>
      <w:tblPr>
        <w:tblW w:w="5508" w:type="dxa"/>
        <w:jc w:val="left"/>
        <w:tblInd w:w="0" w:type="dxa"/>
        <w:tblLayout w:type="fixed"/>
        <w:tblCellMar>
          <w:top w:w="28" w:type="dxa"/>
          <w:left w:w="28" w:type="dxa"/>
          <w:bottom w:w="28" w:type="dxa"/>
          <w:right w:w="28" w:type="dxa"/>
        </w:tblCellMar>
      </w:tblPr>
      <w:tblGrid>
        <w:gridCol w:w="1169"/>
        <w:gridCol w:w="1024"/>
        <w:gridCol w:w="1032"/>
        <w:gridCol w:w="196"/>
        <w:gridCol w:w="436"/>
        <w:gridCol w:w="256"/>
        <w:gridCol w:w="109"/>
        <w:gridCol w:w="109"/>
        <w:gridCol w:w="109"/>
        <w:gridCol w:w="196"/>
        <w:gridCol w:w="571"/>
        <w:gridCol w:w="301"/>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leases</w:t>
            </w:r>
          </w:p>
        </w:tc>
        <w:tc>
          <w:tcPr>
            <w:tcW w:w="88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assets</w:t>
            </w:r>
            <w:r>
              <w:rPr>
                <w:rFonts w:ascii="Arial;sans-serif" w:hAnsi="Arial;sans-serif"/>
                <w:b/>
                <w:color w:val="000000"/>
                <w:sz w:val="10"/>
              </w:rPr>
              <w:t>1</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876</w:t>
            </w:r>
            <w:r>
              <w:rPr>
                <w:color w:val="000000"/>
              </w:rPr>
              <w:t> </w:t>
            </w:r>
          </w:p>
        </w:tc>
        <w:tc>
          <w:tcPr>
            <w:tcW w:w="25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936</w:t>
            </w:r>
            <w:r>
              <w:rPr>
                <w:color w:val="000000"/>
              </w:rPr>
              <w:t> </w:t>
            </w:r>
          </w:p>
        </w:tc>
        <w:tc>
          <w:tcPr>
            <w:tcW w:w="30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5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30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632"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809 </w:t>
            </w:r>
          </w:p>
        </w:tc>
        <w:tc>
          <w:tcPr>
            <w:tcW w:w="256"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301"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operating lease liabilities</w:t>
            </w:r>
            <w:r>
              <w:rPr>
                <w:rFonts w:ascii="Arial;sans-serif" w:hAnsi="Arial;sans-serif"/>
                <w:b/>
                <w:color w:val="000000"/>
                <w:sz w:val="10"/>
              </w:rPr>
              <w:t>2</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983</w:t>
            </w:r>
            <w:r>
              <w:rPr>
                <w:color w:val="000000"/>
              </w:rPr>
              <w:t> </w:t>
            </w:r>
          </w:p>
        </w:tc>
        <w:tc>
          <w:tcPr>
            <w:tcW w:w="25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1,039</w:t>
            </w:r>
            <w:r>
              <w:rPr>
                <w:color w:val="000000"/>
              </w:rPr>
              <w:t> </w:t>
            </w:r>
          </w:p>
        </w:tc>
        <w:tc>
          <w:tcPr>
            <w:tcW w:w="30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Finance leases</w:t>
            </w:r>
          </w:p>
        </w:tc>
        <w:tc>
          <w:tcPr>
            <w:tcW w:w="88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5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30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25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30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equipment—net</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25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30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0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0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finance lease liabilities</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5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30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remaining lease term</w:t>
            </w:r>
          </w:p>
        </w:tc>
        <w:tc>
          <w:tcPr>
            <w:tcW w:w="88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888"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years</w:t>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years</w:t>
            </w:r>
          </w:p>
        </w:tc>
      </w:tr>
      <w:tr>
        <w:trPr/>
        <w:tc>
          <w:tcPr>
            <w:tcW w:w="322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leases</w:t>
            </w:r>
          </w:p>
        </w:tc>
        <w:tc>
          <w:tcPr>
            <w:tcW w:w="888"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years</w:t>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years</w:t>
            </w:r>
          </w:p>
        </w:tc>
      </w:tr>
      <w:tr>
        <w:trPr/>
        <w:tc>
          <w:tcPr>
            <w:tcW w:w="322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discount rate</w:t>
            </w:r>
          </w:p>
        </w:tc>
        <w:tc>
          <w:tcPr>
            <w:tcW w:w="888"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63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01"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25" w:type="dxa"/>
            <w:gridSpan w:val="3"/>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leases</w:t>
            </w:r>
          </w:p>
        </w:tc>
        <w:tc>
          <w:tcPr>
            <w:tcW w:w="632"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01"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2024, Other assets excludes $88 million and $16 million, respectively, of right-of-use assets related to operating leases that are included in Assets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Total operating lease liabilities excludes $13 million and $81 million of Accrued liabilities and Other liabilities, respectively, that are included in Liabilities held for sale in the Consolidated Balance Sheet. As of December 31, 2024, Total operating lease liabilities excludes $5 million and $11 million of Accrued liabilities and Other liabilities, respectively, that are included in Liabilities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maturities of lease liabilities were as follows:</w:t>
      </w:r>
    </w:p>
    <w:tbl>
      <w:tblPr>
        <w:tblW w:w="5980" w:type="dxa"/>
        <w:jc w:val="left"/>
        <w:tblInd w:w="0" w:type="dxa"/>
        <w:tblLayout w:type="fixed"/>
        <w:tblCellMar>
          <w:top w:w="28" w:type="dxa"/>
          <w:left w:w="28" w:type="dxa"/>
          <w:bottom w:w="28" w:type="dxa"/>
          <w:right w:w="28" w:type="dxa"/>
        </w:tblCellMar>
      </w:tblPr>
      <w:tblGrid>
        <w:gridCol w:w="1001"/>
        <w:gridCol w:w="877"/>
        <w:gridCol w:w="896"/>
        <w:gridCol w:w="396"/>
        <w:gridCol w:w="882"/>
        <w:gridCol w:w="221"/>
        <w:gridCol w:w="109"/>
        <w:gridCol w:w="109"/>
        <w:gridCol w:w="109"/>
        <w:gridCol w:w="387"/>
        <w:gridCol w:w="686"/>
        <w:gridCol w:w="307"/>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Finance Leases</w:t>
            </w:r>
          </w:p>
        </w:tc>
      </w:tr>
      <w:tr>
        <w:trPr/>
        <w:tc>
          <w:tcPr>
            <w:tcW w:w="27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2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7"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27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221"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7"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27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221"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07"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27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21"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7"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27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21"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27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221"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127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1,263</w:t>
            </w:r>
            <w:r>
              <w:rPr>
                <w:color w:val="000000"/>
              </w:rPr>
              <w:t> </w:t>
            </w:r>
          </w:p>
        </w:tc>
        <w:tc>
          <w:tcPr>
            <w:tcW w:w="22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307"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w:t>
            </w:r>
          </w:p>
        </w:tc>
        <w:tc>
          <w:tcPr>
            <w:tcW w:w="1278"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22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7"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Lease liabilities held for sale</w:t>
            </w:r>
          </w:p>
        </w:tc>
        <w:tc>
          <w:tcPr>
            <w:tcW w:w="1278"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21"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maturities of lease liabilities</w:t>
            </w:r>
          </w:p>
        </w:tc>
        <w:tc>
          <w:tcPr>
            <w:tcW w:w="3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2"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983</w:t>
            </w:r>
            <w:r>
              <w:rPr>
                <w:color w:val="000000"/>
              </w:rPr>
              <w:t> </w:t>
            </w:r>
          </w:p>
        </w:tc>
        <w:tc>
          <w:tcPr>
            <w:tcW w:w="22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307"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22250"/>
                <wp:effectExtent l="0" t="0" r="0" b="0"/>
                <wp:wrapNone/>
                <wp:docPr id="132" name="Frame8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87    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11. DERIVATIVE INSTRUMENTS AND HEDGING TRANSACTIONS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DERIVATIVES AND HEDGING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uses derivative financial instruments to manage its risks related to interest rates, foreign currency exchange rates, and commodity prices. Derivative financial instruments are not used for trading or other speculative purposes.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CREDIT RISK MANAGEMENT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continues to monitor the creditworthiness of its counterparties to mitigate the risk of nonperformance. Financial instruments, including derivatives, expose the Company to counterparty credit risk. In addition, 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 </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INTEREST RATE RISK MANAGEMENT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Financial instruments, including derivatives, expose the Company to market risk related to changes in interest rates. The Company uses a combination of financial instruments, including long-term, medium-term, and short-term financing, variable-rate commercial paper, and interest rate swaps to convert the interest rate mix of the Company's total debt portfolio and related overall cost of borrowing. </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FOREIGN CURRENCY RISK MANAGEMENT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operates a global business in a wide variety of foreign currencies. The Company's exposure to market risk for changes in foreign currency exchange rates arises from international financing activities between subsidiaries, foreign currency denominated monetary assets and liabilities, and transactions arising from international trade. The Company's objective is to preserve the U.S. dollar value of foreign currency denominated cash flows and earnings. The Company monitors its collective foreign currency exposure and enters into foreign currency exchange forward and option contracts (foreign currency exchange contracts) with third parties, when necessary, to minimize the impact of changes in foreign currency exchange rates.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has monetary assets and liabilities denominated in non-functional currencies. Prior to conversion into U.S. dollars, these assets and liabilities are remeasured at spot exchange rates as of the balance sheet date. The Company recognizes effects of changes in spot rates in Other (income) expense.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uses foreign currency exchange contracts to hedge foreign currency exposure. These contracts are marked-to-market in net income and offset gains and losses on the non-functional currency denominated monetary assets and liabilities being hedged. The Company also uses foreign currency contracts to hedge forecasted sales and purchases, which are denominated in non-functional currencies.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2025, and 2024, the Company held contracts with notional amounts of $10,191 million and $9,155 million, respectively, to exchange foreign currencies, principally the U.S. dollar, euro, Canadian dollar, British pound, Mexican peso, Chinese renminbi, and Indian rupee.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also designates certain foreign currency debt and derivative contracts as hedges against portions of its net investment in foreign operations. Gains or losses of the foreign currency debt and derivative contracts designated as net investment hedges are recorded in the same manner as foreign currency translation adjustments. </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COMMODITY PRICE RISK MANAGEMENT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operations subject the Company to risk related to the price volatility of certain commodities. To mitigate the commodity price risk associated with the Company's operations, the Company may enter into commodity derivative instruments. In both 2025 and 2024, the Company entered into various contracts to mitigate commodity price volatility. The Company elected to apply hedge accounting to these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2250"/>
                <wp:effectExtent l="0" t="0" r="0" b="0"/>
                <wp:wrapNone/>
                <wp:docPr id="133" name="Frame9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88    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both"/>
        <w:rPr>
          <w:rFonts w:ascii="Arial MT Std Black;sans-serif" w:hAnsi="Arial MT Std Black;sans-serif"/>
          <w:b/>
          <w:color w:val="000000"/>
          <w:sz w:val="28"/>
        </w:rPr>
      </w:pPr>
      <w:r>
        <w:rPr>
          <w:rFonts w:ascii="Arial MT Std Black;sans-serif" w:hAnsi="Arial MT Std Black;sans-serif"/>
          <w:b/>
          <w:color w:val="000000"/>
          <w:sz w:val="28"/>
        </w:rPr>
        <w:t>DERIVATIVE AND HEDGING INSTRUMENTS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notional amounts and fair values of the Company’s outstanding derivatives by risk category and instrument type within the Consolidated Balance Sheet:</w:t>
      </w:r>
    </w:p>
    <w:tbl>
      <w:tblPr>
        <w:tblW w:w="10205" w:type="dxa"/>
        <w:jc w:val="left"/>
        <w:tblInd w:w="0" w:type="dxa"/>
        <w:tblLayout w:type="fixed"/>
        <w:tblCellMar>
          <w:top w:w="28" w:type="dxa"/>
          <w:left w:w="28" w:type="dxa"/>
          <w:bottom w:w="28" w:type="dxa"/>
          <w:right w:w="28" w:type="dxa"/>
        </w:tblCellMar>
      </w:tblPr>
      <w:tblGrid>
        <w:gridCol w:w="714"/>
        <w:gridCol w:w="627"/>
        <w:gridCol w:w="629"/>
        <w:gridCol w:w="228"/>
        <w:gridCol w:w="769"/>
        <w:gridCol w:w="126"/>
        <w:gridCol w:w="109"/>
        <w:gridCol w:w="109"/>
        <w:gridCol w:w="109"/>
        <w:gridCol w:w="228"/>
        <w:gridCol w:w="769"/>
        <w:gridCol w:w="126"/>
        <w:gridCol w:w="109"/>
        <w:gridCol w:w="109"/>
        <w:gridCol w:w="109"/>
        <w:gridCol w:w="323"/>
        <w:gridCol w:w="571"/>
        <w:gridCol w:w="181"/>
        <w:gridCol w:w="109"/>
        <w:gridCol w:w="109"/>
        <w:gridCol w:w="109"/>
        <w:gridCol w:w="284"/>
        <w:gridCol w:w="633"/>
        <w:gridCol w:w="158"/>
        <w:gridCol w:w="109"/>
        <w:gridCol w:w="109"/>
        <w:gridCol w:w="109"/>
        <w:gridCol w:w="284"/>
        <w:gridCol w:w="633"/>
        <w:gridCol w:w="158"/>
        <w:gridCol w:w="109"/>
        <w:gridCol w:w="109"/>
        <w:gridCol w:w="109"/>
        <w:gridCol w:w="278"/>
        <w:gridCol w:w="621"/>
        <w:gridCol w:w="230"/>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(Liability)</w:t>
            </w:r>
          </w:p>
        </w:tc>
      </w:tr>
      <w:tr>
        <w:trPr/>
        <w:tc>
          <w:tcPr>
            <w:tcW w:w="1970" w:type="dxa"/>
            <w:gridSpan w:val="3"/>
            <w:vMerge w:val="continue"/>
            <w:tcBorders/>
            <w:tcMar>
              <w:top w:w="0" w:type="dxa"/>
              <w:left w:w="0" w:type="dxa"/>
              <w:bottom w:w="0" w:type="dxa"/>
              <w:right w:w="0" w:type="dxa"/>
            </w:tcMar>
            <w:vAlign w:val="center"/>
          </w:tcPr>
          <w:p>
            <w:pPr>
              <w:pStyle w:val="Normal"/>
              <w:bidi w:val="0"/>
              <w:jc w:val="left"/>
              <w:rPr/>
            </w:pPr>
            <w:r>
              <w:rPr/>
            </w:r>
          </w:p>
        </w:tc>
        <w:tc>
          <w:tcPr>
            <w:tcW w:w="112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97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fair value hedging relationships</w:t>
            </w:r>
          </w:p>
        </w:tc>
        <w:tc>
          <w:tcPr>
            <w:tcW w:w="1123"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0"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228"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4,068 </w:t>
            </w:r>
          </w:p>
        </w:tc>
        <w:tc>
          <w:tcPr>
            <w:tcW w:w="12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3,899 </w:t>
            </w:r>
          </w:p>
        </w:tc>
        <w:tc>
          <w:tcPr>
            <w:tcW w:w="12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3"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5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1" w:type="dxa"/>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230"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12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9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2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12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30"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9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12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9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6,139 </w:t>
            </w:r>
          </w:p>
        </w:tc>
        <w:tc>
          <w:tcPr>
            <w:tcW w:w="12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7,214 </w:t>
            </w:r>
          </w:p>
        </w:tc>
        <w:tc>
          <w:tcPr>
            <w:tcW w:w="12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23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derivatives designated as hedging instruments</w:t>
            </w:r>
          </w:p>
        </w:tc>
        <w:tc>
          <w:tcPr>
            <w:tcW w:w="99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10,716</w:t>
            </w:r>
            <w:r>
              <w:rPr>
                <w:color w:val="000000"/>
              </w:rPr>
              <w:t> </w:t>
            </w:r>
          </w:p>
        </w:tc>
        <w:tc>
          <w:tcPr>
            <w:tcW w:w="12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11,916</w:t>
            </w:r>
            <w:r>
              <w:rPr>
                <w:color w:val="000000"/>
              </w:rPr>
              <w:t> </w:t>
            </w:r>
          </w:p>
        </w:tc>
        <w:tc>
          <w:tcPr>
            <w:tcW w:w="12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8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5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(900)</w:t>
            </w:r>
          </w:p>
        </w:tc>
        <w:tc>
          <w:tcPr>
            <w:tcW w:w="15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(205)</w:t>
            </w:r>
          </w:p>
        </w:tc>
        <w:tc>
          <w:tcPr>
            <w:tcW w:w="2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not designated as hedging instruments</w:t>
            </w:r>
          </w:p>
        </w:tc>
        <w:tc>
          <w:tcPr>
            <w:tcW w:w="1123"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9,682 </w:t>
            </w:r>
          </w:p>
        </w:tc>
        <w:tc>
          <w:tcPr>
            <w:tcW w:w="12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8,353 </w:t>
            </w:r>
          </w:p>
        </w:tc>
        <w:tc>
          <w:tcPr>
            <w:tcW w:w="12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3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derivatives at fair value</w:t>
            </w:r>
          </w:p>
        </w:tc>
        <w:tc>
          <w:tcPr>
            <w:tcW w:w="22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20,398</w:t>
            </w:r>
            <w:r>
              <w:rPr>
                <w:color w:val="000000"/>
              </w:rPr>
              <w:t> </w:t>
            </w:r>
          </w:p>
        </w:tc>
        <w:tc>
          <w:tcPr>
            <w:tcW w:w="12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20,269</w:t>
            </w:r>
            <w:r>
              <w:rPr>
                <w:color w:val="000000"/>
              </w:rPr>
              <w:t> </w:t>
            </w:r>
          </w:p>
        </w:tc>
        <w:tc>
          <w:tcPr>
            <w:tcW w:w="12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8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w:t>
            </w:r>
            <w:r>
              <w:rPr>
                <w:color w:val="000000"/>
              </w:rPr>
              <w:t> </w:t>
            </w:r>
          </w:p>
        </w:tc>
        <w:tc>
          <w:tcPr>
            <w:tcW w:w="15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(905)</w:t>
            </w:r>
          </w:p>
        </w:tc>
        <w:tc>
          <w:tcPr>
            <w:tcW w:w="15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(210)</w:t>
            </w:r>
          </w:p>
        </w:tc>
        <w:tc>
          <w:tcPr>
            <w:tcW w:w="230"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All derivative assets are presented in Other current assets or Other assets. All derivative liabilities are presented in Accrued liabilities or Other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$6,962 million and $6,158 million as of December 31, 2025, and 2024,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$57 million of income, $30 million of expense, and $121 million of income for the years ended December 31, 2025, 2024, and 2023, respectively. Gains and losses are fully offset by losses and gains on the underlying debt being hedged.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amounts recorded in the Consolidated Balance Sheet related to cumulative basis adjustments for fair value hedges:</w:t>
      </w:r>
    </w:p>
    <w:tbl>
      <w:tblPr>
        <w:tblW w:w="8681" w:type="dxa"/>
        <w:jc w:val="left"/>
        <w:tblInd w:w="0" w:type="dxa"/>
        <w:tblLayout w:type="fixed"/>
        <w:tblCellMar>
          <w:top w:w="28" w:type="dxa"/>
          <w:left w:w="28" w:type="dxa"/>
          <w:bottom w:w="28" w:type="dxa"/>
          <w:right w:w="28" w:type="dxa"/>
        </w:tblCellMar>
      </w:tblPr>
      <w:tblGrid>
        <w:gridCol w:w="445"/>
        <w:gridCol w:w="391"/>
        <w:gridCol w:w="394"/>
        <w:gridCol w:w="358"/>
        <w:gridCol w:w="1016"/>
        <w:gridCol w:w="201"/>
        <w:gridCol w:w="109"/>
        <w:gridCol w:w="109"/>
        <w:gridCol w:w="109"/>
        <w:gridCol w:w="358"/>
        <w:gridCol w:w="1016"/>
        <w:gridCol w:w="201"/>
        <w:gridCol w:w="109"/>
        <w:gridCol w:w="109"/>
        <w:gridCol w:w="109"/>
        <w:gridCol w:w="435"/>
        <w:gridCol w:w="900"/>
        <w:gridCol w:w="240"/>
        <w:gridCol w:w="151"/>
        <w:gridCol w:w="151"/>
        <w:gridCol w:w="151"/>
        <w:gridCol w:w="375"/>
        <w:gridCol w:w="950"/>
        <w:gridCol w:w="29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br/>
              <w:t>of 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Cumulative Amount of</w:t>
              <w:br/>
              <w:t>Fair Value Hedging Adjustment</w:t>
              <w:br/>
              <w:t>Included in the Carrying</w:t>
              <w:br/>
              <w:t>Amount of Hedged Item</w:t>
            </w:r>
          </w:p>
        </w:tc>
      </w:tr>
      <w:tr>
        <w:trPr/>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15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453"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230"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5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3,989 </w:t>
            </w:r>
          </w:p>
        </w:tc>
        <w:tc>
          <w:tcPr>
            <w:tcW w:w="20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3,763 </w:t>
            </w:r>
          </w:p>
        </w:tc>
        <w:tc>
          <w:tcPr>
            <w:tcW w:w="20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40"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0"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29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2250"/>
                <wp:effectExtent l="0" t="0" r="0" b="0"/>
                <wp:wrapNone/>
                <wp:docPr id="134" name="Frame9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89    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89    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tables summarize the location and impact to the Consolidated Statement of Operations related to derivative instruments:</w:t>
      </w:r>
    </w:p>
    <w:tbl>
      <w:tblPr>
        <w:tblW w:w="10205" w:type="dxa"/>
        <w:jc w:val="left"/>
        <w:tblInd w:w="0" w:type="dxa"/>
        <w:tblLayout w:type="fixed"/>
        <w:tblCellMar>
          <w:top w:w="28" w:type="dxa"/>
          <w:left w:w="28" w:type="dxa"/>
          <w:bottom w:w="28" w:type="dxa"/>
          <w:right w:w="28" w:type="dxa"/>
        </w:tblCellMar>
      </w:tblPr>
      <w:tblGrid>
        <w:gridCol w:w="1064"/>
        <w:gridCol w:w="563"/>
        <w:gridCol w:w="565"/>
        <w:gridCol w:w="196"/>
        <w:gridCol w:w="646"/>
        <w:gridCol w:w="109"/>
        <w:gridCol w:w="109"/>
        <w:gridCol w:w="109"/>
        <w:gridCol w:w="109"/>
        <w:gridCol w:w="208"/>
        <w:gridCol w:w="686"/>
        <w:gridCol w:w="115"/>
        <w:gridCol w:w="109"/>
        <w:gridCol w:w="109"/>
        <w:gridCol w:w="109"/>
        <w:gridCol w:w="210"/>
        <w:gridCol w:w="598"/>
        <w:gridCol w:w="117"/>
        <w:gridCol w:w="109"/>
        <w:gridCol w:w="109"/>
        <w:gridCol w:w="109"/>
        <w:gridCol w:w="326"/>
        <w:gridCol w:w="925"/>
        <w:gridCol w:w="181"/>
        <w:gridCol w:w="109"/>
        <w:gridCol w:w="109"/>
        <w:gridCol w:w="109"/>
        <w:gridCol w:w="228"/>
        <w:gridCol w:w="647"/>
        <w:gridCol w:w="126"/>
        <w:gridCol w:w="109"/>
        <w:gridCol w:w="109"/>
        <w:gridCol w:w="109"/>
        <w:gridCol w:w="227"/>
        <w:gridCol w:w="645"/>
        <w:gridCol w:w="188"/>
      </w:tblGrid>
      <w:tr>
        <w:trPr/>
        <w:tc>
          <w:tcPr>
            <w:tcW w:w="106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19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13"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219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Selling, General and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Administrative 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192"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37,442 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16,153 </w:t>
            </w:r>
          </w:p>
        </w:tc>
        <w:tc>
          <w:tcPr>
            <w:tcW w:w="11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7,460 </w:t>
            </w:r>
          </w:p>
        </w:tc>
        <w:tc>
          <w:tcPr>
            <w:tcW w:w="117"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5"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5,450 </w:t>
            </w:r>
          </w:p>
        </w:tc>
        <w:tc>
          <w:tcPr>
            <w:tcW w:w="18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1,247 </w:t>
            </w:r>
          </w:p>
        </w:tc>
        <w:tc>
          <w:tcPr>
            <w:tcW w:w="12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88"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8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8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42"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c>
          <w:tcPr>
            <w:tcW w:w="126"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6"/>
        <w:gridCol w:w="567"/>
        <w:gridCol w:w="569"/>
        <w:gridCol w:w="196"/>
        <w:gridCol w:w="646"/>
        <w:gridCol w:w="109"/>
        <w:gridCol w:w="109"/>
        <w:gridCol w:w="109"/>
        <w:gridCol w:w="109"/>
        <w:gridCol w:w="208"/>
        <w:gridCol w:w="686"/>
        <w:gridCol w:w="115"/>
        <w:gridCol w:w="109"/>
        <w:gridCol w:w="109"/>
        <w:gridCol w:w="109"/>
        <w:gridCol w:w="211"/>
        <w:gridCol w:w="599"/>
        <w:gridCol w:w="117"/>
        <w:gridCol w:w="109"/>
        <w:gridCol w:w="109"/>
        <w:gridCol w:w="109"/>
        <w:gridCol w:w="326"/>
        <w:gridCol w:w="926"/>
        <w:gridCol w:w="181"/>
        <w:gridCol w:w="109"/>
        <w:gridCol w:w="109"/>
        <w:gridCol w:w="109"/>
        <w:gridCol w:w="266"/>
        <w:gridCol w:w="572"/>
        <w:gridCol w:w="149"/>
        <w:gridCol w:w="109"/>
        <w:gridCol w:w="109"/>
        <w:gridCol w:w="109"/>
        <w:gridCol w:w="227"/>
        <w:gridCol w:w="646"/>
        <w:gridCol w:w="188"/>
      </w:tblGrid>
      <w:tr>
        <w:trPr/>
        <w:tc>
          <w:tcPr>
            <w:tcW w:w="10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20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03"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r>
      <w:tr>
        <w:trPr/>
        <w:tc>
          <w:tcPr>
            <w:tcW w:w="22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Selling, General and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Administrative 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202"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34,717 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15,017 </w:t>
            </w:r>
          </w:p>
        </w:tc>
        <w:tc>
          <w:tcPr>
            <w:tcW w:w="11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6,343 </w:t>
            </w:r>
          </w:p>
        </w:tc>
        <w:tc>
          <w:tcPr>
            <w:tcW w:w="117"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5,235 </w:t>
            </w:r>
          </w:p>
        </w:tc>
        <w:tc>
          <w:tcPr>
            <w:tcW w:w="181"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4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88"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8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88"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42"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49"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2250"/>
                <wp:effectExtent l="0" t="0" r="0" b="0"/>
                <wp:wrapNone/>
                <wp:docPr id="135"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90    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1071"/>
        <w:gridCol w:w="573"/>
        <w:gridCol w:w="575"/>
        <w:gridCol w:w="196"/>
        <w:gridCol w:w="646"/>
        <w:gridCol w:w="109"/>
        <w:gridCol w:w="109"/>
        <w:gridCol w:w="109"/>
        <w:gridCol w:w="109"/>
        <w:gridCol w:w="208"/>
        <w:gridCol w:w="687"/>
        <w:gridCol w:w="116"/>
        <w:gridCol w:w="109"/>
        <w:gridCol w:w="109"/>
        <w:gridCol w:w="109"/>
        <w:gridCol w:w="211"/>
        <w:gridCol w:w="599"/>
        <w:gridCol w:w="117"/>
        <w:gridCol w:w="109"/>
        <w:gridCol w:w="109"/>
        <w:gridCol w:w="109"/>
        <w:gridCol w:w="327"/>
        <w:gridCol w:w="928"/>
        <w:gridCol w:w="182"/>
        <w:gridCol w:w="109"/>
        <w:gridCol w:w="109"/>
        <w:gridCol w:w="109"/>
        <w:gridCol w:w="267"/>
        <w:gridCol w:w="574"/>
        <w:gridCol w:w="149"/>
        <w:gridCol w:w="109"/>
        <w:gridCol w:w="109"/>
        <w:gridCol w:w="109"/>
        <w:gridCol w:w="260"/>
        <w:gridCol w:w="560"/>
        <w:gridCol w:w="215"/>
      </w:tblGrid>
      <w:tr>
        <w:trPr/>
        <w:tc>
          <w:tcPr>
            <w:tcW w:w="10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1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86"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2023</w:t>
            </w:r>
          </w:p>
        </w:tc>
      </w:tr>
      <w:tr>
        <w:trPr/>
        <w:tc>
          <w:tcPr>
            <w:tcW w:w="22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Selling, General and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Administrative 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219"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33,009 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14,836 </w:t>
            </w:r>
          </w:p>
        </w:tc>
        <w:tc>
          <w:tcPr>
            <w:tcW w:w="116"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5,801 </w:t>
            </w:r>
          </w:p>
        </w:tc>
        <w:tc>
          <w:tcPr>
            <w:tcW w:w="117"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4,887 </w:t>
            </w:r>
          </w:p>
        </w:tc>
        <w:tc>
          <w:tcPr>
            <w:tcW w:w="182"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14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0"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215"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2"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2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842"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15" w:type="dxa"/>
            <w:tcBorders>
              <w:top w:val="single" w:sz="2" w:space="0" w:color="888B8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95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2" w:space="0" w:color="888B8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42"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49"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the Company estimates that approximately $6 million of net derivative losses related to its cash flow hedges included in Accumulated other comprehensive loss will be reclassified into earnings within the next 12 months.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amount of gain or (loss) on net investment hedges recognized in Accumulated other comprehensive loss:</w:t>
      </w:r>
    </w:p>
    <w:tbl>
      <w:tblPr>
        <w:tblW w:w="5053" w:type="dxa"/>
        <w:jc w:val="left"/>
        <w:tblInd w:w="0" w:type="dxa"/>
        <w:tblLayout w:type="fixed"/>
        <w:tblCellMar>
          <w:top w:w="28" w:type="dxa"/>
          <w:left w:w="28" w:type="dxa"/>
          <w:bottom w:w="28" w:type="dxa"/>
          <w:right w:w="28" w:type="dxa"/>
        </w:tblCellMar>
      </w:tblPr>
      <w:tblGrid>
        <w:gridCol w:w="1016"/>
        <w:gridCol w:w="893"/>
        <w:gridCol w:w="896"/>
        <w:gridCol w:w="232"/>
        <w:gridCol w:w="587"/>
        <w:gridCol w:w="129"/>
        <w:gridCol w:w="129"/>
        <w:gridCol w:w="129"/>
        <w:gridCol w:w="129"/>
        <w:gridCol w:w="232"/>
        <w:gridCol w:w="499"/>
        <w:gridCol w:w="18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05"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80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48"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0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Euro-denominated long-term debt</w:t>
            </w:r>
          </w:p>
        </w:tc>
        <w:tc>
          <w:tcPr>
            <w:tcW w:w="232"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w:t>
            </w:r>
          </w:p>
        </w:tc>
        <w:tc>
          <w:tcPr>
            <w:tcW w:w="12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9"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82"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Euro-denominated commercial paper</w:t>
            </w:r>
          </w:p>
        </w:tc>
        <w:tc>
          <w:tcPr>
            <w:tcW w:w="819"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2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82"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819"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w:t>
            </w:r>
          </w:p>
        </w:tc>
        <w:tc>
          <w:tcPr>
            <w:tcW w:w="12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82"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ind w:left="0" w:right="0" w:firstLine="720"/>
        <w:jc w:val="left"/>
        <w:rPr>
          <w:rFonts w:ascii="Arial;sans-serif" w:hAnsi="Arial;sans-serif"/>
          <w:b w:val="false"/>
          <w:color w:val="D7282F"/>
          <w:sz w:val="32"/>
        </w:rPr>
      </w:pPr>
      <w:r>
        <w:rPr>
          <w:rFonts w:ascii="Arial;sans-serif" w:hAnsi="Arial;sans-serif"/>
          <w:b w:val="false"/>
          <w:color w:val="D7282F"/>
          <w:sz w:val="32"/>
        </w:rPr>
        <w:t>NOTE 12. FAIR VALUE MEASUREMENTS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accounting guidance for fair value measurements and disclosures establishes a three-level fair value hierarchy:</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1 - Inputs are based on quoted prices in active markets for identical assets and liabilities.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Level 2 - Inputs are based on observable inputs other than quoted prices in active markets for identical or similar assets and liabilities.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3 - One or more inputs are unobservable and significant.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classifies financial and nonfinancial assets and liabilities in their entirety based on the lowest level of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22250"/>
                <wp:effectExtent l="0" t="0" r="0" b="0"/>
                <wp:wrapNone/>
                <wp:docPr id="136"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91    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Company’s financial assets and liabilities that were accounted for at fair value on a recurring basis:</w:t>
      </w:r>
    </w:p>
    <w:tbl>
      <w:tblPr>
        <w:tblW w:w="10797" w:type="dxa"/>
        <w:jc w:val="left"/>
        <w:tblInd w:w="0" w:type="dxa"/>
        <w:tblLayout w:type="fixed"/>
        <w:tblCellMar>
          <w:top w:w="28" w:type="dxa"/>
          <w:left w:w="28" w:type="dxa"/>
          <w:bottom w:w="28" w:type="dxa"/>
          <w:right w:w="28" w:type="dxa"/>
        </w:tblCellMar>
      </w:tblPr>
      <w:tblGrid>
        <w:gridCol w:w="484"/>
        <w:gridCol w:w="267"/>
        <w:gridCol w:w="270"/>
        <w:gridCol w:w="196"/>
        <w:gridCol w:w="406"/>
        <w:gridCol w:w="109"/>
        <w:gridCol w:w="109"/>
        <w:gridCol w:w="109"/>
        <w:gridCol w:w="109"/>
        <w:gridCol w:w="196"/>
        <w:gridCol w:w="436"/>
        <w:gridCol w:w="109"/>
        <w:gridCol w:w="109"/>
        <w:gridCol w:w="109"/>
        <w:gridCol w:w="175"/>
        <w:gridCol w:w="175"/>
        <w:gridCol w:w="176"/>
        <w:gridCol w:w="196"/>
        <w:gridCol w:w="406"/>
        <w:gridCol w:w="109"/>
        <w:gridCol w:w="170"/>
        <w:gridCol w:w="170"/>
        <w:gridCol w:w="171"/>
        <w:gridCol w:w="196"/>
        <w:gridCol w:w="436"/>
        <w:gridCol w:w="109"/>
        <w:gridCol w:w="175"/>
        <w:gridCol w:w="175"/>
        <w:gridCol w:w="176"/>
        <w:gridCol w:w="196"/>
        <w:gridCol w:w="406"/>
        <w:gridCol w:w="109"/>
        <w:gridCol w:w="175"/>
        <w:gridCol w:w="175"/>
        <w:gridCol w:w="176"/>
        <w:gridCol w:w="196"/>
        <w:gridCol w:w="436"/>
        <w:gridCol w:w="109"/>
        <w:gridCol w:w="109"/>
        <w:gridCol w:w="526"/>
        <w:gridCol w:w="109"/>
        <w:gridCol w:w="109"/>
        <w:gridCol w:w="109"/>
        <w:gridCol w:w="196"/>
        <w:gridCol w:w="406"/>
        <w:gridCol w:w="109"/>
        <w:gridCol w:w="109"/>
        <w:gridCol w:w="109"/>
        <w:gridCol w:w="109"/>
        <w:gridCol w:w="196"/>
        <w:gridCol w:w="43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3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2151" w:type="dxa"/>
            <w:gridSpan w:val="1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113"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 for sale investments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equity securities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 to HWI Net Sale Proceeds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values foreign currency exchange contracts, interest rate swap agreements, cross currency swap agreements, and commodity contracts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holds certain available for sale investments in U.S. government securities and investments in equity securities. The Company values these investments utilizing published prices based on quoted market pricing, which are classified within level 1.</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carrying value of cash and cash equivalents, trade accounts and notes receivables, payables, commercial paper, and other short-term borrowings contained in the Consolidated Balance Sheet approximates fair value.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Company’s financial assets and liabilities that were not carried at fair value:</w:t>
      </w:r>
    </w:p>
    <w:tbl>
      <w:tblPr>
        <w:tblW w:w="8234" w:type="dxa"/>
        <w:jc w:val="left"/>
        <w:tblInd w:w="0" w:type="dxa"/>
        <w:tblLayout w:type="fixed"/>
        <w:tblCellMar>
          <w:top w:w="28" w:type="dxa"/>
          <w:left w:w="28" w:type="dxa"/>
          <w:bottom w:w="28" w:type="dxa"/>
          <w:right w:w="28" w:type="dxa"/>
        </w:tblCellMar>
      </w:tblPr>
      <w:tblGrid>
        <w:gridCol w:w="1230"/>
        <w:gridCol w:w="1080"/>
        <w:gridCol w:w="109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4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340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w:t>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951"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and related current maturities</w:t>
            </w:r>
          </w:p>
        </w:tc>
        <w:tc>
          <w:tcPr>
            <w:tcW w:w="19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28,688 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28,144 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26,826 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25,503 </w:t>
            </w:r>
          </w:p>
        </w:tc>
        <w:tc>
          <w:tcPr>
            <w:tcW w:w="154"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determined the fair value of the long-term receivables by utilizing transactions in the listed markets for identical or similar assets. As such, the fair value of these receivables is considered level 2.</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pStyle w:val="TextBody"/>
        <w:bidi w:val="0"/>
        <w:spacing w:lineRule="auto" w:line="288" w:before="120" w:after="120"/>
        <w:jc w:val="both"/>
        <w:rPr/>
      </w:pPr>
      <w:r>
        <w:rPr>
          <w:rFonts w:ascii="Arial;sans-serif" w:hAnsi="Arial;sans-serif"/>
          <w:b w:val="false"/>
          <w:color w:val="000000"/>
          <w:sz w:val="18"/>
        </w:rPr>
        <w:t xml:space="preserve">As of December 31, 2025, the Company measured the disposal group of the Productivity Solutions and Services and Warehouse and Workflow Solutions businesses at fair value, less costs to sell. As of December 31, 2024, the Company measured the disposal group of the PPE business at fair value, less costs to sell. The fair value of the disposal groups were determined using significant unobservable inputs based on expected proceeds to be received upon the sales of the businesses, and are considered level 3. See Note 2 </w:t>
      </w:r>
      <w:hyperlink w:anchor="ic3922f0530c04df99983ab02c4d22c0f_202">
        <w:r>
          <w:rPr>
            <w:rStyle w:val="InternetLink"/>
          </w:rPr>
          <w:t xml:space="preserve">Acquisitions, Divestitures, and </w:t>
        </w:r>
      </w:hyperlink>
      <w:hyperlink w:anchor="ic3922f0530c04df99983ab02c4d22c0f_202">
        <w:r>
          <w:rPr>
            <w:rStyle w:val="InternetLink"/>
          </w:rPr>
          <w:t>Discontin</w:t>
        </w:r>
      </w:hyperlink>
      <w:hyperlink w:anchor="ic3922f0530c04df99983ab02c4d22c0f_202">
        <w:r>
          <w:rPr>
            <w:rStyle w:val="InternetLink"/>
          </w:rPr>
          <w:t>ued Operations</w:t>
        </w:r>
      </w:hyperlink>
      <w:r>
        <w:rPr>
          <w:color w:val="000000"/>
        </w:rPr>
        <w:t xml:space="preserve"> </w:t>
      </w:r>
      <w:r>
        <w:rPr>
          <w:rFonts w:ascii="Arial;sans-serif" w:hAnsi="Arial;sans-serif"/>
          <w:b w:val="false"/>
          <w:color w:val="000000"/>
          <w:sz w:val="18"/>
        </w:rPr>
        <w:t>for more information on the disposal groups.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22250"/>
                <wp:effectExtent l="0" t="0" r="0" b="0"/>
                <wp:wrapNone/>
                <wp:docPr id="137"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92    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13. ACCRUED LIABILITIES</w:t>
      </w:r>
    </w:p>
    <w:tbl>
      <w:tblPr>
        <w:tblW w:w="5888" w:type="dxa"/>
        <w:jc w:val="left"/>
        <w:tblInd w:w="0" w:type="dxa"/>
        <w:tblLayout w:type="fixed"/>
        <w:tblCellMar>
          <w:top w:w="28" w:type="dxa"/>
          <w:left w:w="28" w:type="dxa"/>
          <w:bottom w:w="28" w:type="dxa"/>
          <w:right w:w="28" w:type="dxa"/>
        </w:tblCellMar>
      </w:tblPr>
      <w:tblGrid>
        <w:gridCol w:w="1361"/>
        <w:gridCol w:w="1200"/>
        <w:gridCol w:w="1203"/>
        <w:gridCol w:w="196"/>
        <w:gridCol w:w="571"/>
        <w:gridCol w:w="109"/>
        <w:gridCol w:w="109"/>
        <w:gridCol w:w="109"/>
        <w:gridCol w:w="109"/>
        <w:gridCol w:w="196"/>
        <w:gridCol w:w="57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7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764"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advances and deferred income</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3,860 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3,429 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benefit and other employee related</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taxes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warranties and performance guarantees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costs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Repositioning</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Asbestos-related liabilities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(primarily operating expenses)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Accrued liabilities</w:t>
            </w:r>
            <w:r>
              <w:rPr>
                <w:rFonts w:ascii="Arial;sans-serif" w:hAnsi="Arial;sans-serif"/>
                <w:b/>
                <w:color w:val="000000"/>
                <w:sz w:val="10"/>
              </w:rPr>
              <w:t>1</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8,462</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8,055</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Total Accrued liabilities excludes $484 million and $110 million, respectively, that are included in Liabilities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14. OTHER LIABILITIES</w:t>
      </w:r>
    </w:p>
    <w:tbl>
      <w:tblPr>
        <w:tblW w:w="5784" w:type="dxa"/>
        <w:jc w:val="left"/>
        <w:tblInd w:w="0" w:type="dxa"/>
        <w:tblLayout w:type="fixed"/>
        <w:tblCellMar>
          <w:top w:w="28" w:type="dxa"/>
          <w:left w:w="28" w:type="dxa"/>
          <w:bottom w:w="28" w:type="dxa"/>
          <w:right w:w="28" w:type="dxa"/>
        </w:tblCellMar>
      </w:tblPr>
      <w:tblGrid>
        <w:gridCol w:w="1324"/>
        <w:gridCol w:w="1161"/>
        <w:gridCol w:w="1175"/>
        <w:gridCol w:w="196"/>
        <w:gridCol w:w="571"/>
        <w:gridCol w:w="109"/>
        <w:gridCol w:w="109"/>
        <w:gridCol w:w="109"/>
        <w:gridCol w:w="109"/>
        <w:gridCol w:w="196"/>
        <w:gridCol w:w="57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6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6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employee related</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costs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warranties and performance guarantees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Other liabilities</w:t>
            </w:r>
            <w:r>
              <w:rPr>
                <w:rFonts w:ascii="Arial;sans-serif" w:hAnsi="Arial;sans-serif"/>
                <w:b/>
                <w:color w:val="000000"/>
                <w:sz w:val="10"/>
              </w:rPr>
              <w:t>1</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6,408</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5,581</w:t>
            </w:r>
            <w:r>
              <w:rPr>
                <w:color w:val="000000"/>
              </w:rPr>
              <w:t> </w:t>
            </w:r>
          </w:p>
        </w:tc>
        <w:tc>
          <w:tcPr>
            <w:tcW w:w="154"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Total Other liabilities excludes $182 million and $22 million, respectively, that are included in Liabilities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22250"/>
                <wp:effectExtent l="0" t="0" r="0" b="0"/>
                <wp:wrapNone/>
                <wp:docPr id="138"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93    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15. STOCK-BASED COMPENSATION PLANS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As of December 31, 2025, there were 25.3 million and 0.8 million shares of Honeywell common stock available for future grants under terms of the 2016 Plan and 2016 Directors Plan, respectively.</w:t>
      </w:r>
    </w:p>
    <w:p>
      <w:pPr>
        <w:pStyle w:val="TextBody"/>
        <w:bidi w:val="0"/>
        <w:spacing w:lineRule="auto" w:line="288" w:before="120" w:after="120"/>
        <w:jc w:val="both"/>
        <w:rPr/>
      </w:pPr>
      <w:r>
        <w:rPr>
          <w:rFonts w:ascii="Arial;sans-serif" w:hAnsi="Arial;sans-serif"/>
          <w:b w:val="false"/>
          <w:color w:val="000000"/>
          <w:sz w:val="18"/>
        </w:rPr>
        <w:t xml:space="preserve">In connection with the spin-off of the Advanced Materials business as described in Note 2 </w:t>
      </w:r>
      <w:hyperlink w:anchor="ic3922f0530c04df99983ab02c4d22c0f_202">
        <w:r>
          <w:rPr>
            <w:rStyle w:val="InternetLink"/>
            <w:rFonts w:ascii="Arial;sans-serif" w:hAnsi="Arial;sans-serif"/>
            <w:b w:val="false"/>
            <w:color w:val="0000FF"/>
            <w:sz w:val="18"/>
            <w:u w:val="single"/>
          </w:rPr>
          <w:t>Acquisitions, Divestitures, and Discontinued Operations</w:t>
        </w:r>
      </w:hyperlink>
      <w:r>
        <w:rPr>
          <w:rFonts w:ascii="Arial;sans-serif" w:hAnsi="Arial;sans-serif"/>
          <w:b w:val="false"/>
          <w:color w:val="000000"/>
          <w:sz w:val="18"/>
        </w:rPr>
        <w:t>, all outstanding equity awards were equitably converted to preserve the pre-spin-off value, as required by the 2016 Plan and the 2016 Directors Plan. For vested and unexercised stock options, as well as unvested stock options and restricted stock unit (RSU) awards associated with Honeywell employees, the exercise price and number of shares were adjusted as applicable. The terms of the outstanding awards, including remaining vesting periods of unvested awards, remain the same after conversion. For all unvested stock options and RSU awards associated with Solstice employees, the awards were equitably converted into Solstice awards and are no longer outstanding under the Company’s plans. The adjustments did not result in additional compensation expense.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information disclosed in this note includes the results of both continuing and discontinued operations in the aggregate.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STOCK OPTIONS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exercise price, term, and other conditions applicable to each option granted under the Company's stock plans are generally determined by the Management Development and Compensation Committee of the Board. The exercise price of stock options is set on the grant date and may not be less than the fair market value per share of the Company's stock on that date. The fair value is recognized as an expense over the employee’s requisite service period (generally the vesting period of the award). Options generally vest over a four-year period and expire after 10 years.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fair value of each option award is estimated on the date of grant using the Black-Scholes option-pricing model. Expected volatility is based on implied volatilities from traded options on our common stock and historical volatility of the Company's common stock. The Company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impact to the Consolidated Statement of Operations from stock options:</w:t>
      </w:r>
    </w:p>
    <w:tbl>
      <w:tblPr>
        <w:tblW w:w="5427" w:type="dxa"/>
        <w:jc w:val="left"/>
        <w:tblInd w:w="0" w:type="dxa"/>
        <w:tblLayout w:type="fixed"/>
        <w:tblCellMar>
          <w:top w:w="28" w:type="dxa"/>
          <w:left w:w="28" w:type="dxa"/>
          <w:bottom w:w="28" w:type="dxa"/>
          <w:right w:w="28" w:type="dxa"/>
        </w:tblCellMar>
      </w:tblPr>
      <w:tblGrid>
        <w:gridCol w:w="1021"/>
        <w:gridCol w:w="899"/>
        <w:gridCol w:w="900"/>
        <w:gridCol w:w="196"/>
        <w:gridCol w:w="331"/>
        <w:gridCol w:w="109"/>
        <w:gridCol w:w="109"/>
        <w:gridCol w:w="109"/>
        <w:gridCol w:w="109"/>
        <w:gridCol w:w="196"/>
        <w:gridCol w:w="331"/>
        <w:gridCol w:w="109"/>
        <w:gridCol w:w="109"/>
        <w:gridCol w:w="109"/>
        <w:gridCol w:w="109"/>
        <w:gridCol w:w="196"/>
        <w:gridCol w:w="33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82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3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20"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expense</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Future income tax benefit recognized</w:t>
            </w:r>
          </w:p>
        </w:tc>
        <w:tc>
          <w:tcPr>
            <w:tcW w:w="527"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2" w:space="0" w:color="61656A"/>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fair value per share information, including related weighted average assumptions, used to determine compensation cost:</w:t>
      </w:r>
    </w:p>
    <w:tbl>
      <w:tblPr>
        <w:tblW w:w="9167" w:type="dxa"/>
        <w:jc w:val="left"/>
        <w:tblInd w:w="0" w:type="dxa"/>
        <w:tblLayout w:type="fixed"/>
        <w:tblCellMar>
          <w:top w:w="28" w:type="dxa"/>
          <w:left w:w="28" w:type="dxa"/>
          <w:bottom w:w="28" w:type="dxa"/>
          <w:right w:w="28" w:type="dxa"/>
        </w:tblCellMar>
      </w:tblPr>
      <w:tblGrid>
        <w:gridCol w:w="1970"/>
        <w:gridCol w:w="1730"/>
        <w:gridCol w:w="1744"/>
        <w:gridCol w:w="196"/>
        <w:gridCol w:w="556"/>
        <w:gridCol w:w="256"/>
        <w:gridCol w:w="109"/>
        <w:gridCol w:w="109"/>
        <w:gridCol w:w="109"/>
        <w:gridCol w:w="196"/>
        <w:gridCol w:w="556"/>
        <w:gridCol w:w="256"/>
        <w:gridCol w:w="109"/>
        <w:gridCol w:w="109"/>
        <w:gridCol w:w="109"/>
        <w:gridCol w:w="196"/>
        <w:gridCol w:w="556"/>
        <w:gridCol w:w="301"/>
      </w:tblGrid>
      <w:tr>
        <w:trPr/>
        <w:tc>
          <w:tcPr>
            <w:tcW w:w="197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444" w:type="dxa"/>
            <w:gridSpan w:val="3"/>
            <w:vMerge w:val="continue"/>
            <w:tcBorders/>
            <w:tcMar>
              <w:top w:w="0" w:type="dxa"/>
              <w:left w:w="0" w:type="dxa"/>
              <w:bottom w:w="0" w:type="dxa"/>
              <w:right w:w="0" w:type="dxa"/>
            </w:tcMar>
            <w:vAlign w:val="center"/>
          </w:tcPr>
          <w:p>
            <w:pPr>
              <w:pStyle w:val="Normal"/>
              <w:bidi w:val="0"/>
              <w:jc w:val="left"/>
              <w:rPr/>
            </w:pPr>
            <w:r>
              <w:rPr/>
            </w:r>
          </w:p>
        </w:tc>
        <w:tc>
          <w:tcPr>
            <w:tcW w:w="100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44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Weighted average fair value per share of options granted during the year</w:t>
            </w:r>
            <w:r>
              <w:rPr>
                <w:rFonts w:ascii="Arial;sans-serif" w:hAnsi="Arial;sans-serif"/>
                <w:b w:val="false"/>
                <w:color w:val="000000"/>
                <w:sz w:val="10"/>
              </w:rPr>
              <w:t>1</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43.69 </w:t>
            </w:r>
          </w:p>
        </w:tc>
        <w:tc>
          <w:tcPr>
            <w:tcW w:w="25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37.88 </w:t>
            </w:r>
          </w:p>
        </w:tc>
        <w:tc>
          <w:tcPr>
            <w:tcW w:w="25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38.84 </w:t>
            </w:r>
          </w:p>
        </w:tc>
        <w:tc>
          <w:tcPr>
            <w:tcW w:w="30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Assumptions</w:t>
            </w:r>
          </w:p>
        </w:tc>
        <w:tc>
          <w:tcPr>
            <w:tcW w:w="10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annual dividend yield</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44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44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rate of return</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444"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option term (years)</w:t>
            </w:r>
          </w:p>
        </w:tc>
        <w:tc>
          <w:tcPr>
            <w:tcW w:w="1008"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w:t>
            </w:r>
          </w:p>
        </w:tc>
      </w:tr>
    </w:tbl>
    <w:tbl>
      <w:tblPr>
        <w:tblW w:w="50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94"/>
        <w:gridCol w:w="1294"/>
        <w:gridCol w:w="1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Estimated on date of grant using Black-Scholes option-pricing model.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22250"/>
                <wp:effectExtent l="0" t="0" r="0" b="0"/>
                <wp:wrapNone/>
                <wp:docPr id="139"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94    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information about stock option activity for the three years ended December 31, 2025:</w:t>
      </w:r>
    </w:p>
    <w:tbl>
      <w:tblPr>
        <w:tblW w:w="7091" w:type="dxa"/>
        <w:jc w:val="left"/>
        <w:tblInd w:w="0" w:type="dxa"/>
        <w:tblLayout w:type="fixed"/>
        <w:tblCellMar>
          <w:top w:w="28" w:type="dxa"/>
          <w:left w:w="28" w:type="dxa"/>
          <w:bottom w:w="28" w:type="dxa"/>
          <w:right w:w="28" w:type="dxa"/>
        </w:tblCellMar>
      </w:tblPr>
      <w:tblGrid>
        <w:gridCol w:w="1495"/>
        <w:gridCol w:w="1311"/>
        <w:gridCol w:w="1319"/>
        <w:gridCol w:w="349"/>
        <w:gridCol w:w="349"/>
        <w:gridCol w:w="351"/>
        <w:gridCol w:w="109"/>
        <w:gridCol w:w="109"/>
        <w:gridCol w:w="109"/>
        <w:gridCol w:w="308"/>
        <w:gridCol w:w="1040"/>
        <w:gridCol w:w="242"/>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 xml:space="preserve">Options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Outstanding at December 31, 2022</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147.14</w:t>
            </w:r>
            <w:r>
              <w:rPr>
                <w:color w:val="000000"/>
              </w:rPr>
              <w:t>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195.27 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123.12 </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Lapsed or canceled</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192.22 </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Outstanding at December 31, 2023</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153.86</w:t>
            </w:r>
            <w:r>
              <w:rPr>
                <w:color w:val="000000"/>
              </w:rPr>
              <w:t>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198.20 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125.30 </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Lapsed or canceled</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195.71 </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Outstanding at December 31, 2024</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170.29</w:t>
            </w:r>
            <w:r>
              <w:rPr>
                <w:color w:val="000000"/>
              </w:rPr>
              <w:t>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transferred to Solstice at spin-off</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147.23 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to awards related to spin-off of Solstice</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212.23 </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130.42 </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Lapsed or canceled</w:t>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5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178.87 </w:t>
            </w:r>
          </w:p>
        </w:tc>
        <w:tc>
          <w:tcPr>
            <w:tcW w:w="242"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Outstanding at December 31, 2025</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172.62</w:t>
            </w:r>
            <w:r>
              <w:rPr>
                <w:color w:val="000000"/>
              </w:rPr>
              <w:t>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Vested and expected to vest at December 31, 2025</w:t>
            </w:r>
            <w:r>
              <w:rPr>
                <w:rFonts w:ascii="Arial;sans-serif" w:hAnsi="Arial;sans-serif"/>
                <w:b/>
                <w:color w:val="000000"/>
                <w:sz w:val="10"/>
              </w:rPr>
              <w:t>1</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172.06</w:t>
            </w:r>
            <w:r>
              <w:rPr>
                <w:color w:val="000000"/>
              </w:rPr>
              <w:t> </w:t>
            </w:r>
          </w:p>
        </w:tc>
        <w:tc>
          <w:tcPr>
            <w:tcW w:w="24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Exercisable at December 31, 2025</w:t>
            </w:r>
          </w:p>
        </w:tc>
        <w:tc>
          <w:tcPr>
            <w:tcW w:w="698"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35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163.04</w:t>
            </w:r>
            <w:r>
              <w:rPr>
                <w:color w:val="000000"/>
              </w:rPr>
              <w:t> </w:t>
            </w:r>
          </w:p>
        </w:tc>
        <w:tc>
          <w:tcPr>
            <w:tcW w:w="24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40" w:after="283"/>
              <w:jc w:val="both"/>
              <w:rPr/>
            </w:pPr>
            <w:r>
              <w:rPr>
                <w:rFonts w:ascii="Arial;sans-serif" w:hAnsi="Arial;sans-serif"/>
                <w:b w:val="false"/>
                <w:color w:val="000000"/>
                <w:sz w:val="14"/>
              </w:rPr>
              <w:t>Represents the sum of vested options of</w:t>
            </w:r>
            <w:r>
              <w:rPr>
                <w:color w:val="000000"/>
              </w:rPr>
              <w:t xml:space="preserve"> </w:t>
            </w:r>
            <w:r>
              <w:rPr>
                <w:rFonts w:ascii="Arial;sans-serif" w:hAnsi="Arial;sans-serif"/>
                <w:b w:val="false"/>
                <w:color w:val="000000"/>
                <w:sz w:val="14"/>
              </w:rPr>
              <w:t>6.9 million and expected to vest options of 2.5 million. Expected to vest options are derived by applying the pre-vesting forfeiture rate assumption to total outstanding unvested options of 3.3 million.</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information about stock options outstanding and exercisable as of December 31, 2025:</w:t>
      </w:r>
    </w:p>
    <w:tbl>
      <w:tblPr>
        <w:tblW w:w="10205" w:type="dxa"/>
        <w:jc w:val="left"/>
        <w:tblInd w:w="0" w:type="dxa"/>
        <w:tblLayout w:type="fixed"/>
        <w:tblCellMar>
          <w:top w:w="28" w:type="dxa"/>
          <w:left w:w="28" w:type="dxa"/>
          <w:bottom w:w="28" w:type="dxa"/>
          <w:right w:w="28" w:type="dxa"/>
        </w:tblCellMar>
      </w:tblPr>
      <w:tblGrid>
        <w:gridCol w:w="366"/>
        <w:gridCol w:w="309"/>
        <w:gridCol w:w="312"/>
        <w:gridCol w:w="419"/>
        <w:gridCol w:w="419"/>
        <w:gridCol w:w="420"/>
        <w:gridCol w:w="109"/>
        <w:gridCol w:w="109"/>
        <w:gridCol w:w="109"/>
        <w:gridCol w:w="299"/>
        <w:gridCol w:w="299"/>
        <w:gridCol w:w="301"/>
        <w:gridCol w:w="109"/>
        <w:gridCol w:w="109"/>
        <w:gridCol w:w="109"/>
        <w:gridCol w:w="205"/>
        <w:gridCol w:w="694"/>
        <w:gridCol w:w="114"/>
        <w:gridCol w:w="109"/>
        <w:gridCol w:w="109"/>
        <w:gridCol w:w="109"/>
        <w:gridCol w:w="246"/>
        <w:gridCol w:w="547"/>
        <w:gridCol w:w="138"/>
        <w:gridCol w:w="109"/>
        <w:gridCol w:w="109"/>
        <w:gridCol w:w="109"/>
        <w:gridCol w:w="384"/>
        <w:gridCol w:w="384"/>
        <w:gridCol w:w="385"/>
        <w:gridCol w:w="109"/>
        <w:gridCol w:w="109"/>
        <w:gridCol w:w="109"/>
        <w:gridCol w:w="205"/>
        <w:gridCol w:w="694"/>
        <w:gridCol w:w="114"/>
        <w:gridCol w:w="109"/>
        <w:gridCol w:w="109"/>
        <w:gridCol w:w="109"/>
        <w:gridCol w:w="243"/>
        <w:gridCol w:w="541"/>
        <w:gridCol w:w="205"/>
      </w:tblGrid>
      <w:tr>
        <w:trPr/>
        <w:tc>
          <w:tcPr>
            <w:tcW w:w="3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Range of Exercise Prices</w:t>
            </w:r>
          </w:p>
        </w:tc>
        <w:tc>
          <w:tcPr>
            <w:tcW w:w="50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Exercisable</w:t>
            </w:r>
          </w:p>
        </w:tc>
      </w:tr>
      <w:tr>
        <w:trPr/>
        <w:tc>
          <w:tcPr>
            <w:tcW w:w="987" w:type="dxa"/>
            <w:gridSpan w:val="3"/>
            <w:vMerge w:val="continue"/>
            <w:tcBorders/>
            <w:tcMar>
              <w:top w:w="0" w:type="dxa"/>
              <w:left w:w="0" w:type="dxa"/>
              <w:bottom w:w="0" w:type="dxa"/>
              <w:right w:w="0" w:type="dxa"/>
            </w:tcMar>
            <w:vAlign w:val="center"/>
          </w:tcPr>
          <w:p>
            <w:pPr>
              <w:pStyle w:val="Normal"/>
              <w:bidi w:val="0"/>
              <w:jc w:val="left"/>
              <w:rPr/>
            </w:pPr>
            <w:r>
              <w:rPr/>
            </w:r>
          </w:p>
        </w:tc>
        <w:tc>
          <w:tcPr>
            <w:tcW w:w="125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Outstanding (in millions)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pPr>
            <w:r>
              <w:rPr>
                <w:rFonts w:ascii="Arial;sans-serif" w:hAnsi="Arial;sans-serif"/>
                <w:b/>
                <w:color w:val="000000"/>
                <w:sz w:val="16"/>
              </w:rPr>
              <w:t>Average Life</w:t>
            </w:r>
            <w:r>
              <w:rPr>
                <w:rFonts w:ascii="Arial;sans-serif" w:hAnsi="Arial;sans-serif"/>
                <w:b/>
                <w:color w:val="000000"/>
                <w:sz w:val="10"/>
              </w:rPr>
              <w:t>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Per Share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Exercisable (in millions)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Per Share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98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8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8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$93.56–$99.99</w:t>
            </w:r>
          </w:p>
        </w:tc>
        <w:tc>
          <w:tcPr>
            <w:tcW w:w="83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93.56 </w:t>
            </w:r>
          </w:p>
        </w:tc>
        <w:tc>
          <w:tcPr>
            <w:tcW w:w="11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8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93.56 </w:t>
            </w:r>
          </w:p>
        </w:tc>
        <w:tc>
          <w:tcPr>
            <w:tcW w:w="11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05"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$100.00–$134.99</w:t>
            </w:r>
          </w:p>
        </w:tc>
        <w:tc>
          <w:tcPr>
            <w:tcW w:w="83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2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114.42 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3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8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114.42 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0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$135.00–$189.99</w:t>
            </w:r>
          </w:p>
        </w:tc>
        <w:tc>
          <w:tcPr>
            <w:tcW w:w="83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2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172.50 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3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8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167.49 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0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$190.00–$224.38</w:t>
            </w:r>
          </w:p>
        </w:tc>
        <w:tc>
          <w:tcPr>
            <w:tcW w:w="83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2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197.87 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8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194.00 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5"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42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5.36</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172.62</w:t>
            </w:r>
            <w:r>
              <w:rPr>
                <w:color w:val="000000"/>
              </w:rPr>
              <w:t> </w:t>
            </w:r>
          </w:p>
        </w:tc>
        <w:tc>
          <w:tcPr>
            <w:tcW w:w="11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w:t>
            </w:r>
            <w:r>
              <w:rPr>
                <w:color w:val="000000"/>
              </w:rPr>
              <w:t> </w:t>
            </w:r>
          </w:p>
        </w:tc>
        <w:tc>
          <w:tcPr>
            <w:tcW w:w="13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38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163.04</w:t>
            </w:r>
            <w:r>
              <w:rPr>
                <w:color w:val="000000"/>
              </w:rPr>
              <w:t> </w:t>
            </w:r>
          </w:p>
        </w:tc>
        <w:tc>
          <w:tcPr>
            <w:tcW w:w="11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w:t>
            </w:r>
            <w:r>
              <w:rPr>
                <w:color w:val="000000"/>
              </w:rPr>
              <w:t> </w:t>
            </w:r>
          </w:p>
        </w:tc>
        <w:tc>
          <w:tcPr>
            <w:tcW w:w="20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5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29"/>
        <w:gridCol w:w="829"/>
        <w:gridCol w:w="11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remaining contractual life in years.</w:t>
            </w:r>
          </w:p>
        </w:tc>
      </w:tr>
    </w:tbl>
    <w:p>
      <w:pPr>
        <w:pStyle w:val="TextBody"/>
        <w:bidi w:val="0"/>
        <w:spacing w:lineRule="auto" w:line="288" w:before="120" w:after="120"/>
        <w:jc w:val="both"/>
        <w:rPr/>
      </w:pPr>
      <w:r>
        <w:rPr>
          <w:rFonts w:ascii="Arial;sans-serif" w:hAnsi="Arial;sans-serif"/>
          <w:b w:val="false"/>
          <w:color w:val="000000"/>
          <w:sz w:val="18"/>
          <w:shd w:fill="FFFFFF" w:val="clear"/>
        </w:rPr>
        <w:t xml:space="preserve">There were 6.9 million and 9.6 million options exercisable at weighted average exercise prices of $157.58 and </w:t>
      </w:r>
      <w:r>
        <w:rPr>
          <w:rFonts w:ascii="Arial;sans-serif" w:hAnsi="Arial;sans-serif"/>
          <w:b w:val="false"/>
          <w:color w:val="000000"/>
          <w:sz w:val="18"/>
        </w:rPr>
        <w:t>$138.24</w:t>
      </w:r>
      <w:r>
        <w:rPr>
          <w:color w:val="000000"/>
          <w:shd w:fill="FFFFFF" w:val="clear"/>
        </w:rPr>
        <w:t xml:space="preserve"> </w:t>
      </w:r>
      <w:r>
        <w:rPr>
          <w:rFonts w:ascii="Arial;sans-serif" w:hAnsi="Arial;sans-serif"/>
          <w:b w:val="false"/>
          <w:color w:val="000000"/>
          <w:sz w:val="18"/>
          <w:shd w:fill="FFFFFF" w:val="clear"/>
        </w:rPr>
        <w:t xml:space="preserve">as of </w:t>
      </w:r>
      <w:r>
        <w:rPr>
          <w:rFonts w:ascii="Arial;sans-serif" w:hAnsi="Arial;sans-serif"/>
          <w:b w:val="false"/>
          <w:color w:val="000000"/>
          <w:sz w:val="18"/>
        </w:rPr>
        <w:t>December 31, 2024</w:t>
      </w:r>
      <w:r>
        <w:rPr>
          <w:rFonts w:ascii="Arial;sans-serif" w:hAnsi="Arial;sans-serif"/>
          <w:b w:val="false"/>
          <w:color w:val="000000"/>
          <w:sz w:val="18"/>
          <w:shd w:fill="FFFFFF" w:val="clear"/>
        </w:rPr>
        <w:t xml:space="preserve">, and </w:t>
      </w:r>
      <w:r>
        <w:rPr>
          <w:rFonts w:ascii="Arial;sans-serif" w:hAnsi="Arial;sans-serif"/>
          <w:b w:val="false"/>
          <w:color w:val="000000"/>
          <w:sz w:val="18"/>
        </w:rPr>
        <w:t>2023</w:t>
      </w:r>
      <w:r>
        <w:rPr>
          <w:rFonts w:ascii="Arial;sans-serif" w:hAnsi="Arial;sans-serif"/>
          <w:b w:val="false"/>
          <w:color w:val="000000"/>
          <w:sz w:val="18"/>
          <w:shd w:fill="FFFFFF" w:val="clear"/>
        </w:rPr>
        <w:t>, respectively.</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following table summarizes the financial statement impact from stock options exercised:</w:t>
      </w:r>
    </w:p>
    <w:tbl>
      <w:tblPr>
        <w:tblW w:w="4421" w:type="dxa"/>
        <w:jc w:val="left"/>
        <w:tblInd w:w="0" w:type="dxa"/>
        <w:tblLayout w:type="fixed"/>
        <w:tblCellMar>
          <w:top w:w="28" w:type="dxa"/>
          <w:left w:w="28" w:type="dxa"/>
          <w:bottom w:w="28" w:type="dxa"/>
          <w:right w:w="28" w:type="dxa"/>
        </w:tblCellMar>
      </w:tblPr>
      <w:tblGrid>
        <w:gridCol w:w="559"/>
        <w:gridCol w:w="491"/>
        <w:gridCol w:w="494"/>
        <w:gridCol w:w="196"/>
        <w:gridCol w:w="421"/>
        <w:gridCol w:w="109"/>
        <w:gridCol w:w="109"/>
        <w:gridCol w:w="109"/>
        <w:gridCol w:w="109"/>
        <w:gridCol w:w="196"/>
        <w:gridCol w:w="421"/>
        <w:gridCol w:w="109"/>
        <w:gridCol w:w="109"/>
        <w:gridCol w:w="109"/>
        <w:gridCol w:w="109"/>
        <w:gridCol w:w="196"/>
        <w:gridCol w:w="42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54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Intrinsic value</w:t>
            </w:r>
            <w:r>
              <w:rPr>
                <w:rFonts w:ascii="Arial;sans-serif" w:hAnsi="Arial;sans-serif"/>
                <w:b w:val="false"/>
                <w:color w:val="000000"/>
                <w:sz w:val="10"/>
              </w:rPr>
              <w:t>1</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benefit realized</w:t>
            </w:r>
          </w:p>
        </w:tc>
        <w:tc>
          <w:tcPr>
            <w:tcW w:w="617"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4"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5"/>
        <w:gridCol w:w="2155"/>
        <w:gridCol w:w="3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Represents the amount by which the stock price exceeded the exercise price of the options on the date of exercise.</w:t>
            </w:r>
          </w:p>
        </w:tc>
      </w:tr>
    </w:tbl>
    <w:p>
      <w:pPr>
        <w:pStyle w:val="TextBody"/>
        <w:bidi w:val="0"/>
        <w:spacing w:lineRule="auto" w:line="288" w:before="120" w:after="120"/>
        <w:jc w:val="both"/>
        <w:rPr/>
      </w:pPr>
      <w:r>
        <w:rPr>
          <w:rFonts w:ascii="Arial;sans-serif" w:hAnsi="Arial;sans-serif"/>
          <w:b w:val="false"/>
          <w:color w:val="000000"/>
          <w:sz w:val="18"/>
          <w:shd w:fill="FFFFFF" w:val="clear"/>
        </w:rPr>
        <w:t xml:space="preserve">At December 31, 2025, there was $96 million of total unrecognized compensation cost related to non-vested stock option awards which is expected to be recognized over a weighted average period of </w:t>
      </w:r>
      <w:r>
        <w:rPr>
          <w:rFonts w:ascii="Arial;sans-serif" w:hAnsi="Arial;sans-serif"/>
          <w:b w:val="false"/>
          <w:color w:val="000000"/>
          <w:sz w:val="18"/>
        </w:rPr>
        <w:t>2.42</w:t>
      </w:r>
      <w:r>
        <w:rPr>
          <w:color w:val="000000"/>
          <w:shd w:fill="FFFFFF" w:val="clear"/>
        </w:rPr>
        <w:t xml:space="preserve"> </w:t>
      </w:r>
      <w:r>
        <w:rPr>
          <w:rFonts w:ascii="Arial;sans-serif" w:hAnsi="Arial;sans-serif"/>
          <w:b w:val="false"/>
          <w:color w:val="000000"/>
          <w:sz w:val="18"/>
          <w:shd w:fill="FFFFFF" w:val="clear"/>
        </w:rPr>
        <w:t>years. The total fair value of options vested for the years ended December 31, 2025, 2024, and 2023, wa</w:t>
      </w:r>
      <w:r>
        <w:rPr>
          <w:rFonts w:ascii="Arial;sans-serif" w:hAnsi="Arial;sans-serif"/>
          <w:b w:val="false"/>
          <w:color w:val="000000"/>
          <w:sz w:val="18"/>
        </w:rPr>
        <w:t>s $48 million,</w:t>
      </w:r>
      <w:r>
        <w:rPr>
          <w:color w:val="000000"/>
          <w:shd w:fill="FFFFFF" w:val="clear"/>
        </w:rPr>
        <w:t xml:space="preserve"> </w:t>
      </w:r>
      <w:r>
        <w:rPr>
          <w:rFonts w:ascii="Arial;sans-serif" w:hAnsi="Arial;sans-serif"/>
          <w:b w:val="false"/>
          <w:color w:val="000000"/>
          <w:sz w:val="18"/>
          <w:shd w:fill="FFFFFF" w:val="clear"/>
        </w:rPr>
        <w:t>$49 million, and $48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22250"/>
                <wp:effectExtent l="0" t="0" r="0" b="0"/>
                <wp:wrapNone/>
                <wp:docPr id="140"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95    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RESTRICTED STOCK UNITS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Honeywell common stock upon vesting. Certain RSU awards are performance-based and awarded to eligible employees which entitle the grantee to receive shares of common stock if specified Company performance goals are achieved during the performance period and if the grantee remains employed through the vesting period.</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following table summarizes information about RSU activity for the three years ended December 31, 2025:</w:t>
      </w:r>
    </w:p>
    <w:tbl>
      <w:tblPr>
        <w:tblW w:w="6181" w:type="dxa"/>
        <w:jc w:val="left"/>
        <w:tblInd w:w="0" w:type="dxa"/>
        <w:tblLayout w:type="fixed"/>
        <w:tblCellMar>
          <w:top w:w="28" w:type="dxa"/>
          <w:left w:w="28" w:type="dxa"/>
          <w:bottom w:w="28" w:type="dxa"/>
          <w:right w:w="28" w:type="dxa"/>
        </w:tblCellMar>
      </w:tblPr>
      <w:tblGrid>
        <w:gridCol w:w="1373"/>
        <w:gridCol w:w="1209"/>
        <w:gridCol w:w="1212"/>
        <w:gridCol w:w="349"/>
        <w:gridCol w:w="349"/>
        <w:gridCol w:w="351"/>
        <w:gridCol w:w="109"/>
        <w:gridCol w:w="109"/>
        <w:gridCol w:w="109"/>
        <w:gridCol w:w="196"/>
        <w:gridCol w:w="66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Restricted</w:t>
              <w:br/>
              <w:t>Stock Units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br/>
              <w:t>Per Share</w:t>
            </w:r>
          </w:p>
        </w:tc>
      </w:tr>
      <w:tr>
        <w:trPr/>
        <w:tc>
          <w:tcPr>
            <w:tcW w:w="3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Non-vested at December 31, 2022</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181.10</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194.81 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171.92 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187.13 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Non-vested at December 31, 2023</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189.18</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200.44 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185.70 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Non-vested at December 31, 2024</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194.85</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transferred to Solstice at spin-off</w:t>
            </w:r>
          </w:p>
        </w:tc>
        <w:tc>
          <w:tcPr>
            <w:tcW w:w="6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204.06 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to awards related to spin-off of Solstice</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79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206.97 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191.73 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5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Non-vested at December 31, 2025</w:t>
            </w:r>
          </w:p>
        </w:tc>
        <w:tc>
          <w:tcPr>
            <w:tcW w:w="698"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35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191.35</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there was approximately $264 million of total unrecognized compensation cost related to non-vested RSUs granted under the Company's stock plans which is expected to be recognized over a weighted average period of 1.77 years.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following table summarizes the impact to the Consolidated Statement of Operations from RSUs:</w:t>
      </w:r>
    </w:p>
    <w:tbl>
      <w:tblPr>
        <w:tblW w:w="5697" w:type="dxa"/>
        <w:jc w:val="left"/>
        <w:tblInd w:w="0" w:type="dxa"/>
        <w:tblLayout w:type="fixed"/>
        <w:tblCellMar>
          <w:top w:w="28" w:type="dxa"/>
          <w:left w:w="28" w:type="dxa"/>
          <w:bottom w:w="28" w:type="dxa"/>
          <w:right w:w="28" w:type="dxa"/>
        </w:tblCellMar>
      </w:tblPr>
      <w:tblGrid>
        <w:gridCol w:w="1021"/>
        <w:gridCol w:w="899"/>
        <w:gridCol w:w="900"/>
        <w:gridCol w:w="196"/>
        <w:gridCol w:w="421"/>
        <w:gridCol w:w="109"/>
        <w:gridCol w:w="109"/>
        <w:gridCol w:w="109"/>
        <w:gridCol w:w="109"/>
        <w:gridCol w:w="196"/>
        <w:gridCol w:w="421"/>
        <w:gridCol w:w="109"/>
        <w:gridCol w:w="109"/>
        <w:gridCol w:w="109"/>
        <w:gridCol w:w="109"/>
        <w:gridCol w:w="196"/>
        <w:gridCol w:w="4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2820"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2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expense</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Future income tax benefit recognized</w:t>
            </w:r>
          </w:p>
        </w:tc>
        <w:tc>
          <w:tcPr>
            <w:tcW w:w="617"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22250"/>
                <wp:effectExtent l="0" t="0" r="0" b="0"/>
                <wp:wrapNone/>
                <wp:docPr id="141"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96    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NOTE 16. EARNINGS PER SHARE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details of the earnings per share calculations for the years ended December 31, 2025, 2024, and 2023, are as follows (shares in millions):</w:t>
      </w:r>
    </w:p>
    <w:tbl>
      <w:tblPr>
        <w:tblW w:w="8846" w:type="dxa"/>
        <w:jc w:val="left"/>
        <w:tblInd w:w="0" w:type="dxa"/>
        <w:tblLayout w:type="fixed"/>
        <w:tblCellMar>
          <w:top w:w="28" w:type="dxa"/>
          <w:left w:w="28" w:type="dxa"/>
          <w:bottom w:w="28" w:type="dxa"/>
          <w:right w:w="28" w:type="dxa"/>
        </w:tblCellMar>
      </w:tblPr>
      <w:tblGrid>
        <w:gridCol w:w="1994"/>
        <w:gridCol w:w="1753"/>
        <w:gridCol w:w="1772"/>
        <w:gridCol w:w="196"/>
        <w:gridCol w:w="571"/>
        <w:gridCol w:w="109"/>
        <w:gridCol w:w="109"/>
        <w:gridCol w:w="109"/>
        <w:gridCol w:w="109"/>
        <w:gridCol w:w="196"/>
        <w:gridCol w:w="571"/>
        <w:gridCol w:w="109"/>
        <w:gridCol w:w="109"/>
        <w:gridCol w:w="109"/>
        <w:gridCol w:w="109"/>
        <w:gridCol w:w="196"/>
        <w:gridCol w:w="571"/>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519"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5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Honeywell</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4,968 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discontinued operations attributable to Honeywell</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4,729</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5,658</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663.0 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operations—basic</w:t>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of common stock from discontinued operations—basic</w:t>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stock—basic</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tbl>
      <w:tblPr>
        <w:tblW w:w="9701" w:type="dxa"/>
        <w:jc w:val="left"/>
        <w:tblInd w:w="0" w:type="dxa"/>
        <w:tblLayout w:type="fixed"/>
        <w:tblCellMar>
          <w:top w:w="28" w:type="dxa"/>
          <w:left w:w="28" w:type="dxa"/>
          <w:bottom w:w="28" w:type="dxa"/>
          <w:right w:w="28" w:type="dxa"/>
        </w:tblCellMar>
      </w:tblPr>
      <w:tblGrid>
        <w:gridCol w:w="2307"/>
        <w:gridCol w:w="2025"/>
        <w:gridCol w:w="2042"/>
        <w:gridCol w:w="196"/>
        <w:gridCol w:w="571"/>
        <w:gridCol w:w="109"/>
        <w:gridCol w:w="109"/>
        <w:gridCol w:w="109"/>
        <w:gridCol w:w="109"/>
        <w:gridCol w:w="196"/>
        <w:gridCol w:w="571"/>
        <w:gridCol w:w="109"/>
        <w:gridCol w:w="109"/>
        <w:gridCol w:w="109"/>
        <w:gridCol w:w="109"/>
        <w:gridCol w:w="196"/>
        <w:gridCol w:w="571"/>
        <w:gridCol w:w="154"/>
      </w:tblGrid>
      <w:tr>
        <w:trPr/>
        <w:tc>
          <w:tcPr>
            <w:tcW w:w="2307"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Assuming Dilution</w:t>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6374"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37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Honeywell</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4,968 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discontinued operations attributable to Honeywell</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4,729</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5,658</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shares</w:t>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639.0 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650.9 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663.0 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securities issuable—stock plans</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weighted average diluted shares outstanding</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668.2</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operations—assuming dilution</w:t>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of common stock from discontinued operations—assuming dilution</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stock—assuming dilution</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diluted earnings per share calculations exclude the effect of stock options when the cost to exercise an option exceeds the average market price of the common shares during the period. In 2025, 2024, and 2023, the weighted average number of stock options excluded from the computations was 2.9 million, 3.9 million, and 4.5 million, respectively. These stock options were outstanding at the end of each of the respective periods.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and 2024, the total shares outstanding were 635.3 million and 649.8 million, respectively, and as of December 31, 2025, and 2024, total shares issued were 957.6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22250"/>
                <wp:effectExtent l="0" t="0" r="0" b="0"/>
                <wp:wrapNone/>
                <wp:docPr id="142"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97    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pPr>
      <w:r>
        <w:rPr>
          <w:rFonts w:ascii="Arial;sans-serif" w:hAnsi="Arial;sans-serif"/>
          <w:b w:val="false"/>
          <w:color w:val="D7282F"/>
          <w:sz w:val="32"/>
        </w:rPr>
        <w:t>NOTE 17. ACCUMULATED OTHER COMPREHENSIVE LOSS</w:t>
      </w:r>
      <w:r>
        <w:rPr>
          <w:color w:val="000000"/>
        </w:rPr>
        <w:t xml:space="preserv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changes in Accumulated other comprehensive loss are provided in the tables below. Comprehensive income (loss) attributable to noncontrolling interest consists predominantly of net income.</w:t>
      </w:r>
    </w:p>
    <w:tbl>
      <w:tblPr>
        <w:tblW w:w="8277" w:type="dxa"/>
        <w:jc w:val="left"/>
        <w:tblInd w:w="0" w:type="dxa"/>
        <w:tblLayout w:type="fixed"/>
        <w:tblCellMar>
          <w:top w:w="28" w:type="dxa"/>
          <w:left w:w="28" w:type="dxa"/>
          <w:bottom w:w="28" w:type="dxa"/>
          <w:right w:w="28" w:type="dxa"/>
        </w:tblCellMar>
      </w:tblPr>
      <w:tblGrid>
        <w:gridCol w:w="1780"/>
        <w:gridCol w:w="1556"/>
        <w:gridCol w:w="1569"/>
        <w:gridCol w:w="196"/>
        <w:gridCol w:w="631"/>
        <w:gridCol w:w="109"/>
        <w:gridCol w:w="109"/>
        <w:gridCol w:w="109"/>
        <w:gridCol w:w="109"/>
        <w:gridCol w:w="196"/>
        <w:gridCol w:w="496"/>
        <w:gridCol w:w="109"/>
        <w:gridCol w:w="109"/>
        <w:gridCol w:w="109"/>
        <w:gridCol w:w="109"/>
        <w:gridCol w:w="196"/>
        <w:gridCol w:w="631"/>
        <w:gridCol w:w="154"/>
      </w:tblGrid>
      <w:tr>
        <w:trPr/>
        <w:tc>
          <w:tcPr>
            <w:tcW w:w="178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After-Tax</w:t>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2023</w:t>
            </w:r>
          </w:p>
        </w:tc>
        <w:tc>
          <w:tcPr>
            <w:tcW w:w="9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current period other comprehensive income (loss)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(785)</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(660)</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2024</w:t>
            </w:r>
          </w:p>
        </w:tc>
        <w:tc>
          <w:tcPr>
            <w:tcW w:w="9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Total net current period other comprehensive income (loss)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(120)</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644</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2025</w:t>
            </w:r>
          </w:p>
        </w:tc>
        <w:tc>
          <w:tcPr>
            <w:tcW w:w="93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0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current period other comprehensive income (loss)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(1,865)</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(1,655)</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COMPONENTS OF ACCUMULATED OTHER COMPREHENSIVE LOSS</w:t>
      </w:r>
    </w:p>
    <w:tbl>
      <w:tblPr>
        <w:tblW w:w="6384" w:type="dxa"/>
        <w:jc w:val="left"/>
        <w:tblInd w:w="0" w:type="dxa"/>
        <w:tblLayout w:type="fixed"/>
        <w:tblCellMar>
          <w:top w:w="28" w:type="dxa"/>
          <w:left w:w="28" w:type="dxa"/>
          <w:bottom w:w="28" w:type="dxa"/>
          <w:right w:w="28" w:type="dxa"/>
        </w:tblCellMar>
      </w:tblPr>
      <w:tblGrid>
        <w:gridCol w:w="1499"/>
        <w:gridCol w:w="1316"/>
        <w:gridCol w:w="1325"/>
        <w:gridCol w:w="196"/>
        <w:gridCol w:w="631"/>
        <w:gridCol w:w="109"/>
        <w:gridCol w:w="109"/>
        <w:gridCol w:w="109"/>
        <w:gridCol w:w="109"/>
        <w:gridCol w:w="196"/>
        <w:gridCol w:w="63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14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foreign exchange translation adjustment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(3,779)</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(2,872)</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(1,378)</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adjustments of available for sale investments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adjustments of cash flow hedges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Accumulated other comprehensive loss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(5,146)</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(3,491)</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22250"/>
                <wp:effectExtent l="0" t="0" r="0" b="0"/>
                <wp:wrapNone/>
                <wp:docPr id="143" name="Frame10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98    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CHANGES IN ACCUMULATED OTHER COMPREHENSIVE LOSS BY COMPONENT</w:t>
      </w:r>
    </w:p>
    <w:tbl>
      <w:tblPr>
        <w:tblW w:w="10205" w:type="dxa"/>
        <w:jc w:val="left"/>
        <w:tblInd w:w="0" w:type="dxa"/>
        <w:tblLayout w:type="fixed"/>
        <w:tblCellMar>
          <w:top w:w="28" w:type="dxa"/>
          <w:left w:w="28" w:type="dxa"/>
          <w:bottom w:w="28" w:type="dxa"/>
          <w:right w:w="28" w:type="dxa"/>
        </w:tblCellMar>
      </w:tblPr>
      <w:tblGrid>
        <w:gridCol w:w="1294"/>
        <w:gridCol w:w="960"/>
        <w:gridCol w:w="967"/>
        <w:gridCol w:w="231"/>
        <w:gridCol w:w="675"/>
        <w:gridCol w:w="130"/>
        <w:gridCol w:w="109"/>
        <w:gridCol w:w="109"/>
        <w:gridCol w:w="109"/>
        <w:gridCol w:w="357"/>
        <w:gridCol w:w="1041"/>
        <w:gridCol w:w="200"/>
        <w:gridCol w:w="109"/>
        <w:gridCol w:w="109"/>
        <w:gridCol w:w="109"/>
        <w:gridCol w:w="393"/>
        <w:gridCol w:w="513"/>
        <w:gridCol w:w="220"/>
        <w:gridCol w:w="109"/>
        <w:gridCol w:w="109"/>
        <w:gridCol w:w="109"/>
        <w:gridCol w:w="288"/>
        <w:gridCol w:w="510"/>
        <w:gridCol w:w="160"/>
        <w:gridCol w:w="109"/>
        <w:gridCol w:w="109"/>
        <w:gridCol w:w="109"/>
        <w:gridCol w:w="196"/>
        <w:gridCol w:w="602"/>
        <w:gridCol w:w="160"/>
      </w:tblGrid>
      <w:tr>
        <w:trPr/>
        <w:tc>
          <w:tcPr>
            <w:tcW w:w="129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w:t>
              <w:br/>
              <w:t>Exchange</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w:t>
              <w:br/>
              <w:t>and Other</w:t>
              <w:br/>
              <w:t>Postretirement Benefit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Changes in</w:t>
              <w:br/>
              <w:t> Fair Value</w:t>
              <w:br/>
              <w:t>of Available</w:t>
              <w:br/>
              <w:t> for Sale</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Changes in</w:t>
              <w:br/>
              <w:t>Fair Value of</w:t>
              <w:br/>
              <w:t>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2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(2,832)</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(648)</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(3,475)</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9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0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current period other comprehensive income (loss)</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(269)</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(407)</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(660)</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(3,101)</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(1,055)</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(4,135)</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9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0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6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6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current period other comprehensive income (loss)</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w:t>
            </w:r>
            <w:r>
              <w:rPr>
                <w:color w:val="000000"/>
              </w:rPr>
              <w:t> </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413</w:t>
            </w:r>
            <w:r>
              <w:rPr>
                <w:color w:val="000000"/>
              </w:rPr>
              <w:t> </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644</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(2,872)</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(642)</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(3,491)</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9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0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Spin-off</w:t>
            </w:r>
          </w:p>
        </w:tc>
        <w:tc>
          <w:tcPr>
            <w:tcW w:w="9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3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6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current period other comprehensive income (loss)</w:t>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(907)</w:t>
            </w:r>
          </w:p>
        </w:tc>
        <w:tc>
          <w:tcPr>
            <w:tcW w:w="13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(736)</w:t>
            </w:r>
          </w:p>
        </w:tc>
        <w:tc>
          <w:tcPr>
            <w:tcW w:w="20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2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(1,655)</w:t>
            </w:r>
          </w:p>
        </w:tc>
        <w:tc>
          <w:tcPr>
            <w:tcW w:w="16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2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(3,779)</w:t>
            </w:r>
          </w:p>
        </w:tc>
        <w:tc>
          <w:tcPr>
            <w:tcW w:w="13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(1,378)</w:t>
            </w:r>
          </w:p>
        </w:tc>
        <w:tc>
          <w:tcPr>
            <w:tcW w:w="20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2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6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(5,146)</w:t>
            </w:r>
          </w:p>
        </w:tc>
        <w:tc>
          <w:tcPr>
            <w:tcW w:w="16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RECLASSIFICATIONS OUT OF ACCUMULATED OTHER COMPREHENSIVE LOSS</w:t>
      </w:r>
    </w:p>
    <w:tbl>
      <w:tblPr>
        <w:tblW w:w="10205" w:type="dxa"/>
        <w:jc w:val="left"/>
        <w:tblInd w:w="0" w:type="dxa"/>
        <w:tblLayout w:type="fixed"/>
        <w:tblCellMar>
          <w:top w:w="28" w:type="dxa"/>
          <w:left w:w="28" w:type="dxa"/>
          <w:bottom w:w="28" w:type="dxa"/>
          <w:right w:w="28" w:type="dxa"/>
        </w:tblCellMar>
      </w:tblPr>
      <w:tblGrid>
        <w:gridCol w:w="627"/>
        <w:gridCol w:w="552"/>
        <w:gridCol w:w="553"/>
        <w:gridCol w:w="201"/>
        <w:gridCol w:w="418"/>
        <w:gridCol w:w="112"/>
        <w:gridCol w:w="109"/>
        <w:gridCol w:w="109"/>
        <w:gridCol w:w="109"/>
        <w:gridCol w:w="245"/>
        <w:gridCol w:w="508"/>
        <w:gridCol w:w="138"/>
        <w:gridCol w:w="109"/>
        <w:gridCol w:w="109"/>
        <w:gridCol w:w="109"/>
        <w:gridCol w:w="229"/>
        <w:gridCol w:w="474"/>
        <w:gridCol w:w="128"/>
        <w:gridCol w:w="109"/>
        <w:gridCol w:w="109"/>
        <w:gridCol w:w="109"/>
        <w:gridCol w:w="383"/>
        <w:gridCol w:w="795"/>
        <w:gridCol w:w="214"/>
        <w:gridCol w:w="109"/>
        <w:gridCol w:w="109"/>
        <w:gridCol w:w="109"/>
        <w:gridCol w:w="245"/>
        <w:gridCol w:w="546"/>
        <w:gridCol w:w="137"/>
        <w:gridCol w:w="109"/>
        <w:gridCol w:w="109"/>
        <w:gridCol w:w="109"/>
        <w:gridCol w:w="259"/>
        <w:gridCol w:w="538"/>
        <w:gridCol w:w="146"/>
        <w:gridCol w:w="109"/>
        <w:gridCol w:w="109"/>
        <w:gridCol w:w="109"/>
        <w:gridCol w:w="196"/>
        <w:gridCol w:w="436"/>
        <w:gridCol w:w="163"/>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73" w:type="dxa"/>
            <w:gridSpan w:val="39"/>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1732" w:type="dxa"/>
            <w:gridSpan w:val="3"/>
            <w:vMerge w:val="continue"/>
            <w:tcBorders/>
            <w:tcMar>
              <w:top w:w="0" w:type="dxa"/>
              <w:left w:w="0" w:type="dxa"/>
              <w:bottom w:w="0" w:type="dxa"/>
              <w:right w:w="0" w:type="dxa"/>
            </w:tcMar>
            <w:vAlign w:val="center"/>
          </w:tcPr>
          <w:p>
            <w:pPr>
              <w:pStyle w:val="Normal"/>
              <w:bidi w:val="0"/>
              <w:jc w:val="left"/>
              <w:rPr/>
            </w:pPr>
            <w:r>
              <w:rPr/>
            </w:r>
          </w:p>
        </w:tc>
        <w:tc>
          <w:tcPr>
            <w:tcW w:w="8473" w:type="dxa"/>
            <w:gridSpan w:val="39"/>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in the Consolidated Statement of Operations</w:t>
            </w:r>
          </w:p>
        </w:tc>
      </w:tr>
      <w:tr>
        <w:trPr/>
        <w:tc>
          <w:tcPr>
            <w:tcW w:w="1732" w:type="dxa"/>
            <w:gridSpan w:val="3"/>
            <w:vMerge w:val="continue"/>
            <w:tcBorders/>
            <w:tcMar>
              <w:top w:w="0" w:type="dxa"/>
              <w:left w:w="0" w:type="dxa"/>
              <w:bottom w:w="0" w:type="dxa"/>
              <w:right w:w="0" w:type="dxa"/>
            </w:tcMar>
            <w:vAlign w:val="center"/>
          </w:tcPr>
          <w:p>
            <w:pPr>
              <w:pStyle w:val="Normal"/>
              <w:bidi w:val="0"/>
              <w:jc w:val="left"/>
              <w:rPr/>
            </w:pPr>
            <w:r>
              <w:rPr/>
            </w:r>
          </w:p>
        </w:tc>
        <w:tc>
          <w:tcPr>
            <w:tcW w:w="73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Products Sold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Services Sold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Selling, General and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Administrative Expenses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Expense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Interest and 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Financial Charges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3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pension and other postretirement benefit items</w:t>
            </w:r>
          </w:p>
        </w:tc>
        <w:tc>
          <w:tcPr>
            <w:tcW w:w="73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losses recognized</w:t>
            </w:r>
          </w:p>
        </w:tc>
        <w:tc>
          <w:tcPr>
            <w:tcW w:w="20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3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6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recognized</w:t>
            </w:r>
          </w:p>
        </w:tc>
        <w:tc>
          <w:tcPr>
            <w:tcW w:w="61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6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 and curtailments</w:t>
            </w:r>
          </w:p>
        </w:tc>
        <w:tc>
          <w:tcPr>
            <w:tcW w:w="61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3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6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61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3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6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before tax</w:t>
            </w:r>
          </w:p>
        </w:tc>
        <w:tc>
          <w:tcPr>
            <w:tcW w:w="20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w:t>
            </w:r>
            <w:r>
              <w:rPr>
                <w:color w:val="000000"/>
              </w:rPr>
              <w:t> </w:t>
            </w:r>
          </w:p>
        </w:tc>
        <w:tc>
          <w:tcPr>
            <w:tcW w:w="1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w:t>
            </w:r>
            <w:r>
              <w:rPr>
                <w:color w:val="000000"/>
              </w:rPr>
              <w:t> </w:t>
            </w:r>
          </w:p>
        </w:tc>
        <w:tc>
          <w:tcPr>
            <w:tcW w:w="16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0" w:type="dxa"/>
            <w:gridSpan w:val="39"/>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Tax expense (benefit)</w:t>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w:t>
            </w:r>
          </w:p>
        </w:tc>
        <w:tc>
          <w:tcPr>
            <w:tcW w:w="16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0" w:type="dxa"/>
            <w:gridSpan w:val="39"/>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reclassifications for the period, net of tax</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16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22250"/>
                <wp:effectExtent l="0" t="0" r="0" b="0"/>
                <wp:wrapNone/>
                <wp:docPr id="144"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99    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99    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631" w:type="dxa"/>
        <w:jc w:val="left"/>
        <w:tblInd w:w="0" w:type="dxa"/>
        <w:tblLayout w:type="fixed"/>
        <w:tblCellMar>
          <w:top w:w="28" w:type="dxa"/>
          <w:left w:w="28" w:type="dxa"/>
          <w:bottom w:w="28" w:type="dxa"/>
          <w:right w:w="28" w:type="dxa"/>
        </w:tblCellMar>
      </w:tblPr>
      <w:tblGrid>
        <w:gridCol w:w="424"/>
        <w:gridCol w:w="373"/>
        <w:gridCol w:w="374"/>
        <w:gridCol w:w="196"/>
        <w:gridCol w:w="406"/>
        <w:gridCol w:w="109"/>
        <w:gridCol w:w="109"/>
        <w:gridCol w:w="109"/>
        <w:gridCol w:w="109"/>
        <w:gridCol w:w="227"/>
        <w:gridCol w:w="471"/>
        <w:gridCol w:w="128"/>
        <w:gridCol w:w="109"/>
        <w:gridCol w:w="109"/>
        <w:gridCol w:w="109"/>
        <w:gridCol w:w="211"/>
        <w:gridCol w:w="437"/>
        <w:gridCol w:w="118"/>
        <w:gridCol w:w="109"/>
        <w:gridCol w:w="109"/>
        <w:gridCol w:w="109"/>
        <w:gridCol w:w="347"/>
        <w:gridCol w:w="720"/>
        <w:gridCol w:w="194"/>
        <w:gridCol w:w="109"/>
        <w:gridCol w:w="109"/>
        <w:gridCol w:w="109"/>
        <w:gridCol w:w="218"/>
        <w:gridCol w:w="470"/>
        <w:gridCol w:w="123"/>
        <w:gridCol w:w="109"/>
        <w:gridCol w:w="109"/>
        <w:gridCol w:w="109"/>
        <w:gridCol w:w="227"/>
        <w:gridCol w:w="471"/>
        <w:gridCol w:w="128"/>
        <w:gridCol w:w="109"/>
        <w:gridCol w:w="109"/>
        <w:gridCol w:w="109"/>
        <w:gridCol w:w="196"/>
        <w:gridCol w:w="421"/>
        <w:gridCol w:w="109"/>
        <w:gridCol w:w="109"/>
        <w:gridCol w:w="109"/>
        <w:gridCol w:w="109"/>
        <w:gridCol w:w="109"/>
        <w:gridCol w:w="109"/>
        <w:gridCol w:w="109"/>
        <w:gridCol w:w="109"/>
        <w:gridCol w:w="109"/>
        <w:gridCol w:w="109"/>
        <w:gridCol w:w="109"/>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89" w:type="dxa"/>
            <w:gridSpan w:val="39"/>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7889" w:type="dxa"/>
            <w:gridSpan w:val="39"/>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in the 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Products Sold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Services Sold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Selling, General and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Administrative Expenses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Expense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Interest and 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Financial Charges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pension and other postretirement benefit items</w:t>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losses recognized</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2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recognized</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(gains) on cash flow hedges</w:t>
            </w:r>
          </w:p>
        </w:tc>
        <w:tc>
          <w:tcPr>
            <w:tcW w:w="60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2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9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before tax</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2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1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9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12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0"/>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Tax expense (benefit)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0"/>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reclassifications for the period, net of tax</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9"/>
        <w:gridCol w:w="545"/>
        <w:gridCol w:w="546"/>
        <w:gridCol w:w="201"/>
        <w:gridCol w:w="417"/>
        <w:gridCol w:w="111"/>
        <w:gridCol w:w="109"/>
        <w:gridCol w:w="109"/>
        <w:gridCol w:w="109"/>
        <w:gridCol w:w="244"/>
        <w:gridCol w:w="507"/>
        <w:gridCol w:w="137"/>
        <w:gridCol w:w="109"/>
        <w:gridCol w:w="109"/>
        <w:gridCol w:w="109"/>
        <w:gridCol w:w="228"/>
        <w:gridCol w:w="473"/>
        <w:gridCol w:w="127"/>
        <w:gridCol w:w="109"/>
        <w:gridCol w:w="109"/>
        <w:gridCol w:w="109"/>
        <w:gridCol w:w="381"/>
        <w:gridCol w:w="792"/>
        <w:gridCol w:w="213"/>
        <w:gridCol w:w="109"/>
        <w:gridCol w:w="109"/>
        <w:gridCol w:w="109"/>
        <w:gridCol w:w="248"/>
        <w:gridCol w:w="535"/>
        <w:gridCol w:w="140"/>
        <w:gridCol w:w="109"/>
        <w:gridCol w:w="109"/>
        <w:gridCol w:w="109"/>
        <w:gridCol w:w="274"/>
        <w:gridCol w:w="568"/>
        <w:gridCol w:w="154"/>
        <w:gridCol w:w="109"/>
        <w:gridCol w:w="109"/>
        <w:gridCol w:w="109"/>
        <w:gridCol w:w="196"/>
        <w:gridCol w:w="421"/>
        <w:gridCol w:w="166"/>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95" w:type="dxa"/>
            <w:gridSpan w:val="39"/>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2023</w:t>
            </w:r>
          </w:p>
        </w:tc>
      </w:tr>
      <w:tr>
        <w:trPr/>
        <w:tc>
          <w:tcPr>
            <w:tcW w:w="1710" w:type="dxa"/>
            <w:gridSpan w:val="3"/>
            <w:vMerge w:val="continue"/>
            <w:tcBorders/>
            <w:tcMar>
              <w:top w:w="0" w:type="dxa"/>
              <w:left w:w="0" w:type="dxa"/>
              <w:bottom w:w="0" w:type="dxa"/>
              <w:right w:w="0" w:type="dxa"/>
            </w:tcMar>
            <w:vAlign w:val="center"/>
          </w:tcPr>
          <w:p>
            <w:pPr>
              <w:pStyle w:val="Normal"/>
              <w:bidi w:val="0"/>
              <w:jc w:val="left"/>
              <w:rPr/>
            </w:pPr>
            <w:r>
              <w:rPr/>
            </w:r>
          </w:p>
        </w:tc>
        <w:tc>
          <w:tcPr>
            <w:tcW w:w="8495" w:type="dxa"/>
            <w:gridSpan w:val="39"/>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in the Consolidated Statement of Operations</w:t>
            </w:r>
          </w:p>
        </w:tc>
      </w:tr>
      <w:tr>
        <w:trPr/>
        <w:tc>
          <w:tcPr>
            <w:tcW w:w="1710" w:type="dxa"/>
            <w:gridSpan w:val="3"/>
            <w:vMerge w:val="continue"/>
            <w:tcBorders/>
            <w:tcMar>
              <w:top w:w="0" w:type="dxa"/>
              <w:left w:w="0" w:type="dxa"/>
              <w:bottom w:w="0" w:type="dxa"/>
              <w:right w:w="0" w:type="dxa"/>
            </w:tcMar>
            <w:vAlign w:val="center"/>
          </w:tcPr>
          <w:p>
            <w:pPr>
              <w:pStyle w:val="Normal"/>
              <w:bidi w:val="0"/>
              <w:jc w:val="left"/>
              <w:rPr/>
            </w:pPr>
            <w:r>
              <w:rPr/>
            </w:r>
          </w:p>
        </w:tc>
        <w:tc>
          <w:tcPr>
            <w:tcW w:w="72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Products Sold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Cost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Services Sold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Selling, General and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Administrative Expenses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Expense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Interest and Other</w:t>
            </w:r>
          </w:p>
          <w:p>
            <w:pPr>
              <w:pStyle w:val="TableContents"/>
              <w:bidi w:val="0"/>
              <w:spacing w:lineRule="auto" w:line="240" w:before="0" w:after="0"/>
              <w:jc w:val="center"/>
              <w:rPr>
                <w:color w:val="000000"/>
              </w:rPr>
            </w:pPr>
            <w:r>
              <w:rPr>
                <w:color w:val="000000"/>
              </w:rPr>
              <w:t> </w:t>
            </w:r>
            <w:r>
              <w:rPr>
                <w:rFonts w:ascii="Arial;sans-serif" w:hAnsi="Arial;sans-serif"/>
                <w:b/>
                <w:color w:val="000000"/>
                <w:sz w:val="16"/>
              </w:rPr>
              <w:t>Financial Charges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1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pension and other postretirement benefit items</w:t>
            </w:r>
          </w:p>
        </w:tc>
        <w:tc>
          <w:tcPr>
            <w:tcW w:w="72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losses recognized</w:t>
            </w:r>
          </w:p>
        </w:tc>
        <w:tc>
          <w:tcPr>
            <w:tcW w:w="20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4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6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recognized</w:t>
            </w:r>
          </w:p>
        </w:tc>
        <w:tc>
          <w:tcPr>
            <w:tcW w:w="61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4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6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(gains) on cash flow hedges</w:t>
            </w:r>
          </w:p>
        </w:tc>
        <w:tc>
          <w:tcPr>
            <w:tcW w:w="61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11"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3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6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before tax</w:t>
            </w:r>
          </w:p>
        </w:tc>
        <w:tc>
          <w:tcPr>
            <w:tcW w:w="20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1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13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2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21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4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6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Tax expense (benefit)</w:t>
            </w:r>
          </w:p>
        </w:tc>
        <w:tc>
          <w:tcPr>
            <w:tcW w:w="72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6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2" w:type="dxa"/>
            <w:gridSpan w:val="30"/>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reclassifications for the period, net of tax</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6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NOTE 18. CAPITAL STOCK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authorized to issue up to 2.0 billion shares of common stock, with a par value of $1 per share. Common shareowners are entitled to receive such dividends as may be declared by the Board, are entitled to one vote per share, and are entitled, in the event of liquidation, to share ratably in all the assets of the Company which are available for distribution to the common shareowners. Common shareowners do not have preemptive or conversion rights. Shares of common stock issued and outstanding or held in treasury are not liable to further calls or assessments. There are no restrictions on the Company relative to dividends or the repurchase or redemption of common stock.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April 24, 2023, the Board authorized the repurchase of up to a total of $10.0 billion of Honeywell common stock. Approximately $1.7 billion remained available as of December 31, 2025, for additional share repurchases.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Total following table summarizes the Company's repurchases of common stock: </w:t>
      </w:r>
    </w:p>
    <w:tbl>
      <w:tblPr>
        <w:tblW w:w="10205" w:type="dxa"/>
        <w:jc w:val="left"/>
        <w:tblInd w:w="0" w:type="dxa"/>
        <w:tblLayout w:type="fixed"/>
        <w:tblCellMar>
          <w:top w:w="28" w:type="dxa"/>
          <w:left w:w="28" w:type="dxa"/>
          <w:bottom w:w="28" w:type="dxa"/>
          <w:right w:w="28" w:type="dxa"/>
        </w:tblCellMar>
      </w:tblPr>
      <w:tblGrid>
        <w:gridCol w:w="1295"/>
        <w:gridCol w:w="1139"/>
        <w:gridCol w:w="1142"/>
        <w:gridCol w:w="327"/>
        <w:gridCol w:w="327"/>
        <w:gridCol w:w="329"/>
        <w:gridCol w:w="109"/>
        <w:gridCol w:w="109"/>
        <w:gridCol w:w="109"/>
        <w:gridCol w:w="278"/>
        <w:gridCol w:w="278"/>
        <w:gridCol w:w="109"/>
        <w:gridCol w:w="109"/>
        <w:gridCol w:w="109"/>
        <w:gridCol w:w="109"/>
        <w:gridCol w:w="327"/>
        <w:gridCol w:w="327"/>
        <w:gridCol w:w="329"/>
        <w:gridCol w:w="109"/>
        <w:gridCol w:w="109"/>
        <w:gridCol w:w="109"/>
        <w:gridCol w:w="278"/>
        <w:gridCol w:w="278"/>
        <w:gridCol w:w="109"/>
        <w:gridCol w:w="109"/>
        <w:gridCol w:w="109"/>
        <w:gridCol w:w="109"/>
        <w:gridCol w:w="327"/>
        <w:gridCol w:w="327"/>
        <w:gridCol w:w="329"/>
        <w:gridCol w:w="109"/>
        <w:gridCol w:w="109"/>
        <w:gridCol w:w="109"/>
        <w:gridCol w:w="278"/>
        <w:gridCol w:w="278"/>
        <w:gridCol w:w="159"/>
      </w:tblGrid>
      <w:tr>
        <w:trPr/>
        <w:tc>
          <w:tcPr>
            <w:tcW w:w="129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629" w:type="dxa"/>
            <w:gridSpan w:val="33"/>
            <w:tcBorders>
              <w:bottom w:val="single" w:sz="4" w:space="0" w:color="D7282F"/>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5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975" w:type="dxa"/>
            <w:gridSpan w:val="9"/>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5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83"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br/>
              <w:t>(in millions)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br/>
              <w:t>(in millions)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br/>
              <w:t>(in millions)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5646" w:type="dxa"/>
            <w:gridSpan w:val="30"/>
            <w:tcBorders/>
          </w:tcPr>
          <w:p>
            <w:pPr>
              <w:pStyle w:val="TableContents"/>
              <w:bidi w:val="0"/>
              <w:spacing w:before="0" w:after="283"/>
              <w:jc w:val="left"/>
              <w:rPr>
                <w:sz w:val="4"/>
                <w:szCs w:val="4"/>
              </w:rPr>
            </w:pPr>
            <w:r>
              <w:rPr>
                <w:sz w:val="4"/>
                <w:szCs w:val="4"/>
              </w:rPr>
            </w:r>
          </w:p>
        </w:tc>
      </w:tr>
      <w:tr>
        <w:trPr/>
        <w:tc>
          <w:tcPr>
            <w:tcW w:w="3576" w:type="dxa"/>
            <w:gridSpan w:val="3"/>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Reacquired stock or repurchases of common stock</w:t>
            </w:r>
            <w:r>
              <w:rPr>
                <w:rFonts w:ascii="Arial;sans-serif" w:hAnsi="Arial;sans-serif"/>
                <w:b/>
                <w:color w:val="000000"/>
                <w:sz w:val="10"/>
              </w:rPr>
              <w:t>1</w:t>
            </w:r>
          </w:p>
        </w:tc>
        <w:tc>
          <w:tcPr>
            <w:tcW w:w="983" w:type="dxa"/>
            <w:gridSpan w:val="3"/>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18.1</w:t>
            </w:r>
          </w:p>
        </w:tc>
        <w:tc>
          <w:tcPr>
            <w:tcW w:w="327" w:type="dxa"/>
            <w:gridSpan w:val="3"/>
            <w:tcBorders>
              <w:top w:val="single" w:sz="4" w:space="0" w:color="D7282F"/>
              <w:bottom w:val="single" w:sz="4" w:space="0" w:color="EE27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EE27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327" w:type="dxa"/>
            <w:gridSpan w:val="3"/>
            <w:tcBorders>
              <w:top w:val="single" w:sz="4" w:space="0" w:color="D7282F"/>
              <w:bottom w:val="single" w:sz="4" w:space="0" w:color="EE27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1,672 </w:t>
            </w:r>
          </w:p>
        </w:tc>
        <w:tc>
          <w:tcPr>
            <w:tcW w:w="109" w:type="dxa"/>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EE27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327" w:type="dxa"/>
            <w:gridSpan w:val="3"/>
            <w:tcBorders>
              <w:top w:val="single" w:sz="4" w:space="0" w:color="D7282F"/>
              <w:bottom w:val="single" w:sz="4" w:space="0" w:color="EE2724"/>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3,715 </w:t>
            </w:r>
          </w:p>
        </w:tc>
        <w:tc>
          <w:tcPr>
            <w:tcW w:w="159" w:type="dxa"/>
            <w:tcBorders>
              <w:top w:val="single" w:sz="4" w:space="0" w:color="D7282F"/>
              <w:bottom w:val="single" w:sz="4" w:space="0" w:color="EE27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7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0"/>
        <w:gridCol w:w="890"/>
        <w:gridCol w:w="12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Includes excise tax on net share repurchases.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authorized to issue up to 40.0 million shares of preferred stock, without par value, and can determine the number of shares of each series, and the rights, preferences, and limitations of each series. At December 31, 2025, there was no preferred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22250"/>
                <wp:effectExtent l="0" t="0" r="0" b="0"/>
                <wp:wrapNone/>
                <wp:docPr id="145" name="Frame10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100    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NOTE 19. COMMITMENTS AND CONTINGENCIES </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ENVIRONMENTAL MATTERS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subject to various federal, state, local, and foreign government requirements relating to the protection of the environment. The Company believes that, as a general matter, the Company's policies, practices, and procedures are properly designed to prevent unreasonable risk of environmental damage and personal injury and that the handling, manufacture, use, and disposal of hazardous substances are in accordance with environmental and safety laws and regulations. However, mainly because of past operations and operations of predecessor companies, the Company, like other companies engaged in similar businesses, incurred remedial response and voluntary cleanup costs for site contamination and is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The Company expects to fund expenditures for these matters from operating cash flows.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information concerning the Company's recorded liabilities for environmental costs:</w:t>
      </w:r>
    </w:p>
    <w:tbl>
      <w:tblPr>
        <w:tblW w:w="8801" w:type="dxa"/>
        <w:jc w:val="left"/>
        <w:tblInd w:w="0" w:type="dxa"/>
        <w:tblLayout w:type="fixed"/>
        <w:tblCellMar>
          <w:top w:w="28" w:type="dxa"/>
          <w:left w:w="28" w:type="dxa"/>
          <w:bottom w:w="28" w:type="dxa"/>
          <w:right w:w="28" w:type="dxa"/>
        </w:tblCellMar>
      </w:tblPr>
      <w:tblGrid>
        <w:gridCol w:w="2125"/>
        <w:gridCol w:w="1871"/>
        <w:gridCol w:w="1883"/>
        <w:gridCol w:w="196"/>
        <w:gridCol w:w="436"/>
        <w:gridCol w:w="109"/>
        <w:gridCol w:w="109"/>
        <w:gridCol w:w="109"/>
        <w:gridCol w:w="109"/>
        <w:gridCol w:w="196"/>
        <w:gridCol w:w="436"/>
        <w:gridCol w:w="109"/>
        <w:gridCol w:w="109"/>
        <w:gridCol w:w="109"/>
        <w:gridCol w:w="109"/>
        <w:gridCol w:w="196"/>
        <w:gridCol w:w="436"/>
        <w:gridCol w:w="154"/>
      </w:tblGrid>
      <w:tr>
        <w:trPr/>
        <w:tc>
          <w:tcPr>
            <w:tcW w:w="212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879"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58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year</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for environmental matters deemed probable and reasonably estimable</w:t>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liability payments</w:t>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year</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586</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Environmental liabilities are included in the following balance sheet accounts:</w:t>
      </w:r>
    </w:p>
    <w:tbl>
      <w:tblPr>
        <w:tblW w:w="4313" w:type="dxa"/>
        <w:jc w:val="left"/>
        <w:tblInd w:w="0" w:type="dxa"/>
        <w:tblLayout w:type="fixed"/>
        <w:tblCellMar>
          <w:top w:w="28" w:type="dxa"/>
          <w:left w:w="28" w:type="dxa"/>
          <w:bottom w:w="28" w:type="dxa"/>
          <w:right w:w="28" w:type="dxa"/>
        </w:tblCellMar>
      </w:tblPr>
      <w:tblGrid>
        <w:gridCol w:w="888"/>
        <w:gridCol w:w="782"/>
        <w:gridCol w:w="789"/>
        <w:gridCol w:w="196"/>
        <w:gridCol w:w="436"/>
        <w:gridCol w:w="109"/>
        <w:gridCol w:w="109"/>
        <w:gridCol w:w="109"/>
        <w:gridCol w:w="109"/>
        <w:gridCol w:w="196"/>
        <w:gridCol w:w="436"/>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459"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45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environmental liabilities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conjunction with the Resideo spin-off, the Company entered into an indemnification and reimbursement agreement with a Resideo subsidiary, pursuant to which Resideo’s subsidiary had an ongoing obligation to make cash payments to Honeywell in amounts equal to 90% of Honeywell’s annual net spending for environmental matters at certain sites as defined in the agreement. As the Company incurred costs for environmental matters deemed probable and reasonably estimable related to the sites covered by the indemnification and reimbursement agreement, a corresponding receivable from Resideo for 90% of such costs was also recorded. The receivable amount recorded in 2024 was $202 million. As of December 31, 2024, Other current assets and Other assets included $140 million and $583 million, respectively, for the short-term and long-term portion of the receivable amount due from Resideo under the indemnification and reimbursement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amount payable to Honeywell in any given year was subject to a cap of $140 million, and the payment obligation was to continue until the earlier of December 31, 2043, or December 31 of the third consecutive year during which the annual payment obligation is less than $25 million. Reimbursements associated with this agreement were collected from Resideo quarterly and were $105 million and $140 million, respectively, in 2025 and 2024 and offset operating cash outflows incurred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22250"/>
                <wp:effectExtent l="0" t="0" r="0" b="0"/>
                <wp:wrapNone/>
                <wp:docPr id="146" name="Frame10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101    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The Company applied the one-time cash payment and the third quarter 2025 quarterly reimbursement payment against the outstanding receivable balance due from Resideo. The Company recognized a gain of $802 million in Other (income) expense for the cash proceeds received in excess of the receivables due from Resideo.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a result of the termination agreement, Resideo no longer has any obligation to make cash payments to Honeywell in respect of Honeywell's net spending for environmental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Also in 2025, the Company enhanced its process for estimating environmental liabilities at sites undergoing active remediation. By leveraging improved data availability and refining historical analytics, the Company implemented an improved methodology for estimating environmental liabilities related to actively managed environmental sites, resulting in an increase of the estimated environmental liabilities of $211 million. The Company does not currently possess sufficient additional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ASBESTOS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is named in asbestos-related personal injury claims related to North American Refractories Company (NARCO), which was sold in 1986, and the Bendix Friction Materials (Bendix) business, which was sold in 2014.</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tables summarize information concerning NARCO and Bendix asbestos-related balances: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ASBESTOS-RELATED LIABILITIES</w:t>
      </w:r>
    </w:p>
    <w:tbl>
      <w:tblPr>
        <w:tblW w:w="11601" w:type="dxa"/>
        <w:jc w:val="left"/>
        <w:tblInd w:w="0" w:type="dxa"/>
        <w:tblLayout w:type="fixed"/>
        <w:tblCellMar>
          <w:top w:w="28" w:type="dxa"/>
          <w:left w:w="28" w:type="dxa"/>
          <w:bottom w:w="28" w:type="dxa"/>
          <w:right w:w="28" w:type="dxa"/>
        </w:tblCellMar>
      </w:tblPr>
      <w:tblGrid>
        <w:gridCol w:w="762"/>
        <w:gridCol w:w="301"/>
        <w:gridCol w:w="303"/>
        <w:gridCol w:w="196"/>
        <w:gridCol w:w="571"/>
        <w:gridCol w:w="109"/>
        <w:gridCol w:w="109"/>
        <w:gridCol w:w="109"/>
        <w:gridCol w:w="109"/>
        <w:gridCol w:w="198"/>
        <w:gridCol w:w="411"/>
        <w:gridCol w:w="112"/>
        <w:gridCol w:w="109"/>
        <w:gridCol w:w="109"/>
        <w:gridCol w:w="109"/>
        <w:gridCol w:w="196"/>
        <w:gridCol w:w="571"/>
        <w:gridCol w:w="109"/>
        <w:gridCol w:w="109"/>
        <w:gridCol w:w="109"/>
        <w:gridCol w:w="109"/>
        <w:gridCol w:w="196"/>
        <w:gridCol w:w="571"/>
        <w:gridCol w:w="109"/>
        <w:gridCol w:w="109"/>
        <w:gridCol w:w="109"/>
        <w:gridCol w:w="109"/>
        <w:gridCol w:w="198"/>
        <w:gridCol w:w="411"/>
        <w:gridCol w:w="112"/>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2023</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Bendix</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NARCO</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Bendix</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NARCO</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Bendix</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NARCO</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year</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1,291</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2,616</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 for update to estimated liability</w:t>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estimated cost of future claims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Update of expected resolution values for pending claims</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Asbestos-related liability payments</w:t>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asbestos liabilities divestiture</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Liability divestiture transaction</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NARCO Buyout </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year</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1,644</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605" cy="14605"/>
                <wp:effectExtent l="0" t="0" r="0" b="0"/>
                <wp:wrapNone/>
                <wp:docPr id="147" name="Frame10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102    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INSURANCE RECOVERIES FOR ASBESTOS-RELATED LIABILITIES</w:t>
      </w:r>
    </w:p>
    <w:tbl>
      <w:tblPr>
        <w:tblW w:w="10641" w:type="dxa"/>
        <w:jc w:val="left"/>
        <w:tblInd w:w="0" w:type="dxa"/>
        <w:tblLayout w:type="fixed"/>
        <w:tblCellMar>
          <w:top w:w="28" w:type="dxa"/>
          <w:left w:w="28" w:type="dxa"/>
          <w:bottom w:w="28" w:type="dxa"/>
          <w:right w:w="28" w:type="dxa"/>
        </w:tblCellMar>
      </w:tblPr>
      <w:tblGrid>
        <w:gridCol w:w="747"/>
        <w:gridCol w:w="301"/>
        <w:gridCol w:w="303"/>
        <w:gridCol w:w="196"/>
        <w:gridCol w:w="436"/>
        <w:gridCol w:w="109"/>
        <w:gridCol w:w="109"/>
        <w:gridCol w:w="109"/>
        <w:gridCol w:w="109"/>
        <w:gridCol w:w="217"/>
        <w:gridCol w:w="383"/>
        <w:gridCol w:w="121"/>
        <w:gridCol w:w="109"/>
        <w:gridCol w:w="109"/>
        <w:gridCol w:w="109"/>
        <w:gridCol w:w="196"/>
        <w:gridCol w:w="436"/>
        <w:gridCol w:w="109"/>
        <w:gridCol w:w="109"/>
        <w:gridCol w:w="109"/>
        <w:gridCol w:w="109"/>
        <w:gridCol w:w="196"/>
        <w:gridCol w:w="436"/>
        <w:gridCol w:w="109"/>
        <w:gridCol w:w="109"/>
        <w:gridCol w:w="109"/>
        <w:gridCol w:w="109"/>
        <w:gridCol w:w="217"/>
        <w:gridCol w:w="383"/>
        <w:gridCol w:w="121"/>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 2023</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Bendix</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NARCO</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Bendix</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NARCO</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Bendix</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NARCO</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year</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12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12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Probable insurance recoveries related to estimated liability</w:t>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receipts for asbestos-related liabilities</w:t>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2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receivables settlements and write-offs</w:t>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Liability divestiture transaction</w:t>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9395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year</w:t>
            </w:r>
          </w:p>
        </w:tc>
        <w:tc>
          <w:tcPr>
            <w:tcW w:w="196" w:type="dxa"/>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83"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121"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109" w:type="dxa"/>
            <w:tcBorders>
              <w:top w:val="single" w:sz="4" w:space="0" w:color="D7282F"/>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09"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83"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121"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w:t>
            </w:r>
            <w:r>
              <w:rPr>
                <w:color w:val="000000"/>
              </w:rPr>
              <w:t> </w:t>
            </w:r>
          </w:p>
        </w:tc>
        <w:tc>
          <w:tcPr>
            <w:tcW w:w="109"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109"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109"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bottom w:val="single" w:sz="4" w:space="0" w:color="DC202E"/>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w:t>
            </w:r>
            <w:r>
              <w:rPr>
                <w:color w:val="000000"/>
              </w:rPr>
              <w:t> </w:t>
            </w:r>
          </w:p>
        </w:tc>
        <w:tc>
          <w:tcPr>
            <w:tcW w:w="154" w:type="dxa"/>
            <w:tcBorders>
              <w:top w:val="single" w:sz="4" w:space="0" w:color="DC202E"/>
              <w:bottom w:val="single" w:sz="4" w:space="0" w:color="DC202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NARCO and Bendix asbestos-related balances are included in the following balance sheet accounts:</w:t>
      </w:r>
    </w:p>
    <w:tbl>
      <w:tblPr>
        <w:tblW w:w="6548" w:type="dxa"/>
        <w:jc w:val="left"/>
        <w:tblInd w:w="0" w:type="dxa"/>
        <w:tblLayout w:type="fixed"/>
        <w:tblCellMar>
          <w:top w:w="28" w:type="dxa"/>
          <w:left w:w="28" w:type="dxa"/>
          <w:bottom w:w="28" w:type="dxa"/>
          <w:right w:w="28" w:type="dxa"/>
        </w:tblCellMar>
      </w:tblPr>
      <w:tblGrid>
        <w:gridCol w:w="1663"/>
        <w:gridCol w:w="1455"/>
        <w:gridCol w:w="1471"/>
        <w:gridCol w:w="196"/>
        <w:gridCol w:w="406"/>
        <w:gridCol w:w="109"/>
        <w:gridCol w:w="109"/>
        <w:gridCol w:w="109"/>
        <w:gridCol w:w="109"/>
        <w:gridCol w:w="196"/>
        <w:gridCol w:w="571"/>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589"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5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assets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insurance recoveries for asbestos-related liabilities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Asbestos-related liabilities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asbestos-related liabilities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1,482</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i/>
          <w:color w:val="000000"/>
          <w:sz w:val="18"/>
        </w:rPr>
        <w:t>NARCO Products</w:t>
      </w:r>
      <w:r>
        <w:rPr>
          <w:color w:val="000000"/>
        </w:rPr>
        <w:t xml:space="preserve"> – </w:t>
      </w:r>
      <w:r>
        <w:rPr>
          <w:rFonts w:ascii="Arial;sans-serif" w:hAnsi="Arial;sans-serif"/>
          <w:b w:val="false"/>
          <w:color w:val="000000"/>
          <w:sz w:val="18"/>
        </w:rPr>
        <w:t>NARCO manufactured high-grade, heat-resistant, refractory products for various industries. Honeywell’s predecessor, Allied 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22250"/>
                <wp:effectExtent l="0" t="0" r="0" b="0"/>
                <wp:wrapNone/>
                <wp:docPr id="148" name="Frame10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103    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December 14, 2022, HWI, the reorganized and renamed entity that emerged from the NARCO bankruptcy, entered into a definitive agreement (Sale Agreement) pursuant to which an affiliate of Platinum Equity, LLC agreed to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January 30, 2023, the Company paid the Buyout Amount to the Trust, the parties closed the transactions contemplated in the Amended Buyout Agreement (Closing), and Honeywell was released from the Honeywell Obligations. Honeywell continues to have the right to collect proceeds in connection with its NARCO asbestos-related insurance policies.</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pStyle w:val="TextBody"/>
        <w:bidi w:val="0"/>
        <w:spacing w:lineRule="auto" w:line="288" w:before="12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On February 16, 2023, the HWI Sale closed. Pursuant to the Amended Buyout Agreement, during 2025, 2024 and 2023, Honeywell received $2 million, $3 million and $275 million of proceeds from the HWI sale, respectively.</w:t>
      </w:r>
    </w:p>
    <w:p>
      <w:pPr>
        <w:pStyle w:val="TextBody"/>
        <w:bidi w:val="0"/>
        <w:spacing w:lineRule="auto" w:line="288" w:before="120" w:after="120"/>
        <w:jc w:val="both"/>
        <w:rPr/>
      </w:pPr>
      <w:r>
        <w:rPr>
          <w:rFonts w:ascii="Arial;sans-serif" w:hAnsi="Arial;sans-serif"/>
          <w:b/>
          <w:i/>
          <w:color w:val="000000"/>
          <w:sz w:val="18"/>
        </w:rPr>
        <w:t>Bendix Products</w:t>
      </w:r>
      <w:r>
        <w:rPr>
          <w:color w:val="000000"/>
        </w:rPr>
        <w:t xml:space="preserve"> – </w:t>
      </w:r>
      <w:r>
        <w:rPr>
          <w:rFonts w:ascii="Arial;sans-serif" w:hAnsi="Arial;sans-serif"/>
          <w:b w:val="false"/>
          <w:color w:val="000000"/>
          <w:sz w:val="18"/>
        </w:rPr>
        <w:t>Bendix manufactured automotive brake linings that contained chrysotile asbestos in an encapsulated form. Claimants consist largely of individuals who allege exposure to asbestos from brakes from either performing or being in the vicinity of individuals who performed brake replacements.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2024, the Consolidated Financial Statements reflected an estimated liability for resolution of asserted (claims filed as of the financial statement date) and unasserted Bendix-related asbestos claims, which excluded the Company’s ongoing legal fees to defend such asbestos claims which will continue to be expensed as they are incurred.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reflected the inclusion of all years of epidemiological disease projection through 2059 when estimating the liability for unasserted Bendix-related asbestos claims. Such liability for unasserted Bendix-related asbestos claims was based on historic and anticipated claims filing experience and dismissal rates, disease classifications, and average resolution values in the tort system over a defined look-back period. The Company valued Bendix asserted and unasserted claims using average resolution values for the previous two years. The Company reviewed the valuation assumptions and average resolution values used to estimate the cost of Bendix asserted and unasserted claims during the fourth quarter each year.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2023, the Company recognized a $522 million expense and corresponding adjustment to its estimated liability for Bendix asbestos-related claims. This amount included $434 million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Liability Divestiture Transaction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September 29, 2025, the Company permanently divested all of its legacy Bendix asbestos liabilities and certain non-Bendix asbestos liabilities, contributing cash and transferring asbestos liabilities to a third party entity. As part of the agreement, the Company will be indemnified from future asbestos claims. Under the terms of the agreement, the Company contributed $1,428 million in cash and derecognized $1,526 million of asbestos liabilities and $98 million of related insurance assets. Included in the Company's 2025 results is a pre-tax loss on settlement of the divestiture of $148 million, which was recorded in Cost of products and services sold in the Consolidated Statement of Operations.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SEC MATTER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cooperating with a formal investigation by the SEC which is focused on certain financial reporting matters, including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22250"/>
                <wp:effectExtent l="0" t="0" r="0" b="0"/>
                <wp:wrapNone/>
                <wp:docPr id="149" name="Frame10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104    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PETROBRAS AND UNAOIL MATTERS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 comprehensive resolution, (i) the Company agreed to pay a total equivalent of $203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 In July 2025, the DOJ filed, and the court granted, a motion for early termination of the DPA, and the deferred charges related to the UOP Matters have been dismissed with prejudice.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LITIGATION MATTERS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 xml:space="preserve">Flexjet v. Honeywell International Inc.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Flexjet, LLC (Flexjet) provides private jet services to customers. Honeywell maintains aircraft engine maintenance service contracts with Flexjet. During the COVID-19 pandemic, a customer dispute arose over delayed engine deliveries and specified engine enrollments under these maintenance service contracts. In 2021, the Company notified Flexjet that it was invoking force majeure provisions in response to the pandemic. On March 1, 2023, Flexjet brought suit against the Company, alleging breach of the parties’ aircraft engine maintenance service agreement (the MSA), seeking liquidated damages for delayed engine repairs, and claiming that its liquidated damages continue to accrue related to engines awaiting repair. Additionally, two third-party aircraft repair and services companies, Duncan Aviation, Inc. (Duncan) and StandardAero Business Aviation Services, LLC (StandardAero) each sued Flexjet for amounts allegedly owed for services provided, and Flexjet filed third-party complaints in those cases on January 10, 2025 and June 10, 2025, respectively, purporting to join the Company as a third-party defendant.</w:t>
      </w:r>
    </w:p>
    <w:p>
      <w:pPr>
        <w:pStyle w:val="TextBody"/>
        <w:bidi w:val="0"/>
        <w:spacing w:lineRule="auto" w:line="288" w:before="0" w:after="120"/>
        <w:jc w:val="both"/>
        <w:rPr/>
      </w:pPr>
      <w:r>
        <w:rPr>
          <w:rFonts w:ascii="Arial;sans-serif" w:hAnsi="Arial;sans-serif"/>
          <w:b w:val="false"/>
          <w:color w:val="000000"/>
          <w:sz w:val="18"/>
        </w:rPr>
        <w:t xml:space="preserve">The Company recorded accruals in accordance with ASC 450, </w:t>
      </w:r>
      <w:r>
        <w:rPr>
          <w:rFonts w:ascii="Arial;sans-serif" w:hAnsi="Arial;sans-serif"/>
          <w:b w:val="false"/>
          <w:i/>
          <w:color w:val="000000"/>
          <w:sz w:val="18"/>
        </w:rPr>
        <w:t>Contingencies</w:t>
      </w:r>
      <w:r>
        <w:rPr>
          <w:rFonts w:ascii="Arial;sans-serif" w:hAnsi="Arial;sans-serif"/>
          <w:b w:val="false"/>
          <w:color w:val="000000"/>
          <w:sz w:val="18"/>
        </w:rPr>
        <w:t>, with respect to the Flexjet-related matters. In December 2025, the Company announced it was in ongoing settlement negotiations with Flexjet and the other parties to the litigation matters. Based on negotiations as of December 22, 2025, the Company increased the accrual for this matter by approximately $370 million in the fourth quarter of 2025, which resulted in a reduction to sales and operating income by approximately $310 million and $370 million, respectively.</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January 16, 2026, the Company completed a comprehensive settlement relating to its lawsuit with Flexjet. As part of this comprehensive settlement, the Company entered into settlement agreements with Duncan, StandardAero, and Flexjet. As of January 21, 2026, each of these cases have been dismissed. These settlements resolve all legal disputes among the parties arising out of the alleged breach of the MSA.</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connection with these settlements, the Company paid $59 million in December 2025 associated with the Duncan and StandardAero settlements. The Company paid $375 million in the first quarter of 2026 associated with a settlement payment to Flexjet.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Contemporaneous with the Company’s entry into the settlement agreement with Flexjet, Flexjet and Honeywell amended the MSA to extend the term through 2035.</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OTHER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subject to a number of other lawsuits, investigations, and claims (some of which involve substantial dollar amounts) arising out of the conduct of the its business operations or those of previously 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 plans, intellectual property, legal,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22250"/>
                <wp:effectExtent l="0" t="0" r="0" b="0"/>
                <wp:wrapNone/>
                <wp:docPr id="150" name="Frame10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105    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Given the uncertainty inherent in litigation and investigations, including those discussed in this Note 19,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changes in assumptions or changes in settlement strategy, which could cause the Company to pay damage awards or settlements (or become subject to equitable remedies) that could have a material adverse effect on the Company's consolidated results of operations or operating cash flows in the periods recognized or paid.</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 xml:space="preserve">WARRANTIES AND GUARANTEES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normal course of business, the Company issues product warranties and product performance guarantees. The Company accrues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the Company's recorded obligations for product warranties and product performance guarantees:</w:t>
      </w:r>
    </w:p>
    <w:tbl>
      <w:tblPr>
        <w:tblW w:w="7271" w:type="dxa"/>
        <w:jc w:val="left"/>
        <w:tblInd w:w="0" w:type="dxa"/>
        <w:tblLayout w:type="fixed"/>
        <w:tblCellMar>
          <w:top w:w="28" w:type="dxa"/>
          <w:left w:w="28" w:type="dxa"/>
          <w:bottom w:w="28" w:type="dxa"/>
          <w:right w:w="28" w:type="dxa"/>
        </w:tblCellMar>
      </w:tblPr>
      <w:tblGrid>
        <w:gridCol w:w="1572"/>
        <w:gridCol w:w="1384"/>
        <w:gridCol w:w="1393"/>
        <w:gridCol w:w="196"/>
        <w:gridCol w:w="436"/>
        <w:gridCol w:w="109"/>
        <w:gridCol w:w="109"/>
        <w:gridCol w:w="109"/>
        <w:gridCol w:w="109"/>
        <w:gridCol w:w="196"/>
        <w:gridCol w:w="436"/>
        <w:gridCol w:w="109"/>
        <w:gridCol w:w="109"/>
        <w:gridCol w:w="109"/>
        <w:gridCol w:w="109"/>
        <w:gridCol w:w="196"/>
        <w:gridCol w:w="436"/>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year</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for warranties/guarantees issued during the year</w:t>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of pre-existing warranties/guarantees</w:t>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warranty/guarantee claims</w:t>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Reclassifications to Liabilities held for sale</w:t>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year</w:t>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Product warranties and product performance guarantees are included in the following balance sheet accounts:</w:t>
      </w:r>
    </w:p>
    <w:tbl>
      <w:tblPr>
        <w:tblW w:w="8139" w:type="dxa"/>
        <w:jc w:val="left"/>
        <w:tblInd w:w="0" w:type="dxa"/>
        <w:tblLayout w:type="fixed"/>
        <w:tblCellMar>
          <w:top w:w="28" w:type="dxa"/>
          <w:left w:w="28" w:type="dxa"/>
          <w:bottom w:w="28" w:type="dxa"/>
          <w:right w:w="28" w:type="dxa"/>
        </w:tblCellMar>
      </w:tblPr>
      <w:tblGrid>
        <w:gridCol w:w="2270"/>
        <w:gridCol w:w="1998"/>
        <w:gridCol w:w="2017"/>
        <w:gridCol w:w="196"/>
        <w:gridCol w:w="436"/>
        <w:gridCol w:w="109"/>
        <w:gridCol w:w="109"/>
        <w:gridCol w:w="109"/>
        <w:gridCol w:w="109"/>
        <w:gridCol w:w="196"/>
        <w:gridCol w:w="436"/>
        <w:gridCol w:w="154"/>
      </w:tblGrid>
      <w:tr>
        <w:trPr/>
        <w:tc>
          <w:tcPr>
            <w:tcW w:w="2270"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6285"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28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obligations for product warranties and product performance guarantees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20. PENSION AND OTHER POSTRETIREMENT BENEFITS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sponsors a number of both funded and unfunded U.S. and non-U.S. defined benefit pension plans. Pension benefits for many of the Company's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The Company also sponsors defined benefit pension plans which cover non-U.S. employees who are not U.S. citizens, in certain jurisdictions, principally the UK, Germany, and Canada. Other pension plans outside of the U.S. are not material to the Company either individually or in the aggregate.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the Company's exposure to the impact of future health care cost increases. The retiree medical and life insurance plans are not funded. Claims and expenses are paid from the Company's cash flows from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 completion of the October 30, 2025 spin-off of the Advanced Materials business, approximately $177 million of pension benefit obligations and $150 million of plan assets for certain pension plans were transferred to Solstice, which is treated as a discontinued operation. These are reflected as "Transfers to Solstice"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22250"/>
                <wp:effectExtent l="0" t="0" r="0" b="0"/>
                <wp:wrapNone/>
                <wp:docPr id="151" name="Frame10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106    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following tables summarize the balance sheet impact, including the benefit obligations, assets, and funded status associated with the Company's significant pension and other postretirement benefit plans:</w:t>
      </w:r>
    </w:p>
    <w:tbl>
      <w:tblPr>
        <w:tblW w:w="10205" w:type="dxa"/>
        <w:jc w:val="left"/>
        <w:tblInd w:w="0" w:type="dxa"/>
        <w:tblLayout w:type="fixed"/>
        <w:tblCellMar>
          <w:top w:w="28" w:type="dxa"/>
          <w:left w:w="28" w:type="dxa"/>
          <w:bottom w:w="28" w:type="dxa"/>
          <w:right w:w="28" w:type="dxa"/>
        </w:tblCellMar>
      </w:tblPr>
      <w:tblGrid>
        <w:gridCol w:w="1976"/>
        <w:gridCol w:w="1727"/>
        <w:gridCol w:w="1742"/>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55"/>
      </w:tblGrid>
      <w:tr>
        <w:trPr/>
        <w:tc>
          <w:tcPr>
            <w:tcW w:w="197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vMerge w:val="restart"/>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4605"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vMerge w:val="continue"/>
            <w:tcBorders>
              <w:bottom w:val="single" w:sz="4" w:space="0" w:color="D7282F"/>
            </w:tcBorders>
            <w:tcMar>
              <w:top w:w="0" w:type="dxa"/>
              <w:left w:w="0" w:type="dxa"/>
              <w:bottom w:w="30" w:type="dxa"/>
              <w:right w:w="0" w:type="dxa"/>
            </w:tcMar>
            <w:vAlign w:val="center"/>
          </w:tcPr>
          <w:p>
            <w:pPr>
              <w:pStyle w:val="Normal"/>
              <w:bidi w:val="0"/>
              <w:jc w:val="left"/>
              <w:rPr/>
            </w:pPr>
            <w:r>
              <w:rPr/>
            </w:r>
          </w:p>
        </w:tc>
        <w:tc>
          <w:tcPr>
            <w:tcW w:w="2229" w:type="dxa"/>
            <w:gridSpan w:val="9"/>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vMerge w:val="continue"/>
            <w:tcBorders>
              <w:bottom w:val="single" w:sz="4" w:space="0" w:color="D7282F"/>
            </w:tcBorders>
            <w:tcMar>
              <w:top w:w="0" w:type="dxa"/>
              <w:left w:w="0" w:type="dxa"/>
              <w:bottom w:w="30" w:type="dxa"/>
              <w:right w:w="0" w:type="dxa"/>
            </w:tcMar>
            <w:vAlign w:val="center"/>
          </w:tcPr>
          <w:p>
            <w:pPr>
              <w:pStyle w:val="Normal"/>
              <w:bidi w:val="0"/>
              <w:jc w:val="left"/>
              <w:rPr/>
            </w:pPr>
            <w:r>
              <w:rPr/>
            </w:r>
          </w:p>
        </w:tc>
        <w:tc>
          <w:tcPr>
            <w:tcW w:w="95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benefit obligation</w:t>
            </w:r>
          </w:p>
        </w:tc>
        <w:tc>
          <w:tcPr>
            <w:tcW w:w="9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at beginning of year</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amendments</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Actuarial (gains) losses</w:t>
            </w:r>
            <w:r>
              <w:rPr>
                <w:rFonts w:ascii="Arial;sans-serif" w:hAnsi="Arial;sans-serif"/>
                <w:b w:val="false"/>
                <w:color w:val="000000"/>
                <w:sz w:val="10"/>
              </w:rPr>
              <w:t>1</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 and curtailments</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Transfers to Solstice</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Benefit obligation at end of year</w:t>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11,775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11,772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4,161</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Discontinued operations</w:t>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Benefit obligation - continuing operations</w:t>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11,775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11,666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4,106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plan assets</w:t>
            </w:r>
          </w:p>
        </w:tc>
        <w:tc>
          <w:tcPr>
            <w:tcW w:w="9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 at beginning of year</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Company contributions</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 and curtailments</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 to Solstice</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plan assets at end of year</w:t>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16,173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16,565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4,569</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Discontinued operations</w:t>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Fair value of plan assets at end of year - continuing operations</w:t>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16,173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16,416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4,569</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Funded status of plans - continuing operations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4,750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 (liabilities) recognized in the Consolidated Balance Sheet consist of</w:t>
            </w:r>
          </w:p>
        </w:tc>
        <w:tc>
          <w:tcPr>
            <w:tcW w:w="9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Prepaid pension benefit cost</w:t>
            </w:r>
            <w:r>
              <w:rPr>
                <w:rFonts w:ascii="Arial;sans-serif" w:hAnsi="Arial;sans-serif"/>
                <w:b w:val="false"/>
                <w:color w:val="000000"/>
                <w:sz w:val="10"/>
              </w:rPr>
              <w:t>2</w:t>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Accrued pension liabilities—current</w:t>
            </w:r>
            <w:r>
              <w:rPr>
                <w:rFonts w:ascii="Arial;sans-serif" w:hAnsi="Arial;sans-serif"/>
                <w:b w:val="false"/>
                <w:color w:val="000000"/>
                <w:sz w:val="10"/>
              </w:rPr>
              <w:t>3</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Accrued pension liabilities—noncurrent</w:t>
            </w:r>
            <w:r>
              <w:rPr>
                <w:rFonts w:ascii="Arial;sans-serif" w:hAnsi="Arial;sans-serif"/>
                <w:b w:val="false"/>
                <w:color w:val="000000"/>
                <w:sz w:val="10"/>
              </w:rPr>
              <w:t>4</w:t>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amount recognized - continuing operations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4,750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amount recognized - discontinued operations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Arial;sans-serif" w:hAnsi="Arial;sans-serif"/>
                <w:b w:val="false"/>
                <w:color w:val="000000"/>
                <w:sz w:val="14"/>
              </w:rPr>
            </w:pPr>
            <w:r>
              <w:rPr>
                <w:rFonts w:ascii="Arial;sans-serif" w:hAnsi="Arial;sans-serif"/>
                <w:b w:val="false"/>
                <w:color w:val="000000"/>
                <w:sz w:val="14"/>
              </w:rPr>
              <w:t>The actuarial losses incurred in 2025 related to the Company's U.S. plans are primarily the result of a decrease in the discount rate assumption, as well as changes in the lump sum calculation basis and experience losses used to estimate the benefit obligations as of December 31, 2025, compared to December 31, 2024. Actuarial losses incurred in 2025 related to the Company's non-U.S. plans are primarily the result of the Netherlands plan settlement, as well as experience losses and changes in demographic assumptions, partially offset by an increase in discount rate assumption and inflation related assumptions used to estimate the benefit obligations as of December 31, 2025, compared to December 31, 2024. Actuarial gains incurred in 2024 related to the Company's U.S. plans are primarily the result of an increase in the discount rate assumption, as well as changes in demographic assumptions, partially offset by changes in demographic experience used to estimate the benefit obligations as of December 31, 2024, compared to December 31, 2023. Actuarial gains incurred in 2024 related to the Company's non-U.S. plans are primarily the result of an increase in the discount rate assumption, as well as changes in demographic assumptions, partially offset by inflation related assumptions and changes in demographic experience used to estimate the benefit obligations as of December 31, 2024, compared to December 31,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Included in Other assets in the Consolidated Balance Sheet.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Included in Accrued liabilities in the Consolidated Balance Sheet.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Included in Other liabilities in the Consolidated Balance Sheet.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22250"/>
                <wp:effectExtent l="0" t="0" r="0" b="0"/>
                <wp:wrapNone/>
                <wp:docPr id="152" name="Frame10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107    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6699" w:type="dxa"/>
        <w:jc w:val="left"/>
        <w:tblInd w:w="0" w:type="dxa"/>
        <w:tblLayout w:type="fixed"/>
        <w:tblCellMar>
          <w:top w:w="28" w:type="dxa"/>
          <w:left w:w="28" w:type="dxa"/>
          <w:bottom w:w="28" w:type="dxa"/>
          <w:right w:w="28" w:type="dxa"/>
        </w:tblCellMar>
      </w:tblPr>
      <w:tblGrid>
        <w:gridCol w:w="1769"/>
        <w:gridCol w:w="1553"/>
        <w:gridCol w:w="1568"/>
        <w:gridCol w:w="196"/>
        <w:gridCol w:w="406"/>
        <w:gridCol w:w="109"/>
        <w:gridCol w:w="109"/>
        <w:gridCol w:w="109"/>
        <w:gridCol w:w="109"/>
        <w:gridCol w:w="196"/>
        <w:gridCol w:w="421"/>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Postretirement</w:t>
              <w:br/>
              <w:t>Benefits</w:t>
            </w:r>
          </w:p>
        </w:tc>
      </w:tr>
      <w:tr>
        <w:trPr/>
        <w:tc>
          <w:tcPr>
            <w:tcW w:w="4890"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8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benefit obligation</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at beginning of year</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Benefit obligation at end of year</w:t>
            </w:r>
          </w:p>
        </w:tc>
        <w:tc>
          <w:tcPr>
            <w:tcW w:w="60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plan assets</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 at beginning of year</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Company contributions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Benefits paid</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plan assets at end of year</w:t>
            </w:r>
          </w:p>
        </w:tc>
        <w:tc>
          <w:tcPr>
            <w:tcW w:w="60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Funded status of plans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recognized in the Consolidated Balance Sheet consist of</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6"/>
              </w:rPr>
              <w:t>Postretirement benefit obligations other than pensions</w:t>
            </w:r>
            <w:r>
              <w:rPr>
                <w:rFonts w:ascii="Arial;sans-serif" w:hAnsi="Arial;sans-serif"/>
                <w:b w:val="false"/>
                <w:color w:val="000000"/>
                <w:sz w:val="10"/>
              </w:rPr>
              <w:t>1</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amount recognized</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21"/>
        <w:gridCol w:w="1921"/>
        <w:gridCol w:w="2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4"/>
              </w:rPr>
            </w:pPr>
            <w:r>
              <w:rPr>
                <w:rFonts w:ascii="Arial;sans-serif" w:hAnsi="Arial;sans-serif"/>
                <w:b w:val="false"/>
                <w:color w:val="000000"/>
                <w:sz w:val="14"/>
              </w:rPr>
              <w:t>Excludes non-U.S. plan of $24 million and $25 million as of December 31, 2025, and 2024,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Amounts recognized in Accumulated other comprehensive loss associated with the Company's significant pension and other postretirement benefit plans at December 31, 2025, and 2024, are as follows:</w:t>
      </w:r>
    </w:p>
    <w:tbl>
      <w:tblPr>
        <w:tblW w:w="6105" w:type="dxa"/>
        <w:jc w:val="left"/>
        <w:tblInd w:w="0" w:type="dxa"/>
        <w:tblLayout w:type="fixed"/>
        <w:tblCellMar>
          <w:top w:w="28" w:type="dxa"/>
          <w:left w:w="28" w:type="dxa"/>
          <w:bottom w:w="28" w:type="dxa"/>
          <w:right w:w="28" w:type="dxa"/>
        </w:tblCellMar>
      </w:tblPr>
      <w:tblGrid>
        <w:gridCol w:w="716"/>
        <w:gridCol w:w="629"/>
        <w:gridCol w:w="635"/>
        <w:gridCol w:w="196"/>
        <w:gridCol w:w="571"/>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25"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r>
      <w:tr>
        <w:trPr/>
        <w:tc>
          <w:tcPr>
            <w:tcW w:w="1980" w:type="dxa"/>
            <w:gridSpan w:val="3"/>
            <w:vMerge w:val="continue"/>
            <w:tcBorders/>
            <w:tcMar>
              <w:top w:w="0" w:type="dxa"/>
              <w:left w:w="0" w:type="dxa"/>
              <w:bottom w:w="0" w:type="dxa"/>
              <w:right w:w="0" w:type="dxa"/>
            </w:tcMar>
            <w:vAlign w:val="center"/>
          </w:tcPr>
          <w:p>
            <w:pPr>
              <w:pStyle w:val="Normal"/>
              <w:bidi w:val="0"/>
              <w:jc w:val="left"/>
              <w:rPr/>
            </w:pPr>
            <w:r>
              <w:rPr/>
            </w:r>
          </w:p>
        </w:tc>
        <w:tc>
          <w:tcPr>
            <w:tcW w:w="1944" w:type="dxa"/>
            <w:gridSpan w:val="9"/>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1980"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98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cost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 loss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amount recognized</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1,613</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774" w:type="dxa"/>
        <w:jc w:val="left"/>
        <w:tblInd w:w="0" w:type="dxa"/>
        <w:tblLayout w:type="fixed"/>
        <w:tblCellMar>
          <w:top w:w="28" w:type="dxa"/>
          <w:left w:w="28" w:type="dxa"/>
          <w:bottom w:w="28" w:type="dxa"/>
          <w:right w:w="28" w:type="dxa"/>
        </w:tblCellMar>
      </w:tblPr>
      <w:tblGrid>
        <w:gridCol w:w="716"/>
        <w:gridCol w:w="629"/>
        <w:gridCol w:w="635"/>
        <w:gridCol w:w="196"/>
        <w:gridCol w:w="406"/>
        <w:gridCol w:w="109"/>
        <w:gridCol w:w="109"/>
        <w:gridCol w:w="109"/>
        <w:gridCol w:w="109"/>
        <w:gridCol w:w="196"/>
        <w:gridCol w:w="40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Postretirement</w:t>
              <w:br/>
              <w:t>Benefits</w:t>
            </w:r>
          </w:p>
        </w:tc>
      </w:tr>
      <w:tr>
        <w:trPr/>
        <w:tc>
          <w:tcPr>
            <w:tcW w:w="1980"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98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cost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 loss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amount recognized</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22250"/>
                <wp:effectExtent l="0" t="0" r="0" b="0"/>
                <wp:wrapNone/>
                <wp:docPr id="153" name="Frame1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108    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periodic benefit (income) cost and other amounts recognized in Other comprehensive (income) loss for the Company's significant pension and other postretirement benefit plans include the following components:</w:t>
      </w:r>
    </w:p>
    <w:tbl>
      <w:tblPr>
        <w:tblW w:w="10205" w:type="dxa"/>
        <w:jc w:val="left"/>
        <w:tblInd w:w="0" w:type="dxa"/>
        <w:tblLayout w:type="fixed"/>
        <w:tblCellMar>
          <w:top w:w="28" w:type="dxa"/>
          <w:left w:w="28" w:type="dxa"/>
          <w:bottom w:w="28" w:type="dxa"/>
          <w:right w:w="28" w:type="dxa"/>
        </w:tblCellMar>
      </w:tblPr>
      <w:tblGrid>
        <w:gridCol w:w="1537"/>
        <w:gridCol w:w="1319"/>
        <w:gridCol w:w="1325"/>
        <w:gridCol w:w="196"/>
        <w:gridCol w:w="491"/>
        <w:gridCol w:w="109"/>
        <w:gridCol w:w="109"/>
        <w:gridCol w:w="109"/>
        <w:gridCol w:w="109"/>
        <w:gridCol w:w="196"/>
        <w:gridCol w:w="491"/>
        <w:gridCol w:w="109"/>
        <w:gridCol w:w="109"/>
        <w:gridCol w:w="109"/>
        <w:gridCol w:w="109"/>
        <w:gridCol w:w="196"/>
        <w:gridCol w:w="491"/>
        <w:gridCol w:w="109"/>
        <w:gridCol w:w="109"/>
        <w:gridCol w:w="109"/>
        <w:gridCol w:w="109"/>
        <w:gridCol w:w="196"/>
        <w:gridCol w:w="346"/>
        <w:gridCol w:w="109"/>
        <w:gridCol w:w="109"/>
        <w:gridCol w:w="109"/>
        <w:gridCol w:w="109"/>
        <w:gridCol w:w="196"/>
        <w:gridCol w:w="346"/>
        <w:gridCol w:w="109"/>
        <w:gridCol w:w="109"/>
        <w:gridCol w:w="109"/>
        <w:gridCol w:w="109"/>
        <w:gridCol w:w="196"/>
        <w:gridCol w:w="346"/>
        <w:gridCol w:w="157"/>
      </w:tblGrid>
      <w:tr>
        <w:trPr/>
        <w:tc>
          <w:tcPr>
            <w:tcW w:w="15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3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r>
      <w:tr>
        <w:trPr/>
        <w:tc>
          <w:tcPr>
            <w:tcW w:w="4181" w:type="dxa"/>
            <w:gridSpan w:val="3"/>
            <w:vMerge w:val="continue"/>
            <w:tcBorders/>
            <w:tcMar>
              <w:top w:w="0" w:type="dxa"/>
              <w:left w:w="0" w:type="dxa"/>
              <w:bottom w:w="0" w:type="dxa"/>
              <w:right w:w="0" w:type="dxa"/>
            </w:tcMar>
            <w:vAlign w:val="center"/>
          </w:tcPr>
          <w:p>
            <w:pPr>
              <w:pStyle w:val="Normal"/>
              <w:bidi w:val="0"/>
              <w:jc w:val="left"/>
              <w:rPr/>
            </w:pPr>
            <w:r>
              <w:rPr/>
            </w:r>
          </w:p>
        </w:tc>
        <w:tc>
          <w:tcPr>
            <w:tcW w:w="3042" w:type="dxa"/>
            <w:gridSpan w:val="15"/>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15"/>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181"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5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c>
          <w:tcPr>
            <w:tcW w:w="15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(credit) cost</w:t>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actuarial (gains) losses</w:t>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5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 and curtailments</w:t>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(income) cost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(511)</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(505)</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(479)</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1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periodic benefit (income) cost - discontinued operations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1" w:type="dxa"/>
            <w:gridSpan w:val="3"/>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periodic benefit (income) cost - continuing operations</w:t>
            </w:r>
          </w:p>
        </w:tc>
        <w:tc>
          <w:tcPr>
            <w:tcW w:w="687" w:type="dxa"/>
            <w:gridSpan w:val="2"/>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w:t>
            </w:r>
          </w:p>
        </w:tc>
        <w:tc>
          <w:tcPr>
            <w:tcW w:w="109" w:type="dxa"/>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2" w:space="0" w:color="888B8D"/>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09" w:type="dxa"/>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2" w:space="0" w:color="888B8D"/>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09" w:type="dxa"/>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2" w:space="0" w:color="888B8D"/>
            </w:tcBorders>
            <w:tcMar>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2" w:space="0" w:color="888B8D"/>
            </w:tcBorders>
            <w:tcMar>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2" w:space="0" w:color="888B8D"/>
            </w:tcBorders>
            <w:tcMar>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7" w:type="dxa"/>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98"/>
        <w:gridCol w:w="1206"/>
        <w:gridCol w:w="1211"/>
        <w:gridCol w:w="196"/>
        <w:gridCol w:w="436"/>
        <w:gridCol w:w="109"/>
        <w:gridCol w:w="109"/>
        <w:gridCol w:w="109"/>
        <w:gridCol w:w="109"/>
        <w:gridCol w:w="196"/>
        <w:gridCol w:w="462"/>
        <w:gridCol w:w="109"/>
        <w:gridCol w:w="109"/>
        <w:gridCol w:w="109"/>
        <w:gridCol w:w="109"/>
        <w:gridCol w:w="196"/>
        <w:gridCol w:w="436"/>
        <w:gridCol w:w="109"/>
        <w:gridCol w:w="109"/>
        <w:gridCol w:w="109"/>
        <w:gridCol w:w="109"/>
        <w:gridCol w:w="196"/>
        <w:gridCol w:w="436"/>
        <w:gridCol w:w="109"/>
        <w:gridCol w:w="109"/>
        <w:gridCol w:w="109"/>
        <w:gridCol w:w="109"/>
        <w:gridCol w:w="196"/>
        <w:gridCol w:w="372"/>
        <w:gridCol w:w="109"/>
        <w:gridCol w:w="109"/>
        <w:gridCol w:w="109"/>
        <w:gridCol w:w="109"/>
        <w:gridCol w:w="196"/>
        <w:gridCol w:w="436"/>
        <w:gridCol w:w="156"/>
      </w:tblGrid>
      <w:tr>
        <w:trPr/>
        <w:tc>
          <w:tcPr>
            <w:tcW w:w="16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115"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1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5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cost</w:t>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recognized during year</w:t>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 recognized during year</w:t>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5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 currency translation loss (gain)</w:t>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Other comprehensive (income) loss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(455)</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7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5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net periodic benefit (income) cost and Other comprehensive (income) loss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(960)</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7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1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21" w:type="dxa"/>
        <w:jc w:val="left"/>
        <w:tblInd w:w="0" w:type="dxa"/>
        <w:tblLayout w:type="fixed"/>
        <w:tblCellMar>
          <w:top w:w="28" w:type="dxa"/>
          <w:left w:w="28" w:type="dxa"/>
          <w:bottom w:w="28" w:type="dxa"/>
          <w:right w:w="28" w:type="dxa"/>
        </w:tblCellMar>
      </w:tblPr>
      <w:tblGrid>
        <w:gridCol w:w="1119"/>
        <w:gridCol w:w="982"/>
        <w:gridCol w:w="988"/>
        <w:gridCol w:w="196"/>
        <w:gridCol w:w="406"/>
        <w:gridCol w:w="109"/>
        <w:gridCol w:w="109"/>
        <w:gridCol w:w="109"/>
        <w:gridCol w:w="109"/>
        <w:gridCol w:w="196"/>
        <w:gridCol w:w="406"/>
        <w:gridCol w:w="109"/>
        <w:gridCol w:w="109"/>
        <w:gridCol w:w="109"/>
        <w:gridCol w:w="109"/>
        <w:gridCol w:w="196"/>
        <w:gridCol w:w="40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3089" w:type="dxa"/>
            <w:gridSpan w:val="3"/>
            <w:vMerge w:val="continue"/>
            <w:tcBorders/>
            <w:tcMar>
              <w:top w:w="0" w:type="dxa"/>
              <w:left w:w="0" w:type="dxa"/>
              <w:bottom w:w="0" w:type="dxa"/>
              <w:right w:w="0" w:type="dxa"/>
            </w:tcMar>
            <w:vAlign w:val="center"/>
          </w:tcPr>
          <w:p>
            <w:pPr>
              <w:pStyle w:val="Normal"/>
              <w:bidi w:val="0"/>
              <w:jc w:val="left"/>
              <w:rPr/>
            </w:pPr>
            <w:r>
              <w:rPr/>
            </w:r>
          </w:p>
        </w:tc>
        <w:tc>
          <w:tcPr>
            <w:tcW w:w="2832" w:type="dxa"/>
            <w:gridSpan w:val="15"/>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089"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(credit) cost</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actuarial (gains) losses</w:t>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(income) cost</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36" w:type="dxa"/>
        <w:jc w:val="left"/>
        <w:tblInd w:w="0" w:type="dxa"/>
        <w:tblLayout w:type="fixed"/>
        <w:tblCellMar>
          <w:top w:w="28" w:type="dxa"/>
          <w:left w:w="28" w:type="dxa"/>
          <w:bottom w:w="28" w:type="dxa"/>
          <w:right w:w="28" w:type="dxa"/>
        </w:tblCellMar>
      </w:tblPr>
      <w:tblGrid>
        <w:gridCol w:w="2755"/>
        <w:gridCol w:w="2417"/>
        <w:gridCol w:w="2432"/>
        <w:gridCol w:w="196"/>
        <w:gridCol w:w="346"/>
        <w:gridCol w:w="109"/>
        <w:gridCol w:w="109"/>
        <w:gridCol w:w="109"/>
        <w:gridCol w:w="109"/>
        <w:gridCol w:w="196"/>
        <w:gridCol w:w="316"/>
        <w:gridCol w:w="109"/>
        <w:gridCol w:w="109"/>
        <w:gridCol w:w="109"/>
        <w:gridCol w:w="109"/>
        <w:gridCol w:w="196"/>
        <w:gridCol w:w="256"/>
        <w:gridCol w:w="154"/>
      </w:tblGrid>
      <w:tr>
        <w:trPr/>
        <w:tc>
          <w:tcPr>
            <w:tcW w:w="2755"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7604" w:type="dxa"/>
            <w:gridSpan w:val="3"/>
            <w:vMerge w:val="continue"/>
            <w:tcBorders/>
            <w:tcMar>
              <w:top w:w="0" w:type="dxa"/>
              <w:left w:w="0" w:type="dxa"/>
              <w:bottom w:w="0" w:type="dxa"/>
              <w:right w:w="0" w:type="dxa"/>
            </w:tcMar>
            <w:vAlign w:val="center"/>
          </w:tcPr>
          <w:p>
            <w:pPr>
              <w:pStyle w:val="Normal"/>
              <w:bidi w:val="0"/>
              <w:jc w:val="left"/>
              <w:rPr/>
            </w:pPr>
            <w:r>
              <w:rPr/>
            </w:r>
          </w:p>
        </w:tc>
        <w:tc>
          <w:tcPr>
            <w:tcW w:w="6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6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1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 recognized during year</w:t>
            </w:r>
          </w:p>
        </w:tc>
        <w:tc>
          <w:tcPr>
            <w:tcW w:w="5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(gains) losses recognized during year</w:t>
            </w:r>
          </w:p>
        </w:tc>
        <w:tc>
          <w:tcPr>
            <w:tcW w:w="54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other comprehensive (income) loss</w:t>
            </w:r>
          </w:p>
        </w:tc>
        <w:tc>
          <w:tcPr>
            <w:tcW w:w="5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net periodic benefit (income) cost and Other comprehensive (income) loss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1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22250"/>
                <wp:effectExtent l="0" t="0" r="0" b="0"/>
                <wp:wrapNone/>
                <wp:docPr id="154" name="Frame1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109    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109    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Major actuarial assumptions used in determining the benefit obligations and net periodic benefit (income) cost for the Company's significant benefit plans are presented in the following table as weighted averages:</w:t>
      </w:r>
    </w:p>
    <w:tbl>
      <w:tblPr>
        <w:tblW w:w="10205" w:type="dxa"/>
        <w:jc w:val="left"/>
        <w:tblInd w:w="0" w:type="dxa"/>
        <w:tblLayout w:type="fixed"/>
        <w:tblCellMar>
          <w:top w:w="28" w:type="dxa"/>
          <w:left w:w="28" w:type="dxa"/>
          <w:bottom w:w="28" w:type="dxa"/>
          <w:right w:w="28" w:type="dxa"/>
        </w:tblCellMar>
      </w:tblPr>
      <w:tblGrid>
        <w:gridCol w:w="1551"/>
        <w:gridCol w:w="1316"/>
        <w:gridCol w:w="1324"/>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233"/>
        <w:gridCol w:w="233"/>
        <w:gridCol w:w="256"/>
        <w:gridCol w:w="109"/>
        <w:gridCol w:w="109"/>
        <w:gridCol w:w="109"/>
        <w:gridCol w:w="233"/>
        <w:gridCol w:w="233"/>
        <w:gridCol w:w="303"/>
      </w:tblGrid>
      <w:tr>
        <w:trPr/>
        <w:tc>
          <w:tcPr>
            <w:tcW w:w="155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14" w:type="dxa"/>
            <w:gridSpan w:val="33"/>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Pension Benefits</w:t>
            </w:r>
          </w:p>
        </w:tc>
      </w:tr>
      <w:tr>
        <w:trPr/>
        <w:tc>
          <w:tcPr>
            <w:tcW w:w="4191" w:type="dxa"/>
            <w:gridSpan w:val="3"/>
            <w:vMerge w:val="continue"/>
            <w:tcBorders/>
            <w:tcMar>
              <w:top w:w="0" w:type="dxa"/>
              <w:left w:w="0" w:type="dxa"/>
              <w:bottom w:w="0" w:type="dxa"/>
              <w:right w:w="0" w:type="dxa"/>
            </w:tcMar>
            <w:vAlign w:val="center"/>
          </w:tcPr>
          <w:p>
            <w:pPr>
              <w:pStyle w:val="Normal"/>
              <w:bidi w:val="0"/>
              <w:jc w:val="left"/>
              <w:rPr/>
            </w:pPr>
            <w:r>
              <w:rPr/>
            </w:r>
          </w:p>
        </w:tc>
        <w:tc>
          <w:tcPr>
            <w:tcW w:w="2820" w:type="dxa"/>
            <w:gridSpan w:val="15"/>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15"/>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191" w:type="dxa"/>
            <w:gridSpan w:val="3"/>
            <w:vMerge w:val="continue"/>
            <w:tcBorders/>
            <w:tcMar>
              <w:top w:w="0" w:type="dxa"/>
              <w:left w:w="0" w:type="dxa"/>
              <w:bottom w:w="0" w:type="dxa"/>
              <w:right w:w="0" w:type="dxa"/>
            </w:tcMar>
            <w:vAlign w:val="center"/>
          </w:tcPr>
          <w:p>
            <w:pPr>
              <w:pStyle w:val="Normal"/>
              <w:bidi w:val="0"/>
              <w:jc w:val="left"/>
              <w:rPr/>
            </w:pPr>
            <w:r>
              <w:rPr/>
            </w:r>
          </w:p>
        </w:tc>
        <w:tc>
          <w:tcPr>
            <w:tcW w:w="7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19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assumptions used to determine benefit obligations as of December 31</w:t>
            </w:r>
          </w:p>
        </w:tc>
        <w:tc>
          <w:tcPr>
            <w:tcW w:w="7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9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annual rate of compensation increase</w:t>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9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assumptions used to determine net periodic benefit (income) cost for years ended December 31</w:t>
            </w:r>
          </w:p>
        </w:tc>
        <w:tc>
          <w:tcPr>
            <w:tcW w:w="72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rate—benefit obligation</w:t>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9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rate—service cost</w:t>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9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rate—interest cost</w:t>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9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rate of return on plan assets</w:t>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191"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annual rate of compensation increase</w:t>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25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25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25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5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25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303"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2562"/>
        <w:gridCol w:w="2246"/>
        <w:gridCol w:w="2259"/>
        <w:gridCol w:w="233"/>
        <w:gridCol w:w="233"/>
        <w:gridCol w:w="303"/>
        <w:gridCol w:w="128"/>
        <w:gridCol w:w="128"/>
        <w:gridCol w:w="128"/>
        <w:gridCol w:w="233"/>
        <w:gridCol w:w="233"/>
        <w:gridCol w:w="303"/>
        <w:gridCol w:w="128"/>
        <w:gridCol w:w="128"/>
        <w:gridCol w:w="128"/>
        <w:gridCol w:w="233"/>
        <w:gridCol w:w="233"/>
        <w:gridCol w:w="366"/>
      </w:tblGrid>
      <w:tr>
        <w:trPr/>
        <w:tc>
          <w:tcPr>
            <w:tcW w:w="256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06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7067"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706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assumptions used to determine benefit obligations as of December 31</w:t>
            </w:r>
          </w:p>
        </w:tc>
        <w:tc>
          <w:tcPr>
            <w:tcW w:w="7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30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36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067"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assumptions used to determine net periodic benefit cost for years ended December 31</w:t>
            </w:r>
          </w:p>
        </w:tc>
        <w:tc>
          <w:tcPr>
            <w:tcW w:w="769"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303"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303"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4"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366"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discount rate for the Company's U.S. pension and other postretirement benefit plans reflects the current rate at which the associated liabilities could be settled at the measurement date of December 31. To determine discount rates for the Company's U.S. pension and other postretirement benefit plans, the Company uses a modeling process that involves matching the expected cash outflows of the Company's benefit plans to a yield curve constructed from a portfolio of high-quality, fixed income debt instruments. The Company uses the single weighted average yield of this hypothetical portfolio as a discount rate benchmark. The Company utilizes a full yield curve approach in the estimation of the service and interest cost components of net periodic pension benefit (income) for the Company's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the Company's U.S. pension plans, the single weighted average spot rates used to determine service and interest costs for 2026 are 5.24% and 4.70%, respectively. The discount rate used to determine the other postretirement benefit obligation is higher principally due to a shorter expected duration of other postretirement plan obligations as compared to pension plan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plans to use an expected rate of return on U.S. plan assets of 7.25% for 2026, which is the same assumption used for 2025. The Company's asset return assumption is based on historical plan asset returns over varying long-term periods combined with current market conditions and broad asset mix considerations with a focus on long-term trends rather than short-term market conditions. The Company reviews the expected rate of return on an annual basis and revises it as appropriate.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non-U.S. benefit plans, actuarial assumptions reflect economic and market factors relevant to each country.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July 2024, the UK Court of Appeal upheld a ruling in the matter of Virgin Media Limited versus NTL Pension Trustees II Limited, that certain historical amendments for contracted out defined benefit schemes were invalid if they were not accompanied by the correct actuarial confirmation, a decision that the Company was not a party to or involved in and could impact the Company's non-U.S. pension plan in the UK. In June 2025, the UK Department for Work and Pensions announced that the government will introduce legislation to give affected pension schemes the ability to retrospectively obtain written actuarial confirmation that historic benefit changes met the necessary standards. The Company and its UK pension scheme trustee are reviewing this development, along with our actuaries, and considering whether this decision has any implications for its UK pension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22250"/>
                <wp:effectExtent l="0" t="0" r="0" b="0"/>
                <wp:wrapNone/>
                <wp:docPr id="155" name="Frame1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110    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PENSION BENEFITS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amounts relate to the Company's significant pension plans with accumulated benefit obligations exceeding the fair value of plan assets:</w:t>
      </w:r>
    </w:p>
    <w:tbl>
      <w:tblPr>
        <w:tblW w:w="6239" w:type="dxa"/>
        <w:jc w:val="left"/>
        <w:tblInd w:w="0" w:type="dxa"/>
        <w:tblLayout w:type="fixed"/>
        <w:tblCellMar>
          <w:top w:w="28" w:type="dxa"/>
          <w:left w:w="28" w:type="dxa"/>
          <w:bottom w:w="28" w:type="dxa"/>
          <w:right w:w="28" w:type="dxa"/>
        </w:tblCellMar>
      </w:tblPr>
      <w:tblGrid>
        <w:gridCol w:w="837"/>
        <w:gridCol w:w="735"/>
        <w:gridCol w:w="737"/>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0"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309" w:type="dxa"/>
            <w:gridSpan w:val="3"/>
            <w:vMerge w:val="continue"/>
            <w:tcBorders/>
            <w:tcMar>
              <w:top w:w="0" w:type="dxa"/>
              <w:left w:w="0" w:type="dxa"/>
              <w:bottom w:w="0" w:type="dxa"/>
              <w:right w:w="0" w:type="dxa"/>
            </w:tcMar>
            <w:vAlign w:val="center"/>
          </w:tcPr>
          <w:p>
            <w:pPr>
              <w:pStyle w:val="Normal"/>
              <w:bidi w:val="0"/>
              <w:jc w:val="left"/>
              <w:rPr/>
            </w:pPr>
            <w:r>
              <w:rPr/>
            </w:r>
          </w:p>
        </w:tc>
        <w:tc>
          <w:tcPr>
            <w:tcW w:w="1779" w:type="dxa"/>
            <w:gridSpan w:val="9"/>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2309"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30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Projected benefit obligation</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benefit obligation</w:t>
            </w:r>
          </w:p>
        </w:tc>
        <w:tc>
          <w:tcPr>
            <w:tcW w:w="6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w:t>
            </w:r>
          </w:p>
        </w:tc>
        <w:tc>
          <w:tcPr>
            <w:tcW w:w="617"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54"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accumulated benefit obligation for the Company's U.S. defined benefit pension plans was $11.8 billion and $11.8 billion and for the Company's non-U.S. defined benefit pension plans was $3.6 billion and $4.1 billion as of December 31, 2025, and 2024,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asset investment strategy for its U.S. pension plans focuses on maintaining a diversified portfolio using various asset classes in order to achieve the Company's long-term investment objectives on a risk adjusted basis. The Company's long-term target allocations are as follows: 45%-65% fixed income securities and cash, 25%-40% equity securities, 5%-10% real estate investments, and 10%-20% other types of investments. Fixed income securities include corporate bonds of companies from diversified industries, mortgage-backed securities, and U.S. Treasuries. Equity securities include publicly traded stock of companies and/or broad equity index exposures with exchange traded funds (ETFs) located inside the United States. Real estate investments include direct investments in commercial properties and investments in real estate funds. Other types of investments include investments in private equity that follow several different strategies. The Company reviews its assets on a regular basis to ensure that the Company is within the targeted asset allocation ranges and, if necessary, asset balances are adjusted back within target allocations.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non-U.S. pension assets are typically managed by decentralized fiduciary committees with the Honeywell Corporate Investments group providing investment guidance. The Company's non-U.S. investment policies are different for each country as local regulations and financial and tax considerations are part of the funding and investment allocation process in each country.</w:t>
      </w:r>
    </w:p>
    <w:p>
      <w:pPr>
        <w:pStyle w:val="TextBody"/>
        <w:bidi w:val="0"/>
        <w:spacing w:lineRule="auto" w:line="288" w:before="120" w:after="120"/>
        <w:jc w:val="both"/>
        <w:rPr/>
      </w:pPr>
      <w:r>
        <w:rPr>
          <w:rFonts w:ascii="Arial;sans-serif" w:hAnsi="Arial;sans-serif"/>
          <w:b w:val="false"/>
          <w:color w:val="000000"/>
          <w:sz w:val="18"/>
        </w:rPr>
        <w:t xml:space="preserve">In accordance with ASC Topic 820, </w:t>
      </w:r>
      <w:r>
        <w:rPr>
          <w:rFonts w:ascii="Arial;sans-serif" w:hAnsi="Arial;sans-serif"/>
          <w:b w:val="false"/>
          <w:i/>
          <w:color w:val="000000"/>
          <w:sz w:val="18"/>
        </w:rPr>
        <w:t>Fair Value Measurement</w:t>
      </w:r>
      <w:r>
        <w:rPr>
          <w:rFonts w:ascii="Arial;sans-serif" w:hAnsi="Arial;sans-serif"/>
          <w:b w:val="false"/>
          <w:color w:val="000000"/>
          <w:sz w:val="18"/>
        </w:rPr>
        <w:t>,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22250"/>
                <wp:effectExtent l="0" t="0" r="0" b="0"/>
                <wp:wrapNone/>
                <wp:docPr id="156" name="Frame1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111    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fair values of both the Company's U.S. and non-U.S. pension plans assets by asset category are as follows:</w:t>
      </w:r>
    </w:p>
    <w:tbl>
      <w:tblPr>
        <w:tblW w:w="7244" w:type="dxa"/>
        <w:jc w:val="left"/>
        <w:tblInd w:w="0" w:type="dxa"/>
        <w:tblLayout w:type="fixed"/>
        <w:tblCellMar>
          <w:top w:w="28" w:type="dxa"/>
          <w:left w:w="28" w:type="dxa"/>
          <w:bottom w:w="28" w:type="dxa"/>
          <w:right w:w="28" w:type="dxa"/>
        </w:tblCellMar>
      </w:tblPr>
      <w:tblGrid>
        <w:gridCol w:w="949"/>
        <w:gridCol w:w="834"/>
        <w:gridCol w:w="841"/>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0"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U.S. Plans</w:t>
            </w:r>
          </w:p>
        </w:tc>
      </w:tr>
      <w:tr>
        <w:trPr/>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4620" w:type="dxa"/>
            <w:gridSpan w:val="21"/>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62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Equities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Honeywell common stock</w:t>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equities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income</w:t>
            </w:r>
          </w:p>
        </w:tc>
        <w:tc>
          <w:tcPr>
            <w:tcW w:w="96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securities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Mortgage/Asset-backed securities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contracts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investments</w:t>
            </w:r>
          </w:p>
        </w:tc>
        <w:tc>
          <w:tcPr>
            <w:tcW w:w="96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private investments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properties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14,940</w:t>
            </w:r>
            <w:r>
              <w:rPr>
                <w:color w:val="000000"/>
              </w:rPr>
              <w:t> </w:t>
            </w:r>
          </w:p>
        </w:tc>
        <w:tc>
          <w:tcPr>
            <w:tcW w:w="109" w:type="dxa"/>
            <w:tcBorders>
              <w:top w:val="single" w:sz="4" w:space="0" w:color="DC202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3,866</w:t>
            </w:r>
            <w:r>
              <w:rPr>
                <w:color w:val="000000"/>
              </w:rPr>
              <w:t> </w:t>
            </w:r>
          </w:p>
        </w:tc>
        <w:tc>
          <w:tcPr>
            <w:tcW w:w="109" w:type="dxa"/>
            <w:tcBorders>
              <w:top w:val="single" w:sz="4" w:space="0" w:color="DC202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8,595</w:t>
            </w:r>
            <w:r>
              <w:rPr>
                <w:color w:val="000000"/>
              </w:rPr>
              <w:t> </w:t>
            </w:r>
          </w:p>
        </w:tc>
        <w:tc>
          <w:tcPr>
            <w:tcW w:w="109" w:type="dxa"/>
            <w:tcBorders>
              <w:top w:val="single" w:sz="4" w:space="0" w:color="DC202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2,479</w:t>
            </w:r>
            <w:r>
              <w:rPr>
                <w:color w:val="000000"/>
              </w:rPr>
              <w:t> </w:t>
            </w:r>
          </w:p>
        </w:tc>
        <w:tc>
          <w:tcPr>
            <w:tcW w:w="154" w:type="dxa"/>
            <w:tcBorders>
              <w:top w:val="single" w:sz="4" w:space="0" w:color="DC202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measured at NAV</w:t>
            </w:r>
          </w:p>
        </w:tc>
        <w:tc>
          <w:tcPr>
            <w:tcW w:w="966"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funds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funds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at fair value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16,173</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7244" w:type="dxa"/>
        <w:jc w:val="left"/>
        <w:tblInd w:w="0" w:type="dxa"/>
        <w:tblLayout w:type="fixed"/>
        <w:tblCellMar>
          <w:top w:w="28" w:type="dxa"/>
          <w:left w:w="28" w:type="dxa"/>
          <w:bottom w:w="28" w:type="dxa"/>
          <w:right w:w="28" w:type="dxa"/>
        </w:tblCellMar>
      </w:tblPr>
      <w:tblGrid>
        <w:gridCol w:w="949"/>
        <w:gridCol w:w="834"/>
        <w:gridCol w:w="841"/>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20"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U.S. Plans</w:t>
            </w:r>
          </w:p>
        </w:tc>
      </w:tr>
      <w:tr>
        <w:trPr/>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4620" w:type="dxa"/>
            <w:gridSpan w:val="21"/>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62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Equities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C202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Honeywell common stock</w:t>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equities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income</w:t>
            </w:r>
          </w:p>
        </w:tc>
        <w:tc>
          <w:tcPr>
            <w:tcW w:w="96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securities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Mortgage/Asset-backed securities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contracts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investments</w:t>
            </w:r>
          </w:p>
        </w:tc>
        <w:tc>
          <w:tcPr>
            <w:tcW w:w="96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private investments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properties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15,230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8,506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2,309</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measured at NAV</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funds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funds</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at fair value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16,565</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22250"/>
                <wp:effectExtent l="0" t="0" r="0" b="0"/>
                <wp:wrapNone/>
                <wp:docPr id="157" name="Frame1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112    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6939" w:type="dxa"/>
        <w:jc w:val="left"/>
        <w:tblInd w:w="0" w:type="dxa"/>
        <w:tblLayout w:type="fixed"/>
        <w:tblCellMar>
          <w:top w:w="28" w:type="dxa"/>
          <w:left w:w="28" w:type="dxa"/>
          <w:bottom w:w="28" w:type="dxa"/>
          <w:right w:w="28" w:type="dxa"/>
        </w:tblCellMar>
      </w:tblPr>
      <w:tblGrid>
        <w:gridCol w:w="947"/>
        <w:gridCol w:w="834"/>
        <w:gridCol w:w="844"/>
        <w:gridCol w:w="196"/>
        <w:gridCol w:w="571"/>
        <w:gridCol w:w="109"/>
        <w:gridCol w:w="109"/>
        <w:gridCol w:w="109"/>
        <w:gridCol w:w="109"/>
        <w:gridCol w:w="199"/>
        <w:gridCol w:w="351"/>
        <w:gridCol w:w="110"/>
        <w:gridCol w:w="109"/>
        <w:gridCol w:w="109"/>
        <w:gridCol w:w="109"/>
        <w:gridCol w:w="196"/>
        <w:gridCol w:w="571"/>
        <w:gridCol w:w="109"/>
        <w:gridCol w:w="109"/>
        <w:gridCol w:w="109"/>
        <w:gridCol w:w="109"/>
        <w:gridCol w:w="196"/>
        <w:gridCol w:w="571"/>
        <w:gridCol w:w="154"/>
      </w:tblGrid>
      <w:tr>
        <w:trPr/>
        <w:tc>
          <w:tcPr>
            <w:tcW w:w="9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4"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4314" w:type="dxa"/>
            <w:gridSpan w:val="21"/>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6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Equities</w:t>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 equities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income</w:t>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securities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Mortgage/Asset-backed securities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contracts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buy-in contracts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private funds</w:t>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funds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1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measured at NAV</w:t>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funds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at fair value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6990" w:type="dxa"/>
        <w:jc w:val="left"/>
        <w:tblInd w:w="0" w:type="dxa"/>
        <w:tblLayout w:type="fixed"/>
        <w:tblCellMar>
          <w:top w:w="28" w:type="dxa"/>
          <w:left w:w="28" w:type="dxa"/>
          <w:bottom w:w="28" w:type="dxa"/>
          <w:right w:w="28" w:type="dxa"/>
        </w:tblCellMar>
      </w:tblPr>
      <w:tblGrid>
        <w:gridCol w:w="949"/>
        <w:gridCol w:w="837"/>
        <w:gridCol w:w="839"/>
        <w:gridCol w:w="196"/>
        <w:gridCol w:w="571"/>
        <w:gridCol w:w="109"/>
        <w:gridCol w:w="109"/>
        <w:gridCol w:w="109"/>
        <w:gridCol w:w="109"/>
        <w:gridCol w:w="196"/>
        <w:gridCol w:w="406"/>
        <w:gridCol w:w="109"/>
        <w:gridCol w:w="109"/>
        <w:gridCol w:w="109"/>
        <w:gridCol w:w="109"/>
        <w:gridCol w:w="196"/>
        <w:gridCol w:w="571"/>
        <w:gridCol w:w="109"/>
        <w:gridCol w:w="109"/>
        <w:gridCol w:w="109"/>
        <w:gridCol w:w="109"/>
        <w:gridCol w:w="196"/>
        <w:gridCol w:w="571"/>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5"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4365" w:type="dxa"/>
            <w:gridSpan w:val="21"/>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6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Equities</w:t>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equities</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 equities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income</w:t>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securities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Mortgage/Asset-backed securities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contracts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buy-in contracts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private funds</w:t>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funds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funds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1,470</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measured at NAV</w:t>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funds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funds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at fair value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5,105</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22250"/>
                <wp:effectExtent l="0" t="0" r="0" b="0"/>
                <wp:wrapNone/>
                <wp:docPr id="158" name="Frame1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113    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changes in the fair value of level 3 assets for both U.S. and non-U.S. plans:</w:t>
      </w:r>
    </w:p>
    <w:tbl>
      <w:tblPr>
        <w:tblW w:w="10205" w:type="dxa"/>
        <w:jc w:val="left"/>
        <w:tblInd w:w="0" w:type="dxa"/>
        <w:tblLayout w:type="fixed"/>
        <w:tblCellMar>
          <w:top w:w="28" w:type="dxa"/>
          <w:left w:w="28" w:type="dxa"/>
          <w:bottom w:w="28" w:type="dxa"/>
          <w:right w:w="28" w:type="dxa"/>
        </w:tblCellMar>
      </w:tblPr>
      <w:tblGrid>
        <w:gridCol w:w="741"/>
        <w:gridCol w:w="631"/>
        <w:gridCol w:w="635"/>
        <w:gridCol w:w="371"/>
        <w:gridCol w:w="1084"/>
        <w:gridCol w:w="209"/>
        <w:gridCol w:w="109"/>
        <w:gridCol w:w="109"/>
        <w:gridCol w:w="109"/>
        <w:gridCol w:w="314"/>
        <w:gridCol w:w="919"/>
        <w:gridCol w:w="176"/>
        <w:gridCol w:w="109"/>
        <w:gridCol w:w="109"/>
        <w:gridCol w:w="109"/>
        <w:gridCol w:w="260"/>
        <w:gridCol w:w="579"/>
        <w:gridCol w:w="144"/>
        <w:gridCol w:w="109"/>
        <w:gridCol w:w="109"/>
        <w:gridCol w:w="109"/>
        <w:gridCol w:w="318"/>
        <w:gridCol w:w="659"/>
        <w:gridCol w:w="177"/>
        <w:gridCol w:w="109"/>
        <w:gridCol w:w="109"/>
        <w:gridCol w:w="109"/>
        <w:gridCol w:w="355"/>
        <w:gridCol w:w="1037"/>
        <w:gridCol w:w="288"/>
      </w:tblGrid>
      <w:tr>
        <w:trPr/>
        <w:tc>
          <w:tcPr>
            <w:tcW w:w="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0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4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2007" w:type="dxa"/>
            <w:gridSpan w:val="3"/>
            <w:vMerge w:val="continue"/>
            <w:tcBorders/>
            <w:tcMar>
              <w:top w:w="0" w:type="dxa"/>
              <w:left w:w="0" w:type="dxa"/>
              <w:bottom w:w="0" w:type="dxa"/>
              <w:right w:w="0" w:type="dxa"/>
            </w:tcMar>
            <w:vAlign w:val="center"/>
          </w:tcPr>
          <w:p>
            <w:pPr>
              <w:pStyle w:val="Normal"/>
              <w:bidi w:val="0"/>
              <w:jc w:val="left"/>
              <w:rPr/>
            </w:pPr>
            <w:r>
              <w:rPr/>
            </w:r>
          </w:p>
        </w:tc>
        <w:tc>
          <w:tcPr>
            <w:tcW w:w="166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Direct Private Investments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Real Estate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Private Funds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Real Estate Funds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Insurance Buy-in Contracts</w:t>
            </w:r>
          </w:p>
        </w:tc>
      </w:tr>
      <w:tr>
        <w:trPr/>
        <w:tc>
          <w:tcPr>
            <w:tcW w:w="2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3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8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w:t>
            </w:r>
            <w:r>
              <w:rPr>
                <w:color w:val="000000"/>
              </w:rPr>
              <w:t> </w:t>
            </w:r>
          </w:p>
        </w:tc>
        <w:tc>
          <w:tcPr>
            <w:tcW w:w="2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977</w:t>
            </w:r>
            <w:r>
              <w:rPr>
                <w:color w:val="000000"/>
              </w:rPr>
              <w:t> </w:t>
            </w:r>
          </w:p>
        </w:tc>
        <w:tc>
          <w:tcPr>
            <w:tcW w:w="17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1,605</w:t>
            </w:r>
            <w:r>
              <w:rPr>
                <w:color w:val="000000"/>
              </w:rPr>
              <w:t> </w:t>
            </w:r>
          </w:p>
        </w:tc>
        <w:tc>
          <w:tcPr>
            <w:tcW w:w="28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16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Relating to assets still held at year-end</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Relating to assets sold during the year</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settlements</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1455"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1,337</w:t>
            </w:r>
            <w:r>
              <w:rPr>
                <w:color w:val="000000"/>
              </w:rPr>
              <w:t> </w:t>
            </w:r>
          </w:p>
        </w:tc>
        <w:tc>
          <w:tcPr>
            <w:tcW w:w="2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972</w:t>
            </w:r>
            <w:r>
              <w:rPr>
                <w:color w:val="000000"/>
              </w:rPr>
              <w:t> </w:t>
            </w:r>
          </w:p>
        </w:tc>
        <w:tc>
          <w:tcPr>
            <w:tcW w:w="17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28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16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Relating to assets still held at year-end</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Relating to assets sold during the year</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settlements</w:t>
            </w:r>
          </w:p>
        </w:tc>
        <w:tc>
          <w:tcPr>
            <w:tcW w:w="1455"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2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7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4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8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1,478</w:t>
            </w:r>
            <w:r>
              <w:rPr>
                <w:color w:val="000000"/>
              </w:rPr>
              <w:t> </w:t>
            </w:r>
          </w:p>
        </w:tc>
        <w:tc>
          <w:tcPr>
            <w:tcW w:w="2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w:t>
            </w:r>
            <w:r>
              <w:rPr>
                <w:color w:val="000000"/>
              </w:rPr>
              <w:t> </w:t>
            </w:r>
          </w:p>
        </w:tc>
        <w:tc>
          <w:tcPr>
            <w:tcW w:w="17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4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1,976</w:t>
            </w:r>
            <w:r>
              <w:rPr>
                <w:color w:val="000000"/>
              </w:rPr>
              <w:t> </w:t>
            </w:r>
          </w:p>
        </w:tc>
        <w:tc>
          <w:tcPr>
            <w:tcW w:w="28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enters into futures contracts to gain exposure to certain markets. Sufficient cash or cash equivalents are held by the Company's pension plans to cover the notional value of the futures contracts. As of December 31, 2025, and 2024, the Company's U.S. plans had contracts with notional amounts of $1,958 million and $1,991 million, respectively. As of December 31, 2025, and 2024, the Company's non-U.S. plans had contracts with notional amounts of $227 million and $195 million, respectively. In both the Company's U.S. and non-U.S. pension plans, the notional derivative exposure is related to outstanding equity and fixed income futures contracts.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Common stocks, preferred stocks, broad index exposures with ETFs, real estate investment trusts, and short-term investments are valued at the closing price reported in the active market in which the individual securities are traded. Corporate bonds, mortgage/asset-backed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 The insurance buy-in contracts represent policies held by the Honeywell UK Pension Scheme, whereby the cost of providing pension benefits to plan participants is funded by the policies. The cash flows from the policies are intended to match the pension benefits. The fair value of these policies is based on an estimate of the policies' exit price.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funding policy for qualified defined benefit pension plans is to contribute amounts at least sufficient to satisfy regulatory funding standards. In 2025, 2024, and 2023, the Company was not required to make contributions to the U.S. pension plans and no contributions were made. The Company is not required to make any contributions to the U.S. pension plans in 2026. In 2025, contributions of $7 million were made to the non-U.S. pension plans to satisfy regulatory funding requirements. In 2026, the Company expects to make contributions of cash and/or marketable securities of approximately $6 million to the non-U.S. pension plans to satisfy regulatory funding standards. Contributions for both the U.S. and non-U.S. pension plans do not reflect benefits paid directly from Company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22250"/>
                <wp:effectExtent l="0" t="0" r="0" b="0"/>
                <wp:wrapNone/>
                <wp:docPr id="159" name="Frame1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114    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Benefit payments, including amounts to be paid from Company assets, and reflecting expected future service, as appropriate, are expected to be paid as follows:</w:t>
      </w:r>
    </w:p>
    <w:tbl>
      <w:tblPr>
        <w:tblW w:w="3133" w:type="dxa"/>
        <w:jc w:val="left"/>
        <w:tblInd w:w="0" w:type="dxa"/>
        <w:tblLayout w:type="fixed"/>
        <w:tblCellMar>
          <w:top w:w="28" w:type="dxa"/>
          <w:left w:w="28" w:type="dxa"/>
          <w:bottom w:w="28" w:type="dxa"/>
          <w:right w:w="28" w:type="dxa"/>
        </w:tblCellMar>
      </w:tblPr>
      <w:tblGrid>
        <w:gridCol w:w="324"/>
        <w:gridCol w:w="286"/>
        <w:gridCol w:w="289"/>
        <w:gridCol w:w="205"/>
        <w:gridCol w:w="581"/>
        <w:gridCol w:w="114"/>
        <w:gridCol w:w="338"/>
        <w:gridCol w:w="728"/>
        <w:gridCol w:w="268"/>
      </w:tblGrid>
      <w:tr>
        <w:trPr/>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20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1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268"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8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26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8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26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8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26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78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1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68"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2031-2035</w:t>
            </w:r>
          </w:p>
        </w:tc>
        <w:tc>
          <w:tcPr>
            <w:tcW w:w="786"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4,543 </w:t>
            </w:r>
          </w:p>
        </w:tc>
        <w:tc>
          <w:tcPr>
            <w:tcW w:w="114"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1,373 </w:t>
            </w:r>
          </w:p>
        </w:tc>
        <w:tc>
          <w:tcPr>
            <w:tcW w:w="268"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year ended December 31, 2025, the Company repurchased $500 million of outstanding Honeywell shares of common stock from the Honeywell U.S. Pension Plan Master Trust. During the year ended December 31, 2024, the Company completed no repurchases of outstanding Honeywell shares of common stock from the Honeywell U.S. Pension Plan Master Trust.</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OTHER POSTRETIREMENT BENEFITS</w:t>
      </w:r>
    </w:p>
    <w:tbl>
      <w:tblPr>
        <w:tblW w:w="6435" w:type="dxa"/>
        <w:jc w:val="left"/>
        <w:tblInd w:w="0" w:type="dxa"/>
        <w:tblLayout w:type="fixed"/>
        <w:tblCellMar>
          <w:top w:w="28" w:type="dxa"/>
          <w:left w:w="28" w:type="dxa"/>
          <w:bottom w:w="28" w:type="dxa"/>
          <w:right w:w="28" w:type="dxa"/>
        </w:tblCellMar>
      </w:tblPr>
      <w:tblGrid>
        <w:gridCol w:w="1642"/>
        <w:gridCol w:w="1441"/>
        <w:gridCol w:w="1446"/>
        <w:gridCol w:w="255"/>
        <w:gridCol w:w="256"/>
        <w:gridCol w:w="256"/>
        <w:gridCol w:w="109"/>
        <w:gridCol w:w="109"/>
        <w:gridCol w:w="109"/>
        <w:gridCol w:w="255"/>
        <w:gridCol w:w="256"/>
        <w:gridCol w:w="301"/>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529" w:type="dxa"/>
            <w:gridSpan w:val="3"/>
            <w:vMerge w:val="continue"/>
            <w:tcBorders/>
            <w:tcMar>
              <w:top w:w="0" w:type="dxa"/>
              <w:left w:w="0" w:type="dxa"/>
              <w:bottom w:w="0" w:type="dxa"/>
              <w:right w:w="0" w:type="dxa"/>
            </w:tcMar>
            <w:vAlign w:val="center"/>
          </w:tcPr>
          <w:p>
            <w:pPr>
              <w:pStyle w:val="Normal"/>
              <w:bidi w:val="0"/>
              <w:jc w:val="left"/>
              <w:rPr/>
            </w:pPr>
            <w:r>
              <w:rPr/>
            </w:r>
          </w:p>
        </w:tc>
        <w:tc>
          <w:tcPr>
            <w:tcW w:w="76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52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Assumed health care cost trend rate</w:t>
            </w:r>
          </w:p>
        </w:tc>
        <w:tc>
          <w:tcPr>
            <w:tcW w:w="76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Health care cost trend rate assumed for next year</w:t>
            </w:r>
          </w:p>
        </w:tc>
        <w:tc>
          <w:tcPr>
            <w:tcW w:w="5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2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that the cost trend rate gradually declines to</w:t>
            </w:r>
          </w:p>
        </w:tc>
        <w:tc>
          <w:tcPr>
            <w:tcW w:w="5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30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29"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Year that the rate reaches the rate it is assumed to remain at</w:t>
            </w:r>
          </w:p>
        </w:tc>
        <w:tc>
          <w:tcPr>
            <w:tcW w:w="511"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2031 </w:t>
            </w:r>
          </w:p>
        </w:tc>
        <w:tc>
          <w:tcPr>
            <w:tcW w:w="256"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2031 </w:t>
            </w:r>
          </w:p>
        </w:tc>
        <w:tc>
          <w:tcPr>
            <w:tcW w:w="301"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Benefit payments reflecting expected future service, as appropriate, are expected to be paid as follows:</w:t>
      </w:r>
    </w:p>
    <w:tbl>
      <w:tblPr>
        <w:tblW w:w="3974" w:type="dxa"/>
        <w:jc w:val="left"/>
        <w:tblInd w:w="0" w:type="dxa"/>
        <w:tblLayout w:type="fixed"/>
        <w:tblCellMar>
          <w:top w:w="28" w:type="dxa"/>
          <w:left w:w="28" w:type="dxa"/>
          <w:bottom w:w="28" w:type="dxa"/>
          <w:right w:w="28" w:type="dxa"/>
        </w:tblCellMar>
      </w:tblPr>
      <w:tblGrid>
        <w:gridCol w:w="324"/>
        <w:gridCol w:w="286"/>
        <w:gridCol w:w="289"/>
        <w:gridCol w:w="470"/>
        <w:gridCol w:w="796"/>
        <w:gridCol w:w="264"/>
        <w:gridCol w:w="444"/>
        <w:gridCol w:w="751"/>
        <w:gridCol w:w="350"/>
      </w:tblGrid>
      <w:tr>
        <w:trPr/>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Without Impact of</w:t>
              <w:br/>
              <w:t>Medicare Subsidy</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of</w:t>
              <w:br/>
              <w:t>Medicare Subsidy</w:t>
            </w:r>
          </w:p>
        </w:tc>
      </w:tr>
      <w:tr>
        <w:trPr/>
        <w:tc>
          <w:tcPr>
            <w:tcW w:w="89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47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6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0"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2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6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2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2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5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266"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50"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2031-2035</w:t>
            </w:r>
          </w:p>
        </w:tc>
        <w:tc>
          <w:tcPr>
            <w:tcW w:w="1266"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64"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50"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22250"/>
                <wp:effectExtent l="0" t="0" r="0" b="0"/>
                <wp:wrapNone/>
                <wp:docPr id="160" name="Frame1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115    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NOTE 21. OTHER (INCOME) EXPENSE </w:t>
      </w:r>
    </w:p>
    <w:tbl>
      <w:tblPr>
        <w:tblW w:w="8801" w:type="dxa"/>
        <w:jc w:val="left"/>
        <w:tblInd w:w="0" w:type="dxa"/>
        <w:tblLayout w:type="fixed"/>
        <w:tblCellMar>
          <w:top w:w="28" w:type="dxa"/>
          <w:left w:w="28" w:type="dxa"/>
          <w:bottom w:w="28" w:type="dxa"/>
          <w:right w:w="28" w:type="dxa"/>
        </w:tblCellMar>
      </w:tblPr>
      <w:tblGrid>
        <w:gridCol w:w="2015"/>
        <w:gridCol w:w="1769"/>
        <w:gridCol w:w="1780"/>
        <w:gridCol w:w="196"/>
        <w:gridCol w:w="631"/>
        <w:gridCol w:w="109"/>
        <w:gridCol w:w="109"/>
        <w:gridCol w:w="109"/>
        <w:gridCol w:w="109"/>
        <w:gridCol w:w="196"/>
        <w:gridCol w:w="496"/>
        <w:gridCol w:w="109"/>
        <w:gridCol w:w="109"/>
        <w:gridCol w:w="109"/>
        <w:gridCol w:w="109"/>
        <w:gridCol w:w="196"/>
        <w:gridCol w:w="496"/>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5564"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56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ongoing income—non-service</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postretirement income—non-service</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income of affiliated companies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Resideo indemnification and reimbursement agreement termination</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sale of non-strategic businesses and assets</w:t>
            </w:r>
          </w:p>
        </w:tc>
        <w:tc>
          <w:tcPr>
            <w:tcW w:w="82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 exchange (income) loss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Divestiture-related costs</w:t>
            </w:r>
            <w:r>
              <w:rPr>
                <w:rFonts w:ascii="Arial;sans-serif" w:hAnsi="Arial;sans-serif"/>
                <w:b w:val="false"/>
                <w:color w:val="000000"/>
                <w:sz w:val="10"/>
              </w:rPr>
              <w:t>1</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costs</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 (benefit) related to Russia-Ukraine conflict</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expense related to the NARCO Buyout and HWI Sale</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2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(1,247)</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(843)</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(830)</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83"/>
        <w:gridCol w:w="983"/>
        <w:gridCol w:w="1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Includes divestiture, spin-off, and separation costs.</w:t>
            </w:r>
          </w:p>
        </w:tc>
      </w:tr>
    </w:tbl>
    <w:p>
      <w:pPr>
        <w:pStyle w:val="TextBody"/>
        <w:bidi w:val="0"/>
        <w:spacing w:lineRule="auto" w:line="288" w:before="120" w:after="120"/>
        <w:jc w:val="both"/>
        <w:rPr/>
      </w:pPr>
      <w:r>
        <w:rPr>
          <w:rFonts w:ascii="Arial;sans-serif" w:hAnsi="Arial;sans-serif"/>
          <w:b w:val="false"/>
          <w:color w:val="000000"/>
          <w:sz w:val="18"/>
        </w:rPr>
        <w:t xml:space="preserve">See Note 19 </w:t>
      </w:r>
      <w:hyperlink w:anchor="ic3922f0530c04df99983ab02c4d22c0f_259">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 xml:space="preserve">for more information on the gain related to the Resideo indemnification and reimbursement agreement termination. See Note 4 </w:t>
      </w:r>
      <w:hyperlink w:anchor="ic3922f0530c04df99983ab02c4d22c0f_208">
        <w:r>
          <w:rPr>
            <w:rStyle w:val="InternetLink"/>
            <w:rFonts w:ascii="Arial;sans-serif" w:hAnsi="Arial;sans-serif"/>
            <w:b w:val="false"/>
            <w:color w:val="0000FF"/>
            <w:sz w:val="18"/>
            <w:u w:val="single"/>
          </w:rPr>
          <w:t>Repositioning and Other Charges</w:t>
        </w:r>
      </w:hyperlink>
      <w:r>
        <w:rPr>
          <w:color w:val="000000"/>
        </w:rPr>
        <w:t xml:space="preserve"> </w:t>
      </w:r>
      <w:r>
        <w:rPr>
          <w:rFonts w:ascii="Arial;sans-serif" w:hAnsi="Arial;sans-serif"/>
          <w:b w:val="false"/>
          <w:color w:val="000000"/>
          <w:sz w:val="18"/>
        </w:rPr>
        <w:t>for further discussion of the expense related to the Russia-Ukraine conflict.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 xml:space="preserve">NOTE 22. SEGMENT FINANCIAL DATA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Honeywell globally manages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goodwill, impairment of assets held for sale, stock compensation expense, pension and other postretirement income (expense), repositioning and other (gains) charges, and other items within Other (income) expense.</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In October 2025, the Company announced a planned realignment, expected to be effective in the first quarter of 2026, of its business units comprising its Industrial Automation and Energy and Sustainability Solutions reportable business segments. This realignment will form a new reportable business segment, Process Automation and Technology, and result in a new composition of its Industrial Automation reportable business segment. Process Automation and Technology will be comprised of UOP, which is currently in Energy and Sustainability Solutions, and the core portion of the Process Solutions business, which is currently in Industrial Automation. The new composition of Industrial Automation will continue to include the smart energy, thermal solutions, and process measurement and control businesses, currently included in the Process Solutions business, as well as the Sensing and Safety Technologies, Warehouse and Workflow Solutions, and Productivity Solutions and Services businesses. Following the realignment, the Company’s reportable business segments will be Aerospace Technologies, Building Automation, Process Automation and Technology, and Industrial Automation. The realignment will not impact the Company’s historical consolidated financial position, results of operations, or cash flows. The Company expects to report its financial performance based on this realignment effective with the first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22250"/>
                <wp:effectExtent l="0" t="0" r="0" b="0"/>
                <wp:wrapNone/>
                <wp:docPr id="161" name="Frame1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116    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633"/>
        <w:gridCol w:w="395"/>
        <w:gridCol w:w="398"/>
        <w:gridCol w:w="291"/>
        <w:gridCol w:w="851"/>
        <w:gridCol w:w="162"/>
        <w:gridCol w:w="109"/>
        <w:gridCol w:w="109"/>
        <w:gridCol w:w="109"/>
        <w:gridCol w:w="259"/>
        <w:gridCol w:w="755"/>
        <w:gridCol w:w="144"/>
        <w:gridCol w:w="109"/>
        <w:gridCol w:w="109"/>
        <w:gridCol w:w="109"/>
        <w:gridCol w:w="256"/>
        <w:gridCol w:w="748"/>
        <w:gridCol w:w="143"/>
        <w:gridCol w:w="109"/>
        <w:gridCol w:w="109"/>
        <w:gridCol w:w="109"/>
        <w:gridCol w:w="323"/>
        <w:gridCol w:w="918"/>
        <w:gridCol w:w="182"/>
        <w:gridCol w:w="109"/>
        <w:gridCol w:w="109"/>
        <w:gridCol w:w="109"/>
        <w:gridCol w:w="277"/>
        <w:gridCol w:w="617"/>
        <w:gridCol w:w="154"/>
        <w:gridCol w:w="109"/>
        <w:gridCol w:w="109"/>
        <w:gridCol w:w="109"/>
        <w:gridCol w:w="207"/>
        <w:gridCol w:w="683"/>
        <w:gridCol w:w="174"/>
      </w:tblGrid>
      <w:tr>
        <w:trPr/>
        <w:tc>
          <w:tcPr>
            <w:tcW w:w="6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2025</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Energy and Sustainability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Honeywell</w:t>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9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9,943 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6,389 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5,357 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24,515 </w:t>
            </w:r>
          </w:p>
        </w:tc>
        <w:tc>
          <w:tcPr>
            <w:tcW w:w="17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7,567 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12,927 </w:t>
            </w:r>
          </w:p>
        </w:tc>
        <w:tc>
          <w:tcPr>
            <w:tcW w:w="17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1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17,510</w:t>
            </w:r>
            <w:r>
              <w:rPr>
                <w:color w:val="000000"/>
              </w:rPr>
              <w:t>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9,401</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7,367</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3,134</w:t>
            </w:r>
            <w:r>
              <w:rPr>
                <w:color w:val="000000"/>
              </w:rPr>
              <w:t>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w:t>
            </w:r>
            <w:r>
              <w:rPr>
                <w:color w:val="000000"/>
              </w:rPr>
              <w:t>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11,282 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3,832 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2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4,284</w:t>
            </w:r>
            <w:r>
              <w:rPr>
                <w:color w:val="000000"/>
              </w:rPr>
              <w:t>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1,743</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1,953</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w:t>
            </w:r>
            <w:r>
              <w:rPr>
                <w:color w:val="000000"/>
              </w:rPr>
              <w:t>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(545)</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8,127</w:t>
            </w:r>
            <w:r>
              <w:rPr>
                <w:color w:val="000000"/>
              </w:rPr>
              <w:t>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1,388 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142"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62"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44"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43"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82"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4"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74" w:type="dxa"/>
            <w:tcBorders>
              <w:top w:val="single" w:sz="2" w:space="0" w:color="888B8D"/>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tc>
      </w:tr>
    </w:tbl>
    <w:tbl>
      <w:tblPr>
        <w:tblW w:w="10205" w:type="dxa"/>
        <w:jc w:val="left"/>
        <w:tblInd w:w="0" w:type="dxa"/>
        <w:tblLayout w:type="fixed"/>
        <w:tblCellMar>
          <w:top w:w="28" w:type="dxa"/>
          <w:left w:w="28" w:type="dxa"/>
          <w:bottom w:w="28" w:type="dxa"/>
          <w:right w:w="28" w:type="dxa"/>
        </w:tblCellMar>
      </w:tblPr>
      <w:tblGrid>
        <w:gridCol w:w="633"/>
        <w:gridCol w:w="395"/>
        <w:gridCol w:w="398"/>
        <w:gridCol w:w="291"/>
        <w:gridCol w:w="851"/>
        <w:gridCol w:w="162"/>
        <w:gridCol w:w="109"/>
        <w:gridCol w:w="109"/>
        <w:gridCol w:w="109"/>
        <w:gridCol w:w="259"/>
        <w:gridCol w:w="755"/>
        <w:gridCol w:w="144"/>
        <w:gridCol w:w="109"/>
        <w:gridCol w:w="109"/>
        <w:gridCol w:w="109"/>
        <w:gridCol w:w="256"/>
        <w:gridCol w:w="748"/>
        <w:gridCol w:w="143"/>
        <w:gridCol w:w="109"/>
        <w:gridCol w:w="109"/>
        <w:gridCol w:w="109"/>
        <w:gridCol w:w="323"/>
        <w:gridCol w:w="918"/>
        <w:gridCol w:w="182"/>
        <w:gridCol w:w="109"/>
        <w:gridCol w:w="109"/>
        <w:gridCol w:w="109"/>
        <w:gridCol w:w="277"/>
        <w:gridCol w:w="617"/>
        <w:gridCol w:w="154"/>
        <w:gridCol w:w="109"/>
        <w:gridCol w:w="109"/>
        <w:gridCol w:w="109"/>
        <w:gridCol w:w="207"/>
        <w:gridCol w:w="683"/>
        <w:gridCol w:w="174"/>
      </w:tblGrid>
      <w:tr>
        <w:trPr/>
        <w:tc>
          <w:tcPr>
            <w:tcW w:w="6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2024</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Energy and Sustainability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Honeywell</w:t>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9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8,509 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7,175 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4,800 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2,357 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22,841 </w:t>
            </w:r>
          </w:p>
        </w:tc>
        <w:tc>
          <w:tcPr>
            <w:tcW w:w="17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6,949 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2,876 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11,876 </w:t>
            </w:r>
          </w:p>
        </w:tc>
        <w:tc>
          <w:tcPr>
            <w:tcW w:w="17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1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15,458</w:t>
            </w:r>
            <w:r>
              <w:rPr>
                <w:color w:val="000000"/>
              </w:rPr>
              <w:t>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10,051</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6,540</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2,644</w:t>
            </w:r>
            <w:r>
              <w:rPr>
                <w:color w:val="000000"/>
              </w:rPr>
              <w:t>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34,717</w:t>
            </w:r>
            <w:r>
              <w:rPr>
                <w:color w:val="000000"/>
              </w:rPr>
              <w:t>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9,781 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5,880 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items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2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3,988</w:t>
            </w:r>
            <w:r>
              <w:rPr>
                <w:color w:val="000000"/>
              </w:rPr>
              <w:t>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1,962</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1,681</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615</w:t>
            </w:r>
            <w:r>
              <w:rPr>
                <w:color w:val="000000"/>
              </w:rPr>
              <w:t>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(579)</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7,667</w:t>
            </w:r>
            <w:r>
              <w:rPr>
                <w:color w:val="000000"/>
              </w:rPr>
              <w:t>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142"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62"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44"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43"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82"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54"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174" w:type="dxa"/>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22250"/>
                <wp:effectExtent l="0" t="0" r="0" b="0"/>
                <wp:wrapNone/>
                <wp:docPr id="162" name="Frame1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117    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633"/>
        <w:gridCol w:w="395"/>
        <w:gridCol w:w="398"/>
        <w:gridCol w:w="291"/>
        <w:gridCol w:w="851"/>
        <w:gridCol w:w="162"/>
        <w:gridCol w:w="109"/>
        <w:gridCol w:w="109"/>
        <w:gridCol w:w="109"/>
        <w:gridCol w:w="259"/>
        <w:gridCol w:w="755"/>
        <w:gridCol w:w="144"/>
        <w:gridCol w:w="109"/>
        <w:gridCol w:w="109"/>
        <w:gridCol w:w="109"/>
        <w:gridCol w:w="256"/>
        <w:gridCol w:w="748"/>
        <w:gridCol w:w="143"/>
        <w:gridCol w:w="109"/>
        <w:gridCol w:w="109"/>
        <w:gridCol w:w="109"/>
        <w:gridCol w:w="323"/>
        <w:gridCol w:w="918"/>
        <w:gridCol w:w="182"/>
        <w:gridCol w:w="109"/>
        <w:gridCol w:w="109"/>
        <w:gridCol w:w="109"/>
        <w:gridCol w:w="277"/>
        <w:gridCol w:w="617"/>
        <w:gridCol w:w="154"/>
        <w:gridCol w:w="109"/>
        <w:gridCol w:w="109"/>
        <w:gridCol w:w="109"/>
        <w:gridCol w:w="207"/>
        <w:gridCol w:w="683"/>
        <w:gridCol w:w="174"/>
      </w:tblGrid>
      <w:tr>
        <w:trPr/>
        <w:tc>
          <w:tcPr>
            <w:tcW w:w="6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2023</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Energy and Sustainability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Honeywell</w:t>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9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7,316 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8,176 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4,599 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22,345 </w:t>
            </w:r>
          </w:p>
        </w:tc>
        <w:tc>
          <w:tcPr>
            <w:tcW w:w="17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6,308 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10,664 </w:t>
            </w:r>
          </w:p>
        </w:tc>
        <w:tc>
          <w:tcPr>
            <w:tcW w:w="17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1142"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13,624</w:t>
            </w:r>
            <w:r>
              <w:rPr>
                <w:color w:val="000000"/>
              </w:rPr>
              <w:t>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10,756</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6,031</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2,586</w:t>
            </w:r>
            <w:r>
              <w:rPr>
                <w:color w:val="000000"/>
              </w:rPr>
              <w:t>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33,009</w:t>
            </w:r>
            <w:r>
              <w:rPr>
                <w:color w:val="000000"/>
              </w:rPr>
              <w:t>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8,362 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6,379 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items</w:t>
            </w:r>
          </w:p>
        </w:tc>
        <w:tc>
          <w:tcPr>
            <w:tcW w:w="1142"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16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807 </w:t>
            </w:r>
          </w:p>
        </w:tc>
        <w:tc>
          <w:tcPr>
            <w:tcW w:w="14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43"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82"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2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w:t>
            </w:r>
            <w:r>
              <w:rPr>
                <w:color w:val="000000"/>
              </w:rPr>
              <w:t>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2,209</w:t>
            </w:r>
            <w:r>
              <w:rPr>
                <w:color w:val="000000"/>
              </w:rPr>
              <w:t>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1,529</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w:t>
            </w:r>
            <w:r>
              <w:rPr>
                <w:color w:val="000000"/>
              </w:rPr>
              <w:t>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(504)</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7,563</w:t>
            </w:r>
            <w:r>
              <w:rPr>
                <w:color w:val="000000"/>
              </w:rPr>
              <w:t>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9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6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5"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4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82"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1,004 </w:t>
            </w:r>
          </w:p>
        </w:tc>
        <w:tc>
          <w:tcPr>
            <w:tcW w:w="17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2" w:space="0" w:color="888B8D"/>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142"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62"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44"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43"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82"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4"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74"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tbl>
      <w:tblPr>
        <w:tblW w:w="6175" w:type="dxa"/>
        <w:jc w:val="left"/>
        <w:tblInd w:w="0" w:type="dxa"/>
        <w:tblLayout w:type="fixed"/>
        <w:tblCellMar>
          <w:top w:w="28" w:type="dxa"/>
          <w:left w:w="28" w:type="dxa"/>
          <w:bottom w:w="28" w:type="dxa"/>
          <w:right w:w="28" w:type="dxa"/>
        </w:tblCellMar>
      </w:tblPr>
      <w:tblGrid>
        <w:gridCol w:w="962"/>
        <w:gridCol w:w="845"/>
        <w:gridCol w:w="848"/>
        <w:gridCol w:w="319"/>
        <w:gridCol w:w="1078"/>
        <w:gridCol w:w="177"/>
        <w:gridCol w:w="109"/>
        <w:gridCol w:w="109"/>
        <w:gridCol w:w="109"/>
        <w:gridCol w:w="314"/>
        <w:gridCol w:w="1059"/>
        <w:gridCol w:w="246"/>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31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17,920 </w:t>
            </w:r>
          </w:p>
        </w:tc>
        <w:tc>
          <w:tcPr>
            <w:tcW w:w="177"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16,966 </w:t>
            </w:r>
          </w:p>
        </w:tc>
        <w:tc>
          <w:tcPr>
            <w:tcW w:w="24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39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20,351 </w:t>
            </w:r>
          </w:p>
        </w:tc>
        <w:tc>
          <w:tcPr>
            <w:tcW w:w="177"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21,035 </w:t>
            </w:r>
          </w:p>
        </w:tc>
        <w:tc>
          <w:tcPr>
            <w:tcW w:w="24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3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10,883 </w:t>
            </w:r>
          </w:p>
        </w:tc>
        <w:tc>
          <w:tcPr>
            <w:tcW w:w="17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11,438 </w:t>
            </w:r>
          </w:p>
        </w:tc>
        <w:tc>
          <w:tcPr>
            <w:tcW w:w="24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Sustainability Solutions</w:t>
            </w:r>
          </w:p>
        </w:tc>
        <w:tc>
          <w:tcPr>
            <w:tcW w:w="13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7,933 </w:t>
            </w:r>
          </w:p>
        </w:tc>
        <w:tc>
          <w:tcPr>
            <w:tcW w:w="17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5,351 </w:t>
            </w:r>
          </w:p>
        </w:tc>
        <w:tc>
          <w:tcPr>
            <w:tcW w:w="24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39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16,594 </w:t>
            </w:r>
          </w:p>
        </w:tc>
        <w:tc>
          <w:tcPr>
            <w:tcW w:w="177"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15,375 </w:t>
            </w:r>
          </w:p>
        </w:tc>
        <w:tc>
          <w:tcPr>
            <w:tcW w:w="246"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1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17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70,165</w:t>
            </w:r>
            <w:r>
              <w:rPr>
                <w:color w:val="000000"/>
              </w:rPr>
              <w:t> </w:t>
            </w:r>
          </w:p>
        </w:tc>
        <w:tc>
          <w:tcPr>
            <w:tcW w:w="2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reconciliation of segment profit to consolidated income before taxes are as follows:</w:t>
      </w:r>
    </w:p>
    <w:tbl>
      <w:tblPr>
        <w:tblW w:w="6761" w:type="dxa"/>
        <w:jc w:val="left"/>
        <w:tblInd w:w="0" w:type="dxa"/>
        <w:tblLayout w:type="fixed"/>
        <w:tblCellMar>
          <w:top w:w="28" w:type="dxa"/>
          <w:left w:w="28" w:type="dxa"/>
          <w:bottom w:w="28" w:type="dxa"/>
          <w:right w:w="28" w:type="dxa"/>
        </w:tblCellMar>
      </w:tblPr>
      <w:tblGrid>
        <w:gridCol w:w="1242"/>
        <w:gridCol w:w="1095"/>
        <w:gridCol w:w="1097"/>
        <w:gridCol w:w="196"/>
        <w:gridCol w:w="571"/>
        <w:gridCol w:w="109"/>
        <w:gridCol w:w="109"/>
        <w:gridCol w:w="109"/>
        <w:gridCol w:w="109"/>
        <w:gridCol w:w="196"/>
        <w:gridCol w:w="571"/>
        <w:gridCol w:w="109"/>
        <w:gridCol w:w="109"/>
        <w:gridCol w:w="109"/>
        <w:gridCol w:w="109"/>
        <w:gridCol w:w="196"/>
        <w:gridCol w:w="57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3434"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343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8,127 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7,667 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7,563 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1</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acquisition-related intangibles</w:t>
            </w:r>
            <w:r>
              <w:rPr>
                <w:rFonts w:ascii="Arial;sans-serif" w:hAnsi="Arial;sans-serif"/>
                <w:b w:val="false"/>
                <w:color w:val="000000"/>
                <w:sz w:val="10"/>
              </w:rPr>
              <w:t>2</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767" w:type="dxa"/>
            <w:gridSpan w:val="2"/>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w:t>
            </w:r>
          </w:p>
        </w:tc>
        <w:tc>
          <w:tcPr>
            <w:tcW w:w="109" w:type="dxa"/>
            <w:tcBorders>
              <w:top w:val="single" w:sz="4" w:space="0" w:color="B1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compensation expense</w:t>
            </w:r>
            <w:r>
              <w:rPr>
                <w:rFonts w:ascii="Arial;sans-serif" w:hAnsi="Arial;sans-serif"/>
                <w:b w:val="false"/>
                <w:color w:val="000000"/>
                <w:sz w:val="10"/>
              </w:rPr>
              <w:t>3</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ongoing income</w:t>
            </w:r>
            <w:r>
              <w:rPr>
                <w:rFonts w:ascii="Arial;sans-serif" w:hAnsi="Arial;sans-serif"/>
                <w:b w:val="false"/>
                <w:color w:val="000000"/>
                <w:sz w:val="10"/>
              </w:rPr>
              <w:t>4</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mark-to-market expense</w:t>
            </w:r>
            <w:r>
              <w:rPr>
                <w:rFonts w:ascii="Arial;sans-serif" w:hAnsi="Arial;sans-serif"/>
                <w:b w:val="false"/>
                <w:color w:val="000000"/>
                <w:sz w:val="10"/>
              </w:rPr>
              <w:t>4</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postretirement income</w:t>
            </w:r>
            <w:r>
              <w:rPr>
                <w:rFonts w:ascii="Arial;sans-serif" w:hAnsi="Arial;sans-serif"/>
                <w:b w:val="false"/>
                <w:color w:val="000000"/>
                <w:sz w:val="10"/>
              </w:rPr>
              <w:t>4</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Repositioning and other gains (charges)</w:t>
            </w:r>
            <w:r>
              <w:rPr>
                <w:rFonts w:ascii="Arial;sans-serif" w:hAnsi="Arial;sans-serif"/>
                <w:b w:val="false"/>
                <w:color w:val="000000"/>
                <w:sz w:val="10"/>
              </w:rPr>
              <w:t>5</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w:t>
            </w:r>
            <w:r>
              <w:rPr>
                <w:rFonts w:ascii="Arial;sans-serif" w:hAnsi="Arial;sans-serif"/>
                <w:b w:val="false"/>
                <w:color w:val="000000"/>
                <w:sz w:val="10"/>
              </w:rPr>
              <w:t>6</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109" w:type="dxa"/>
            <w:tcBorders>
              <w:top w:val="single" w:sz="2" w:space="0" w:color="61656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taxes</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5,476</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6,244</w:t>
            </w:r>
            <w:r>
              <w:rPr>
                <w:color w:val="000000"/>
              </w:rPr>
              <w:t> </w:t>
            </w:r>
          </w:p>
        </w:tc>
        <w:tc>
          <w:tcPr>
            <w:tcW w:w="109" w:type="dxa"/>
            <w:tcBorders>
              <w:top w:val="single" w:sz="4" w:space="0" w:color="D7282F"/>
              <w:bottom w:val="single" w:sz="4" w:space="0" w:color="D7282F"/>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6,191</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5"/>
        <w:gridCol w:w="2743"/>
        <w:gridCol w:w="3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Amounts included in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Amounts included in Selling,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 (service cost component), Selling, general and administrative expenses (service cost component), Research and development expenses (service cost component), and Other (income) expense (non-service cost component).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 Selling, general and administrative expenses, and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Amounts include the other components of Other (income) expense not included within other categories in this reconciliation. Equity income of affiliated companies is included in segment profit.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22250"/>
                <wp:effectExtent l="0" t="0" r="0" b="0"/>
                <wp:wrapNone/>
                <wp:docPr id="163" name="Frame1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118    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23. GEOGRAPHIC AREAS—FINANCIAL DATA</w:t>
      </w:r>
    </w:p>
    <w:tbl>
      <w:tblPr>
        <w:tblW w:w="8661" w:type="dxa"/>
        <w:jc w:val="left"/>
        <w:tblInd w:w="0" w:type="dxa"/>
        <w:tblLayout w:type="fixed"/>
        <w:tblCellMar>
          <w:top w:w="28" w:type="dxa"/>
          <w:left w:w="28" w:type="dxa"/>
          <w:bottom w:w="28" w:type="dxa"/>
          <w:right w:w="28" w:type="dxa"/>
        </w:tblCellMar>
      </w:tblPr>
      <w:tblGrid>
        <w:gridCol w:w="527"/>
        <w:gridCol w:w="461"/>
        <w:gridCol w:w="467"/>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52" w:type="dxa"/>
            <w:gridSpan w:val="15"/>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Net Sales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Long-lived Assets</w:t>
            </w:r>
            <w:r>
              <w:rPr>
                <w:rFonts w:ascii="Arial;sans-serif" w:hAnsi="Arial;sans-serif"/>
                <w:b/>
                <w:color w:val="000000"/>
                <w:sz w:val="10"/>
              </w:rPr>
              <w:t>2</w:t>
            </w:r>
          </w:p>
        </w:tc>
      </w:tr>
      <w:tr>
        <w:trPr/>
        <w:tc>
          <w:tcPr>
            <w:tcW w:w="1455" w:type="dxa"/>
            <w:gridSpan w:val="3"/>
            <w:vMerge w:val="continue"/>
            <w:tcBorders/>
            <w:tcMar>
              <w:top w:w="0" w:type="dxa"/>
              <w:left w:w="0" w:type="dxa"/>
              <w:bottom w:w="0" w:type="dxa"/>
              <w:right w:w="0" w:type="dxa"/>
            </w:tcMar>
            <w:vAlign w:val="center"/>
          </w:tcPr>
          <w:p>
            <w:pPr>
              <w:pStyle w:val="Normal"/>
              <w:bidi w:val="0"/>
              <w:jc w:val="left"/>
              <w:rPr/>
            </w:pPr>
            <w:r>
              <w:rPr/>
            </w:r>
          </w:p>
        </w:tc>
        <w:tc>
          <w:tcPr>
            <w:tcW w:w="3552" w:type="dxa"/>
            <w:gridSpan w:val="15"/>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45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21,784 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19,531 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18,697 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international</w:t>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7,047 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09"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932 </w:t>
            </w:r>
          </w:p>
        </w:tc>
        <w:tc>
          <w:tcPr>
            <w:tcW w:w="154" w:type="dxa"/>
            <w:tcBorders>
              <w:top w:val="single" w:sz="2" w:space="0" w:color="888B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rFonts w:ascii="Arial;sans-serif" w:hAnsi="Arial;sans-serif"/>
                <w:b/>
                <w:color w:val="000000"/>
                <w:sz w:val="10"/>
              </w:rPr>
              <w:t>3</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34,717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33,009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4,628</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4,457</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4,031</w:t>
            </w:r>
            <w:r>
              <w:rPr>
                <w:color w:val="000000"/>
              </w:rPr>
              <w:t> </w:t>
            </w:r>
          </w:p>
        </w:tc>
        <w:tc>
          <w:tcPr>
            <w:tcW w:w="15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1"/>
        <w:gridCol w:w="2786"/>
        <w:gridCol w:w="39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Sales between geographic areas approximate market value and are not significant. Net sales are classified according to their country of origin. Included in United States Net sales are export sales of $7,895 million, $4,760 million, and $4,134 million for the years ended December 31, 2025, 2024, and 2023,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Long-lived assets consists of Property, plant and equipment—net.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pPr>
            <w:r>
              <w:rPr>
                <w:rFonts w:ascii="Arial;sans-serif" w:hAnsi="Arial;sans-serif"/>
                <w:b w:val="false"/>
                <w:color w:val="000000"/>
                <w:sz w:val="14"/>
              </w:rPr>
              <w:t xml:space="preserve">As of December 31, 2025 and 2024, total long-lived assets excludes $153 million and $155 million, respectively, that are included in Assets held for sale in the Consolidated Balance Sheet. Refer to Note 2 </w:t>
            </w:r>
            <w:hyperlink w:anchor="ic3922f0530c04df99983ab02c4d22c0f_202">
              <w:r>
                <w:rPr>
                  <w:rStyle w:val="InternetLink"/>
                  <w:rFonts w:ascii="Arial;sans-serif" w:hAnsi="Arial;sans-serif"/>
                  <w:b w:val="false"/>
                  <w:color w:val="0000FF"/>
                  <w:sz w:val="14"/>
                  <w:u w:val="single"/>
                </w:rPr>
                <w:t>Acquisitions, Divestitures, and Discontinued Operations</w:t>
              </w:r>
            </w:hyperlink>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24. SUPPLEMENTAL CASH FLOW INFORMATION</w:t>
      </w:r>
    </w:p>
    <w:tbl>
      <w:tblPr>
        <w:tblW w:w="7676" w:type="dxa"/>
        <w:jc w:val="left"/>
        <w:tblInd w:w="0" w:type="dxa"/>
        <w:tblLayout w:type="fixed"/>
        <w:tblCellMar>
          <w:top w:w="28" w:type="dxa"/>
          <w:left w:w="28" w:type="dxa"/>
          <w:bottom w:w="28" w:type="dxa"/>
          <w:right w:w="28" w:type="dxa"/>
        </w:tblCellMar>
      </w:tblPr>
      <w:tblGrid>
        <w:gridCol w:w="1636"/>
        <w:gridCol w:w="1435"/>
        <w:gridCol w:w="1443"/>
        <w:gridCol w:w="196"/>
        <w:gridCol w:w="556"/>
        <w:gridCol w:w="109"/>
        <w:gridCol w:w="109"/>
        <w:gridCol w:w="109"/>
        <w:gridCol w:w="109"/>
        <w:gridCol w:w="196"/>
        <w:gridCol w:w="496"/>
        <w:gridCol w:w="109"/>
        <w:gridCol w:w="109"/>
        <w:gridCol w:w="109"/>
        <w:gridCol w:w="109"/>
        <w:gridCol w:w="196"/>
        <w:gridCol w:w="496"/>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December 31,</w:t>
            </w:r>
          </w:p>
        </w:tc>
      </w:tr>
      <w:tr>
        <w:trPr/>
        <w:tc>
          <w:tcPr>
            <w:tcW w:w="4514"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51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payments for repositioning and other charges</w:t>
            </w:r>
          </w:p>
        </w:tc>
        <w:tc>
          <w:tcPr>
            <w:tcW w:w="8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exit cost payments</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payments</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Reimbursement receipts</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receipts for asbestos-related liabilities</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receivables settlements, write-offs, and other</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Asbestos-related liability payments</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payments for repositioning and other charges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(378)</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(470)</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(445)</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paid, net of amounts capitalized</w:t>
            </w:r>
            <w:r>
              <w:rPr>
                <w:rFonts w:ascii="Arial;sans-serif" w:hAnsi="Arial;sans-serif"/>
                <w:b w:val="false"/>
                <w:color w:val="000000"/>
                <w:sz w:val="10"/>
              </w:rPr>
              <w:t>1</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5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taxes paid, net of refunds</w:t>
            </w:r>
            <w:r>
              <w:rPr>
                <w:rFonts w:ascii="Arial;sans-serif" w:hAnsi="Arial;sans-serif"/>
                <w:b w:val="false"/>
                <w:color w:val="000000"/>
                <w:sz w:val="10"/>
              </w:rPr>
              <w:t>1</w:t>
            </w:r>
          </w:p>
        </w:tc>
        <w:tc>
          <w:tcPr>
            <w:tcW w:w="75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1,581 </w:t>
            </w:r>
          </w:p>
        </w:tc>
        <w:tc>
          <w:tcPr>
            <w:tcW w:w="154"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investing and financing activities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stock contributed to savings plans</w:t>
            </w:r>
            <w:r>
              <w:rPr>
                <w:rFonts w:ascii="Arial;sans-serif" w:hAnsi="Arial;sans-serif"/>
                <w:b w:val="false"/>
                <w:color w:val="000000"/>
                <w:sz w:val="10"/>
              </w:rPr>
              <w:t>1</w:t>
            </w:r>
          </w:p>
        </w:tc>
        <w:tc>
          <w:tcPr>
            <w:tcW w:w="752"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54" w:type="dxa"/>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tbl>
      <w:tblPr>
        <w:tblW w:w="46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66"/>
        <w:gridCol w:w="1166"/>
        <w:gridCol w:w="1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Amounts include both continuing and discontinued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22250"/>
                <wp:effectExtent l="0" t="0" r="0" b="0"/>
                <wp:wrapNone/>
                <wp:docPr id="164" name="Frame1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119    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119    </w:t>
                      </w:r>
                      <w:r>
                        <w:rPr>
                          <w:rFonts w:ascii="Arial;sans-serif" w:hAnsi="Arial;sans-serif"/>
                          <w:b w:val="false"/>
                          <w:color w:val="000000"/>
                          <w:sz w:val="16"/>
                        </w:rPr>
                        <w:t>Honeywell International Inc.</w:t>
                      </w:r>
                    </w:p>
                  </w:txbxContent>
                </v:textbox>
                <w10:wrap type="none"/>
              </v:rect>
            </w:pict>
          </mc:Fallback>
        </mc:AlternateContent>
      </w:r>
    </w:p>
    <w:tbl>
      <w:tblPr>
        <w:tblW w:w="5173" w:type="dxa"/>
        <w:jc w:val="right"/>
        <w:tblInd w:w="0" w:type="dxa"/>
        <w:tblLayout w:type="fixed"/>
        <w:tblCellMar>
          <w:top w:w="28" w:type="dxa"/>
          <w:left w:w="28" w:type="dxa"/>
          <w:bottom w:w="28" w:type="dxa"/>
          <w:right w:w="28" w:type="dxa"/>
        </w:tblCellMar>
      </w:tblPr>
      <w:tblGrid>
        <w:gridCol w:w="548"/>
        <w:gridCol w:w="482"/>
        <w:gridCol w:w="484"/>
        <w:gridCol w:w="1070"/>
        <w:gridCol w:w="1070"/>
        <w:gridCol w:w="15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FINANCIAL STATEMENTS AND SUPPLEMENTARY DATA</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pPr>
      <w:r>
        <w:rPr>
          <w:rFonts w:ascii="Arial;sans-serif" w:hAnsi="Arial;sans-serif"/>
          <w:b w:val="false"/>
          <w:color w:val="D7282F"/>
          <w:sz w:val="32"/>
        </w:rPr>
        <w:t>NOTE 25. UNAUDITED QUARTERLY FINANCIAL INFORMATION</w:t>
      </w:r>
      <w:r>
        <w:rPr>
          <w:color w:val="EE2724"/>
        </w:rPr>
        <w:t xml:space="preserve"> </w:t>
      </w:r>
    </w:p>
    <w:tbl>
      <w:tblPr>
        <w:tblW w:w="10205" w:type="dxa"/>
        <w:jc w:val="left"/>
        <w:tblInd w:w="0" w:type="dxa"/>
        <w:tblLayout w:type="fixed"/>
        <w:tblCellMar>
          <w:top w:w="28" w:type="dxa"/>
          <w:left w:w="28" w:type="dxa"/>
          <w:bottom w:w="28" w:type="dxa"/>
          <w:right w:w="28" w:type="dxa"/>
        </w:tblCellMar>
      </w:tblPr>
      <w:tblGrid>
        <w:gridCol w:w="1845"/>
        <w:gridCol w:w="1583"/>
        <w:gridCol w:w="1579"/>
        <w:gridCol w:w="196"/>
        <w:gridCol w:w="571"/>
        <w:gridCol w:w="109"/>
        <w:gridCol w:w="109"/>
        <w:gridCol w:w="109"/>
        <w:gridCol w:w="109"/>
        <w:gridCol w:w="196"/>
        <w:gridCol w:w="571"/>
        <w:gridCol w:w="109"/>
        <w:gridCol w:w="109"/>
        <w:gridCol w:w="109"/>
        <w:gridCol w:w="109"/>
        <w:gridCol w:w="252"/>
        <w:gridCol w:w="736"/>
        <w:gridCol w:w="141"/>
        <w:gridCol w:w="109"/>
        <w:gridCol w:w="109"/>
        <w:gridCol w:w="109"/>
        <w:gridCol w:w="243"/>
        <w:gridCol w:w="690"/>
        <w:gridCol w:w="136"/>
        <w:gridCol w:w="109"/>
        <w:gridCol w:w="158"/>
      </w:tblGrid>
      <w:tr>
        <w:trPr/>
        <w:tc>
          <w:tcPr>
            <w:tcW w:w="184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67" w:type="dxa"/>
            <w:gridSpan w:val="2"/>
            <w:tcBorders/>
          </w:tcPr>
          <w:p>
            <w:pPr>
              <w:pStyle w:val="TableContents"/>
              <w:bidi w:val="0"/>
              <w:spacing w:before="0" w:after="283"/>
              <w:jc w:val="left"/>
              <w:rPr>
                <w:sz w:val="4"/>
                <w:szCs w:val="4"/>
              </w:rPr>
            </w:pPr>
            <w:r>
              <w:rPr>
                <w:sz w:val="4"/>
                <w:szCs w:val="4"/>
              </w:rPr>
            </w:r>
          </w:p>
        </w:tc>
      </w:tr>
      <w:tr>
        <w:trPr/>
        <w:tc>
          <w:tcPr>
            <w:tcW w:w="500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8,925 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9,437 </w:t>
            </w:r>
          </w:p>
        </w:tc>
        <w:tc>
          <w:tcPr>
            <w:tcW w:w="14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9,758 </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3,233 </w:t>
            </w:r>
          </w:p>
        </w:tc>
        <w:tc>
          <w:tcPr>
            <w:tcW w:w="14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3,470 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1,895 </w:t>
            </w:r>
          </w:p>
        </w:tc>
        <w:tc>
          <w:tcPr>
            <w:tcW w:w="14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from discontinued operations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4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(loss) attributable to Honeywell</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1,449</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1,570</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1,825</w:t>
            </w:r>
            <w:r>
              <w:rPr>
                <w:color w:val="000000"/>
              </w:rPr>
              <w:t> </w:t>
            </w:r>
          </w:p>
        </w:tc>
        <w:tc>
          <w:tcPr>
            <w:tcW w:w="14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(loss) per common share from continuing operations—basic</w:t>
            </w:r>
            <w:r>
              <w:rPr>
                <w:rFonts w:ascii="Arial;sans-serif" w:hAnsi="Arial;sans-serif"/>
                <w:b w:val="false"/>
                <w:color w:val="000000"/>
                <w:sz w:val="10"/>
              </w:rPr>
              <w:t>1</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4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(loss) per common share from discontinued operations—basic</w:t>
            </w:r>
            <w:r>
              <w:rPr>
                <w:rFonts w:ascii="Arial;sans-serif" w:hAnsi="Arial;sans-serif"/>
                <w:b w:val="false"/>
                <w:color w:val="000000"/>
                <w:sz w:val="10"/>
              </w:rPr>
              <w:t>1</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14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(loss) per common share—basic</w:t>
            </w:r>
          </w:p>
        </w:tc>
        <w:tc>
          <w:tcPr>
            <w:tcW w:w="196"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w:t>
            </w:r>
            <w:r>
              <w:rPr>
                <w:color w:val="000000"/>
              </w:rPr>
              <w:t> </w:t>
            </w:r>
          </w:p>
        </w:tc>
        <w:tc>
          <w:tcPr>
            <w:tcW w:w="109" w:type="dxa"/>
            <w:tcBorders>
              <w:top w:val="single" w:sz="4" w:space="0" w:color="D7282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14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(0.18)</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(loss) per common share from continuing operations—assuming dilution</w:t>
            </w:r>
            <w:r>
              <w:rPr>
                <w:rFonts w:ascii="Arial;sans-serif" w:hAnsi="Arial;sans-serif"/>
                <w:b w:val="false"/>
                <w:color w:val="000000"/>
                <w:sz w:val="10"/>
              </w:rPr>
              <w:t>1</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4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(loss) per common share from discontinued operations—assuming dilution</w:t>
            </w:r>
            <w:r>
              <w:rPr>
                <w:rFonts w:ascii="Arial;sans-serif" w:hAnsi="Arial;sans-serif"/>
                <w:b w:val="false"/>
                <w:color w:val="000000"/>
                <w:sz w:val="10"/>
              </w:rPr>
              <w:t>1</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0.29 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141"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Earnings (loss) per common share—assuming dilution</w:t>
            </w:r>
            <w:r>
              <w:rPr>
                <w:rFonts w:ascii="Arial;sans-serif" w:hAnsi="Arial;sans-serif"/>
                <w:b/>
                <w:color w:val="000000"/>
                <w:sz w:val="10"/>
              </w:rPr>
              <w:t>1</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w:t>
            </w:r>
            <w:r>
              <w:rPr>
                <w:color w:val="000000"/>
              </w:rPr>
              <w:t> </w:t>
            </w:r>
          </w:p>
        </w:tc>
        <w:tc>
          <w:tcPr>
            <w:tcW w:w="141"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0"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(0.18)</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per common share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4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23"/>
        <w:gridCol w:w="1575"/>
        <w:gridCol w:w="1578"/>
        <w:gridCol w:w="196"/>
        <w:gridCol w:w="571"/>
        <w:gridCol w:w="109"/>
        <w:gridCol w:w="109"/>
        <w:gridCol w:w="109"/>
        <w:gridCol w:w="109"/>
        <w:gridCol w:w="196"/>
        <w:gridCol w:w="571"/>
        <w:gridCol w:w="109"/>
        <w:gridCol w:w="109"/>
        <w:gridCol w:w="109"/>
        <w:gridCol w:w="109"/>
        <w:gridCol w:w="256"/>
        <w:gridCol w:w="746"/>
        <w:gridCol w:w="143"/>
        <w:gridCol w:w="109"/>
        <w:gridCol w:w="109"/>
        <w:gridCol w:w="109"/>
        <w:gridCol w:w="242"/>
        <w:gridCol w:w="707"/>
        <w:gridCol w:w="136"/>
        <w:gridCol w:w="109"/>
        <w:gridCol w:w="157"/>
      </w:tblGrid>
      <w:tr>
        <w:trPr/>
        <w:tc>
          <w:tcPr>
            <w:tcW w:w="182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266" w:type="dxa"/>
            <w:gridSpan w:val="2"/>
            <w:tcBorders/>
          </w:tcPr>
          <w:p>
            <w:pPr>
              <w:pStyle w:val="TableContents"/>
              <w:bidi w:val="0"/>
              <w:spacing w:before="0" w:after="283"/>
              <w:jc w:val="left"/>
              <w:rPr>
                <w:sz w:val="4"/>
                <w:szCs w:val="4"/>
              </w:rPr>
            </w:pPr>
            <w:r>
              <w:rPr>
                <w:sz w:val="4"/>
                <w:szCs w:val="4"/>
              </w:rPr>
            </w:r>
          </w:p>
        </w:tc>
      </w:tr>
      <w:tr>
        <w:trPr/>
        <w:tc>
          <w:tcPr>
            <w:tcW w:w="4976"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8,157 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8,572 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8,819 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9,169 </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3,419 </w:t>
            </w:r>
          </w:p>
        </w:tc>
        <w:tc>
          <w:tcPr>
            <w:tcW w:w="14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14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discontinued operations</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4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Honeywell</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1,462</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1,545</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1,413</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1,285</w:t>
            </w:r>
            <w:r>
              <w:rPr>
                <w:color w:val="000000"/>
              </w:rPr>
              <w:t> </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common share from continuing operations—basic</w:t>
            </w:r>
            <w:r>
              <w:rPr>
                <w:rFonts w:ascii="Arial;sans-serif" w:hAnsi="Arial;sans-serif"/>
                <w:b w:val="false"/>
                <w:color w:val="000000"/>
                <w:sz w:val="10"/>
              </w:rPr>
              <w:t>1</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4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common share from discontinued operations—basic</w:t>
            </w:r>
            <w:r>
              <w:rPr>
                <w:rFonts w:ascii="Arial;sans-serif" w:hAnsi="Arial;sans-serif"/>
                <w:b w:val="false"/>
                <w:color w:val="000000"/>
                <w:sz w:val="10"/>
              </w:rPr>
              <w:t>1</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4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Earnings per common share—basic</w:t>
            </w:r>
            <w:r>
              <w:rPr>
                <w:rFonts w:ascii="Arial;sans-serif" w:hAnsi="Arial;sans-serif"/>
                <w:b/>
                <w:color w:val="000000"/>
                <w:sz w:val="10"/>
              </w:rPr>
              <w:t>1</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w:t>
            </w:r>
            <w:r>
              <w:rPr>
                <w:color w:val="000000"/>
              </w:rPr>
              <w:t> </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common share from continuing operations—assuming dilution</w:t>
            </w:r>
            <w:r>
              <w:rPr>
                <w:rFonts w:ascii="Arial;sans-serif" w:hAnsi="Arial;sans-serif"/>
                <w:b w:val="false"/>
                <w:color w:val="000000"/>
                <w:sz w:val="10"/>
              </w:rPr>
              <w:t>1</w:t>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4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common share from discontinued operations—assuming dilution</w:t>
            </w:r>
            <w:r>
              <w:rPr>
                <w:rFonts w:ascii="Arial;sans-serif" w:hAnsi="Arial;sans-serif"/>
                <w:b w:val="false"/>
                <w:color w:val="000000"/>
                <w:sz w:val="10"/>
              </w:rPr>
              <w:t>1</w:t>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0.33 </w:t>
            </w:r>
          </w:p>
        </w:tc>
        <w:tc>
          <w:tcPr>
            <w:tcW w:w="109"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4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0.22 </w:t>
            </w:r>
          </w:p>
        </w:tc>
        <w:tc>
          <w:tcPr>
            <w:tcW w:w="136"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Earnings per common share—assuming dilution</w:t>
            </w:r>
            <w:r>
              <w:rPr>
                <w:rFonts w:ascii="Arial;sans-serif" w:hAnsi="Arial;sans-serif"/>
                <w:b/>
                <w:color w:val="000000"/>
                <w:sz w:val="10"/>
              </w:rPr>
              <w:t>1</w:t>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w:t>
            </w:r>
            <w:r>
              <w:rPr>
                <w:color w:val="000000"/>
              </w:rPr>
              <w:t>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w:t>
            </w:r>
            <w:r>
              <w:rPr>
                <w:color w:val="000000"/>
              </w:rPr>
              <w:t> </w:t>
            </w:r>
          </w:p>
        </w:tc>
        <w:tc>
          <w:tcPr>
            <w:tcW w:w="14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136"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per common share</w:t>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4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3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Total for the full year may differ from the sum of the individual quarters due to the requirement to use weighted average shares each quarter, which may fluctuate with share repurchases and share issuances, and due to the impact of losses in a quarter.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22250"/>
                <wp:effectExtent l="0" t="0" r="0" b="0"/>
                <wp:wrapNone/>
                <wp:docPr id="165" name="Frame1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120    </w:t>
                      </w:r>
                      <w:r>
                        <w:rPr>
                          <w:rFonts w:ascii="Arial;sans-serif" w:hAnsi="Arial;sans-serif"/>
                          <w:b w:val="false"/>
                          <w:color w:val="000000"/>
                          <w:sz w:val="16"/>
                        </w:rPr>
                        <w:t>Honeywell International Inc.</w:t>
                      </w:r>
                    </w:p>
                  </w:txbxContent>
                </v:textbox>
                <w10:wrap type="none"/>
              </v:rect>
            </w:pict>
          </mc:Fallback>
        </mc:AlternateContent>
      </w:r>
    </w:p>
    <w:tbl>
      <w:tblPr>
        <w:tblW w:w="1560" w:type="dxa"/>
        <w:jc w:val="left"/>
        <w:tblInd w:w="0" w:type="dxa"/>
        <w:tblLayout w:type="fixed"/>
        <w:tblCellMar>
          <w:top w:w="28" w:type="dxa"/>
          <w:left w:w="28" w:type="dxa"/>
          <w:bottom w:w="28" w:type="dxa"/>
          <w:right w:w="28" w:type="dxa"/>
        </w:tblCellMar>
      </w:tblPr>
      <w:tblGrid>
        <w:gridCol w:w="500"/>
        <w:gridCol w:w="439"/>
        <w:gridCol w:w="621"/>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REPORT OF INDEPENDENT REGISTERED PUBLIC ACCOUNTING FIRM</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the shareowners and the Board of Directors of Honeywell International Inc.</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Opinions on the Financial Statements and Internal Control over Financial Reporting</w:t>
      </w:r>
    </w:p>
    <w:p>
      <w:pPr>
        <w:pStyle w:val="TextBody"/>
        <w:bidi w:val="0"/>
        <w:spacing w:lineRule="auto" w:line="288" w:before="0" w:after="120"/>
        <w:jc w:val="both"/>
        <w:rPr/>
      </w:pPr>
      <w:r>
        <w:rPr>
          <w:rFonts w:ascii="Arial;sans-serif" w:hAnsi="Arial;sans-serif"/>
          <w:b w:val="false"/>
          <w:color w:val="000000"/>
          <w:sz w:val="18"/>
        </w:rPr>
        <w:t>We have audited the accompanying consolidated balance sheets of Honeywell International Inc. and subsidiaries (the "Company" or “Honeywell”) as of December 31, 2025 and 2024, and the related consolidated statements of operations, comprehensive income, shareowners’ equity, and cash flows, for each of the three years in the period ended December 31, 2025, and the related notes (collectively referred to as the "financial statements"). We also have audited the Company’s internal control over financial reporting as of December 31, 2025, based on criteria established in</w:t>
      </w:r>
      <w:r>
        <w:rPr>
          <w:color w:val="000000"/>
        </w:rPr>
        <w:t xml:space="preserve">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the Committee of Sponsoring Organizations of the Treadway Commission (COSO).</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described in Management’s Report on Internal Control Over Financial Reporting, management excluded from its assessment the internal control over financial reporting at Sundyne, which was acquired on June 6, 2025. The total revenues and net income of Sundyne represent less than 1% each of the related consolidated financial statement amounts as of December 31, 2025, and net and total assets of Sundyne represent 12% and 3%, respectively, of the related consolidated financial statement amounts as of December 31, 2025. Accordingly, our audit did not include the internal control over financial reporting at Sundyne.</w:t>
      </w:r>
    </w:p>
    <w:p>
      <w:pPr>
        <w:pStyle w:val="TextBody"/>
        <w:bidi w:val="0"/>
        <w:spacing w:lineRule="auto" w:line="288" w:before="120" w:after="120"/>
        <w:jc w:val="both"/>
        <w:rPr/>
      </w:pPr>
      <w:r>
        <w:rPr>
          <w:rFonts w:ascii="Arial;sans-serif" w:hAnsi="Arial;sans-serif"/>
          <w:b w:val="false"/>
          <w:color w:val="000000"/>
          <w:sz w:val="18"/>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(“generally accepted accounting principles”). Also, in our opinion, the Company maintained, in all material respects, effective internal control over financial reporting as of December 31, 2025,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COSO.</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Basis for Opinions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Definition and Limitations of Internal Control over Financial Reporting</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22250"/>
                <wp:effectExtent l="0" t="0" r="0" b="0"/>
                <wp:wrapNone/>
                <wp:docPr id="166" name="Frame1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121    </w:t>
                      </w:r>
                      <w:r>
                        <w:rPr>
                          <w:rFonts w:ascii="Arial;sans-serif" w:hAnsi="Arial;sans-serif"/>
                          <w:b w:val="false"/>
                          <w:color w:val="000000"/>
                          <w:sz w:val="16"/>
                        </w:rPr>
                        <w:t>Honeywell International Inc.</w:t>
                      </w:r>
                    </w:p>
                  </w:txbxContent>
                </v:textbox>
                <w10:wrap type="none"/>
              </v:rect>
            </w:pict>
          </mc:Fallback>
        </mc:AlternateContent>
      </w:r>
    </w:p>
    <w:tbl>
      <w:tblPr>
        <w:tblW w:w="6104" w:type="dxa"/>
        <w:jc w:val="left"/>
        <w:tblInd w:w="0" w:type="dxa"/>
        <w:tblLayout w:type="fixed"/>
        <w:tblCellMar>
          <w:top w:w="28" w:type="dxa"/>
          <w:left w:w="28" w:type="dxa"/>
          <w:bottom w:w="28" w:type="dxa"/>
          <w:right w:w="28" w:type="dxa"/>
        </w:tblCellMar>
      </w:tblPr>
      <w:tblGrid>
        <w:gridCol w:w="548"/>
        <w:gridCol w:w="482"/>
        <w:gridCol w:w="484"/>
        <w:gridCol w:w="1342"/>
        <w:gridCol w:w="1342"/>
        <w:gridCol w:w="190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REPORT OF INDEPENDENT REGISTERED PUBLIC ACCOUNTING FIRM</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Critical Audit Matter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Revenue Recognition and Contracts with Customers – Long-Term Contracts – Refer to Note 1 and Note 3 to the financial statements</w:t>
      </w:r>
    </w:p>
    <w:p>
      <w:pPr>
        <w:pStyle w:val="TextBody"/>
        <w:bidi w:val="0"/>
        <w:spacing w:lineRule="auto" w:line="288" w:before="120" w:after="283"/>
        <w:jc w:val="left"/>
        <w:rPr>
          <w:rFonts w:ascii="Arial;sans-serif" w:hAnsi="Arial;sans-serif"/>
          <w:b/>
          <w:i/>
          <w:color w:val="D7282F"/>
          <w:sz w:val="16"/>
        </w:rPr>
      </w:pPr>
      <w:r>
        <w:rPr>
          <w:rFonts w:ascii="Arial;sans-serif" w:hAnsi="Arial;sans-serif"/>
          <w:b/>
          <w:i/>
          <w:color w:val="D7282F"/>
          <w:sz w:val="16"/>
        </w:rPr>
        <w:t xml:space="preserve">Critical Audit Matter Description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Company has several businesses which enter into long-term contracts whereby revenue is recognized over the contract term (“over time”) as the work progresses and control of the goods and services are continuously transferred to the customer. Revenue for these contracts is recognized based on the extent of progress towards completion, generally measured by using a cost-to-cost input method.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Accounting for long-term contracts requires management’s judgment in estimating total contract costs. Contract costs, which can be incurred over several years, are largely determined based on negotiated or estimated purchase contract terms and consider factors such as historical performance trends, inflationary trends, technical and schedule risk, internal and subcontractor performance trends, business volume assumptions, asset utilization and anticipated labor agreements.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Given the significance of the judgments necessary to estimate costs associated with these long-term contracts (which vary upon the length of the contract), auditing long-term contracts requires a high degree of auditor judgment.</w:t>
      </w:r>
    </w:p>
    <w:p>
      <w:pPr>
        <w:pStyle w:val="TextBody"/>
        <w:bidi w:val="0"/>
        <w:spacing w:lineRule="auto" w:line="288" w:before="0" w:after="0"/>
        <w:jc w:val="left"/>
        <w:rPr>
          <w:rFonts w:ascii="Arial;sans-serif" w:hAnsi="Arial;sans-serif"/>
          <w:b/>
          <w:i/>
          <w:color w:val="D7282F"/>
          <w:sz w:val="16"/>
        </w:rPr>
      </w:pPr>
      <w:r>
        <w:rPr>
          <w:rFonts w:ascii="Arial;sans-serif" w:hAnsi="Arial;sans-serif"/>
          <w:b/>
          <w:i/>
          <w:color w:val="D7282F"/>
          <w:sz w:val="16"/>
        </w:rPr>
        <w:t>How the Critical Audit Matter Was Addressed in the Audit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audit procedures related to long-term contracts included the following, among others: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We tested the effectiveness of internal controls over the recognition of revenue and the determination of estimated contract costs including controls over the review of management’s assumptions and key inputs used to recognize revenue and costs on long-term contracts using the cost-to-cost input method.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We evaluated the appropriateness and consistency of management’s methods and assumptions used to recognize revenue and costs on long-term contracts using the cost-to-cost input method to recognize revenue over time.</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We tested recorded revenue using a combination of analytical procedures and detailed contract testing.</w: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18"/>
        </w:rPr>
      </w:pPr>
      <w:r>
        <w:rPr>
          <w:rFonts w:ascii="Arial;sans-serif" w:hAnsi="Arial;sans-serif"/>
          <w:b/>
          <w:color w:val="000000"/>
          <w:sz w:val="18"/>
        </w:rPr>
        <w:t>/S/ DELOITTE &amp; TOUCHE LLP</w: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Charlotte, North Carolina</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February 17, 2026</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served as the Company's auditor since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22250"/>
                <wp:effectExtent l="0" t="0" r="0" b="0"/>
                <wp:wrapNone/>
                <wp:docPr id="167" name="Frame1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122    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CHANGES IN AND DISAGREEMENTS WITH ACCOUNTANTS ON ACCOUNTING AND FINANCIAL DISCLOSURE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CONTROLS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management maintains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management, with the participation of our CEO and CFO, evaluated the effectiveness of our disclosure controls and procedures (as defined in Rule 13a-15(e) promulgated under the Exchange Act) as of December 31, 2025. Based on these evaluations, our CEO and CFO concluded that our disclosure controls and procedures were effective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MANAGEMENT'S REPORT ON INTERNAL CONTROL OVER FINANCIAL REPORTING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management is responsible for establishing and maintaining adequate internal control over financial reporting and for its assessment of the effectiveness of internal control over financial reporting (as defined in Rule 13a-15(f) under the Exchange Act).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w:t>
      </w:r>
    </w:p>
    <w:p>
      <w:pPr>
        <w:pStyle w:val="TextBody"/>
        <w:bidi w:val="0"/>
        <w:spacing w:lineRule="auto" w:line="288" w:before="120" w:after="120"/>
        <w:jc w:val="both"/>
        <w:rPr/>
      </w:pPr>
      <w:r>
        <w:rPr>
          <w:rFonts w:ascii="Arial;sans-serif" w:hAnsi="Arial;sans-serif"/>
          <w:b w:val="false"/>
          <w:color w:val="000000"/>
          <w:sz w:val="18"/>
          <w:shd w:fill="FFFFFF" w:val="clear"/>
        </w:rPr>
        <w:t xml:space="preserve">Management assessed the effectiveness of Honeywell’s internal control over financial reporting as of December 31, 2025. In making this assessment, management used the criteria set forth by the Committee of Sponsoring Organizations of the Treadway Commission (COSO) in </w:t>
      </w:r>
      <w:r>
        <w:rPr>
          <w:rFonts w:ascii="Arial;sans-serif" w:hAnsi="Arial;sans-serif"/>
          <w:b w:val="false"/>
          <w:i/>
          <w:color w:val="000000"/>
          <w:sz w:val="18"/>
          <w:shd w:fill="FFFFFF" w:val="clear"/>
        </w:rPr>
        <w:t>Internal Control—Integrated Framework (2013)</w:t>
      </w:r>
      <w:r>
        <w:rPr>
          <w:rFonts w:ascii="Arial;sans-serif" w:hAnsi="Arial;sans-serif"/>
          <w:b w:val="false"/>
          <w:color w:val="000000"/>
          <w:sz w:val="18"/>
          <w:shd w:fill="FFFFFF" w:val="clear"/>
        </w:rPr>
        <w:t>.</w:t>
      </w:r>
    </w:p>
    <w:p>
      <w:pPr>
        <w:pStyle w:val="TextBody"/>
        <w:bidi w:val="0"/>
        <w:spacing w:lineRule="auto" w:line="288" w:before="120" w:after="120"/>
        <w:jc w:val="both"/>
        <w:rPr/>
      </w:pPr>
      <w:r>
        <w:rPr>
          <w:rFonts w:ascii="Arial;sans-serif" w:hAnsi="Arial;sans-serif"/>
          <w:b w:val="false"/>
          <w:color w:val="000000"/>
          <w:sz w:val="18"/>
        </w:rPr>
        <w:t>Based on this assessment,</w:t>
      </w:r>
      <w:r>
        <w:rPr>
          <w:color w:val="000000"/>
          <w:shd w:fill="FFFFFF" w:val="clear"/>
        </w:rPr>
        <w:t xml:space="preserve"> </w:t>
      </w:r>
      <w:r>
        <w:rPr>
          <w:rFonts w:ascii="Arial;sans-serif" w:hAnsi="Arial;sans-serif"/>
          <w:b w:val="false"/>
          <w:color w:val="000000"/>
          <w:sz w:val="18"/>
          <w:shd w:fill="FFFFFF" w:val="clear"/>
        </w:rPr>
        <w:t>management determined that Honeywell maintained effective internal control over financial reporting as of December 31,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accordance with guidance issued by the Securities and Exchange Commission, companies are allowed to exclude acquisitions from their assessment of internal control over financial reporting during the first year in which the acquisition occurred. Management’s assessment of the effectiveness of the Company’s internal control over financial reporting as of December 31, 2025 excluded Sundyne, which was acquired by the Company on June 6, 2025. The total revenues and net income of Sundyne represent less than 1% each of the related consolidated financial amounts as of December 31, 2025, and net and total assets of Sundyne represent 12% and 3%, respectively, of the related consolidated financial amounts as of December 31, 2025.</w:t>
      </w:r>
    </w:p>
    <w:p>
      <w:pPr>
        <w:pStyle w:val="TextBody"/>
        <w:bidi w:val="0"/>
        <w:spacing w:lineRule="auto" w:line="288" w:before="120" w:after="120"/>
        <w:jc w:val="both"/>
        <w:rPr/>
      </w:pPr>
      <w:r>
        <w:rPr>
          <w:rFonts w:ascii="Arial;sans-serif" w:hAnsi="Arial;sans-serif"/>
          <w:b w:val="false"/>
          <w:color w:val="000000"/>
          <w:sz w:val="18"/>
        </w:rPr>
        <w:t xml:space="preserve">The effectiveness of Honeywell’s internal control over financial reporting as of December 31, 2025, has been audited by Deloitte &amp; Touche LLP, an independent registered public accounting firm, as stated in their report which is included in the section titled </w:t>
      </w:r>
      <w:hyperlink w:anchor="ic3922f0530c04df99983ab02c4d22c0f_175">
        <w:r>
          <w:rPr>
            <w:rStyle w:val="InternetLink"/>
            <w:rFonts w:ascii="Arial;sans-serif" w:hAnsi="Arial;sans-serif"/>
            <w:b w:val="false"/>
            <w:color w:val="0000FF"/>
            <w:sz w:val="18"/>
            <w:u w:val="single"/>
          </w:rPr>
          <w:t>Financial Statements and Supplementary Data</w:t>
        </w:r>
      </w:hyperlink>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22250"/>
                <wp:effectExtent l="0" t="0" r="0" b="0"/>
                <wp:wrapNone/>
                <wp:docPr id="168" name="Frame1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123    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OTHER INFORMATION</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EQUITY TRADING ARRANGEMENTS ELECTIONS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Certain executive officers and directors of the Company may execute purchases and sales of the Company's common stock through Rule 10b5-1 and non-Rule 10b5-1 equity trading arrangements. The following table describes 10b5-1 trading arrangements adopted or modified by our executive officers and directors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711"/>
        <w:gridCol w:w="536"/>
        <w:gridCol w:w="477"/>
        <w:gridCol w:w="364"/>
        <w:gridCol w:w="364"/>
        <w:gridCol w:w="368"/>
        <w:gridCol w:w="252"/>
        <w:gridCol w:w="221"/>
        <w:gridCol w:w="222"/>
        <w:gridCol w:w="569"/>
        <w:gridCol w:w="569"/>
        <w:gridCol w:w="571"/>
        <w:gridCol w:w="633"/>
        <w:gridCol w:w="633"/>
        <w:gridCol w:w="635"/>
        <w:gridCol w:w="899"/>
        <w:gridCol w:w="899"/>
        <w:gridCol w:w="1282"/>
      </w:tblGrid>
      <w:tr>
        <w:trPr/>
        <w:tc>
          <w:tcPr>
            <w:tcW w:w="7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 and title</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Action</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Plan Type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adoption of Rule 10b5-1 trading plan</w:t>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Scheduled expiration of Rule 10b5-1 trading plan</w:t>
            </w:r>
          </w:p>
        </w:tc>
        <w:tc>
          <w:tcPr>
            <w:tcW w:w="3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number of securities to be purchased or sold</w:t>
            </w:r>
          </w:p>
        </w:tc>
      </w:tr>
      <w:tr>
        <w:trPr/>
        <w:tc>
          <w:tcPr>
            <w:tcW w:w="172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Robert D. Mailloux </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Vice President and Controller</w:t>
            </w:r>
          </w:p>
        </w:tc>
        <w:tc>
          <w:tcPr>
            <w:tcW w:w="1096"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Modification</w:t>
            </w:r>
          </w:p>
        </w:tc>
        <w:tc>
          <w:tcPr>
            <w:tcW w:w="69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Rule 10b5-1</w:t>
            </w:r>
          </w:p>
        </w:tc>
        <w:tc>
          <w:tcPr>
            <w:tcW w:w="170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8/26/2025</w:t>
            </w:r>
          </w:p>
        </w:tc>
        <w:tc>
          <w:tcPr>
            <w:tcW w:w="190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8/31/2026</w:t>
            </w:r>
          </w:p>
        </w:tc>
        <w:tc>
          <w:tcPr>
            <w:tcW w:w="308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21,097 stock options and associated sale of shares to cover option exercise costs and tax obligations.</w:t>
            </w:r>
          </w:p>
        </w:tc>
      </w:tr>
      <w:tr>
        <w:trPr/>
        <w:tc>
          <w:tcPr>
            <w:tcW w:w="1724"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Grace Lieblein</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Board Member</w:t>
            </w:r>
          </w:p>
        </w:tc>
        <w:tc>
          <w:tcPr>
            <w:tcW w:w="1096"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Adoption</w:t>
            </w:r>
          </w:p>
        </w:tc>
        <w:tc>
          <w:tcPr>
            <w:tcW w:w="695"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Rule 10b5-1</w:t>
            </w:r>
          </w:p>
        </w:tc>
        <w:tc>
          <w:tcPr>
            <w:tcW w:w="1709"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11/24/2025</w:t>
            </w:r>
          </w:p>
        </w:tc>
        <w:tc>
          <w:tcPr>
            <w:tcW w:w="1901"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7/7/2026</w:t>
            </w:r>
          </w:p>
        </w:tc>
        <w:tc>
          <w:tcPr>
            <w:tcW w:w="308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7,777 stock options and associated sale of shares to cover option exercise costs and tax obligations.</w:t>
            </w:r>
          </w:p>
        </w:tc>
      </w:tr>
      <w:tr>
        <w:trPr/>
        <w:tc>
          <w:tcPr>
            <w:tcW w:w="1724"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Ken West</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President and Chief Executive Officer, ESS</w:t>
            </w:r>
          </w:p>
        </w:tc>
        <w:tc>
          <w:tcPr>
            <w:tcW w:w="1096"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Adoption</w:t>
            </w:r>
          </w:p>
        </w:tc>
        <w:tc>
          <w:tcPr>
            <w:tcW w:w="695"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Rule 10b5-1</w:t>
            </w:r>
          </w:p>
        </w:tc>
        <w:tc>
          <w:tcPr>
            <w:tcW w:w="1709"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11/24/2025</w:t>
            </w:r>
          </w:p>
        </w:tc>
        <w:tc>
          <w:tcPr>
            <w:tcW w:w="1901"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3/31/2027</w:t>
            </w:r>
          </w:p>
        </w:tc>
        <w:tc>
          <w:tcPr>
            <w:tcW w:w="3080" w:type="dxa"/>
            <w:gridSpan w:val="3"/>
            <w:tcBorders>
              <w:top w:val="single" w:sz="4" w:space="0" w:color="B1B3B3"/>
              <w:bottom w:val="single" w:sz="4" w:space="0" w:color="D7282F"/>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3,264 restricted stock units and associated sale of shares to cover tax obligations.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three months ended December 31, 2025, none of our executive officers or directors terminated a "Rule 10b5-1 trading arrangement," or adopted, terminated, or modified any "non-Rule 10b5-1 trading arrangement" (each as defined in Item 408(c) of Regulation S-K).</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OTHER INFORMATION</w:t>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Adjustment of certain items in our unaudited consolidated financial statements as of and for the year ended December 31, 2025 included within our earnings release for the fourth quarter and full year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 ongoing sale process of the Productivity Solutions and Services and Warehouse and Workflow Solutions businesses, the Company continually evaluates information relevant to the financial analysis associated with the sale as it becomes available. Subsequent to the Company's fourth quarter earnings release on January 29, 2026 (the Earnings Release), the Company received incremental information that resulted in additional impairments to goodwill of $436 million and assets held for sale of $35 million, with an offsetting tax benefit of $61 million, in its consolidated financial statements for the year ended December 31, 2025. Therefore, Honeywell’s full-year reported earnings per share from continuing operations was revised to $6.94, net income from continuing operations was revised to $4,468 million, operating income was revised to $5,573 million, and operating margin was revised to 14.9%.</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The information set forth below is included for the purpose of providing disclosure under Item 5.02 Departure of Directors or Certain Officers; Election of Directors; Appointment of Certain Officers; Compensatory Arrangements of Certain Officers of Form 8-K.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February 13, 2026, the Board of Directors of Honeywell International Inc. (the Company) approved the appointment of James Currier, age 59, as President and Chief Executive Officer of Honeywell Aerospace Inc., which will become an independent, publicly traded company following its planned spin-off (the Spin-Off) from the Company expected to be completed in the third quarter of 2026. In connection with this appointment, Mr. Currier entered into an offer letter (the Offer Letter) with the Company on February 17, 2026. Effective upon completion of the Spin-Off, Mr. Currier will resign from his position as President and Chief Executive Officer for the Aerospace Technologies segment of the Company to assume his role as President and Chief Executive Officer of Honeywell Aerospace Inc. and will thereafter cease to be an executive officer of the Company.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Mr. Currier has served as the President and CEO of the Company’s Aerospace Technologies business since 2023. Previously, he spent nearly two decades in senior roles across the globe at the Company, including as President of the Electronic Solutions business, President of the Company’s Aftermarket organization across Europe, Middle East, Africa and India, and Vice President of Airlines, North America. Mr. Currier holds a Bachelor of Science degree in Mechanical Engineering from the University of Miami.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22250"/>
                <wp:effectExtent l="0" t="0" r="0" b="0"/>
                <wp:wrapNone/>
                <wp:docPr id="169" name="Frame1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124    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Under the terms of the Offer Letter, effective upon completion of the Spin-Off, Mr. Currier’s base salary will be adjusted to $1,400,000; his target annual incentive compensation opportunity will be 175% of base salary applied to his earnings after the Spin-Off; and he will be eligible for annual long-term incentive awards with a target grant date value of $13,000,000, which in 2026 will entitle him to receive the difference between this target amount and the value of any long-term incentives granted to him by the Company prior to the completion of the Spin-Off.</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description of the offer letter contained herein is subject to and qualified in its entirety by reference to Exhibit 10.66 to this Annual Report on Form 10-K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DISCLOSURE REGARDING FOREIGN JURISDICTIONS THAT PREVENT INSPECTIONS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DIRECTORS, EXECUTIVE OFFICERS, AND CORPORATE GOVERNANCE</w:t>
      </w:r>
    </w:p>
    <w:p>
      <w:pPr>
        <w:pStyle w:val="TextBody"/>
        <w:bidi w:val="0"/>
        <w:spacing w:lineRule="auto" w:line="288" w:before="120" w:after="120"/>
        <w:jc w:val="both"/>
        <w:rPr/>
      </w:pPr>
      <w:r>
        <w:rPr>
          <w:rFonts w:ascii="Arial;sans-serif" w:hAnsi="Arial;sans-serif"/>
          <w:b w:val="false"/>
          <w:color w:val="000000"/>
          <w:sz w:val="18"/>
        </w:rPr>
        <w:t xml:space="preserve">Information relating to the Directors of Honeywell, as well as information relating to Honeywell's insider trading policies and practices and compliance with Section 16(a) of the Securities Exchange Act of 1934, will be contained in the Proxy Statement, which will be filed with the SEC pursuant to Regulation 14A not later than 120 days after December 31, 2025, and such information is incorporated herein by reference. Certain information relating to the Executive Officers of Honeywell appears in this Form 10-K in the section titled </w:t>
      </w:r>
      <w:hyperlink w:anchor="ic3922f0530c04df99983ab02c4d22c0f_151">
        <w:r>
          <w:rPr>
            <w:rStyle w:val="InternetLink"/>
            <w:rFonts w:ascii="Arial;sans-serif" w:hAnsi="Arial;sans-serif"/>
            <w:b w:val="false"/>
            <w:color w:val="0000FF"/>
            <w:sz w:val="18"/>
            <w:u w:val="single"/>
          </w:rPr>
          <w:t>Information about Our Executive Officers</w:t>
        </w:r>
      </w:hyperlink>
      <w:r>
        <w:rPr>
          <w:rFonts w:ascii="Arial;sans-serif" w:hAnsi="Arial;sans-serif"/>
          <w:b w:val="false"/>
          <w:color w:val="000000"/>
          <w:sz w:val="18"/>
        </w:rPr>
        <w: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members of the Audit Committee of our Board of Directors are: Michael W. Lamach (Chair), William S. Ayer, Kevin Burke, D. Scott Davis, Marc Steinberg, Robin Watson, and Stephen Williamson. The Board has determined that Mr. Davis and Mr. Williamson are Audit Committee financial experts as defined by applicable SEC rules and that each member of the Audit Committee satisfies the financial sophistication criteria established by the Nasdaq. All members of the Audit Committee are independent as that term is defined in applicable SEC rules and Nasdaq listing standards.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Honeywell’s corporate governance policies and procedures, including the Code of Business Conduct, Corporate Governance Guidelines, Insider Trading Policy, and Charters of the Committees of the Board are available, free of charge, on our Investor Relations website (investor.honeywell.com) under the heading Governance (see Governance Overview), or by writing to Honeywell, 855 South Mint Street, Charlotte, North Carolina 28202, c/o Senior Vice President, General Counsel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four business days of such amendment or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EXECUTIVE COMPENSATION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Information relating to executive compensation, including the Management Development and Compensation Committee Report and disclosures regarding compensation committee interlocks and insider participation will be contained in the Proxy Statement,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22250"/>
                <wp:effectExtent l="0" t="0" r="0" b="0"/>
                <wp:wrapNone/>
                <wp:docPr id="170" name="Frame1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125    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SECURITY OWNERSHIP OF CERTAIN BENEFICIAL OWNERS AND MANAGEMENT AND RELATED STOCKHOLDER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Information relating to security ownership of certain beneficial owners and management and related stockholder matters will be contained in the Proxy Statement, and such information is incorporated herein by reference. </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EQUITY COMPENSATION PLANS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December 31, 2025, information about our equity compensation plans was as follows:</w:t>
      </w:r>
    </w:p>
    <w:tbl>
      <w:tblPr>
        <w:tblW w:w="10205" w:type="dxa"/>
        <w:jc w:val="left"/>
        <w:tblInd w:w="0" w:type="dxa"/>
        <w:tblLayout w:type="fixed"/>
        <w:tblCellMar>
          <w:top w:w="28" w:type="dxa"/>
          <w:left w:w="28" w:type="dxa"/>
          <w:bottom w:w="28" w:type="dxa"/>
          <w:right w:w="28" w:type="dxa"/>
        </w:tblCellMar>
      </w:tblPr>
      <w:tblGrid>
        <w:gridCol w:w="1404"/>
        <w:gridCol w:w="1232"/>
        <w:gridCol w:w="1224"/>
        <w:gridCol w:w="487"/>
        <w:gridCol w:w="489"/>
        <w:gridCol w:w="283"/>
        <w:gridCol w:w="283"/>
        <w:gridCol w:w="283"/>
        <w:gridCol w:w="285"/>
        <w:gridCol w:w="109"/>
        <w:gridCol w:w="109"/>
        <w:gridCol w:w="109"/>
        <w:gridCol w:w="196"/>
        <w:gridCol w:w="661"/>
        <w:gridCol w:w="109"/>
        <w:gridCol w:w="109"/>
        <w:gridCol w:w="109"/>
        <w:gridCol w:w="109"/>
        <w:gridCol w:w="109"/>
        <w:gridCol w:w="109"/>
        <w:gridCol w:w="109"/>
        <w:gridCol w:w="487"/>
        <w:gridCol w:w="489"/>
        <w:gridCol w:w="294"/>
        <w:gridCol w:w="294"/>
        <w:gridCol w:w="294"/>
        <w:gridCol w:w="430"/>
      </w:tblGrid>
      <w:tr>
        <w:trPr/>
        <w:tc>
          <w:tcPr>
            <w:tcW w:w="140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8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Plan category</w:t>
            </w:r>
          </w:p>
        </w:tc>
        <w:tc>
          <w:tcPr>
            <w:tcW w:w="2110" w:type="dxa"/>
            <w:gridSpan w:val="6"/>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 Securities</w:t>
              <w:br/>
              <w:t>to be Issued</w:t>
              <w:br/>
              <w:t>Upon Exercise of</w:t>
              <w:br/>
              <w:t>Outstanding Options,</w:t>
              <w:br/>
              <w:t>Warrants, and Rights</w:t>
            </w:r>
          </w:p>
        </w:tc>
        <w:tc>
          <w:tcPr>
            <w:tcW w:w="1620" w:type="dxa"/>
            <w:gridSpan w:val="9"/>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w:t>
              <w:br/>
              <w:t>Exercise Price of</w:t>
              <w:br/>
              <w:t>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6"/>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 Securities</w:t>
              <w:br/>
              <w:t>Remaining Available for</w:t>
              <w:br/>
              <w:t>Future Issuance Under</w:t>
              <w:br/>
              <w:t>Equity Compensation</w:t>
              <w:br/>
              <w:t>Plans (Excluding</w:t>
              <w:br/>
              <w:t>Securities Reflected in</w:t>
              <w:br/>
              <w:t>Column (a))</w:t>
            </w:r>
          </w:p>
        </w:tc>
      </w:tr>
      <w:tr>
        <w:trPr/>
        <w:tc>
          <w:tcPr>
            <w:tcW w:w="3860" w:type="dxa"/>
            <w:gridSpan w:val="3"/>
            <w:vMerge w:val="continue"/>
            <w:tcBorders/>
            <w:tcMar>
              <w:top w:w="0" w:type="dxa"/>
              <w:left w:w="0" w:type="dxa"/>
              <w:bottom w:w="0" w:type="dxa"/>
              <w:right w:w="0" w:type="dxa"/>
            </w:tcMar>
            <w:vAlign w:val="center"/>
          </w:tcPr>
          <w:p>
            <w:pPr>
              <w:pStyle w:val="Normal"/>
              <w:bidi w:val="0"/>
              <w:jc w:val="left"/>
              <w:rPr/>
            </w:pPr>
            <w:r>
              <w:rPr/>
            </w:r>
          </w:p>
        </w:tc>
        <w:tc>
          <w:tcPr>
            <w:tcW w:w="2110" w:type="dxa"/>
            <w:gridSpan w:val="6"/>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6"/>
            <w:tcBorders>
              <w:top w:val="single" w:sz="4" w:space="0" w:color="D7282F"/>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w:t>
            </w:r>
          </w:p>
        </w:tc>
      </w:tr>
      <w:tr>
        <w:trPr/>
        <w:tc>
          <w:tcPr>
            <w:tcW w:w="386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w:t>
            </w:r>
          </w:p>
        </w:tc>
        <w:tc>
          <w:tcPr>
            <w:tcW w:w="97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12,997,866 </w:t>
            </w:r>
          </w:p>
        </w:tc>
        <w:tc>
          <w:tcPr>
            <w:tcW w:w="283"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0"/>
              </w:rPr>
            </w:pPr>
            <w:r>
              <w:rPr>
                <w:rFonts w:ascii="Arial;sans-serif" w:hAnsi="Arial;sans-serif"/>
                <w:b w:val="false"/>
                <w:color w:val="000000"/>
                <w:sz w:val="10"/>
              </w:rPr>
              <w:t>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172.59 </w:t>
            </w:r>
          </w:p>
        </w:tc>
        <w:tc>
          <w:tcPr>
            <w:tcW w:w="109"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0"/>
              </w:rPr>
            </w:pPr>
            <w:r>
              <w:rPr>
                <w:rFonts w:ascii="Arial;sans-serif" w:hAnsi="Arial;sans-serif"/>
                <w:b w:val="false"/>
                <w:color w:val="000000"/>
                <w:sz w:val="10"/>
              </w:rPr>
              <w:t>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27,733,434 </w:t>
            </w:r>
          </w:p>
        </w:tc>
        <w:tc>
          <w:tcPr>
            <w:tcW w:w="294" w:type="dxa"/>
            <w:tcBorders>
              <w:top w:val="single" w:sz="4" w:space="0" w:color="D7282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0"/>
              </w:rPr>
            </w:pPr>
            <w:r>
              <w:rPr>
                <w:rFonts w:ascii="Arial;sans-serif" w:hAnsi="Arial;sans-serif"/>
                <w:b w:val="false"/>
                <w:color w:val="000000"/>
                <w:sz w:val="10"/>
              </w:rPr>
              <w:t>3</w:t>
            </w:r>
          </w:p>
        </w:tc>
      </w:tr>
      <w:tr>
        <w:trPr/>
        <w:tc>
          <w:tcPr>
            <w:tcW w:w="386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security holders</w:t>
            </w:r>
          </w:p>
        </w:tc>
        <w:tc>
          <w:tcPr>
            <w:tcW w:w="976" w:type="dxa"/>
            <w:gridSpan w:val="2"/>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143,508 </w:t>
            </w:r>
          </w:p>
        </w:tc>
        <w:tc>
          <w:tcPr>
            <w:tcW w:w="283" w:type="dxa"/>
            <w:tcBorders>
              <w:top w:val="single" w:sz="2" w:space="0" w:color="61656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0"/>
              </w:rPr>
            </w:pPr>
            <w:r>
              <w:rPr>
                <w:rFonts w:ascii="Arial;sans-serif" w:hAnsi="Arial;sans-serif"/>
                <w:b w:val="false"/>
                <w:color w:val="000000"/>
                <w:sz w:val="10"/>
              </w:rPr>
              <w:t>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0"/>
              </w:rPr>
            </w:pPr>
            <w:r>
              <w:rPr>
                <w:rFonts w:ascii="Arial;sans-serif" w:hAnsi="Arial;sans-serif"/>
                <w:b w:val="false"/>
                <w:color w:val="000000"/>
                <w:sz w:val="10"/>
              </w:rPr>
              <w:t>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01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0"/>
              </w:rPr>
            </w:pPr>
            <w:r>
              <w:rPr>
                <w:rFonts w:ascii="Arial;sans-serif" w:hAnsi="Arial;sans-serif"/>
                <w:b w:val="false"/>
                <w:color w:val="000000"/>
                <w:sz w:val="10"/>
              </w:rPr>
              <w:t>6</w:t>
            </w:r>
          </w:p>
        </w:tc>
      </w:tr>
      <w:tr>
        <w:trPr/>
        <w:tc>
          <w:tcPr>
            <w:tcW w:w="3860"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97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13,141,374</w:t>
            </w:r>
            <w:r>
              <w:rPr>
                <w:color w:val="000000"/>
              </w:rPr>
              <w:t> </w:t>
            </w:r>
          </w:p>
        </w:tc>
        <w:tc>
          <w:tcPr>
            <w:tcW w:w="283"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172.59</w:t>
            </w:r>
            <w:r>
              <w:rPr>
                <w:color w:val="000000"/>
              </w:rPr>
              <w:t> </w:t>
            </w:r>
          </w:p>
        </w:tc>
        <w:tc>
          <w:tcPr>
            <w:tcW w:w="109"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27,733,434</w:t>
            </w:r>
            <w:r>
              <w:rPr>
                <w:color w:val="000000"/>
              </w:rPr>
              <w:t> </w:t>
            </w:r>
          </w:p>
        </w:tc>
        <w:tc>
          <w:tcPr>
            <w:tcW w:w="294" w:type="dxa"/>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Equity compensation plans approved by shareowners which are included in column (a) of the table are the 2016 Stock Incentive Plan and the 2011 Stock Incentive Plan (including 10,057,556 shares of Common Stock to be issued for options, 2,167,360 RSUs subject to continued employment, 443,778 RSUs subject to performance and continued employment; and 170,233 deferred RSUs), and the 2016 Stock Plan for Non-Employee Directors and the 2006 Stock Plan for Non-Employee Directors (including 122,093 shares of Common Stock to be issued for options, 6,456 RSUs subject to continued services, and 3,649 deferred RSUs).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Because the number of future shares that may be distributed to employees participating in the Honeywell Global Stock Plan is unknown, no shares attributable to that plan are included in column (a) of the table above.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Column (b) relates to stock options and does not include any exercise price for RSUs because an RSU’s value is dependent upon attainment of certain performance goals and/or continued employment or service and they are settled for shares of Common Stock on a one-for-one basis.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The number of shares that may be issued under the 2016 Stock Incentive Plan as of December 31, 2025, is 25,300,077,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Honeywell. No securities are available for future issuance under the 2011 Stock Incentive Plan.</w:t>
            </w:r>
          </w:p>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The number of shares that may be issued under the Honeywell Global Stock Plan as of December 31, 2025, is 1,664,759. This plan is an umbrella plan for three plans described below maintained solely for eligible employees of participating non-U.S. countries.</w:t>
            </w:r>
          </w:p>
          <w:p>
            <w:pPr>
              <w:pStyle w:val="TableContents"/>
              <w:bidi w:val="0"/>
              <w:spacing w:lineRule="auto" w:line="288" w:before="80" w:after="80"/>
              <w:ind w:left="0" w:right="0" w:hanging="216"/>
              <w:jc w:val="both"/>
              <w:rPr/>
            </w:pPr>
            <w:r>
              <w:rPr>
                <w:color w:val="D7282F"/>
              </w:rPr>
              <w:t>•</w:t>
            </w:r>
            <w:r>
              <w:rPr>
                <w:rFonts w:ascii="Arial;sans-serif" w:hAnsi="Arial;sans-serif"/>
                <w:b w:val="false"/>
                <w:color w:val="000000"/>
                <w:sz w:val="14"/>
              </w:rPr>
              <w:t>The UK Sharebuilder Plan allows an eligible UK employee to invest taxable earnings in Common Stock. The Company matches those shares and dividends paid are used to purchase additional shares of Common Stock. For the year ended December 31, 2025, 25,860 shares were credited to participants’ accounts under the UK Sharebuilder Plan.</w:t>
            </w:r>
          </w:p>
          <w:p>
            <w:pPr>
              <w:pStyle w:val="TableContents"/>
              <w:bidi w:val="0"/>
              <w:spacing w:lineRule="auto" w:line="288" w:before="80" w:after="80"/>
              <w:ind w:left="0" w:right="0" w:hanging="216"/>
              <w:jc w:val="both"/>
              <w:rPr/>
            </w:pPr>
            <w:r>
              <w:rPr>
                <w:color w:val="D7282F"/>
              </w:rPr>
              <w:t>•</w:t>
            </w:r>
            <w:r>
              <w:rPr>
                <w:rFonts w:ascii="Arial;sans-serif" w:hAnsi="Arial;sans-serif"/>
                <w:b w:val="false"/>
                <w:color w:val="000000"/>
                <w:sz w:val="14"/>
              </w:rPr>
              <w:t>The Honeywell Aerospace Ireland Share Participation Plan allows eligible Irish employees to contribute a percentage of base pay and/or bonus that is invested in Common Stock. For the year ended December 31, 2025, 881 shares of Common Stock were credited to participants’ accounts under these plans.</w:t>
            </w:r>
          </w:p>
          <w:p>
            <w:pPr>
              <w:pStyle w:val="TableContents"/>
              <w:bidi w:val="0"/>
              <w:spacing w:lineRule="auto" w:line="288" w:before="80" w:after="80"/>
              <w:ind w:left="0" w:right="0" w:hanging="216"/>
              <w:jc w:val="both"/>
              <w:rPr/>
            </w:pPr>
            <w:r>
              <w:rPr>
                <w:color w:val="D7282F"/>
              </w:rPr>
              <w:t>•</w:t>
            </w:r>
            <w:r>
              <w:rPr>
                <w:rFonts w:ascii="Arial;sans-serif" w:hAnsi="Arial;sans-serif"/>
                <w:b w:val="false"/>
                <w:color w:val="000000"/>
                <w:sz w:val="14"/>
              </w:rPr>
              <w:t>The remaining 768,598 shares included in column (c) are shares remaining under the 2016 Stock Plan for Non-Employee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Equity compensation plans not approved by shareowners included in the table refer to the Honeywell Excess Benefit Plan and Supplemental Savings Plan.</w:t>
            </w:r>
          </w:p>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The Honeywell Excess Benefit Plan and Supplemental Savings Plan for certain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2025, is 143,508.</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Column (b) does not include any exercise price for notional shares allocated to employees under Honeywell’s equity compensation plans not approved by shareowners because all of these shares are only settled for shares of Common Stock on a one-for-one basis.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80"/>
              <w:jc w:val="both"/>
              <w:rPr>
                <w:rFonts w:ascii="Arial;sans-serif" w:hAnsi="Arial;sans-serif"/>
                <w:b w:val="false"/>
                <w:color w:val="000000"/>
                <w:sz w:val="14"/>
              </w:rPr>
            </w:pPr>
            <w:r>
              <w:rPr>
                <w:rFonts w:ascii="Arial;sans-serif" w:hAnsi="Arial;sans-serif"/>
                <w:b w:val="false"/>
                <w:color w:val="000000"/>
                <w:sz w:val="14"/>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22250"/>
                <wp:effectExtent l="0" t="0" r="0" b="0"/>
                <wp:wrapNone/>
                <wp:docPr id="171" name="Frame1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126    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CERTAIN RELATIONSHIPS AND RELATED TRANSACTIONS, AND DIRECTOR INDEPENDENCE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Information relating to certain relationships and related transactions and director independence will be contained in the Proxy Statement,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PRINCIPAL ACCOUNTING FEES AND SERVICES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Information relating to fees paid to and services performed by Deloitte &amp; Touche LLP and our Audit Committee’s pre-approval policies and procedures with respect to non-audit services will be contained in the Proxy Statement,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EXHIBITS AND FINANCIAL STATEMENT SCHEDULES</w:t>
      </w:r>
    </w:p>
    <w:tbl>
      <w:tblPr>
        <w:tblW w:w="9763" w:type="dxa"/>
        <w:jc w:val="left"/>
        <w:tblInd w:w="0" w:type="dxa"/>
        <w:tblLayout w:type="fixed"/>
        <w:tblCellMar>
          <w:top w:w="28" w:type="dxa"/>
          <w:left w:w="28" w:type="dxa"/>
          <w:bottom w:w="28" w:type="dxa"/>
          <w:right w:w="28" w:type="dxa"/>
        </w:tblCellMar>
      </w:tblPr>
      <w:tblGrid>
        <w:gridCol w:w="212"/>
        <w:gridCol w:w="186"/>
        <w:gridCol w:w="186"/>
        <w:gridCol w:w="2652"/>
        <w:gridCol w:w="2652"/>
        <w:gridCol w:w="2661"/>
        <w:gridCol w:w="354"/>
        <w:gridCol w:w="354"/>
        <w:gridCol w:w="50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Page Number</w:t>
              <w:br/>
              <w:t>in Form 10-K</w:t>
            </w:r>
          </w:p>
        </w:tc>
      </w:tr>
      <w:tr>
        <w:trPr/>
        <w:tc>
          <w:tcPr>
            <w:tcW w:w="58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C202E"/>
                <w:sz w:val="16"/>
              </w:rPr>
            </w:pPr>
            <w:r>
              <w:rPr>
                <w:rFonts w:ascii="Arial;sans-serif" w:hAnsi="Arial;sans-serif"/>
                <w:b/>
                <w:color w:val="DC202E"/>
                <w:sz w:val="16"/>
              </w:rPr>
              <w:t>(a)(1.)</w:t>
            </w:r>
          </w:p>
        </w:tc>
        <w:tc>
          <w:tcPr>
            <w:tcW w:w="796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C202E"/>
                <w:sz w:val="16"/>
              </w:rPr>
            </w:pPr>
            <w:r>
              <w:rPr>
                <w:rFonts w:ascii="Arial;sans-serif" w:hAnsi="Arial;sans-serif"/>
                <w:b/>
                <w:color w:val="DC202E"/>
                <w:sz w:val="16"/>
              </w:rPr>
              <w:t>Consolidated Financial Statements:</w:t>
            </w:r>
          </w:p>
        </w:tc>
        <w:tc>
          <w:tcPr>
            <w:tcW w:w="121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Consolidated Statement of Operations for the years ended December 31, 2025, 2024, and 2023</w:t>
            </w:r>
          </w:p>
        </w:tc>
        <w:tc>
          <w:tcPr>
            <w:tcW w:w="12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pPr>
            <w:hyperlink w:anchor="ic3922f0530c04df99983ab02c4d22c0f_181">
              <w:r>
                <w:rPr>
                  <w:rStyle w:val="InternetLink"/>
                  <w:rFonts w:ascii="Arial;sans-serif" w:hAnsi="Arial;sans-serif"/>
                  <w:b w:val="false"/>
                  <w:strike w:val="false"/>
                  <w:dstrike w:val="false"/>
                  <w:color w:val="000000"/>
                  <w:sz w:val="16"/>
                  <w:u w:val="none"/>
                  <w:effect w:val="none"/>
                </w:rPr>
                <w:t>55</w:t>
              </w:r>
            </w:hyperlink>
          </w:p>
        </w:tc>
      </w:tr>
      <w:tr>
        <w:trPr/>
        <w:tc>
          <w:tcPr>
            <w:tcW w:w="5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Consolidated Statement of Comprehensive Income for the years ended December 31, 2025, 2024, and 2023</w:t>
            </w:r>
          </w:p>
        </w:tc>
        <w:tc>
          <w:tcPr>
            <w:tcW w:w="12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pPr>
            <w:hyperlink w:anchor="ic3922f0530c04df99983ab02c4d22c0f_184">
              <w:r>
                <w:rPr>
                  <w:rStyle w:val="InternetLink"/>
                  <w:rFonts w:ascii="Arial;sans-serif" w:hAnsi="Arial;sans-serif"/>
                  <w:b w:val="false"/>
                  <w:strike w:val="false"/>
                  <w:dstrike w:val="false"/>
                  <w:color w:val="000000"/>
                  <w:sz w:val="16"/>
                  <w:u w:val="none"/>
                  <w:effect w:val="none"/>
                </w:rPr>
                <w:t>56</w:t>
              </w:r>
            </w:hyperlink>
          </w:p>
        </w:tc>
      </w:tr>
      <w:tr>
        <w:trPr/>
        <w:tc>
          <w:tcPr>
            <w:tcW w:w="5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Consolidated Balance Sheet at December 31, 2025, and 2024</w:t>
            </w:r>
          </w:p>
        </w:tc>
        <w:tc>
          <w:tcPr>
            <w:tcW w:w="12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pPr>
            <w:hyperlink w:anchor="ic3922f0530c04df99983ab02c4d22c0f_187">
              <w:r>
                <w:rPr>
                  <w:rStyle w:val="InternetLink"/>
                  <w:rFonts w:ascii="Arial;sans-serif" w:hAnsi="Arial;sans-serif"/>
                  <w:b w:val="false"/>
                  <w:strike w:val="false"/>
                  <w:dstrike w:val="false"/>
                  <w:color w:val="000000"/>
                  <w:sz w:val="16"/>
                  <w:u w:val="none"/>
                  <w:effect w:val="none"/>
                </w:rPr>
                <w:t>57</w:t>
              </w:r>
            </w:hyperlink>
          </w:p>
        </w:tc>
      </w:tr>
      <w:tr>
        <w:trPr/>
        <w:tc>
          <w:tcPr>
            <w:tcW w:w="5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Consolidated Statement of Cash Flows for the years ended December 31, 2025, 2024, and 2023</w:t>
            </w:r>
          </w:p>
        </w:tc>
        <w:tc>
          <w:tcPr>
            <w:tcW w:w="12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pPr>
            <w:hyperlink w:anchor="ic3922f0530c04df99983ab02c4d22c0f_190">
              <w:r>
                <w:rPr>
                  <w:rStyle w:val="InternetLink"/>
                  <w:rFonts w:ascii="Arial;sans-serif" w:hAnsi="Arial;sans-serif"/>
                  <w:b w:val="false"/>
                  <w:strike w:val="false"/>
                  <w:dstrike w:val="false"/>
                  <w:color w:val="000000"/>
                  <w:sz w:val="16"/>
                  <w:u w:val="none"/>
                  <w:effect w:val="none"/>
                </w:rPr>
                <w:t>58</w:t>
              </w:r>
            </w:hyperlink>
          </w:p>
        </w:tc>
      </w:tr>
      <w:tr>
        <w:trPr/>
        <w:tc>
          <w:tcPr>
            <w:tcW w:w="5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Consolidated Statement of Shareowners’ Equity for the years ended December 31, 2025, 2024, and 2023</w:t>
            </w:r>
          </w:p>
        </w:tc>
        <w:tc>
          <w:tcPr>
            <w:tcW w:w="12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pPr>
            <w:hyperlink w:anchor="ic3922f0530c04df99983ab02c4d22c0f_193">
              <w:r>
                <w:rPr>
                  <w:rStyle w:val="InternetLink"/>
                  <w:rFonts w:ascii="Arial;sans-serif" w:hAnsi="Arial;sans-serif"/>
                  <w:b w:val="false"/>
                  <w:strike w:val="false"/>
                  <w:dstrike w:val="false"/>
                  <w:color w:val="000000"/>
                  <w:sz w:val="16"/>
                  <w:u w:val="none"/>
                  <w:effect w:val="none"/>
                </w:rPr>
                <w:t>59</w:t>
              </w:r>
            </w:hyperlink>
          </w:p>
        </w:tc>
      </w:tr>
      <w:tr>
        <w:trPr/>
        <w:tc>
          <w:tcPr>
            <w:tcW w:w="58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to Consolidated Financial Statements</w:t>
            </w:r>
          </w:p>
        </w:tc>
        <w:tc>
          <w:tcPr>
            <w:tcW w:w="121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pPr>
            <w:hyperlink w:anchor="ic3922f0530c04df99983ab02c4d22c0f_196">
              <w:r>
                <w:rPr>
                  <w:rStyle w:val="InternetLink"/>
                  <w:rFonts w:ascii="Arial;sans-serif" w:hAnsi="Arial;sans-serif"/>
                  <w:b w:val="false"/>
                  <w:strike w:val="false"/>
                  <w:dstrike w:val="false"/>
                  <w:color w:val="000000"/>
                  <w:sz w:val="16"/>
                  <w:u w:val="none"/>
                  <w:effect w:val="none"/>
                </w:rPr>
                <w:t>60</w:t>
              </w:r>
            </w:hyperlink>
          </w:p>
        </w:tc>
      </w:tr>
      <w:tr>
        <w:trPr/>
        <w:tc>
          <w:tcPr>
            <w:tcW w:w="584"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Report of Independent Registered Public Accounting Firm (PCAOB ID No. 34)</w:t>
            </w:r>
          </w:p>
        </w:tc>
        <w:tc>
          <w:tcPr>
            <w:tcW w:w="1214"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0"/>
              <w:jc w:val="center"/>
              <w:rPr/>
            </w:pPr>
            <w:hyperlink w:anchor="ic3922f0530c04df99983ab02c4d22c0f_283">
              <w:r>
                <w:rPr>
                  <w:rStyle w:val="InternetLink"/>
                  <w:rFonts w:ascii="Arial;sans-serif" w:hAnsi="Arial;sans-serif"/>
                  <w:b w:val="false"/>
                  <w:strike w:val="false"/>
                  <w:dstrike w:val="false"/>
                  <w:color w:val="000000"/>
                  <w:sz w:val="16"/>
                  <w:u w:val="none"/>
                  <w:effect w:val="none"/>
                </w:rPr>
                <w:t>121</w:t>
              </w:r>
            </w:hyperlink>
          </w:p>
        </w:tc>
      </w:tr>
    </w:tbl>
    <w:tbl>
      <w:tblPr>
        <w:tblW w:w="6043" w:type="dxa"/>
        <w:jc w:val="left"/>
        <w:tblInd w:w="0" w:type="dxa"/>
        <w:tblLayout w:type="fixed"/>
        <w:tblCellMar>
          <w:top w:w="28" w:type="dxa"/>
          <w:left w:w="28" w:type="dxa"/>
          <w:bottom w:w="28" w:type="dxa"/>
          <w:right w:w="28" w:type="dxa"/>
        </w:tblCellMar>
      </w:tblPr>
      <w:tblGrid>
        <w:gridCol w:w="212"/>
        <w:gridCol w:w="186"/>
        <w:gridCol w:w="186"/>
        <w:gridCol w:w="1413"/>
        <w:gridCol w:w="1413"/>
        <w:gridCol w:w="1419"/>
        <w:gridCol w:w="354"/>
        <w:gridCol w:w="354"/>
        <w:gridCol w:w="50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Page Number</w:t>
              <w:br/>
              <w:t>in Form 10-K</w:t>
            </w:r>
          </w:p>
        </w:tc>
      </w:tr>
      <w:tr>
        <w:trPr/>
        <w:tc>
          <w:tcPr>
            <w:tcW w:w="58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E2724"/>
                <w:sz w:val="16"/>
              </w:rPr>
            </w:pPr>
            <w:r>
              <w:rPr>
                <w:rFonts w:ascii="Arial;sans-serif" w:hAnsi="Arial;sans-serif"/>
                <w:b/>
                <w:color w:val="EE2724"/>
                <w:sz w:val="16"/>
              </w:rPr>
              <w:t>(a)(3.)</w:t>
            </w:r>
          </w:p>
        </w:tc>
        <w:tc>
          <w:tcPr>
            <w:tcW w:w="4245"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EE2724"/>
                <w:sz w:val="16"/>
              </w:rPr>
            </w:pPr>
            <w:r>
              <w:rPr>
                <w:rFonts w:ascii="Arial;sans-serif" w:hAnsi="Arial;sans-serif"/>
                <w:b/>
                <w:color w:val="EE2724"/>
                <w:sz w:val="16"/>
              </w:rPr>
              <w:t>Exhibits</w:t>
            </w:r>
          </w:p>
        </w:tc>
        <w:tc>
          <w:tcPr>
            <w:tcW w:w="1214"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4"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See the Exhibit Index of this Annual Report on Form 10-K</w:t>
            </w:r>
          </w:p>
        </w:tc>
        <w:tc>
          <w:tcPr>
            <w:tcW w:w="1214"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0"/>
              <w:jc w:val="center"/>
              <w:rPr/>
            </w:pPr>
            <w:hyperlink w:anchor="ic3922f0530c04df99983ab02c4d22c0f_325">
              <w:r>
                <w:rPr>
                  <w:rStyle w:val="InternetLink"/>
                  <w:rFonts w:ascii="Arial;sans-serif" w:hAnsi="Arial;sans-serif"/>
                  <w:b w:val="false"/>
                  <w:strike w:val="false"/>
                  <w:dstrike w:val="false"/>
                  <w:color w:val="000000"/>
                  <w:sz w:val="16"/>
                  <w:u w:val="none"/>
                  <w:effect w:val="none"/>
                </w:rPr>
                <w:t>128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FORM 10-K SUMMARY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22250"/>
                <wp:effectExtent l="0" t="0" r="0" b="0"/>
                <wp:wrapNone/>
                <wp:docPr id="172" name="Frame1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127    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127    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D7282F"/>
          <w:sz w:val="32"/>
        </w:rPr>
      </w:pPr>
      <w:r>
        <w:rPr>
          <w:rFonts w:ascii="Arial;sans-serif" w:hAnsi="Arial;sans-serif"/>
          <w:b w:val="false"/>
          <w:color w:val="D7282F"/>
          <w:sz w:val="32"/>
        </w:rPr>
        <w:t>EXHIBIT INDEX</w:t>
      </w:r>
    </w:p>
    <w:tbl>
      <w:tblPr>
        <w:tblW w:w="10205" w:type="dxa"/>
        <w:jc w:val="left"/>
        <w:tblInd w:w="0" w:type="dxa"/>
        <w:tblLayout w:type="fixed"/>
        <w:tblCellMar>
          <w:top w:w="28" w:type="dxa"/>
          <w:left w:w="28" w:type="dxa"/>
          <w:bottom w:w="28" w:type="dxa"/>
          <w:right w:w="28" w:type="dxa"/>
        </w:tblCellMar>
      </w:tblPr>
      <w:tblGrid>
        <w:gridCol w:w="275"/>
        <w:gridCol w:w="241"/>
        <w:gridCol w:w="242"/>
        <w:gridCol w:w="109"/>
        <w:gridCol w:w="109"/>
        <w:gridCol w:w="109"/>
        <w:gridCol w:w="2718"/>
        <w:gridCol w:w="2641"/>
        <w:gridCol w:w="3761"/>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58"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00"/>
                  <w:sz w:val="16"/>
                </w:rPr>
                <w:t>Amended and Restated Certificate of Incorporation of Honeywell International Inc., dated June 23, 2025 (incorporated by reference to Exhibit 3.1 to Honeywell's Form 8-K filed June 24, 2025)</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00"/>
                  <w:sz w:val="16"/>
                </w:rPr>
                <w:t>Amended and Restated By-laws of Honeywell International Inc., dated July 25, 2025 (incorporated by reference to Exhibit 3(i) to Honeywell's Form 8-K filed July 30, 2025)</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Honeywell International Inc. is a party to several long-term debt instruments under which, in each case, the total amount of securities authorized does not exceed 10% of the total assets of Honeywell and its subsidiaries on a consolidated basis. Pursuant to paragraph 4(iii)(A) of Item 601(b) of Regulation S-K, Honeywell agrees to furnish a copy of such instruments to the Securities and Exchange Commission upon request.</w:t>
            </w:r>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80"/>
                  <w:sz w:val="16"/>
                </w:rPr>
                <w:t>Description of Honeywell International Inc. Securities Registered Pursuant to Section 12 of the Securities Exchange Act of 1934 (</w:t>
              </w:r>
            </w:hyperlink>
            <w:hyperlink r:id="rId48">
              <w:r>
                <w:rPr>
                  <w:rStyle w:val="InternetLink"/>
                  <w:rFonts w:ascii="Arial;sans-serif" w:hAnsi="Arial;sans-serif"/>
                  <w:b w:val="false"/>
                  <w:color w:val="000080"/>
                  <w:sz w:val="16"/>
                </w:rPr>
                <w:t>incorporated by reference to Exhibit 4.2 to H</w:t>
              </w:r>
            </w:hyperlink>
            <w:hyperlink r:id="rId49">
              <w:r>
                <w:rPr>
                  <w:rStyle w:val="InternetLink"/>
                  <w:rFonts w:ascii="Arial;sans-serif" w:hAnsi="Arial;sans-serif"/>
                  <w:b w:val="false"/>
                  <w:color w:val="000080"/>
                  <w:sz w:val="16"/>
                </w:rPr>
                <w:t>oneywell's Form 10-K for the year ended December 31, 2024</w:t>
              </w:r>
            </w:hyperlink>
            <w:hyperlink r:id="rId50">
              <w:r>
                <w:rPr>
                  <w:rStyle w:val="InternetLink"/>
                  <w:rFonts w:ascii="Arial;sans-serif" w:hAnsi="Arial;sans-serif"/>
                  <w:b w:val="false"/>
                  <w:color w:val="000080"/>
                  <w:sz w:val="16"/>
                </w:rPr>
                <w:t>)</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00"/>
                  <w:sz w:val="16"/>
                </w:rPr>
                <w:t>Deferred Compensation Plan for Non-Employee Directors of Honeywell International Inc., as amended and restated (incorporated by reference to Exhibit 10.2 to Honeywell’s Form 10-Q for the quarter ended June 30, 2003)</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rial;sans-serif" w:hAnsi="Arial;sans-serif"/>
                  <w:b w:val="false"/>
                  <w:color w:val="000000"/>
                  <w:sz w:val="16"/>
                </w:rPr>
                <w:t>Amendment to Deferred Compensation Plan for Non-Employee Directors of Honeywell International Inc., as amended and restated (incorporated by reference to Exhibit 10.1 to Honeywell’s Form 8-K filed December 21, 2004)</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00"/>
                  <w:sz w:val="16"/>
                </w:rPr>
                <w:t>Amendment to Deferred Compensation Plan for Non-Employee Directors of Honeywell International Inc., as amended and restated (incorporated by reference to Exhibit 10.2 to Honeywell’s Form 10-K for the year ended December 31, 2005)</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sans-serif" w:hAnsi="Arial;sans-serif"/>
                  <w:b w:val="false"/>
                  <w:color w:val="000000"/>
                  <w:sz w:val="16"/>
                </w:rPr>
                <w:t>Omnibus Amendment to Deferred Compensation Plan for Non-Employee Directors of Honeywell International Inc., as amended and restated (incorporated by reference to Exhibit 10.1 to Honeywell’s Form 10-Q for the quarter ended June 30, 2021)</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00"/>
                  <w:sz w:val="16"/>
                </w:rPr>
                <w:t>Honeywell International Inc. Incentive Compensation Plan for Executive Employees, as amended and restated (incorporated by reference to Exhibit 10.4 to Honeywell’s Form 10-K for the year ended December 31, 2018)</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00"/>
                  <w:sz w:val="16"/>
                </w:rPr>
                <w:t>Amendment to Honeywell International Inc. Incentive Compensation Plan for Executive Employees, as amended and restated (incorporated by reference to Exhibit 10.69 to Honeywell’s Form 10-K for the year ended December 31, 2020)</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Arial;sans-serif" w:hAnsi="Arial;sans-serif"/>
                  <w:b w:val="false"/>
                  <w:color w:val="000000"/>
                  <w:sz w:val="16"/>
                </w:rPr>
                <w:t>Omnibus Amendment to Honeywell International Inc. Incentive Compensation Plan for Executive Employees, as amended and restated (incorporated by reference to Exhibit 10.1 to Honeywell’s Form 10-Q for the quarter ended June 30, 2021)</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00"/>
                  <w:sz w:val="16"/>
                </w:rPr>
                <w:t>Honeywell Excess Benefit Plan and Honeywell Supplemental Savings Plan, as amended and restated (incorporated by reference to Exhibit 10.5 to Honeywell’s Form 10-K for the year ended December 31, 2020)</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Arial;sans-serif" w:hAnsi="Arial;sans-serif"/>
                  <w:b w:val="false"/>
                  <w:color w:val="000000"/>
                  <w:sz w:val="16"/>
                </w:rPr>
                <w:t>Omnibus Amendment to Honeywell Excess Benefit Plan and Honeywell Supplemental Savings Plan, as amended and restated (incorporated by reference to Exhibit 10.1 to Honeywell’s Form 10-Q for the quarter ended June 30, 2021)</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Arial;sans-serif" w:hAnsi="Arial;sans-serif"/>
                  <w:b w:val="false"/>
                  <w:color w:val="000000"/>
                  <w:sz w:val="16"/>
                </w:rPr>
                <w:t>Honeywell International Inc. Severance Plan for Designated Officers, as amended and restated (incorporated by reference to Exhibit 10.10 to Honeywell's Form 10-K for the year ended December 31, 2022)</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00"/>
                  <w:sz w:val="16"/>
                </w:rPr>
                <w:t xml:space="preserve">Honeywell Deferred Incentive Compensation Plan, as amended and restated (incorporated by reference to Exhibit 10.7 to Honeywell's Form 10-K for the year ended December 31, 2020) </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Arial;sans-serif" w:hAnsi="Arial;sans-serif"/>
                  <w:b w:val="false"/>
                  <w:color w:val="000000"/>
                  <w:sz w:val="16"/>
                </w:rPr>
                <w:t>Omnibus Amendment to Honeywell Deferred Incentive Compensation Plan, as amended and restated (incorporated by reference to Exhibit 10.1 to Honeywell’s Form 10-Q for the quarter ended June 30, 2021)</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Arial;sans-serif" w:hAnsi="Arial;sans-serif"/>
                  <w:b w:val="false"/>
                  <w:color w:val="000000"/>
                  <w:sz w:val="16"/>
                </w:rPr>
                <w:t>Honeywell International Inc. Supplemental Pension Plan, as amended and restated (incorporated by reference to Exhibit 10.10 to Honeywell’s Form 10-K for the year ended December 31, 2008)</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Arial;sans-serif" w:hAnsi="Arial;sans-serif"/>
                  <w:b w:val="false"/>
                  <w:color w:val="000000"/>
                  <w:sz w:val="16"/>
                </w:rPr>
                <w:t>Amendment to Honeywell International Inc. Supplemental Pension Plan, as amended and restated (incorporated by reference to Exhibit 10.10 to Honeywell’s Form 10-K for the year ended December 31, 2009)</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Arial;sans-serif" w:hAnsi="Arial;sans-serif"/>
                  <w:b w:val="false"/>
                  <w:color w:val="000000"/>
                  <w:sz w:val="16"/>
                </w:rPr>
                <w:t>Amendment to Honeywell International Inc. Supplemental Pension Plan, as amended and restated (incorporated by reference to Exhibit 10.7 to Honeywell’s Form 10-K for the year ended December 31, 2015)</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Arial;sans-serif" w:hAnsi="Arial;sans-serif"/>
                  <w:b w:val="false"/>
                  <w:color w:val="000000"/>
                  <w:sz w:val="16"/>
                </w:rPr>
                <w:t>Honeywell International Inc. Supplemental Executive Retirement Plan for Executives in Career Band 6 and Above, as amended and restated (incorporated by reference to Exhibit 10.12 to Honeywell’s Form 10-K for the year ended December 31, 2008)</w:t>
              </w:r>
            </w:hyperlink>
          </w:p>
        </w:tc>
      </w:tr>
      <w:tr>
        <w:trPr/>
        <w:tc>
          <w:tcPr>
            <w:tcW w:w="75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Arial;sans-serif" w:hAnsi="Arial;sans-serif"/>
                  <w:b w:val="false"/>
                  <w:color w:val="000000"/>
                  <w:sz w:val="16"/>
                </w:rPr>
                <w:t>Amendment to Honeywell International Inc. Supplemental Executive Retirement Plan for Executives in Career Band 6 and Above, as amended and restated (incorporated by reference to Exhibit 10.12 to Honeywell’s Form 10-K for the year ended December 31, 2009)</w:t>
              </w:r>
            </w:hyperlink>
          </w:p>
        </w:tc>
      </w:tr>
      <w:tr>
        <w:trPr/>
        <w:tc>
          <w:tcPr>
            <w:tcW w:w="758"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10.18*</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Arial;sans-serif" w:hAnsi="Arial;sans-serif"/>
                  <w:b w:val="false"/>
                  <w:color w:val="000000"/>
                  <w:sz w:val="16"/>
                </w:rPr>
                <w:t>Amendment to Honeywell International Inc. Supplemental Executive Retirement Plan for Executives in Career Band 6 and Above, as amended and restated (incorporated by reference to Exhibit 10.9 to Honeywell’s Form 10-K for the year ended December 31, 2013)</w:t>
              </w:r>
            </w:hyperlink>
          </w:p>
        </w:tc>
      </w:tr>
      <w:tr>
        <w:trPr/>
        <w:tc>
          <w:tcPr>
            <w:tcW w:w="758"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10.19*</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Arial;sans-serif" w:hAnsi="Arial;sans-serif"/>
                  <w:b w:val="false"/>
                  <w:color w:val="000000"/>
                  <w:sz w:val="16"/>
                </w:rPr>
                <w:t>Amendment to Honeywell International Inc. Supplemental Executive Retirement Plan for Executives in Career Band 6 and Above, as amended and restated (incorporated by reference to Exhibit 10.8 to Honeywell’s Form 10-K for the year ended December 31, 2015)</w:t>
              </w:r>
            </w:hyperlink>
          </w:p>
        </w:tc>
      </w:tr>
      <w:tr>
        <w:trPr/>
        <w:tc>
          <w:tcPr>
            <w:tcW w:w="758"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10.20*</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Arial;sans-serif" w:hAnsi="Arial;sans-serif"/>
                  <w:b w:val="false"/>
                  <w:color w:val="000000"/>
                  <w:sz w:val="16"/>
                </w:rPr>
                <w:t>Honeywell Supplemental Defined Benefit Retirement Plan, as amended and restated (incorporated by reference to Exhibit 10.13 to Honeywell’s Form 10-K for the year ended December 31, 2008)</w:t>
              </w:r>
            </w:hyperlink>
          </w:p>
        </w:tc>
      </w:tr>
      <w:tr>
        <w:trPr/>
        <w:tc>
          <w:tcPr>
            <w:tcW w:w="758" w:type="dxa"/>
            <w:gridSpan w:val="3"/>
            <w:tcBorders>
              <w:top w:val="single" w:sz="2" w:space="0" w:color="61656A"/>
              <w:bottom w:val="single" w:sz="4" w:space="0" w:color="B1B3B3"/>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10.21*</w:t>
            </w:r>
          </w:p>
        </w:tc>
        <w:tc>
          <w:tcPr>
            <w:tcW w:w="327" w:type="dxa"/>
            <w:gridSpan w:val="3"/>
            <w:tcBorders>
              <w:top w:val="single" w:sz="2" w:space="0" w:color="61656A"/>
              <w:bottom w:val="single" w:sz="4" w:space="0" w:color="B1B3B3"/>
            </w:tcBorders>
            <w:tcMar>
              <w:left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2" w:space="0" w:color="61656A"/>
              <w:bottom w:val="single" w:sz="4" w:space="0" w:color="B1B3B3"/>
            </w:tcBorders>
            <w:tcMar>
              <w:top w:w="30" w:type="dxa"/>
              <w:left w:w="0" w:type="dxa"/>
              <w:bottom w:w="30" w:type="dxa"/>
              <w:right w:w="0" w:type="dxa"/>
            </w:tcMar>
            <w:vAlign w:val="center"/>
          </w:tcPr>
          <w:p>
            <w:pPr>
              <w:pStyle w:val="TableContents"/>
              <w:bidi w:val="0"/>
              <w:spacing w:lineRule="auto" w:line="240" w:before="0" w:after="0"/>
              <w:jc w:val="left"/>
              <w:rPr/>
            </w:pPr>
            <w:hyperlink r:id="rId71">
              <w:r>
                <w:rPr>
                  <w:rStyle w:val="InternetLink"/>
                  <w:rFonts w:ascii="Arial;sans-serif" w:hAnsi="Arial;sans-serif"/>
                  <w:b w:val="false"/>
                  <w:color w:val="000000"/>
                  <w:sz w:val="16"/>
                </w:rPr>
                <w:t>Amendment to Honeywell Supplemental Defined Benefit Retirement Plan, as amended and restated (incorporated by reference to Exhibit 10.13 to Honeywell’s Form 10-K for the year ended December 31, 2009)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173"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D7282F"/>
                                <w:sz w:val="20"/>
                              </w:rPr>
                              <w:t>128    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D7282F"/>
                          <w:sz w:val="20"/>
                        </w:rPr>
                        <w:t>128    </w:t>
                      </w:r>
                      <w:r>
                        <w:rPr>
                          <w:rFonts w:ascii="Arial;sans-serif" w:hAnsi="Arial;sans-serif"/>
                          <w:b w:val="false"/>
                          <w:color w:val="000000"/>
                          <w:sz w:val="16"/>
                        </w:rPr>
                        <w:t>Honeywell International Inc.</w:t>
                      </w:r>
                    </w:p>
                  </w:txbxContent>
                </v:textbox>
                <w10:wrap type="none"/>
              </v:rect>
            </w:pict>
          </mc:Fallback>
        </mc:AlternateContent>
      </w:r>
    </w:p>
    <w:tbl>
      <w:tblPr>
        <w:tblW w:w="2638" w:type="dxa"/>
        <w:jc w:val="left"/>
        <w:tblInd w:w="0" w:type="dxa"/>
        <w:tblLayout w:type="fixed"/>
        <w:tblCellMar>
          <w:top w:w="28" w:type="dxa"/>
          <w:left w:w="28" w:type="dxa"/>
          <w:bottom w:w="28" w:type="dxa"/>
          <w:right w:w="28" w:type="dxa"/>
        </w:tblCellMar>
      </w:tblPr>
      <w:tblGrid>
        <w:gridCol w:w="548"/>
        <w:gridCol w:w="482"/>
        <w:gridCol w:w="484"/>
        <w:gridCol w:w="329"/>
        <w:gridCol w:w="329"/>
        <w:gridCol w:w="46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EXHIBIT INDEX</w:t>
            </w:r>
          </w:p>
        </w:tc>
      </w:tr>
    </w:tbl>
    <w:tbl>
      <w:tblPr>
        <w:tblW w:w="10205" w:type="dxa"/>
        <w:jc w:val="left"/>
        <w:tblInd w:w="0" w:type="dxa"/>
        <w:tblLayout w:type="fixed"/>
        <w:tblCellMar>
          <w:top w:w="28" w:type="dxa"/>
          <w:left w:w="28" w:type="dxa"/>
          <w:bottom w:w="28" w:type="dxa"/>
          <w:right w:w="28" w:type="dxa"/>
        </w:tblCellMar>
      </w:tblPr>
      <w:tblGrid>
        <w:gridCol w:w="293"/>
        <w:gridCol w:w="257"/>
        <w:gridCol w:w="258"/>
        <w:gridCol w:w="109"/>
        <w:gridCol w:w="109"/>
        <w:gridCol w:w="109"/>
        <w:gridCol w:w="2692"/>
        <w:gridCol w:w="2631"/>
        <w:gridCol w:w="3747"/>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808"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10.22*</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4" w:space="0" w:color="B1B3B3"/>
            </w:tcBorders>
            <w:tcMar>
              <w:top w:w="3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Arial;sans-serif" w:hAnsi="Arial;sans-serif"/>
                  <w:b w:val="false"/>
                  <w:color w:val="000000"/>
                  <w:sz w:val="16"/>
                </w:rPr>
                <w:t>Amendment to Honeywell Supplemental Defined Benefit Retirement Plan, as amended and restated (incorporated by reference to Exhibit 10.9 to Honeywell’s Form 10-K for the year ended December 31, 2015)</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Arial;sans-serif" w:hAnsi="Arial;sans-serif"/>
                  <w:b w:val="false"/>
                  <w:color w:val="000000"/>
                  <w:sz w:val="16"/>
                </w:rPr>
                <w:t>Honeywell International Inc. Severance Plan for Corporate Staff Employees (Involuntary Termination Following a Change in Control), as amended and restated (incorporated by reference to Exhibit 10.12 to Honeywell’s Form 10-K for the year ended December 31, 2013)</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Arial;sans-serif" w:hAnsi="Arial;sans-serif"/>
                  <w:b w:val="false"/>
                  <w:color w:val="000000"/>
                  <w:sz w:val="16"/>
                </w:rPr>
                <w:t>Honeywell Supplemental Retirement Plan (incorporated by reference to Exhibit 10.24 to Honeywell’s Form 10-K for the year ended December 31, 2006)</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10.25*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Arial;sans-serif" w:hAnsi="Arial;sans-serif"/>
                  <w:b w:val="false"/>
                  <w:color w:val="000000"/>
                  <w:sz w:val="16"/>
                </w:rPr>
                <w:t>2006 Stock Plan for Non-Employee Directors of Honeywell International Inc., as amended and restated (incorporated by reference to Exhibit 10.31 to Honeywell’s Form 10-K for the year ended December 31, 2008)</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10.26*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Arial;sans-serif" w:hAnsi="Arial;sans-serif"/>
                  <w:b w:val="false"/>
                  <w:color w:val="000000"/>
                  <w:sz w:val="16"/>
                </w:rPr>
                <w:t>Amendment to 2006 Stock Plan for Non-Employee Directors of Honeywell International Inc., as amended and restated (incorporated by reference to Exhibit 10.27 to Honeywell’s Form 10-K for the year ended December 31, 2011)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10.27*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Arial;sans-serif" w:hAnsi="Arial;sans-serif"/>
                  <w:b w:val="false"/>
                  <w:color w:val="000000"/>
                  <w:sz w:val="16"/>
                </w:rPr>
                <w:t>Amendment to 2006 Stock Plan for Non-Employee Directors of Honeywell International Inc., as amended and restated (incorporated by reference to Exhibit 10.24 to Honeywell’s Form 10-K for the year ended December 31, 2014)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10.28*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Arial;sans-serif" w:hAnsi="Arial;sans-serif"/>
                  <w:b w:val="false"/>
                  <w:color w:val="000000"/>
                  <w:sz w:val="16"/>
                </w:rPr>
                <w:t>Omnibus Amendment to 2006 Stock Plan for Non-Employee Directors of Honeywell International Inc., as amended and restated (incorporated by reference to Exhibit 10.1 to Honeywell’s Form 10-Q for the quarter ended June 30, 2021)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10.29*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Arial;sans-serif" w:hAnsi="Arial;sans-serif"/>
                  <w:b w:val="false"/>
                  <w:color w:val="000000"/>
                  <w:sz w:val="16"/>
                </w:rPr>
                <w:t>2006 Stock Plan for Non-Employee Directors of Honeywell International Inc.—Form of Option Agreement (incorporated by reference to Exhibit 10.3 to Honeywell’s Form 10-Q for the quarter ended March 31, 2012)</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Arial;sans-serif" w:hAnsi="Arial;sans-serif"/>
                  <w:b w:val="false"/>
                  <w:color w:val="000000"/>
                  <w:sz w:val="16"/>
                </w:rPr>
                <w:t>Omnibus Amendment to 2006 Stock Plan for Non-Employee Directors of Honeywell International Inc.—Form of Option Agreement (incorporated by reference to Exhibit 10.1 to Honeywell’s Form 10-Q for the quarter ended June 30, 2021)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Arial;sans-serif" w:hAnsi="Arial;sans-serif"/>
                  <w:b w:val="false"/>
                  <w:color w:val="000000"/>
                  <w:sz w:val="16"/>
                </w:rPr>
                <w:t>2007 Honeywell Global Employee Stock Plan (incorporated by reference to Exhibit A of Honeywell’s Proxy Statement, dated March 12, 2007, filed pursuant to Rule 14a-6 of the Securities Exchange Act of 1934)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Arial;sans-serif" w:hAnsi="Arial;sans-serif"/>
                  <w:b w:val="false"/>
                  <w:color w:val="000000"/>
                  <w:sz w:val="16"/>
                </w:rPr>
                <w:t>Omnibus Amendment to 2007 Honeywell Global Employee Stock Plan (incorporated by reference to Exhibit 10.1 to Honeywell’s Form 10-Q for the quarter ended June 30, 2021)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Arial;sans-serif" w:hAnsi="Arial;sans-serif"/>
                  <w:b w:val="false"/>
                  <w:color w:val="000000"/>
                  <w:sz w:val="16"/>
                </w:rPr>
                <w:t>2011 Stock Incentive Plan of Honeywell International Inc. and its Affiliates (incorporated by reference to Exhibit A of Honeywell’s Proxy Statement, dated March 10, 2011, filed pursuant to Rule 14a-6 of the Securities Exchange Act of 1934)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Arial;sans-serif" w:hAnsi="Arial;sans-serif"/>
                  <w:b w:val="false"/>
                  <w:color w:val="000000"/>
                  <w:sz w:val="16"/>
                </w:rPr>
                <w:t>Amendment to 2011 Stock Incentive Plan of Honeywell International Inc. and its Affiliates (incorporated by reference to Exhibit 10.36 to Honeywell’s Form 10-K for the year ended December 31, 2012)</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Arial;sans-serif" w:hAnsi="Arial;sans-serif"/>
                  <w:b w:val="false"/>
                  <w:color w:val="000000"/>
                  <w:sz w:val="16"/>
                </w:rPr>
                <w:t>Amendment to 2011 Stock Incentive Plan of Honeywell International Inc. and its Affiliates (incorporated by reference to Exhibit 10.1 to Honeywell’s Form 10-Q for the quarter ended March 31, 2014)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Arial;sans-serif" w:hAnsi="Arial;sans-serif"/>
                  <w:b w:val="false"/>
                  <w:color w:val="000000"/>
                  <w:sz w:val="16"/>
                </w:rPr>
                <w:t>Omnibus Amendment to 2011 Stock Incentive Plan of Honeywell International Inc. and its Affiliates (incorporated by reference to Exhibit 10.1 to Honeywell’s Form 10-Q for the quarter ended June 30, 2021)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Arial;sans-serif" w:hAnsi="Arial;sans-serif"/>
                  <w:b w:val="false"/>
                  <w:color w:val="000000"/>
                  <w:sz w:val="16"/>
                </w:rPr>
                <w:t>2011 Stock Incentive Plan of Honeywell International Inc. and Its Affiliates—Form of Stock Option Award Agreement (incorporated by reference to Exhibit 10.4 to Honeywell’s Form 10-Q for the quarter ended March 31, 2014)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Arial;sans-serif" w:hAnsi="Arial;sans-serif"/>
                  <w:b w:val="false"/>
                  <w:color w:val="000000"/>
                  <w:sz w:val="16"/>
                </w:rPr>
                <w:t>Omnibus Amendment to 2011 Stock Incentive Plan of Honeywell International Inc. and its Affiliates—Form of Stock Option Award Agreement (incorporated by reference to Exhibit 10.1 to Honeywell’s Form 10-Q for the quarter ended June 30, 2021)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10.39*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Arial;sans-serif" w:hAnsi="Arial;sans-serif"/>
                  <w:b w:val="false"/>
                  <w:color w:val="000000"/>
                  <w:sz w:val="16"/>
                </w:rPr>
                <w:t>2011 Stock Incentive Plan of Honeywell International Inc. and Its Affiliates—Form of Stock Option Award Agreement, Form 2 (incorporated by reference to Exhibit 10.39 to Honeywell’s Form 10-K for the year ended December 31, 2014)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Arial;sans-serif" w:hAnsi="Arial;sans-serif"/>
                  <w:b w:val="false"/>
                  <w:color w:val="000000"/>
                  <w:sz w:val="16"/>
                </w:rPr>
                <w:t>Omnibus Amendment to 2011 Stock Incentive Plan of Honeywell International Inc. and its Affiliates—Form of Stock Option Award Agreement, Form 2 (incorporated by reference to Exhibit 10.1 to Honeywell’s Form 10-Q for the quarter ended June 30, 2021)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Arial;sans-serif" w:hAnsi="Arial;sans-serif"/>
                  <w:b w:val="false"/>
                  <w:color w:val="000000"/>
                  <w:sz w:val="16"/>
                </w:rPr>
                <w:t>2016 Stock Incentive Plan of Honeywell International Inc. and its Affiliates (incorporated by reference to Exhibit A of Honeywell’s Proxy Statement, dated March 10, 2016, filed pursuant to Rule 14a-6 of the Securities Exchange Act of 1934)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Arial;sans-serif" w:hAnsi="Arial;sans-serif"/>
                  <w:b w:val="false"/>
                  <w:color w:val="000000"/>
                  <w:sz w:val="16"/>
                </w:rPr>
                <w:t>Amendment to the 2016 Stock Incentive Plan of Honeywell International Inc. and its Affiliates (incorporated by reference to Exhibit 10.2 to Honeywell’s Form 10-Q for the quarter ended September 30, 2020)</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Arial;sans-serif" w:hAnsi="Arial;sans-serif"/>
                  <w:b w:val="false"/>
                  <w:color w:val="000000"/>
                  <w:sz w:val="16"/>
                </w:rPr>
                <w:t>Omnibus Amendment to 2016 Stock Incentive Plan of Honeywell International Inc. and its Affiliates (incorporated by reference to Exhibit 10.1 to Honeywell’s Form 10-Q for the quarter ended June 30, 2021)</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104412312025.htm">
              <w:r>
                <w:rPr>
                  <w:rStyle w:val="InternetLink"/>
                  <w:rFonts w:ascii="Arial;sans-serif" w:hAnsi="Arial;sans-serif"/>
                  <w:b w:val="false"/>
                  <w:color w:val="000080"/>
                  <w:sz w:val="16"/>
                </w:rPr>
                <w:t>2016 Stock Incentive Plan of Honeywell International Inc. and its Affiliates—Form of Restricted Stock Unit Agreement, Form 1 (</w:t>
              </w:r>
            </w:hyperlink>
            <w:hyperlink w:anchor="exhibit104412312025.htm">
              <w:r>
                <w:rPr>
                  <w:rStyle w:val="InternetLink"/>
                  <w:rFonts w:ascii="Arial;sans-serif" w:hAnsi="Arial;sans-serif"/>
                  <w:b w:val="false"/>
                  <w:color w:val="000080"/>
                  <w:sz w:val="16"/>
                </w:rPr>
                <w:t>filed</w:t>
              </w:r>
            </w:hyperlink>
            <w:hyperlink w:anchor="exhibit104412312025.htm">
              <w:r>
                <w:rPr>
                  <w:rStyle w:val="InternetLink"/>
                  <w:rFonts w:ascii="Arial;sans-serif" w:hAnsi="Arial;sans-serif"/>
                  <w:b w:val="false"/>
                  <w:color w:val="000080"/>
                  <w:sz w:val="16"/>
                </w:rPr>
                <w:t xml:space="preserve"> herewith</w:t>
              </w:r>
            </w:hyperlink>
            <w:hyperlink w:anchor="exhibit104412312025.htm">
              <w:r>
                <w:rPr>
                  <w:rStyle w:val="InternetLink"/>
                  <w:rFonts w:ascii="Arial;sans-serif" w:hAnsi="Arial;sans-serif"/>
                  <w:b w:val="false"/>
                  <w:color w:val="000080"/>
                  <w:sz w:val="16"/>
                </w:rPr>
                <w:t>)</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104512312025.htm">
              <w:r>
                <w:rPr>
                  <w:rStyle w:val="InternetLink"/>
                  <w:rFonts w:ascii="Arial;sans-serif" w:hAnsi="Arial;sans-serif"/>
                  <w:b w:val="false"/>
                  <w:color w:val="000080"/>
                  <w:sz w:val="16"/>
                </w:rPr>
                <w:t>2016 Stock Incentive Plan of Honeywell International Inc. and its Affiliates—Form of Restricted Stock Unit Agreement, Form 2 (</w:t>
              </w:r>
            </w:hyperlink>
            <w:hyperlink w:anchor="exhibit104512312025.htm">
              <w:r>
                <w:rPr>
                  <w:rStyle w:val="InternetLink"/>
                  <w:rFonts w:ascii="Arial;sans-serif" w:hAnsi="Arial;sans-serif"/>
                  <w:b w:val="false"/>
                  <w:color w:val="000080"/>
                  <w:sz w:val="16"/>
                </w:rPr>
                <w:t>filed herewith</w:t>
              </w:r>
            </w:hyperlink>
            <w:hyperlink w:anchor="exhibit104512312025.htm">
              <w:r>
                <w:rPr>
                  <w:rStyle w:val="InternetLink"/>
                  <w:rFonts w:ascii="Arial;sans-serif" w:hAnsi="Arial;sans-serif"/>
                  <w:b w:val="false"/>
                  <w:color w:val="000080"/>
                  <w:sz w:val="16"/>
                </w:rPr>
                <w:t>)</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104612312025.htm">
              <w:r>
                <w:rPr>
                  <w:rStyle w:val="InternetLink"/>
                  <w:rFonts w:ascii="Arial;sans-serif" w:hAnsi="Arial;sans-serif"/>
                  <w:b w:val="false"/>
                  <w:color w:val="000080"/>
                  <w:sz w:val="16"/>
                </w:rPr>
                <w:t>2016 Stock Incentive Plan of Honeywell International Inc. and its Affiliates—Form of Stock Option Award Agreement (</w:t>
              </w:r>
            </w:hyperlink>
            <w:hyperlink w:anchor="exhibit104612312025.htm">
              <w:r>
                <w:rPr>
                  <w:rStyle w:val="InternetLink"/>
                  <w:rFonts w:ascii="Arial;sans-serif" w:hAnsi="Arial;sans-serif"/>
                  <w:b w:val="false"/>
                  <w:color w:val="000080"/>
                  <w:sz w:val="16"/>
                </w:rPr>
                <w:t>filed herewith</w:t>
              </w:r>
            </w:hyperlink>
            <w:hyperlink w:anchor="exhibit104612312025.htm">
              <w:r>
                <w:rPr>
                  <w:rStyle w:val="InternetLink"/>
                  <w:rFonts w:ascii="Arial;sans-serif" w:hAnsi="Arial;sans-serif"/>
                  <w:b w:val="false"/>
                  <w:color w:val="000080"/>
                  <w:sz w:val="16"/>
                </w:rPr>
                <w:t>)</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Arial;sans-serif" w:hAnsi="Arial;sans-serif"/>
                  <w:b w:val="false"/>
                  <w:color w:val="000080"/>
                  <w:sz w:val="16"/>
                </w:rPr>
                <w:t>2016 Stock Incentive Plan of Honeywell International Inc. and its Affiliates—Form of Performance Plan Grant Agreement (</w:t>
              </w:r>
            </w:hyperlink>
            <w:hyperlink r:id="rId95">
              <w:r>
                <w:rPr>
                  <w:rStyle w:val="InternetLink"/>
                  <w:rFonts w:ascii="Arial;sans-serif" w:hAnsi="Arial;sans-serif"/>
                  <w:b w:val="false"/>
                  <w:color w:val="000080"/>
                  <w:sz w:val="16"/>
                </w:rPr>
                <w:t>incorporated by ref</w:t>
              </w:r>
            </w:hyperlink>
            <w:hyperlink r:id="rId96">
              <w:r>
                <w:rPr>
                  <w:rStyle w:val="InternetLink"/>
                  <w:rFonts w:ascii="Arial;sans-serif" w:hAnsi="Arial;sans-serif"/>
                  <w:b w:val="false"/>
                  <w:color w:val="000080"/>
                  <w:sz w:val="16"/>
                </w:rPr>
                <w:t>erence to Exhibit 10.47 to Hone</w:t>
              </w:r>
            </w:hyperlink>
            <w:hyperlink r:id="rId97">
              <w:r>
                <w:rPr>
                  <w:rStyle w:val="InternetLink"/>
                  <w:rFonts w:ascii="Arial;sans-serif" w:hAnsi="Arial;sans-serif"/>
                  <w:b w:val="false"/>
                  <w:color w:val="000080"/>
                  <w:sz w:val="16"/>
                </w:rPr>
                <w:t>ywell's Form 10-K</w:t>
              </w:r>
            </w:hyperlink>
            <w:hyperlink r:id="rId98">
              <w:r>
                <w:rPr>
                  <w:rStyle w:val="InternetLink"/>
                  <w:rFonts w:ascii="Arial;sans-serif" w:hAnsi="Arial;sans-serif"/>
                  <w:b w:val="false"/>
                  <w:color w:val="000080"/>
                  <w:sz w:val="16"/>
                </w:rPr>
                <w:t xml:space="preserve"> for the year ended December 31, 2024</w:t>
              </w:r>
            </w:hyperlink>
            <w:hyperlink r:id="rId99">
              <w:r>
                <w:rPr>
                  <w:rStyle w:val="InternetLink"/>
                  <w:rFonts w:ascii="Arial;sans-serif" w:hAnsi="Arial;sans-serif"/>
                  <w:b w:val="false"/>
                  <w:color w:val="000080"/>
                  <w:sz w:val="16"/>
                </w:rPr>
                <w:t>)</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Arial;sans-serif" w:hAnsi="Arial;sans-serif"/>
                  <w:b w:val="false"/>
                  <w:color w:val="000000"/>
                  <w:sz w:val="16"/>
                </w:rPr>
                <w:t>2016 Stock Plan for Non-Employee Directors (incorporated by reference to Exhibit B of Honeywell’s Proxy Statement, dated March 10, 2016, filed pursuant to Rule 14a-6 of the Securities Exchange Act of 1934)</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10.49*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Arial;sans-serif" w:hAnsi="Arial;sans-serif"/>
                  <w:b w:val="false"/>
                  <w:color w:val="000000"/>
                  <w:sz w:val="16"/>
                </w:rPr>
                <w:t>Amendment to the 2016 Stock Plan for Non-Employee Directors of Honeywell International Inc. (incorporated by reference to Exhibit 99.2 to Honeywell's Form 8-K filed October 8, 2019)</w:t>
              </w:r>
            </w:hyperlink>
          </w:p>
        </w:tc>
      </w:tr>
      <w:tr>
        <w:trPr/>
        <w:tc>
          <w:tcPr>
            <w:tcW w:w="80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Arial;sans-serif" w:hAnsi="Arial;sans-serif"/>
                  <w:b w:val="false"/>
                  <w:color w:val="000000"/>
                  <w:sz w:val="16"/>
                </w:rPr>
                <w:t>Amendment to the 2016 Stock Plan for Non-Employee Directors of Honeywell International Inc. (incorporated by reference to Exhibit 10.1 to Honeywell’s Form 10-Q for the quarter ended June 30, 2020)</w:t>
              </w:r>
            </w:hyperlink>
          </w:p>
        </w:tc>
      </w:tr>
      <w:tr>
        <w:trPr/>
        <w:tc>
          <w:tcPr>
            <w:tcW w:w="808" w:type="dxa"/>
            <w:gridSpan w:val="3"/>
            <w:tcBorders>
              <w:top w:val="single" w:sz="2" w:space="0" w:color="61656A"/>
              <w:bottom w:val="single" w:sz="2" w:space="0" w:color="61656A"/>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10.51*</w:t>
            </w:r>
          </w:p>
        </w:tc>
        <w:tc>
          <w:tcPr>
            <w:tcW w:w="327" w:type="dxa"/>
            <w:gridSpan w:val="3"/>
            <w:tcBorders>
              <w:top w:val="single" w:sz="2" w:space="0" w:color="61656A"/>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2" w:space="0" w:color="61656A"/>
              <w:bottom w:val="single" w:sz="2" w:space="0" w:color="61656A"/>
            </w:tcBorders>
            <w:tcMar>
              <w:top w:w="30" w:type="dxa"/>
              <w:left w:w="0" w:type="dxa"/>
              <w:bottom w:w="30" w:type="dxa"/>
              <w:right w:w="0" w:type="dxa"/>
            </w:tcMar>
            <w:vAlign w:val="center"/>
          </w:tcPr>
          <w:p>
            <w:pPr>
              <w:pStyle w:val="TableContents"/>
              <w:bidi w:val="0"/>
              <w:spacing w:lineRule="auto" w:line="240" w:before="0" w:after="0"/>
              <w:jc w:val="left"/>
              <w:rPr/>
            </w:pPr>
            <w:hyperlink r:id="rId103">
              <w:r>
                <w:rPr>
                  <w:rStyle w:val="InternetLink"/>
                  <w:rFonts w:ascii="Arial;sans-serif" w:hAnsi="Arial;sans-serif"/>
                  <w:b w:val="false"/>
                  <w:color w:val="000000"/>
                  <w:sz w:val="16"/>
                </w:rPr>
                <w:t>Omnibus Amendment to 2016 Stock Plan for Non-Employee Directors of Honeywell International Inc. (incorporated by reference to Exhibit 10.1 to Honeywell’s Form 10-Q for the quarter ended June 30,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174"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D7282F"/>
                                <w:sz w:val="20"/>
                              </w:rPr>
                              <w:t>129    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D7282F"/>
                          <w:sz w:val="20"/>
                        </w:rPr>
                        <w:t>129    </w:t>
                      </w:r>
                      <w:r>
                        <w:rPr>
                          <w:rFonts w:ascii="Arial;sans-serif" w:hAnsi="Arial;sans-serif"/>
                          <w:b w:val="false"/>
                          <w:color w:val="000000"/>
                          <w:sz w:val="16"/>
                        </w:rPr>
                        <w:t>Honeywell International Inc.</w:t>
                      </w:r>
                    </w:p>
                  </w:txbxContent>
                </v:textbox>
                <w10:wrap type="none"/>
              </v:rect>
            </w:pict>
          </mc:Fallback>
        </mc:AlternateContent>
      </w:r>
    </w:p>
    <w:tbl>
      <w:tblPr>
        <w:tblW w:w="2638" w:type="dxa"/>
        <w:jc w:val="left"/>
        <w:tblInd w:w="0" w:type="dxa"/>
        <w:tblLayout w:type="fixed"/>
        <w:tblCellMar>
          <w:top w:w="28" w:type="dxa"/>
          <w:left w:w="28" w:type="dxa"/>
          <w:bottom w:w="28" w:type="dxa"/>
          <w:right w:w="28" w:type="dxa"/>
        </w:tblCellMar>
      </w:tblPr>
      <w:tblGrid>
        <w:gridCol w:w="548"/>
        <w:gridCol w:w="482"/>
        <w:gridCol w:w="484"/>
        <w:gridCol w:w="329"/>
        <w:gridCol w:w="329"/>
        <w:gridCol w:w="46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EXHIBIT INDEX</w:t>
            </w:r>
          </w:p>
        </w:tc>
      </w:tr>
    </w:tbl>
    <w:tbl>
      <w:tblPr>
        <w:tblW w:w="10205" w:type="dxa"/>
        <w:jc w:val="left"/>
        <w:tblInd w:w="0" w:type="dxa"/>
        <w:tblLayout w:type="fixed"/>
        <w:tblCellMar>
          <w:top w:w="28" w:type="dxa"/>
          <w:left w:w="28" w:type="dxa"/>
          <w:bottom w:w="28" w:type="dxa"/>
          <w:right w:w="28" w:type="dxa"/>
        </w:tblCellMar>
      </w:tblPr>
      <w:tblGrid>
        <w:gridCol w:w="271"/>
        <w:gridCol w:w="238"/>
        <w:gridCol w:w="239"/>
        <w:gridCol w:w="109"/>
        <w:gridCol w:w="109"/>
        <w:gridCol w:w="109"/>
        <w:gridCol w:w="2734"/>
        <w:gridCol w:w="2642"/>
        <w:gridCol w:w="37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Arial;sans-serif" w:hAnsi="Arial;sans-serif"/>
                  <w:b w:val="false"/>
                  <w:color w:val="000000"/>
                  <w:sz w:val="16"/>
                </w:rPr>
                <w:t>2016 Stock Plan for Non-Employee Directors of Honeywell International Inc.—Form of Stock Option Award Agreement (incorporated by reference to Exhibit 10.6 to Honeywell’s Form 10-Q for the quarter ended June 30, 2021)</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5">
              <w:r>
                <w:rPr>
                  <w:rStyle w:val="InternetLink"/>
                  <w:rFonts w:ascii="Arial;sans-serif" w:hAnsi="Arial;sans-serif"/>
                  <w:b w:val="false"/>
                  <w:color w:val="000000"/>
                  <w:sz w:val="16"/>
                </w:rPr>
                <w:t>2016 Stock Plan for Non-Employee Directors of Honeywell International Inc.—Form of Restricted Stock Unit Agreement (incorporated by reference to Exhibit 10.7 to Honeywell’s Form 10-Q for the quarter ended June 30, 2021)</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Arial;sans-serif" w:hAnsi="Arial;sans-serif"/>
                  <w:b w:val="false"/>
                  <w:color w:val="000000"/>
                  <w:sz w:val="16"/>
                </w:rPr>
                <w:t>Amendment to the 2016 Stock Plan for Non-Employee Directors of Honeywell International Inc. (incorporated by reference to Exhibit 10.5 to Honeywell's Form 10-K for the year ended December 31, 2023)</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Arial;sans-serif" w:hAnsi="Arial;sans-serif"/>
                  <w:b w:val="false"/>
                  <w:color w:val="000080"/>
                  <w:sz w:val="16"/>
                </w:rPr>
                <w:t>Form of Honeywell International Inc. Noncompete Agreement for Senior Executives (</w:t>
              </w:r>
            </w:hyperlink>
            <w:r>
              <w:rPr>
                <w:rFonts w:ascii="Arial;sans-serif" w:hAnsi="Arial;sans-serif"/>
                <w:b w:val="false"/>
                <w:color w:val="000000"/>
                <w:sz w:val="16"/>
              </w:rPr>
              <w:t>incorporated by reference to Exhibit 10.61 to Honeywell’s Form 10-K for the year ended December 31, 2021</w:t>
            </w:r>
            <w:hyperlink r:id="rId108">
              <w:r>
                <w:rPr>
                  <w:rStyle w:val="InternetLink"/>
                  <w:rFonts w:ascii="Arial;sans-serif" w:hAnsi="Arial;sans-serif"/>
                  <w:b w:val="false"/>
                  <w:color w:val="000080"/>
                  <w:sz w:val="16"/>
                </w:rPr>
                <w:t>)</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09">
              <w:r>
                <w:rPr>
                  <w:rStyle w:val="InternetLink"/>
                  <w:rFonts w:ascii="Arial;sans-serif" w:hAnsi="Arial;sans-serif"/>
                  <w:b w:val="false"/>
                  <w:color w:val="000080"/>
                  <w:sz w:val="16"/>
                </w:rPr>
                <w:t xml:space="preserve">Letter Agreement dated October 2, 2017 between Honeywell </w:t>
              </w:r>
            </w:hyperlink>
            <w:hyperlink r:id="rId110">
              <w:r>
                <w:rPr>
                  <w:rStyle w:val="InternetLink"/>
                  <w:rFonts w:ascii="Arial;sans-serif" w:hAnsi="Arial;sans-serif"/>
                  <w:b w:val="false"/>
                  <w:color w:val="000080"/>
                  <w:sz w:val="16"/>
                </w:rPr>
                <w:t xml:space="preserve">International Inc. </w:t>
              </w:r>
            </w:hyperlink>
            <w:hyperlink r:id="rId111">
              <w:r>
                <w:rPr>
                  <w:rStyle w:val="InternetLink"/>
                  <w:rFonts w:ascii="Arial;sans-serif" w:hAnsi="Arial;sans-serif"/>
                  <w:b w:val="false"/>
                  <w:color w:val="000080"/>
                  <w:sz w:val="16"/>
                </w:rPr>
                <w:t>and Anne Madden (incorporated by reference to Exhibit 10.70 to Honeywell’s Form 10-K for the year ended December 31, 2020)</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12">
              <w:r>
                <w:rPr>
                  <w:rStyle w:val="InternetLink"/>
                  <w:rFonts w:ascii="Arial;sans-serif" w:hAnsi="Arial;sans-serif"/>
                  <w:b w:val="false"/>
                  <w:color w:val="000000"/>
                  <w:sz w:val="16"/>
                </w:rPr>
                <w:t>Offer Letter dated April 4, 2025 from Honeywell International Inc. to Anne Madden (incorporated by reference to Exhibit 99.1 to Honeywell's Form 8-K filed April 8, 2025)</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Arial;sans-serif" w:hAnsi="Arial;sans-serif"/>
                  <w:b w:val="false"/>
                  <w:color w:val="000080"/>
                  <w:sz w:val="16"/>
                </w:rPr>
                <w:t>Offer Letter dated February 12, 2025 from Honeywell International Inc. to Gre</w:t>
              </w:r>
            </w:hyperlink>
            <w:hyperlink r:id="rId114">
              <w:r>
                <w:rPr>
                  <w:rStyle w:val="InternetLink"/>
                  <w:rFonts w:ascii="Arial;sans-serif" w:hAnsi="Arial;sans-serif"/>
                  <w:b w:val="false"/>
                  <w:color w:val="000080"/>
                  <w:sz w:val="16"/>
                </w:rPr>
                <w:t>g</w:t>
              </w:r>
            </w:hyperlink>
            <w:hyperlink r:id="rId115">
              <w:r>
                <w:rPr>
                  <w:rStyle w:val="InternetLink"/>
                  <w:rFonts w:ascii="Arial;sans-serif" w:hAnsi="Arial;sans-serif"/>
                  <w:b w:val="false"/>
                  <w:color w:val="000080"/>
                  <w:sz w:val="16"/>
                </w:rPr>
                <w:t xml:space="preserve"> Lewis (incorporated by reference to Exhibit 10.2 to Honeywell's Form 8-K filed February 18, 2025)</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10.59*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16">
              <w:r>
                <w:rPr>
                  <w:rStyle w:val="InternetLink"/>
                  <w:rFonts w:ascii="Arial;sans-serif" w:hAnsi="Arial;sans-serif"/>
                  <w:b w:val="false"/>
                  <w:color w:val="000000"/>
                  <w:sz w:val="16"/>
                </w:rPr>
                <w:t>Offer Letter dated March 13, 2023 from Honeywell International Inc. to Vimal Kapur (incorporated by reference to Exhibit 10.2 to Honeywell's Form 8-K filed March 14, 2023)</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Arial;sans-serif" w:hAnsi="Arial;sans-serif"/>
                  <w:b w:val="false"/>
                  <w:color w:val="000000"/>
                  <w:sz w:val="16"/>
                </w:rPr>
                <w:t>Offer Letter dated July 26, 2022 from Honeywell International Inc. to Vimal Kapur (incorporated by reference to Exhibit 10.1 to Honeywell's Form 10-Q for the quarter ended September 30, 2022, and Honeywell's Form 8-K filed July 28, 2022)</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18">
              <w:r>
                <w:rPr>
                  <w:rStyle w:val="InternetLink"/>
                  <w:rFonts w:ascii="Arial;sans-serif" w:hAnsi="Arial;sans-serif"/>
                  <w:b w:val="false"/>
                  <w:color w:val="000080"/>
                  <w:sz w:val="16"/>
                </w:rPr>
                <w:t xml:space="preserve">Offer Letter dated October 6, 2023 between Honeywell </w:t>
              </w:r>
            </w:hyperlink>
            <w:hyperlink r:id="rId119">
              <w:r>
                <w:rPr>
                  <w:rStyle w:val="InternetLink"/>
                  <w:rFonts w:ascii="Arial;sans-serif" w:hAnsi="Arial;sans-serif"/>
                  <w:b w:val="false"/>
                  <w:color w:val="000080"/>
                  <w:sz w:val="16"/>
                </w:rPr>
                <w:t xml:space="preserve">International Inc. </w:t>
              </w:r>
            </w:hyperlink>
            <w:hyperlink r:id="rId120">
              <w:r>
                <w:rPr>
                  <w:rStyle w:val="InternetLink"/>
                  <w:rFonts w:ascii="Arial;sans-serif" w:hAnsi="Arial;sans-serif"/>
                  <w:b w:val="false"/>
                  <w:color w:val="000080"/>
                  <w:sz w:val="16"/>
                </w:rPr>
                <w:t>and Lucian Boldea (incorporated by reference to Exhibit 10.65 to Honeywell's Form 10-K for the year ended December 31, 2023)</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Arial;sans-serif" w:hAnsi="Arial;sans-serif"/>
                  <w:b w:val="false"/>
                  <w:color w:val="000080"/>
                  <w:sz w:val="16"/>
                </w:rPr>
                <w:t xml:space="preserve">Offer Letter dated June 12, 2023 between Honeywell </w:t>
              </w:r>
            </w:hyperlink>
            <w:hyperlink r:id="rId122">
              <w:r>
                <w:rPr>
                  <w:rStyle w:val="InternetLink"/>
                  <w:rFonts w:ascii="Arial;sans-serif" w:hAnsi="Arial;sans-serif"/>
                  <w:b w:val="false"/>
                  <w:color w:val="000080"/>
                  <w:sz w:val="16"/>
                </w:rPr>
                <w:t xml:space="preserve">International Inc. </w:t>
              </w:r>
            </w:hyperlink>
            <w:hyperlink r:id="rId123">
              <w:r>
                <w:rPr>
                  <w:rStyle w:val="InternetLink"/>
                  <w:rFonts w:ascii="Arial;sans-serif" w:hAnsi="Arial;sans-serif"/>
                  <w:b w:val="false"/>
                  <w:color w:val="000080"/>
                  <w:sz w:val="16"/>
                </w:rPr>
                <w:t>and James Currier (incorporated by reference to Exhibit 10.66 to Honeywell's Form 10-K for the year ended December 31, 2023)</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10.63*</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24">
              <w:r>
                <w:rPr>
                  <w:rStyle w:val="InternetLink"/>
                  <w:rFonts w:ascii="Arial;sans-serif" w:hAnsi="Arial;sans-serif"/>
                  <w:b w:val="false"/>
                  <w:color w:val="000000"/>
                  <w:sz w:val="16"/>
                </w:rPr>
                <w:t>Offer Letter dated February 7, 2025 from Honeywell International Inc. to Michal Stepniak (incorporated by reference to Exhibit 10.1 to Honeywell's Form 8-K filed February 18, 2025)</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106412312025.htm">
              <w:r>
                <w:rPr>
                  <w:rStyle w:val="InternetLink"/>
                  <w:rFonts w:ascii="Arial;sans-serif" w:hAnsi="Arial;sans-serif"/>
                  <w:b w:val="false"/>
                  <w:color w:val="000080"/>
                  <w:sz w:val="16"/>
                </w:rPr>
                <w:t>Offer Letter dated May 5, 2025 from Honeywell International</w:t>
              </w:r>
            </w:hyperlink>
            <w:hyperlink w:anchor="exhibit106412312025.htm">
              <w:r>
                <w:rPr>
                  <w:rStyle w:val="InternetLink"/>
                  <w:rFonts w:ascii="Arial;sans-serif" w:hAnsi="Arial;sans-serif"/>
                  <w:b w:val="false"/>
                  <w:color w:val="000080"/>
                  <w:sz w:val="16"/>
                </w:rPr>
                <w:t xml:space="preserve"> Inc. to </w:t>
              </w:r>
            </w:hyperlink>
            <w:hyperlink w:anchor="exhibit106412312025.htm">
              <w:r>
                <w:rPr>
                  <w:rStyle w:val="InternetLink"/>
                  <w:rFonts w:ascii="Arial;sans-serif" w:hAnsi="Arial;sans-serif"/>
                  <w:b w:val="false"/>
                  <w:color w:val="000080"/>
                  <w:sz w:val="16"/>
                </w:rPr>
                <w:t>James Masso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1065123125.htm">
              <w:r>
                <w:rPr>
                  <w:rStyle w:val="InternetLink"/>
                  <w:rFonts w:ascii="Arial;sans-serif" w:hAnsi="Arial;sans-serif"/>
                  <w:b w:val="false"/>
                  <w:color w:val="000080"/>
                  <w:sz w:val="16"/>
                </w:rPr>
                <w:t xml:space="preserve">Offer </w:t>
              </w:r>
            </w:hyperlink>
            <w:hyperlink w:anchor="exhibit1065123125.htm">
              <w:r>
                <w:rPr>
                  <w:rStyle w:val="InternetLink"/>
                  <w:rFonts w:ascii="Arial;sans-serif" w:hAnsi="Arial;sans-serif"/>
                  <w:b w:val="false"/>
                  <w:color w:val="000080"/>
                  <w:sz w:val="16"/>
                </w:rPr>
                <w:t xml:space="preserve">Letter dated </w:t>
              </w:r>
            </w:hyperlink>
            <w:hyperlink w:anchor="exhibit1065123125.htm">
              <w:r>
                <w:rPr>
                  <w:rStyle w:val="InternetLink"/>
                  <w:rFonts w:ascii="Arial;sans-serif" w:hAnsi="Arial;sans-serif"/>
                  <w:b w:val="false"/>
                  <w:color w:val="000080"/>
                  <w:sz w:val="16"/>
                </w:rPr>
                <w:t>March 2, 2023</w:t>
              </w:r>
            </w:hyperlink>
            <w:hyperlink w:anchor="exhibit1065123125.htm">
              <w:r>
                <w:rPr>
                  <w:rStyle w:val="InternetLink"/>
                  <w:rFonts w:ascii="Arial;sans-serif" w:hAnsi="Arial;sans-serif"/>
                  <w:b w:val="false"/>
                  <w:color w:val="000080"/>
                  <w:sz w:val="16"/>
                </w:rPr>
                <w:t xml:space="preserve"> from Honeywell International Inc. to </w:t>
              </w:r>
            </w:hyperlink>
            <w:hyperlink w:anchor="exhibit1065123125.htm">
              <w:r>
                <w:rPr>
                  <w:rStyle w:val="InternetLink"/>
                  <w:rFonts w:ascii="Arial;sans-serif" w:hAnsi="Arial;sans-serif"/>
                  <w:b w:val="false"/>
                  <w:color w:val="000080"/>
                  <w:sz w:val="16"/>
                </w:rPr>
                <w:t>Billal Hammoud</w:t>
              </w:r>
            </w:hyperlink>
            <w:hyperlink w:anchor="exhibit1065123125.htm">
              <w:r>
                <w:rPr>
                  <w:rStyle w:val="InternetLink"/>
                  <w:rFonts w:ascii="Arial;sans-serif" w:hAnsi="Arial;sans-serif"/>
                  <w:b w:val="false"/>
                  <w:color w:val="000080"/>
                  <w:sz w:val="16"/>
                </w:rPr>
                <w:t xml:space="preserve">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10.66*</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106612312025.htm">
              <w:r>
                <w:rPr>
                  <w:rStyle w:val="InternetLink"/>
                  <w:rFonts w:ascii="Arial;sans-serif" w:hAnsi="Arial;sans-serif"/>
                  <w:b w:val="false"/>
                  <w:color w:val="000080"/>
                  <w:sz w:val="16"/>
                </w:rPr>
                <w:t>O</w:t>
              </w:r>
            </w:hyperlink>
            <w:hyperlink w:anchor="exhibit106612312025.htm">
              <w:r>
                <w:rPr>
                  <w:rStyle w:val="InternetLink"/>
                  <w:rFonts w:ascii="Arial;sans-serif" w:hAnsi="Arial;sans-serif"/>
                  <w:b w:val="false"/>
                  <w:color w:val="000080"/>
                  <w:sz w:val="16"/>
                </w:rPr>
                <w:t xml:space="preserve">ffer </w:t>
              </w:r>
            </w:hyperlink>
            <w:hyperlink w:anchor="exhibit106612312025.htm">
              <w:r>
                <w:rPr>
                  <w:rStyle w:val="InternetLink"/>
                  <w:rFonts w:ascii="Arial;sans-serif" w:hAnsi="Arial;sans-serif"/>
                  <w:b w:val="false"/>
                  <w:color w:val="000080"/>
                  <w:sz w:val="16"/>
                </w:rPr>
                <w:t>Letter dated February 1</w:t>
              </w:r>
            </w:hyperlink>
            <w:hyperlink w:anchor="exhibit106612312025.htm">
              <w:r>
                <w:rPr>
                  <w:rStyle w:val="InternetLink"/>
                  <w:rFonts w:ascii="Arial;sans-serif" w:hAnsi="Arial;sans-serif"/>
                  <w:b w:val="false"/>
                  <w:color w:val="000080"/>
                  <w:sz w:val="16"/>
                </w:rPr>
                <w:t>7</w:t>
              </w:r>
            </w:hyperlink>
            <w:hyperlink w:anchor="exhibit106612312025.htm">
              <w:r>
                <w:rPr>
                  <w:rStyle w:val="InternetLink"/>
                  <w:rFonts w:ascii="Arial;sans-serif" w:hAnsi="Arial;sans-serif"/>
                  <w:b w:val="false"/>
                  <w:color w:val="000080"/>
                  <w:sz w:val="16"/>
                </w:rPr>
                <w:t>, 2026 from</w:t>
              </w:r>
            </w:hyperlink>
            <w:hyperlink w:anchor="exhibit106612312025.htm">
              <w:r>
                <w:rPr>
                  <w:rStyle w:val="InternetLink"/>
                  <w:rFonts w:ascii="Arial;sans-serif" w:hAnsi="Arial;sans-serif"/>
                  <w:b w:val="false"/>
                  <w:color w:val="000080"/>
                  <w:sz w:val="16"/>
                </w:rPr>
                <w:t xml:space="preserve"> Honeywell International Inc. to James Currier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10.67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Arial;sans-serif" w:hAnsi="Arial;sans-serif"/>
                  <w:b w:val="false"/>
                  <w:color w:val="000000"/>
                  <w:sz w:val="16"/>
                </w:rPr>
                <w:t>Cooperation Agreement, by and among Elliott Investment Management L.P., Elliott Associates , L.P., Elliott International, L.P. and Honeywell International Inc., dated as of May 28, 2025 (incorporated by reference to Exhibit 10.1 to Honeywell's Form 8-K filed May 28, 2025)</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10.68</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Arial;sans-serif" w:hAnsi="Arial;sans-serif"/>
                  <w:b w:val="false"/>
                  <w:color w:val="000000"/>
                  <w:sz w:val="16"/>
                </w:rPr>
                <w:t>364-Day Credit Agreement, dated as of March 17, 2025, among Honeywell International Inc., the banks, financial institutions and other institutional lenders party thereto, Bank of America, N.A., as administrative agent, and JPMorgan Chase Bank, N.A. and Wells Fargo Bank, National Association, as syndication agents, and the documentation agents named therein (incorporated by reference to Exhibit 10.1 to Honeywell's Form 8-K filed March 17, 2025)</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10.69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Arial;sans-serif" w:hAnsi="Arial;sans-serif"/>
                  <w:b w:val="false"/>
                  <w:color w:val="000000"/>
                  <w:sz w:val="16"/>
                </w:rPr>
                <w:t>Delayed Draw Term Loan Agreement, dated as of May 7, 2025, among Honeywell International Inc., Bank of America, N.A., as administrative agent, and the syndication agents and documentation agents named therein in such capacity and as the initial lenders (incorporated by reference to Exhibit 10.1 to Honeywell's Form 8-K filed May 8, 2025)</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10.70</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28">
              <w:r>
                <w:rPr>
                  <w:rStyle w:val="InternetLink"/>
                  <w:rFonts w:ascii="Arial;sans-serif" w:hAnsi="Arial;sans-serif"/>
                  <w:b w:val="false"/>
                  <w:color w:val="000000"/>
                  <w:sz w:val="16"/>
                </w:rPr>
                <w:t>Amended and Restated Five-Year Credit Agreement, dated as of March 18, 2024, among Honeywell International Inc., the banks, financial institutions, and other institutional lenders parties thereto, Bank of America, N.A., as administrative agent, Bank of America, N.A., as swing line agent, and JPMorgan Chase Bank, N.A. and Wells Fargo Bank, National Association, as syndication agents (incorporated by reference to Exhibit 10.2 to Honeywell's Form 8-K filed March 19, 2024)</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10.71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Arial;sans-serif" w:hAnsi="Arial;sans-serif"/>
                  <w:b w:val="false"/>
                  <w:color w:val="000000"/>
                  <w:sz w:val="16"/>
                </w:rPr>
                <w:t>Fixed Rate Term Loan Credit Agreement, dated as of August 12, 2024, among Honeywell International Inc., the banks, financial institutions, and other institutional lenders parties thereto and Bank of America, N.A., as administrative agent (incorporated by reference to Exhibit 10.1 to Honeywell's Form 8-K filed August 12, 2024)</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10.72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30">
              <w:r>
                <w:rPr>
                  <w:rStyle w:val="InternetLink"/>
                  <w:rFonts w:ascii="Arial;sans-serif" w:hAnsi="Arial;sans-serif"/>
                  <w:b w:val="false"/>
                  <w:color w:val="000000"/>
                  <w:sz w:val="16"/>
                </w:rPr>
                <w:t>Amended and Restated Buyout Agreement, dated November 20, 2022, between Honeywell International Inc., the North American Refractories Asbestos Personal Injury Settlement Trust, the NARCO Trust Advisory Committee, and Lawrence Fitzpatrick, in his capacity as the NARCO Asbestos Future Claimants Representative (incorporated by reference to Exhibit 10.1 to Honeywell’s Form 8-K filed November 21, 2022)</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Arial;sans-serif" w:hAnsi="Arial;sans-serif"/>
                  <w:b w:val="false"/>
                  <w:color w:val="000080"/>
                  <w:sz w:val="16"/>
                </w:rPr>
                <w:t>Honeywell International Inc. Insider Trading Policy (</w:t>
              </w:r>
            </w:hyperlink>
            <w:hyperlink r:id="rId132">
              <w:r>
                <w:rPr>
                  <w:rStyle w:val="InternetLink"/>
                  <w:rFonts w:ascii="Arial;sans-serif" w:hAnsi="Arial;sans-serif"/>
                  <w:b w:val="false"/>
                  <w:color w:val="000080"/>
                  <w:sz w:val="16"/>
                </w:rPr>
                <w:t xml:space="preserve">incorporated by reference </w:t>
              </w:r>
            </w:hyperlink>
            <w:hyperlink r:id="rId133">
              <w:r>
                <w:rPr>
                  <w:rStyle w:val="InternetLink"/>
                  <w:rFonts w:ascii="Arial;sans-serif" w:hAnsi="Arial;sans-serif"/>
                  <w:b w:val="false"/>
                  <w:color w:val="000080"/>
                  <w:sz w:val="16"/>
                </w:rPr>
                <w:t>to Exhibit 19 to Hone</w:t>
              </w:r>
            </w:hyperlink>
            <w:hyperlink r:id="rId134">
              <w:r>
                <w:rPr>
                  <w:rStyle w:val="InternetLink"/>
                  <w:rFonts w:ascii="Arial;sans-serif" w:hAnsi="Arial;sans-serif"/>
                  <w:b w:val="false"/>
                  <w:color w:val="000080"/>
                  <w:sz w:val="16"/>
                </w:rPr>
                <w:t>ywell's Form 10-K</w:t>
              </w:r>
            </w:hyperlink>
            <w:hyperlink r:id="rId135">
              <w:r>
                <w:rPr>
                  <w:rStyle w:val="InternetLink"/>
                  <w:rFonts w:ascii="Arial;sans-serif" w:hAnsi="Arial;sans-serif"/>
                  <w:b w:val="false"/>
                  <w:color w:val="000080"/>
                  <w:sz w:val="16"/>
                </w:rPr>
                <w:t xml:space="preserve"> for the year ended December 3</w:t>
              </w:r>
            </w:hyperlink>
            <w:hyperlink r:id="rId136">
              <w:r>
                <w:rPr>
                  <w:rStyle w:val="InternetLink"/>
                  <w:rFonts w:ascii="Arial;sans-serif" w:hAnsi="Arial;sans-serif"/>
                  <w:b w:val="false"/>
                  <w:color w:val="000080"/>
                  <w:sz w:val="16"/>
                </w:rPr>
                <w:t>1, 2024</w:t>
              </w:r>
            </w:hyperlink>
            <w:hyperlink r:id="rId137">
              <w:r>
                <w:rPr>
                  <w:rStyle w:val="InternetLink"/>
                  <w:rFonts w:ascii="Arial;sans-serif" w:hAnsi="Arial;sans-serif"/>
                  <w:b w:val="false"/>
                  <w:color w:val="000080"/>
                  <w:sz w:val="16"/>
                </w:rPr>
                <w:t>)</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2112312025.htm">
              <w:r>
                <w:rPr>
                  <w:rStyle w:val="InternetLink"/>
                  <w:rFonts w:ascii="Arial;sans-serif" w:hAnsi="Arial;sans-serif"/>
                  <w:b w:val="false"/>
                  <w:color w:val="000000"/>
                  <w:sz w:val="16"/>
                </w:rPr>
                <w:t>Subsidiaries of the Registrant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23112312025.htm">
              <w:r>
                <w:rPr>
                  <w:rStyle w:val="InternetLink"/>
                  <w:rFonts w:ascii="Arial;sans-serif" w:hAnsi="Arial;sans-serif"/>
                  <w:b w:val="false"/>
                  <w:color w:val="000000"/>
                  <w:sz w:val="16"/>
                </w:rPr>
                <w:t>Consent of Deloitte &amp; Touche LLP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2412312025.htm">
              <w:r>
                <w:rPr>
                  <w:rStyle w:val="InternetLink"/>
                  <w:rFonts w:ascii="Arial;sans-serif" w:hAnsi="Arial;sans-serif"/>
                  <w:b w:val="false"/>
                  <w:color w:val="000000"/>
                  <w:sz w:val="16"/>
                </w:rPr>
                <w:t>Powers of Attorney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31112312025.htm">
              <w:r>
                <w:rPr>
                  <w:rStyle w:val="InternetLink"/>
                  <w:rFonts w:ascii="Arial;sans-serif" w:hAnsi="Arial;sans-serif"/>
                  <w:b w:val="false"/>
                  <w:color w:val="000000"/>
                  <w:sz w:val="16"/>
                </w:rPr>
                <w:t>Certification of Principal Executive Officer Pursuant to Section 302 of the Sarbanes-Oxley Act of 2002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31212312025.htm">
              <w:r>
                <w:rPr>
                  <w:rStyle w:val="InternetLink"/>
                  <w:rFonts w:ascii="Arial;sans-serif" w:hAnsi="Arial;sans-serif"/>
                  <w:b w:val="false"/>
                  <w:color w:val="000000"/>
                  <w:sz w:val="16"/>
                </w:rPr>
                <w:t>Certification of Principal Financial Officer Pursuant to Section 302 of the Sarbanes-Oxley Act of 2002 (filed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32112312025.htm">
              <w:r>
                <w:rPr>
                  <w:rStyle w:val="InternetLink"/>
                  <w:rFonts w:ascii="Arial;sans-serif" w:hAnsi="Arial;sans-serif"/>
                  <w:b w:val="false"/>
                  <w:color w:val="000000"/>
                  <w:sz w:val="16"/>
                </w:rPr>
                <w:t>Certification of Principal Executive Officer Pursuant to 18 U.S.C. Section 1350, as Adopted Pursuant to Section 906 of the Sarbanes-Oxley Act of 2002 (furnished herewith)</w:t>
              </w:r>
            </w:hyperlink>
          </w:p>
        </w:tc>
      </w:tr>
      <w:tr>
        <w:trPr/>
        <w:tc>
          <w:tcPr>
            <w:tcW w:w="748"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w:anchor="exhibit32212312025.htm">
              <w:r>
                <w:rPr>
                  <w:rStyle w:val="InternetLink"/>
                  <w:rFonts w:ascii="Arial;sans-serif" w:hAnsi="Arial;sans-serif"/>
                  <w:b w:val="false"/>
                  <w:color w:val="000000"/>
                  <w:sz w:val="16"/>
                </w:rPr>
                <w:t>Certification of Principal Financial Officer Pursuant to 18 U.S.C. Section 1350, as Adopted Pursuant to Section 906 of the Sarbanes-Oxley Act of 2002 (furnished herewith)</w:t>
              </w:r>
            </w:hyperlink>
          </w:p>
        </w:tc>
      </w:tr>
      <w:tr>
        <w:trPr/>
        <w:tc>
          <w:tcPr>
            <w:tcW w:w="748" w:type="dxa"/>
            <w:gridSpan w:val="3"/>
            <w:tcBorders>
              <w:top w:val="single" w:sz="2" w:space="0" w:color="61656A"/>
              <w:bottom w:val="single" w:sz="2" w:space="0" w:color="61656A"/>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95</w:t>
            </w:r>
          </w:p>
        </w:tc>
        <w:tc>
          <w:tcPr>
            <w:tcW w:w="327" w:type="dxa"/>
            <w:gridSpan w:val="3"/>
            <w:tcBorders>
              <w:top w:val="single" w:sz="2" w:space="0" w:color="61656A"/>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9130" w:type="dxa"/>
            <w:gridSpan w:val="3"/>
            <w:tcBorders>
              <w:top w:val="single" w:sz="2" w:space="0" w:color="61656A"/>
              <w:bottom w:val="single" w:sz="2" w:space="0" w:color="61656A"/>
            </w:tcBorders>
            <w:tcMar>
              <w:top w:w="30" w:type="dxa"/>
              <w:left w:w="0" w:type="dxa"/>
              <w:bottom w:w="30" w:type="dxa"/>
              <w:right w:w="0" w:type="dxa"/>
            </w:tcMar>
            <w:vAlign w:val="center"/>
          </w:tcPr>
          <w:p>
            <w:pPr>
              <w:pStyle w:val="TableContents"/>
              <w:bidi w:val="0"/>
              <w:spacing w:lineRule="auto" w:line="240" w:before="0" w:after="0"/>
              <w:jc w:val="left"/>
              <w:rPr/>
            </w:pPr>
            <w:hyperlink w:anchor="exhibit9512312025.htm">
              <w:r>
                <w:rPr>
                  <w:rStyle w:val="InternetLink"/>
                  <w:rFonts w:ascii="Arial;sans-serif" w:hAnsi="Arial;sans-serif"/>
                  <w:b w:val="false"/>
                  <w:color w:val="000000"/>
                  <w:sz w:val="16"/>
                </w:rPr>
                <w:t>Mine Safety Disclosures (filed herewith)</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175"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D7282F"/>
                                <w:sz w:val="20"/>
                              </w:rPr>
                              <w:t>130    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D7282F"/>
                          <w:sz w:val="20"/>
                        </w:rPr>
                        <w:t>130    </w:t>
                      </w:r>
                      <w:r>
                        <w:rPr>
                          <w:rFonts w:ascii="Arial;sans-serif" w:hAnsi="Arial;sans-serif"/>
                          <w:b w:val="false"/>
                          <w:color w:val="000000"/>
                          <w:sz w:val="16"/>
                        </w:rPr>
                        <w:t>Honeywell International Inc.</w:t>
                      </w:r>
                    </w:p>
                  </w:txbxContent>
                </v:textbox>
                <w10:wrap type="none"/>
              </v:rect>
            </w:pict>
          </mc:Fallback>
        </mc:AlternateContent>
      </w:r>
    </w:p>
    <w:tbl>
      <w:tblPr>
        <w:tblW w:w="2638" w:type="dxa"/>
        <w:jc w:val="left"/>
        <w:tblInd w:w="0" w:type="dxa"/>
        <w:tblLayout w:type="fixed"/>
        <w:tblCellMar>
          <w:top w:w="28" w:type="dxa"/>
          <w:left w:w="28" w:type="dxa"/>
          <w:bottom w:w="28" w:type="dxa"/>
          <w:right w:w="28" w:type="dxa"/>
        </w:tblCellMar>
      </w:tblPr>
      <w:tblGrid>
        <w:gridCol w:w="548"/>
        <w:gridCol w:w="482"/>
        <w:gridCol w:w="484"/>
        <w:gridCol w:w="329"/>
        <w:gridCol w:w="329"/>
        <w:gridCol w:w="46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EXHIBIT INDEX</w:t>
            </w:r>
          </w:p>
        </w:tc>
      </w:tr>
    </w:tbl>
    <w:tbl>
      <w:tblPr>
        <w:tblW w:w="10205" w:type="dxa"/>
        <w:jc w:val="left"/>
        <w:tblInd w:w="0" w:type="dxa"/>
        <w:tblLayout w:type="fixed"/>
        <w:tblCellMar>
          <w:top w:w="28" w:type="dxa"/>
          <w:left w:w="28" w:type="dxa"/>
          <w:bottom w:w="28" w:type="dxa"/>
          <w:right w:w="28" w:type="dxa"/>
        </w:tblCellMar>
      </w:tblPr>
      <w:tblGrid>
        <w:gridCol w:w="270"/>
        <w:gridCol w:w="237"/>
        <w:gridCol w:w="238"/>
        <w:gridCol w:w="109"/>
        <w:gridCol w:w="109"/>
        <w:gridCol w:w="109"/>
        <w:gridCol w:w="2767"/>
        <w:gridCol w:w="2627"/>
        <w:gridCol w:w="3739"/>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97</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Arial;sans-serif" w:hAnsi="Arial;sans-serif"/>
                  <w:b w:val="false"/>
                  <w:color w:val="000000"/>
                  <w:sz w:val="16"/>
                </w:rPr>
                <w:t>Honeywell International Inc. Clawback Policy dated December 1, 2023 (incorporated by reference to Exhibit 97 to Honeywell's Form 10-K for the year ended December 31, 2023)</w:t>
              </w:r>
            </w:hyperlink>
          </w:p>
        </w:tc>
      </w:tr>
      <w:tr>
        <w:trPr/>
        <w:tc>
          <w:tcPr>
            <w:tcW w:w="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following financial statements from the Company's Annual Report on Form 10-K for the year ended December 31, 2025, formatted in Inline XBRL: (i) Consolidated Statements of Operations, (ii) Consolidated Statements of Comprehensive Income, (iii) Consolidated Balance Sheet, (iv) Consolidated Statements of Cash Flows, (v) Consolidated Statements of Shareowners' Equity and (vi) Notes to Consolidated Financial Statements, tagged as blocks of text and including detailed tags (filed herewith)</w:t>
            </w:r>
          </w:p>
        </w:tc>
      </w:tr>
      <w:tr>
        <w:trPr/>
        <w:tc>
          <w:tcPr>
            <w:tcW w:w="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iXBRL Taxonomy Extension Schema (filed herewith)</w:t>
            </w:r>
          </w:p>
        </w:tc>
      </w:tr>
      <w:tr>
        <w:trPr/>
        <w:tc>
          <w:tcPr>
            <w:tcW w:w="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iXBRL Taxonomy Extension Calculation Linkbase (filed herewith)</w:t>
            </w:r>
          </w:p>
        </w:tc>
      </w:tr>
      <w:tr>
        <w:trPr/>
        <w:tc>
          <w:tcPr>
            <w:tcW w:w="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iXBRL Taxonomy Extension Definition Linkbase (filed herewith)</w:t>
            </w:r>
          </w:p>
        </w:tc>
      </w:tr>
      <w:tr>
        <w:trPr/>
        <w:tc>
          <w:tcPr>
            <w:tcW w:w="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iXBRL Taxonomy Extension Label Linkbase (filed herewith)</w:t>
            </w:r>
          </w:p>
        </w:tc>
      </w:tr>
      <w:tr>
        <w:trPr/>
        <w:tc>
          <w:tcPr>
            <w:tcW w:w="745"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iXBRL Taxonomy Extension Presentation Linkbase (filed herewith)</w:t>
            </w:r>
          </w:p>
        </w:tc>
      </w:tr>
      <w:tr>
        <w:trPr/>
        <w:tc>
          <w:tcPr>
            <w:tcW w:w="745"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133" w:type="dxa"/>
            <w:gridSpan w:val="3"/>
            <w:tcBorders>
              <w:top w:val="single" w:sz="2" w:space="0" w:color="61656A"/>
              <w:bottom w:val="single" w:sz="4" w:space="0" w:color="D7282F"/>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Cover page from the Company’s Annual Report on Form 10-K for the year ended December 31, 2025, formatted in Inline XBRL (and contained in Exhibit 101) (filed herewith)</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Exhibits identified above with an asterisk (*) are management contracts or compensatory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050"/>
                <wp:effectExtent l="0" t="0" r="0" b="0"/>
                <wp:wrapNone/>
                <wp:docPr id="176"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D7282F"/>
                                <w:sz w:val="20"/>
                              </w:rPr>
                              <w:t>131    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D7282F"/>
                          <w:sz w:val="20"/>
                        </w:rPr>
                        <w:t>131    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SIGNATURES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7039"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344"/>
        <w:gridCol w:w="344"/>
        <w:gridCol w:w="344"/>
        <w:gridCol w:w="344"/>
        <w:gridCol w:w="344"/>
        <w:gridCol w:w="344"/>
        <w:gridCol w:w="747"/>
        <w:gridCol w:w="747"/>
        <w:gridCol w:w="105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HONEYWELL INTERNATIONAL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February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D. Mailloux</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Robert D. Mailloux</w:t>
              <w:br/>
              <w:t>Vice President and Controller</w:t>
              <w:br/>
              <w:t>(on behalf of the Registrant</w:t>
              <w:br/>
              <w:t>and as the Registrant’s</w:t>
              <w:br/>
              <w:t>Principal Accounting Officer)</w:t>
            </w:r>
          </w:p>
        </w:tc>
      </w:tr>
    </w:tbl>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22250"/>
                <wp:effectExtent l="0" t="0" r="0" b="0"/>
                <wp:wrapNone/>
                <wp:docPr id="177" name="Frame1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132    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132    </w:t>
                      </w:r>
                      <w:r>
                        <w:rPr>
                          <w:rFonts w:ascii="Arial;sans-serif" w:hAnsi="Arial;sans-serif"/>
                          <w:b w:val="false"/>
                          <w:color w:val="000000"/>
                          <w:sz w:val="16"/>
                        </w:rPr>
                        <w:t>Honeywell International Inc.</w:t>
                      </w:r>
                    </w:p>
                  </w:txbxContent>
                </v:textbox>
                <w10:wrap type="none"/>
              </v:rect>
            </w:pict>
          </mc:Fallback>
        </mc:AlternateContent>
      </w:r>
    </w:p>
    <w:tbl>
      <w:tblPr>
        <w:tblW w:w="2520" w:type="dxa"/>
        <w:jc w:val="left"/>
        <w:tblInd w:w="0" w:type="dxa"/>
        <w:tblLayout w:type="fixed"/>
        <w:tblCellMar>
          <w:top w:w="28" w:type="dxa"/>
          <w:left w:w="28" w:type="dxa"/>
          <w:bottom w:w="28" w:type="dxa"/>
          <w:right w:w="28" w:type="dxa"/>
        </w:tblCellMar>
      </w:tblPr>
      <w:tblGrid>
        <w:gridCol w:w="548"/>
        <w:gridCol w:w="482"/>
        <w:gridCol w:w="484"/>
        <w:gridCol w:w="294"/>
        <w:gridCol w:w="294"/>
        <w:gridCol w:w="41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D7282F"/>
                <w:sz w:val="14"/>
              </w:rPr>
            </w:pPr>
            <w:r>
              <w:rPr>
                <w:rFonts w:ascii="Arial;sans-serif" w:hAnsi="Arial;sans-serif"/>
                <w:b/>
                <w:color w:val="D7282F"/>
                <w:sz w:val="14"/>
              </w:rPr>
              <w:t>SIGNATURES</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annual report has been signed below by the following persons on behalf of the Registrant and in the capacities and on the date indicated:</w:t>
      </w:r>
    </w:p>
    <w:tbl>
      <w:tblPr>
        <w:tblW w:w="6056" w:type="dxa"/>
        <w:jc w:val="left"/>
        <w:tblInd w:w="0" w:type="dxa"/>
        <w:tblLayout w:type="fixed"/>
        <w:tblCellMar>
          <w:top w:w="28" w:type="dxa"/>
          <w:left w:w="28" w:type="dxa"/>
          <w:bottom w:w="28" w:type="dxa"/>
          <w:right w:w="28" w:type="dxa"/>
        </w:tblCellMar>
      </w:tblPr>
      <w:tblGrid>
        <w:gridCol w:w="1149"/>
        <w:gridCol w:w="1013"/>
        <w:gridCol w:w="1017"/>
        <w:gridCol w:w="109"/>
        <w:gridCol w:w="109"/>
        <w:gridCol w:w="109"/>
        <w:gridCol w:w="741"/>
        <w:gridCol w:w="741"/>
        <w:gridCol w:w="1068"/>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w:t>
            </w:r>
          </w:p>
        </w:tc>
      </w:tr>
      <w:tr>
        <w:trPr/>
        <w:tc>
          <w:tcPr>
            <w:tcW w:w="3179"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op w:val="single" w:sz="4" w:space="0" w:color="D7282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Vimal Kapur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3179" w:type="dxa"/>
            <w:gridSpan w:val="3"/>
            <w:tcBorders>
              <w:top w:val="single" w:sz="4" w:space="0" w:color="939598"/>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Vimal Kapur</w:t>
              <w:br/>
              <w:t>Chairman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Michael W. Lamach</w:t>
              <w:br/>
              <w:t>Director</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31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Duncan B. Angove</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Craig Arnold</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31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William S. Ayer</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Grace D. Lieblein</w:t>
              <w:br/>
              <w:t>Director</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31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Kevin Burke</w:t>
              <w:b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Marc Steinberg</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31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 Scott Davis</w:t>
              <w:b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Robin Watson</w:t>
              <w:br/>
              <w:t>Director</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31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Deborah Flint</w:t>
              <w:b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Stephen Williamson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Director</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Indra K. Nooyi</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 Michal Stepniak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Robert D. Mailloux</w:t>
            </w:r>
          </w:p>
        </w:tc>
      </w:tr>
      <w:tr>
        <w:trPr/>
        <w:tc>
          <w:tcPr>
            <w:tcW w:w="3179"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Michal Stepniak</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Senior Vice President and</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0"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Robert D. Mailloux</w:t>
              <w:br/>
              <w:t>Vice President and Controller</w:t>
              <w:br/>
              <w:t>(Principal Accounting Officer)</w:t>
            </w:r>
          </w:p>
        </w:tc>
      </w:tr>
    </w:tbl>
    <w:tbl>
      <w:tblPr>
        <w:tblW w:w="3110" w:type="dxa"/>
        <w:jc w:val="left"/>
        <w:tblInd w:w="0" w:type="dxa"/>
        <w:tblLayout w:type="fixed"/>
        <w:tblCellMar>
          <w:top w:w="28" w:type="dxa"/>
          <w:left w:w="28" w:type="dxa"/>
          <w:bottom w:w="28" w:type="dxa"/>
          <w:right w:w="28" w:type="dxa"/>
        </w:tblCellMar>
      </w:tblPr>
      <w:tblGrid>
        <w:gridCol w:w="163"/>
        <w:gridCol w:w="143"/>
        <w:gridCol w:w="144"/>
        <w:gridCol w:w="109"/>
        <w:gridCol w:w="109"/>
        <w:gridCol w:w="109"/>
        <w:gridCol w:w="544"/>
        <w:gridCol w:w="544"/>
        <w:gridCol w:w="546"/>
        <w:gridCol w:w="109"/>
        <w:gridCol w:w="109"/>
        <w:gridCol w:w="109"/>
        <w:gridCol w:w="109"/>
        <w:gridCol w:w="109"/>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Michal Stepniak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op w:val="single" w:sz="2" w:space="0" w:color="61656A"/>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Michal Stepniak</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Attorney-in-fact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February 17,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22250"/>
                <wp:effectExtent l="0" t="0" r="0" b="0"/>
                <wp:wrapNone/>
                <wp:docPr id="178" name="Frame1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133    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133    </w:t>
                      </w:r>
                      <w:r>
                        <w:rPr>
                          <w:rFonts w:ascii="Arial;sans-serif" w:hAnsi="Arial;sans-serif"/>
                          <w:b w:val="false"/>
                          <w:color w:val="000000"/>
                          <w:sz w:val="16"/>
                        </w:rPr>
                        <w:t>Honeywell International Inc.</w:t>
                      </w:r>
                    </w:p>
                  </w:txbxContent>
                </v:textbox>
                <w10:wrap type="none"/>
              </v:rect>
            </w:pict>
          </mc:Fallback>
        </mc:AlternateContent>
      </w:r>
    </w:p>
    <w:tbl>
      <w:tblPr>
        <w:tblW w:w="1886" w:type="dxa"/>
        <w:jc w:val="left"/>
        <w:tblInd w:w="0" w:type="dxa"/>
        <w:tblLayout w:type="fixed"/>
        <w:tblCellMar>
          <w:top w:w="28" w:type="dxa"/>
          <w:left w:w="28" w:type="dxa"/>
          <w:bottom w:w="28" w:type="dxa"/>
          <w:right w:w="28" w:type="dxa"/>
        </w:tblCellMar>
      </w:tblPr>
      <w:tblGrid>
        <w:gridCol w:w="548"/>
        <w:gridCol w:w="482"/>
        <w:gridCol w:w="48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3922f0530c04df99983ab02c4d22c0f_13">
              <w:r>
                <w:rPr>
                  <w:rStyle w:val="InternetLink"/>
                  <w:rFonts w:ascii="Arial;sans-serif" w:hAnsi="Arial;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FORM 10-K CROSS-REFERENCE INDEX</w:t>
      </w:r>
    </w:p>
    <w:tbl>
      <w:tblPr>
        <w:tblW w:w="10205" w:type="dxa"/>
        <w:jc w:val="left"/>
        <w:tblInd w:w="0" w:type="dxa"/>
        <w:tblLayout w:type="fixed"/>
        <w:tblCellMar>
          <w:top w:w="28" w:type="dxa"/>
          <w:left w:w="28" w:type="dxa"/>
          <w:bottom w:w="28" w:type="dxa"/>
          <w:right w:w="28" w:type="dxa"/>
        </w:tblCellMar>
      </w:tblPr>
      <w:tblGrid>
        <w:gridCol w:w="273"/>
        <w:gridCol w:w="240"/>
        <w:gridCol w:w="241"/>
        <w:gridCol w:w="109"/>
        <w:gridCol w:w="109"/>
        <w:gridCol w:w="109"/>
        <w:gridCol w:w="271"/>
        <w:gridCol w:w="271"/>
        <w:gridCol w:w="273"/>
        <w:gridCol w:w="109"/>
        <w:gridCol w:w="109"/>
        <w:gridCol w:w="109"/>
        <w:gridCol w:w="2375"/>
        <w:gridCol w:w="2319"/>
        <w:gridCol w:w="3288"/>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C202E"/>
                <w:sz w:val="18"/>
              </w:rPr>
            </w:pPr>
            <w:r>
              <w:rPr>
                <w:rFonts w:ascii="Arial;sans-serif" w:hAnsi="Arial;sans-serif"/>
                <w:b/>
                <w:color w:val="DC202E"/>
                <w:sz w:val="18"/>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2">
              <w:r>
                <w:rPr>
                  <w:rStyle w:val="InternetLink"/>
                  <w:rFonts w:ascii="Arial;sans-serif" w:hAnsi="Arial;sans-serif"/>
                  <w:b/>
                  <w:strike w:val="false"/>
                  <w:dstrike w:val="false"/>
                  <w:color w:val="D7282F"/>
                  <w:sz w:val="18"/>
                  <w:u w:val="none"/>
                  <w:effect w:val="none"/>
                </w:rPr>
                <w:t>2</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2">
              <w:r>
                <w:rPr>
                  <w:rStyle w:val="InternetLink"/>
                  <w:rFonts w:ascii="Arial;sans-serif" w:hAnsi="Arial;sans-serif"/>
                  <w:b w:val="false"/>
                  <w:strike w:val="false"/>
                  <w:dstrike w:val="false"/>
                  <w:color w:val="000000"/>
                  <w:sz w:val="18"/>
                  <w:u w:val="none"/>
                  <w:effect w:val="none"/>
                </w:rPr>
                <w:t>About Honeywell</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51">
              <w:r>
                <w:rPr>
                  <w:rStyle w:val="InternetLink"/>
                  <w:rFonts w:ascii="Arial;sans-serif" w:hAnsi="Arial;sans-serif"/>
                  <w:b/>
                  <w:strike w:val="false"/>
                  <w:dstrike w:val="false"/>
                  <w:color w:val="D7282F"/>
                  <w:sz w:val="18"/>
                  <w:u w:val="none"/>
                  <w:effect w:val="none"/>
                </w:rPr>
                <w:t>49</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51">
              <w:r>
                <w:rPr>
                  <w:rStyle w:val="InternetLink"/>
                  <w:rFonts w:ascii="Arial;sans-serif" w:hAnsi="Arial;sans-serif"/>
                  <w:b w:val="false"/>
                  <w:strike w:val="false"/>
                  <w:dstrike w:val="false"/>
                  <w:color w:val="000000"/>
                  <w:sz w:val="18"/>
                  <w:u w:val="none"/>
                  <w:effect w:val="none"/>
                </w:rPr>
                <w:t>Information about Our Executive Officers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09">
              <w:r>
                <w:rPr>
                  <w:rStyle w:val="InternetLink"/>
                  <w:rFonts w:ascii="Arial;sans-serif" w:hAnsi="Arial;sans-serif"/>
                  <w:b/>
                  <w:strike w:val="false"/>
                  <w:dstrike w:val="false"/>
                  <w:color w:val="D7282F"/>
                  <w:sz w:val="18"/>
                  <w:u w:val="none"/>
                  <w:effect w:val="none"/>
                </w:rPr>
                <w:t>30</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1A.</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09">
              <w:r>
                <w:rPr>
                  <w:rStyle w:val="InternetLink"/>
                  <w:rFonts w:ascii="Arial;sans-serif" w:hAnsi="Arial;sans-serif"/>
                  <w:b w:val="false"/>
                  <w:strike w:val="false"/>
                  <w:dstrike w:val="false"/>
                  <w:color w:val="000000"/>
                  <w:sz w:val="18"/>
                  <w:u w:val="none"/>
                  <w:effect w:val="none"/>
                </w:rPr>
                <w:t>Risk Factors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54">
              <w:r>
                <w:rPr>
                  <w:rStyle w:val="InternetLink"/>
                  <w:rFonts w:ascii="Arial;sans-serif" w:hAnsi="Arial;sans-serif"/>
                  <w:b/>
                  <w:strike w:val="false"/>
                  <w:dstrike w:val="false"/>
                  <w:color w:val="D7282F"/>
                  <w:sz w:val="18"/>
                  <w:u w:val="none"/>
                  <w:effect w:val="none"/>
                </w:rPr>
                <w:t>50</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1B.</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54">
              <w:r>
                <w:rPr>
                  <w:rStyle w:val="InternetLink"/>
                  <w:rFonts w:ascii="Arial;sans-serif" w:hAnsi="Arial;sans-serif"/>
                  <w:b w:val="false"/>
                  <w:strike w:val="false"/>
                  <w:dstrike w:val="false"/>
                  <w:color w:val="000000"/>
                  <w:sz w:val="18"/>
                  <w:u w:val="none"/>
                  <w:effect w:val="none"/>
                </w:rPr>
                <w:t>Unresolved Staff Comments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57">
              <w:r>
                <w:rPr>
                  <w:rStyle w:val="InternetLink"/>
                  <w:rFonts w:ascii="Arial;sans-serif" w:hAnsi="Arial;sans-serif"/>
                  <w:b/>
                  <w:strike w:val="false"/>
                  <w:dstrike w:val="false"/>
                  <w:color w:val="D7282F"/>
                  <w:sz w:val="18"/>
                  <w:u w:val="none"/>
                  <w:effect w:val="none"/>
                </w:rPr>
                <w:t>50</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1C.</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57">
              <w:r>
                <w:rPr>
                  <w:rStyle w:val="InternetLink"/>
                  <w:rFonts w:ascii="Arial;sans-serif" w:hAnsi="Arial;sans-serif"/>
                  <w:b w:val="false"/>
                  <w:strike w:val="false"/>
                  <w:dstrike w:val="false"/>
                  <w:color w:val="000000"/>
                  <w:sz w:val="18"/>
                  <w:u w:val="none"/>
                  <w:effect w:val="none"/>
                </w:rPr>
                <w:t>Cybersecurity</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60">
              <w:r>
                <w:rPr>
                  <w:rStyle w:val="InternetLink"/>
                  <w:rFonts w:ascii="Arial;sans-serif" w:hAnsi="Arial;sans-serif"/>
                  <w:b/>
                  <w:strike w:val="false"/>
                  <w:dstrike w:val="false"/>
                  <w:color w:val="D7282F"/>
                  <w:sz w:val="18"/>
                  <w:u w:val="none"/>
                  <w:effect w:val="none"/>
                </w:rPr>
                <w:t>51</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60">
              <w:r>
                <w:rPr>
                  <w:rStyle w:val="InternetLink"/>
                  <w:rFonts w:ascii="Arial;sans-serif" w:hAnsi="Arial;sans-serif"/>
                  <w:b w:val="false"/>
                  <w:strike w:val="false"/>
                  <w:dstrike w:val="false"/>
                  <w:color w:val="000000"/>
                  <w:sz w:val="18"/>
                  <w:u w:val="none"/>
                  <w:effect w:val="none"/>
                </w:rPr>
                <w:t>Properties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63">
              <w:r>
                <w:rPr>
                  <w:rStyle w:val="InternetLink"/>
                  <w:rFonts w:ascii="Arial;sans-serif" w:hAnsi="Arial;sans-serif"/>
                  <w:b/>
                  <w:strike w:val="false"/>
                  <w:dstrike w:val="false"/>
                  <w:color w:val="D7282F"/>
                  <w:sz w:val="18"/>
                  <w:u w:val="none"/>
                  <w:effect w:val="none"/>
                </w:rPr>
                <w:t>51</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3</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63">
              <w:r>
                <w:rPr>
                  <w:rStyle w:val="InternetLink"/>
                  <w:rFonts w:ascii="Arial;sans-serif" w:hAnsi="Arial;sans-serif"/>
                  <w:b w:val="false"/>
                  <w:strike w:val="false"/>
                  <w:dstrike w:val="false"/>
                  <w:color w:val="000000"/>
                  <w:sz w:val="18"/>
                  <w:u w:val="none"/>
                  <w:effect w:val="none"/>
                </w:rPr>
                <w:t>Legal Proceedings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66">
              <w:r>
                <w:rPr>
                  <w:rStyle w:val="InternetLink"/>
                  <w:rFonts w:ascii="Arial;sans-serif" w:hAnsi="Arial;sans-serif"/>
                  <w:b/>
                  <w:strike w:val="false"/>
                  <w:dstrike w:val="false"/>
                  <w:color w:val="D7282F"/>
                  <w:sz w:val="18"/>
                  <w:u w:val="none"/>
                  <w:effect w:val="none"/>
                </w:rPr>
                <w:t>51</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66">
              <w:r>
                <w:rPr>
                  <w:rStyle w:val="InternetLink"/>
                  <w:rFonts w:ascii="Arial;sans-serif" w:hAnsi="Arial;sans-serif"/>
                  <w:b w:val="false"/>
                  <w:strike w:val="false"/>
                  <w:dstrike w:val="false"/>
                  <w:color w:val="000000"/>
                  <w:sz w:val="18"/>
                  <w:u w:val="none"/>
                  <w:effect w:val="none"/>
                </w:rPr>
                <w:t>Mine Safety Disclosures</w:t>
              </w:r>
            </w:hyperlink>
          </w:p>
        </w:tc>
      </w:tr>
      <w:tr>
        <w:trPr/>
        <w:tc>
          <w:tcPr>
            <w:tcW w:w="75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C202E"/>
                <w:sz w:val="18"/>
              </w:rPr>
            </w:pPr>
            <w:r>
              <w:rPr>
                <w:rFonts w:ascii="Arial;sans-serif" w:hAnsi="Arial;sans-serif"/>
                <w:b/>
                <w:color w:val="DC202E"/>
                <w:sz w:val="18"/>
              </w:rPr>
              <w:t>PART II.</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72">
              <w:r>
                <w:rPr>
                  <w:rStyle w:val="InternetLink"/>
                  <w:rFonts w:ascii="Arial;sans-serif" w:hAnsi="Arial;sans-serif"/>
                  <w:b/>
                  <w:strike w:val="false"/>
                  <w:dstrike w:val="false"/>
                  <w:color w:val="D7282F"/>
                  <w:sz w:val="18"/>
                  <w:u w:val="none"/>
                  <w:effect w:val="none"/>
                </w:rPr>
                <w:t>52</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5</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72">
              <w:r>
                <w:rPr>
                  <w:rStyle w:val="InternetLink"/>
                  <w:rFonts w:ascii="Arial;sans-serif" w:hAnsi="Arial;sans-serif"/>
                  <w:b w:val="false"/>
                  <w:strike w:val="false"/>
                  <w:dstrike w:val="false"/>
                  <w:color w:val="000000"/>
                  <w:sz w:val="18"/>
                  <w:u w:val="none"/>
                  <w:effect w:val="none"/>
                </w:rPr>
                <w:t>Market for Registrant’s Common Equity, Related Stockholder Matters and Issuer Purchases of Equity Securities</w:t>
              </w:r>
            </w:hyperlink>
          </w:p>
        </w:tc>
      </w:tr>
      <w:tr>
        <w:trPr/>
        <w:tc>
          <w:tcPr>
            <w:tcW w:w="754" w:type="dxa"/>
            <w:gridSpan w:val="3"/>
            <w:tcBorders>
              <w:top w:val="single" w:sz="2" w:space="0" w:color="888B8D"/>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[Reserved]</w:t>
            </w:r>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64">
              <w:r>
                <w:rPr>
                  <w:rStyle w:val="InternetLink"/>
                  <w:rFonts w:ascii="Arial;sans-serif" w:hAnsi="Arial;sans-serif"/>
                  <w:b/>
                  <w:strike w:val="false"/>
                  <w:dstrike w:val="false"/>
                  <w:color w:val="D7282F"/>
                  <w:sz w:val="18"/>
                  <w:u w:val="none"/>
                  <w:effect w:val="none"/>
                </w:rPr>
                <w:t>15</w:t>
              </w:r>
            </w:hyperlink>
            <w:r>
              <w:rPr>
                <w:rFonts w:ascii="Arial;sans-serif" w:hAnsi="Arial;sans-serif"/>
                <w:b/>
                <w:color w:val="D7282F"/>
                <w:sz w:val="18"/>
              </w:rPr>
              <w:t xml:space="preserve"> - </w:t>
            </w:r>
            <w:hyperlink w:anchor="ic3922f0530c04df99983ab02c4d22c0f_103">
              <w:r>
                <w:rPr>
                  <w:rStyle w:val="InternetLink"/>
                  <w:rFonts w:ascii="Arial;sans-serif" w:hAnsi="Arial;sans-serif"/>
                  <w:b/>
                  <w:strike w:val="false"/>
                  <w:dstrike w:val="false"/>
                  <w:color w:val="D7282F"/>
                  <w:sz w:val="18"/>
                  <w:u w:val="none"/>
                  <w:effect w:val="none"/>
                </w:rPr>
                <w:t>29</w:t>
              </w:r>
            </w:hyperlink>
            <w:r>
              <w:rPr>
                <w:rFonts w:ascii="Arial;sans-serif" w:hAnsi="Arial;sans-serif"/>
                <w:b/>
                <w:color w:val="D7282F"/>
                <w:sz w:val="18"/>
              </w:rPr>
              <w:t>,</w:t>
            </w:r>
          </w:p>
          <w:p>
            <w:pPr>
              <w:pStyle w:val="TableContents"/>
              <w:bidi w:val="0"/>
              <w:spacing w:lineRule="auto" w:line="240" w:before="0" w:after="0"/>
              <w:jc w:val="right"/>
              <w:rPr/>
            </w:pPr>
            <w:hyperlink w:anchor="ic3922f0530c04df99983ab02c4d22c0f_115">
              <w:r>
                <w:rPr>
                  <w:rStyle w:val="InternetLink"/>
                  <w:rFonts w:ascii="Arial;sans-serif" w:hAnsi="Arial;sans-serif"/>
                  <w:b/>
                  <w:strike w:val="false"/>
                  <w:dstrike w:val="false"/>
                  <w:color w:val="D7282F"/>
                  <w:sz w:val="18"/>
                  <w:u w:val="none"/>
                  <w:effect w:val="none"/>
                </w:rPr>
                <w:t>40</w:t>
              </w:r>
            </w:hyperlink>
            <w:r>
              <w:rPr>
                <w:rFonts w:ascii="Arial;sans-serif" w:hAnsi="Arial;sans-serif"/>
                <w:b/>
                <w:color w:val="D7282F"/>
                <w:sz w:val="18"/>
              </w:rPr>
              <w:t xml:space="preserve"> - </w:t>
            </w:r>
            <w:hyperlink w:anchor="ic3922f0530c04df99983ab02c4d22c0f_148">
              <w:r>
                <w:rPr>
                  <w:rStyle w:val="InternetLink"/>
                  <w:rFonts w:ascii="Arial;sans-serif" w:hAnsi="Arial;sans-serif"/>
                  <w:b/>
                  <w:strike w:val="false"/>
                  <w:dstrike w:val="false"/>
                  <w:color w:val="D7282F"/>
                  <w:sz w:val="18"/>
                  <w:u w:val="none"/>
                  <w:effect w:val="none"/>
                </w:rPr>
                <w:t>48</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7</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64">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12">
              <w:r>
                <w:rPr>
                  <w:rStyle w:val="InternetLink"/>
                  <w:rFonts w:ascii="Arial;sans-serif" w:hAnsi="Arial;sans-serif"/>
                  <w:b/>
                  <w:strike w:val="false"/>
                  <w:dstrike w:val="false"/>
                  <w:color w:val="D7282F"/>
                  <w:sz w:val="18"/>
                  <w:u w:val="none"/>
                  <w:effect w:val="none"/>
                </w:rPr>
                <w:t>40</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7A.</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12">
              <w:r>
                <w:rPr>
                  <w:rStyle w:val="InternetLink"/>
                  <w:rFonts w:ascii="Arial;sans-serif" w:hAnsi="Arial;sans-serif"/>
                  <w:b w:val="false"/>
                  <w:strike w:val="false"/>
                  <w:dstrike w:val="false"/>
                  <w:color w:val="000000"/>
                  <w:sz w:val="18"/>
                  <w:u w:val="none"/>
                  <w:effect w:val="none"/>
                </w:rPr>
                <w:t>Quantitative and Qualitative Disclosures about Market Risks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175">
              <w:r>
                <w:rPr>
                  <w:rStyle w:val="InternetLink"/>
                  <w:rFonts w:ascii="Arial;sans-serif" w:hAnsi="Arial;sans-serif"/>
                  <w:b/>
                  <w:strike w:val="false"/>
                  <w:dstrike w:val="false"/>
                  <w:color w:val="D7282F"/>
                  <w:sz w:val="18"/>
                  <w:u w:val="none"/>
                  <w:effect w:val="none"/>
                </w:rPr>
                <w:t>54</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8</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175">
              <w:r>
                <w:rPr>
                  <w:rStyle w:val="InternetLink"/>
                  <w:rFonts w:ascii="Arial;sans-serif" w:hAnsi="Arial;sans-serif"/>
                  <w:b w:val="false"/>
                  <w:strike w:val="false"/>
                  <w:dstrike w:val="false"/>
                  <w:color w:val="000000"/>
                  <w:sz w:val="18"/>
                  <w:u w:val="none"/>
                  <w:effect w:val="none"/>
                </w:rPr>
                <w:t>Financial Statements and Supplementary Data</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86">
              <w:r>
                <w:rPr>
                  <w:rStyle w:val="InternetLink"/>
                  <w:rFonts w:ascii="Arial;sans-serif" w:hAnsi="Arial;sans-serif"/>
                  <w:b/>
                  <w:strike w:val="false"/>
                  <w:dstrike w:val="false"/>
                  <w:color w:val="D7282F"/>
                  <w:sz w:val="18"/>
                  <w:u w:val="none"/>
                  <w:effect w:val="none"/>
                </w:rPr>
                <w:t>123</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86">
              <w:r>
                <w:rPr>
                  <w:rStyle w:val="InternetLink"/>
                  <w:rFonts w:ascii="Arial;sans-serif" w:hAnsi="Arial;sans-serif"/>
                  <w:b w:val="false"/>
                  <w:strike w:val="false"/>
                  <w:dstrike w:val="false"/>
                  <w:color w:val="000000"/>
                  <w:sz w:val="18"/>
                  <w:u w:val="none"/>
                  <w:effect w:val="none"/>
                </w:rPr>
                <w:t>Changes in and Disagreements with Accountants on Accounting and Financial Disclosure</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89">
              <w:r>
                <w:rPr>
                  <w:rStyle w:val="InternetLink"/>
                  <w:rFonts w:ascii="Arial;sans-serif" w:hAnsi="Arial;sans-serif"/>
                  <w:b/>
                  <w:strike w:val="false"/>
                  <w:dstrike w:val="false"/>
                  <w:color w:val="D7282F"/>
                  <w:sz w:val="18"/>
                  <w:u w:val="none"/>
                  <w:effect w:val="none"/>
                </w:rPr>
                <w:t>123</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9A.</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89">
              <w:r>
                <w:rPr>
                  <w:rStyle w:val="InternetLink"/>
                  <w:rFonts w:ascii="Arial;sans-serif" w:hAnsi="Arial;sans-serif"/>
                  <w:b w:val="false"/>
                  <w:strike w:val="false"/>
                  <w:dstrike w:val="false"/>
                  <w:color w:val="000000"/>
                  <w:sz w:val="18"/>
                  <w:u w:val="none"/>
                  <w:effect w:val="none"/>
                </w:rPr>
                <w:t>Controls and Procedures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298">
              <w:r>
                <w:rPr>
                  <w:rStyle w:val="InternetLink"/>
                  <w:rFonts w:ascii="Arial;sans-serif" w:hAnsi="Arial;sans-serif"/>
                  <w:b/>
                  <w:strike w:val="false"/>
                  <w:dstrike w:val="false"/>
                  <w:color w:val="D7282F"/>
                  <w:sz w:val="18"/>
                  <w:u w:val="none"/>
                  <w:effect w:val="none"/>
                </w:rPr>
                <w:t>124</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9B.</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298">
              <w:r>
                <w:rPr>
                  <w:rStyle w:val="InternetLink"/>
                  <w:rFonts w:ascii="Arial;sans-serif" w:hAnsi="Arial;sans-serif"/>
                  <w:b w:val="false"/>
                  <w:strike w:val="false"/>
                  <w:dstrike w:val="false"/>
                  <w:color w:val="000000"/>
                  <w:sz w:val="18"/>
                  <w:u w:val="none"/>
                  <w:effect w:val="none"/>
                </w:rPr>
                <w:t>Other Information</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01">
              <w:r>
                <w:rPr>
                  <w:rStyle w:val="InternetLink"/>
                  <w:rFonts w:ascii="Arial;sans-serif" w:hAnsi="Arial;sans-serif"/>
                  <w:b/>
                  <w:strike w:val="false"/>
                  <w:dstrike w:val="false"/>
                  <w:color w:val="D7282F"/>
                  <w:sz w:val="18"/>
                  <w:u w:val="none"/>
                  <w:effect w:val="none"/>
                </w:rPr>
                <w:t>125</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01">
              <w:r>
                <w:rPr>
                  <w:rStyle w:val="InternetLink"/>
                  <w:rFonts w:ascii="Arial;sans-serif" w:hAnsi="Arial;sans-serif"/>
                  <w:b/>
                  <w:strike w:val="false"/>
                  <w:dstrike w:val="false"/>
                  <w:color w:val="000000"/>
                  <w:sz w:val="18"/>
                  <w:u w:val="none"/>
                  <w:effect w:val="none"/>
                </w:rPr>
                <w:t>ITEM 9C</w:t>
              </w:r>
            </w:hyperlink>
            <w:r>
              <w:rPr>
                <w:rFonts w:ascii="Arial;sans-serif" w:hAnsi="Arial;sans-serif"/>
                <w:b/>
                <w:color w:val="000000"/>
                <w:sz w:val="18"/>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01">
              <w:r>
                <w:rPr>
                  <w:rStyle w:val="InternetLink"/>
                  <w:rFonts w:ascii="Arial;sans-serif" w:hAnsi="Arial;sans-serif"/>
                  <w:b w:val="false"/>
                  <w:strike w:val="false"/>
                  <w:dstrike w:val="false"/>
                  <w:color w:val="000000"/>
                  <w:sz w:val="18"/>
                  <w:u w:val="none"/>
                  <w:effect w:val="none"/>
                </w:rPr>
                <w:t>Disclosure Regarding Foreign Jurisdictions that Prevent Inspections</w:t>
              </w:r>
            </w:hyperlink>
          </w:p>
        </w:tc>
      </w:tr>
      <w:tr>
        <w:trPr/>
        <w:tc>
          <w:tcPr>
            <w:tcW w:w="75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C202E"/>
                <w:sz w:val="18"/>
              </w:rPr>
            </w:pPr>
            <w:r>
              <w:rPr>
                <w:rFonts w:ascii="Arial;sans-serif" w:hAnsi="Arial;sans-serif"/>
                <w:b/>
                <w:color w:val="DC202E"/>
                <w:sz w:val="18"/>
              </w:rPr>
              <w:t>Part III.</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04">
              <w:r>
                <w:rPr>
                  <w:rStyle w:val="InternetLink"/>
                  <w:rFonts w:ascii="Arial;sans-serif" w:hAnsi="Arial;sans-serif"/>
                  <w:b/>
                  <w:strike w:val="false"/>
                  <w:dstrike w:val="false"/>
                  <w:color w:val="D7282F"/>
                  <w:sz w:val="18"/>
                  <w:u w:val="none"/>
                  <w:effect w:val="none"/>
                </w:rPr>
                <w:t>125</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04">
              <w:r>
                <w:rPr>
                  <w:rStyle w:val="InternetLink"/>
                  <w:rFonts w:ascii="Arial;sans-serif" w:hAnsi="Arial;sans-serif"/>
                  <w:b w:val="false"/>
                  <w:strike w:val="false"/>
                  <w:dstrike w:val="false"/>
                  <w:color w:val="000000"/>
                  <w:sz w:val="18"/>
                  <w:u w:val="none"/>
                  <w:effect w:val="none"/>
                </w:rPr>
                <w:t>Directors, Executive Officers, and Corporate Governance</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07">
              <w:r>
                <w:rPr>
                  <w:rStyle w:val="InternetLink"/>
                  <w:rFonts w:ascii="Arial;sans-serif" w:hAnsi="Arial;sans-serif"/>
                  <w:b/>
                  <w:strike w:val="false"/>
                  <w:dstrike w:val="false"/>
                  <w:color w:val="D7282F"/>
                  <w:sz w:val="18"/>
                  <w:u w:val="none"/>
                  <w:effect w:val="none"/>
                </w:rPr>
                <w:t>125</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11</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07">
              <w:r>
                <w:rPr>
                  <w:rStyle w:val="InternetLink"/>
                  <w:rFonts w:ascii="Arial;sans-serif" w:hAnsi="Arial;sans-serif"/>
                  <w:b w:val="false"/>
                  <w:strike w:val="false"/>
                  <w:dstrike w:val="false"/>
                  <w:color w:val="000000"/>
                  <w:sz w:val="18"/>
                  <w:u w:val="none"/>
                  <w:effect w:val="none"/>
                </w:rPr>
                <w:t>Executive Compensation</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0">
              <w:r>
                <w:rPr>
                  <w:rStyle w:val="InternetLink"/>
                  <w:rFonts w:ascii="Arial;sans-serif" w:hAnsi="Arial;sans-serif"/>
                  <w:b/>
                  <w:strike w:val="false"/>
                  <w:dstrike w:val="false"/>
                  <w:color w:val="D7282F"/>
                  <w:sz w:val="18"/>
                  <w:u w:val="none"/>
                  <w:effect w:val="none"/>
                </w:rPr>
                <w:t>126</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12</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0">
              <w:r>
                <w:rPr>
                  <w:rStyle w:val="InternetLink"/>
                  <w:rFonts w:ascii="Arial;sans-serif" w:hAnsi="Arial;sans-serif"/>
                  <w:b w:val="false"/>
                  <w:strike w:val="false"/>
                  <w:dstrike w:val="false"/>
                  <w:color w:val="000000"/>
                  <w:sz w:val="18"/>
                  <w:u w:val="none"/>
                  <w:effect w:val="none"/>
                </w:rPr>
                <w:t>Security Ownership of Certain Beneficial Owners and Management and Related Stockholder Matters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3">
              <w:r>
                <w:rPr>
                  <w:rStyle w:val="InternetLink"/>
                  <w:rFonts w:ascii="Arial;sans-serif" w:hAnsi="Arial;sans-serif"/>
                  <w:b/>
                  <w:strike w:val="false"/>
                  <w:dstrike w:val="false"/>
                  <w:color w:val="D7282F"/>
                  <w:sz w:val="18"/>
                  <w:u w:val="none"/>
                  <w:effect w:val="none"/>
                </w:rPr>
                <w:t>127</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13</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3">
              <w:r>
                <w:rPr>
                  <w:rStyle w:val="InternetLink"/>
                  <w:rFonts w:ascii="Arial;sans-serif" w:hAnsi="Arial;sans-serif"/>
                  <w:b w:val="false"/>
                  <w:strike w:val="false"/>
                  <w:dstrike w:val="false"/>
                  <w:color w:val="000000"/>
                  <w:sz w:val="18"/>
                  <w:u w:val="none"/>
                  <w:effect w:val="none"/>
                </w:rPr>
                <w:t>Certain Relationships and Related Transactions, and Director Independence</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6">
              <w:r>
                <w:rPr>
                  <w:rStyle w:val="InternetLink"/>
                  <w:rFonts w:ascii="Arial;sans-serif" w:hAnsi="Arial;sans-serif"/>
                  <w:b/>
                  <w:strike w:val="false"/>
                  <w:dstrike w:val="false"/>
                  <w:color w:val="D7282F"/>
                  <w:sz w:val="18"/>
                  <w:u w:val="none"/>
                  <w:effect w:val="none"/>
                </w:rPr>
                <w:t>127</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6">
              <w:r>
                <w:rPr>
                  <w:rStyle w:val="InternetLink"/>
                  <w:rFonts w:ascii="Arial;sans-serif" w:hAnsi="Arial;sans-serif"/>
                  <w:b w:val="false"/>
                  <w:strike w:val="false"/>
                  <w:dstrike w:val="false"/>
                  <w:color w:val="000000"/>
                  <w:sz w:val="18"/>
                  <w:u w:val="none"/>
                  <w:effect w:val="none"/>
                </w:rPr>
                <w:t>Principal Accounting Fees and Services</w:t>
              </w:r>
            </w:hyperlink>
          </w:p>
        </w:tc>
      </w:tr>
      <w:tr>
        <w:trPr/>
        <w:tc>
          <w:tcPr>
            <w:tcW w:w="75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C202E"/>
                <w:sz w:val="18"/>
              </w:rPr>
            </w:pPr>
            <w:r>
              <w:rPr>
                <w:rFonts w:ascii="Arial;sans-serif" w:hAnsi="Arial;sans-serif"/>
                <w:b/>
                <w:color w:val="DC202E"/>
                <w:sz w:val="18"/>
              </w:rPr>
              <w:t>Part IV.</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19">
              <w:r>
                <w:rPr>
                  <w:rStyle w:val="InternetLink"/>
                  <w:rFonts w:ascii="Arial;sans-serif" w:hAnsi="Arial;sans-serif"/>
                  <w:b/>
                  <w:strike w:val="false"/>
                  <w:dstrike w:val="false"/>
                  <w:color w:val="D7282F"/>
                  <w:sz w:val="18"/>
                  <w:u w:val="none"/>
                  <w:effect w:val="none"/>
                </w:rPr>
                <w:t>127</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15</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19">
              <w:r>
                <w:rPr>
                  <w:rStyle w:val="InternetLink"/>
                  <w:rFonts w:ascii="Arial;sans-serif" w:hAnsi="Arial;sans-serif"/>
                  <w:b w:val="false"/>
                  <w:strike w:val="false"/>
                  <w:dstrike w:val="false"/>
                  <w:color w:val="000000"/>
                  <w:sz w:val="18"/>
                  <w:u w:val="none"/>
                  <w:effect w:val="none"/>
                </w:rPr>
                <w:t>Exhibits and Financial Statement Schedules</w:t>
              </w:r>
            </w:hyperlink>
          </w:p>
        </w:tc>
      </w:tr>
      <w:tr>
        <w:trPr/>
        <w:tc>
          <w:tcPr>
            <w:tcW w:w="75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right"/>
              <w:rPr/>
            </w:pPr>
            <w:hyperlink w:anchor="ic3922f0530c04df99983ab02c4d22c0f_322">
              <w:r>
                <w:rPr>
                  <w:rStyle w:val="InternetLink"/>
                  <w:rFonts w:ascii="Arial;sans-serif" w:hAnsi="Arial;sans-serif"/>
                  <w:b/>
                  <w:strike w:val="false"/>
                  <w:dstrike w:val="false"/>
                  <w:color w:val="D7282F"/>
                  <w:sz w:val="18"/>
                  <w:u w:val="none"/>
                  <w:effect w:val="none"/>
                </w:rPr>
                <w:t>127</w:t>
              </w:r>
            </w:hyperlink>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0"/>
              <w:jc w:val="left"/>
              <w:rPr/>
            </w:pPr>
            <w:hyperlink w:anchor="ic3922f0530c04df99983ab02c4d22c0f_322">
              <w:r>
                <w:rPr>
                  <w:rStyle w:val="InternetLink"/>
                  <w:rFonts w:ascii="Arial;sans-serif" w:hAnsi="Arial;sans-serif"/>
                  <w:b w:val="false"/>
                  <w:strike w:val="false"/>
                  <w:dstrike w:val="false"/>
                  <w:color w:val="000000"/>
                  <w:sz w:val="18"/>
                  <w:u w:val="none"/>
                  <w:effect w:val="none"/>
                </w:rPr>
                <w:t>Form 10-K Summary</w:t>
              </w:r>
            </w:hyperlink>
          </w:p>
        </w:tc>
      </w:tr>
      <w:tr>
        <w:trPr/>
        <w:tc>
          <w:tcPr>
            <w:tcW w:w="754" w:type="dxa"/>
            <w:gridSpan w:val="3"/>
            <w:tcBorders>
              <w:top w:val="single" w:sz="2" w:space="0" w:color="888B8D"/>
              <w:bottom w:val="single" w:sz="2" w:space="0" w:color="61656A"/>
            </w:tcBorders>
            <w:tcMar>
              <w:top w:w="30" w:type="dxa"/>
              <w:left w:w="0" w:type="dxa"/>
              <w:bottom w:w="30" w:type="dxa"/>
              <w:right w:w="0" w:type="dxa"/>
            </w:tcMar>
            <w:vAlign w:val="center"/>
          </w:tcPr>
          <w:p>
            <w:pPr>
              <w:pStyle w:val="TableContents"/>
              <w:bidi w:val="0"/>
              <w:spacing w:lineRule="auto" w:line="240" w:before="0" w:after="0"/>
              <w:jc w:val="right"/>
              <w:rPr/>
            </w:pPr>
            <w:hyperlink w:anchor="ic3922f0530c04df99983ab02c4d22c0f_328">
              <w:r>
                <w:rPr>
                  <w:rStyle w:val="InternetLink"/>
                  <w:rFonts w:ascii="Arial;sans-serif" w:hAnsi="Arial;sans-serif"/>
                  <w:b/>
                  <w:strike w:val="false"/>
                  <w:dstrike w:val="false"/>
                  <w:color w:val="D7282F"/>
                  <w:sz w:val="18"/>
                  <w:u w:val="none"/>
                  <w:effect w:val="none"/>
                </w:rPr>
                <w:t>132</w:t>
              </w:r>
            </w:hyperlink>
          </w:p>
        </w:tc>
        <w:tc>
          <w:tcPr>
            <w:tcW w:w="327" w:type="dxa"/>
            <w:gridSpan w:val="3"/>
            <w:tcBorders>
              <w:top w:val="single" w:sz="2" w:space="0" w:color="888B8D"/>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2" w:space="0" w:color="888B8D"/>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3"/>
            <w:tcBorders>
              <w:top w:val="single" w:sz="2" w:space="0" w:color="888B8D"/>
              <w:bottom w:val="single" w:sz="2" w:space="0" w:color="61656A"/>
            </w:tcBorders>
            <w:tcMar>
              <w:top w:w="30" w:type="dxa"/>
              <w:left w:w="0" w:type="dxa"/>
              <w:bottom w:w="30" w:type="dxa"/>
              <w:right w:w="0" w:type="dxa"/>
            </w:tcMar>
            <w:vAlign w:val="center"/>
          </w:tcPr>
          <w:p>
            <w:pPr>
              <w:pStyle w:val="TableContents"/>
              <w:bidi w:val="0"/>
              <w:spacing w:lineRule="auto" w:line="240" w:before="0" w:after="0"/>
              <w:jc w:val="left"/>
              <w:rPr/>
            </w:pPr>
            <w:hyperlink w:anchor="ic3922f0530c04df99983ab02c4d22c0f_328">
              <w:r>
                <w:rPr>
                  <w:rStyle w:val="InternetLink"/>
                  <w:rFonts w:ascii="Arial;sans-serif" w:hAnsi="Arial;sans-serif"/>
                  <w:b w:val="false"/>
                  <w:strike w:val="false"/>
                  <w:dstrike w:val="false"/>
                  <w:color w:val="000000"/>
                  <w:sz w:val="18"/>
                  <w:u w:val="none"/>
                  <w:effect w:val="none"/>
                </w:rPr>
                <w:t>Signatures</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10.44</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22250"/>
                <wp:effectExtent l="0" t="0" r="0" b="0"/>
                <wp:wrapNone/>
                <wp:docPr id="179" name="Frame1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7282F"/>
                                <w:sz w:val="20"/>
                              </w:rPr>
                              <w:t>134    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lineRule="auto" w:line="288" w:before="120" w:after="120"/>
                        <w:jc w:val="left"/>
                        <w:rPr/>
                      </w:pPr>
                      <w:r>
                        <w:rPr>
                          <w:rFonts w:ascii="Arial;sans-serif" w:hAnsi="Arial;sans-serif"/>
                          <w:b/>
                          <w:color w:val="D7282F"/>
                          <w:sz w:val="20"/>
                        </w:rPr>
                        <w:t>134    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2016 STOCK INCENTIVE PLAN</w: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OF HONEYWELL INTERNATIONAL INC. AND ITS AFFILIATES</w: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RESTRICTED STOCK UNIT AGREEMENT, FORM 1</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 xml:space="preserve">This RESTRICTED STOCK UNIT AGREEMENT made in Charlotte, North Carolina, as of [DATE] (the “Grant Date”), between Honeywell International Inc. (the “Company”) and [EMPLOYEE NAME] (“Participant”). </w:t>
      </w:r>
    </w:p>
    <w:p>
      <w:pPr>
        <w:pStyle w:val="TextBody"/>
        <w:bidi w:val="0"/>
        <w:spacing w:lineRule="auto" w:line="300" w:before="0" w:after="160"/>
        <w:jc w:val="both"/>
        <w:rPr/>
      </w:pPr>
      <w:r>
        <w:rPr>
          <w:rFonts w:ascii="Arial;sans-serif" w:hAnsi="Arial;sans-serif"/>
          <w:b w:val="false"/>
          <w:color w:val="000000"/>
          <w:sz w:val="24"/>
        </w:rPr>
        <w:t>1.    </w:t>
      </w:r>
      <w:r>
        <w:rPr>
          <w:rFonts w:ascii="Arial;sans-serif" w:hAnsi="Arial;sans-serif"/>
          <w:b/>
          <w:color w:val="000000"/>
          <w:sz w:val="24"/>
        </w:rPr>
        <w:t>Grant of Award.</w:t>
      </w:r>
      <w:r>
        <w:rPr>
          <w:color w:val="000000"/>
        </w:rPr>
        <w:t xml:space="preserve"> </w:t>
      </w:r>
      <w:r>
        <w:rPr>
          <w:rFonts w:ascii="Arial;sans-serif" w:hAnsi="Arial;sans-serif"/>
          <w:b w:val="false"/>
          <w:color w:val="000000"/>
          <w:sz w:val="24"/>
        </w:rPr>
        <w:t>The Company has granted you [NUMBER] Restricted Stock Units, subject to the provisions of this Agreement and the 2016 Stock Incentive Plan of Honeywell International Inc. and its Affiliates (the “Plan”). The Company will hold the Restricted Stock Units [and Additional Restricted Stock Units (as defined in Section 2)] in a bookkeeping account on your behalf until they become payable or are forfeited or cancelled.</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pStyle w:val="TextBody"/>
        <w:bidi w:val="0"/>
        <w:spacing w:lineRule="auto" w:line="300" w:before="0" w:after="160"/>
        <w:jc w:val="both"/>
        <w:rPr/>
      </w:pPr>
      <w:r>
        <w:rPr>
          <w:rFonts w:ascii="Arial;sans-serif" w:hAnsi="Arial;sans-serif"/>
          <w:b w:val="false"/>
          <w:color w:val="000000"/>
          <w:sz w:val="24"/>
        </w:rPr>
        <w:t>2.    </w:t>
      </w:r>
      <w:r>
        <w:rPr>
          <w:rFonts w:ascii="Arial;sans-serif" w:hAnsi="Arial;sans-serif"/>
          <w:b/>
          <w:color w:val="000000"/>
          <w:sz w:val="24"/>
        </w:rPr>
        <w:t>[FOLLOWING INCLUDED AT COMMITTEE’S DISCRETION: Dividend Equivalents.</w:t>
      </w:r>
      <w:r>
        <w:rPr>
          <w:color w:val="000000"/>
        </w:rPr>
        <w:t xml:space="preserve"> </w:t>
      </w:r>
      <w:r>
        <w:rPr>
          <w:rFonts w:ascii="Arial;sans-serif" w:hAnsi="Arial;sans-serif"/>
          <w:b w:val="false"/>
          <w:color w:val="000000"/>
          <w:sz w:val="24"/>
        </w:rPr>
        <w:t xml:space="preserve">Except as 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You will continue to earn Additional Restricted Stock Units on unpaid Restricted Stock Units and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Additional Restricted Stock Units that are held in your bookkeeping account pursuant to a deferral election until the vested Shares are paid to you.]</w:t>
      </w:r>
    </w:p>
    <w:p>
      <w:pPr>
        <w:pStyle w:val="TextBody"/>
        <w:bidi w:val="0"/>
        <w:spacing w:lineRule="auto" w:line="300" w:before="0" w:after="160"/>
        <w:jc w:val="both"/>
        <w:rPr/>
      </w:pPr>
      <w:r>
        <w:rPr>
          <w:rFonts w:ascii="Arial;sans-serif" w:hAnsi="Arial;sans-serif"/>
          <w:b w:val="false"/>
          <w:color w:val="000000"/>
          <w:sz w:val="24"/>
        </w:rPr>
        <w:t>3.    </w:t>
      </w:r>
      <w:r>
        <w:rPr>
          <w:rFonts w:ascii="Arial;sans-serif" w:hAnsi="Arial;sans-serif"/>
          <w:b/>
          <w:color w:val="000000"/>
          <w:sz w:val="24"/>
        </w:rPr>
        <w:t>Payment Amount.</w:t>
      </w:r>
      <w:r>
        <w:rPr>
          <w:color w:val="000000"/>
        </w:rPr>
        <w:t xml:space="preserve"> </w:t>
      </w:r>
      <w:r>
        <w:rPr>
          <w:rFonts w:ascii="Arial;sans-serif" w:hAnsi="Arial;sans-serif"/>
          <w:b w:val="false"/>
          <w:color w:val="000000"/>
          <w:sz w:val="24"/>
        </w:rPr>
        <w:t>Each Restricted Stock Unit [and Additional Restricted Stock Unit] represents one (1) Share of Common Stock.</w:t>
      </w:r>
    </w:p>
    <w:p>
      <w:pPr>
        <w:pStyle w:val="TextBody"/>
        <w:bidi w:val="0"/>
        <w:spacing w:lineRule="auto" w:line="300" w:before="0" w:after="160"/>
        <w:jc w:val="both"/>
        <w:rPr/>
      </w:pPr>
      <w:r>
        <w:rPr>
          <w:rFonts w:ascii="Arial;sans-serif" w:hAnsi="Arial;sans-serif"/>
          <w:b w:val="false"/>
          <w:color w:val="000000"/>
          <w:sz w:val="24"/>
        </w:rPr>
        <w:t>4.    </w:t>
      </w:r>
      <w:r>
        <w:rPr>
          <w:rFonts w:ascii="Arial;sans-serif" w:hAnsi="Arial;sans-serif"/>
          <w:b/>
          <w:color w:val="000000"/>
          <w:sz w:val="24"/>
        </w:rPr>
        <w:t>Vesting.</w:t>
      </w:r>
      <w:r>
        <w:rPr>
          <w:color w:val="000000"/>
        </w:rPr>
        <w:t xml:space="preserve"> </w:t>
      </w:r>
      <w:r>
        <w:rPr>
          <w:rFonts w:ascii="Arial;sans-serif" w:hAnsi="Arial;sans-serif"/>
          <w:b w:val="false"/>
          <w:color w:val="000000"/>
          <w:sz w:val="24"/>
        </w:rPr>
        <w:t>Except in the event of your Termination of Employment due to death or Disability or retirement (as defined in Section 7(a)), or as otherwise provided in Section 8 of this Agreement relating to a Change in Control, the Restricted Stock Units [and Additional Restricted Stock Units] will vest as provided on the attached Vesting Schedule Table, which is incorporated into, and made a part of, this Agreement.</w:t>
      </w:r>
    </w:p>
    <w:p>
      <w:pPr>
        <w:pStyle w:val="TextBody"/>
        <w:bidi w:val="0"/>
        <w:spacing w:lineRule="auto" w:line="300" w:before="0" w:after="160"/>
        <w:jc w:val="both"/>
        <w:rPr/>
      </w:pPr>
      <w:r>
        <w:rPr>
          <w:rFonts w:ascii="Arial;sans-serif" w:hAnsi="Arial;sans-serif"/>
          <w:b w:val="false"/>
          <w:color w:val="000000"/>
          <w:sz w:val="24"/>
        </w:rPr>
        <w:t>5.</w:t>
      </w:r>
      <w:r>
        <w:rPr>
          <w:color w:val="000000"/>
        </w:rPr>
        <w:t>    </w:t>
      </w:r>
      <w:r>
        <w:rPr>
          <w:rFonts w:ascii="Arial;sans-serif" w:hAnsi="Arial;sans-serif"/>
          <w:b/>
          <w:color w:val="000000"/>
          <w:sz w:val="24"/>
        </w:rPr>
        <w:t>Form and Timing of Payment.</w:t>
      </w:r>
      <w:r>
        <w:rPr>
          <w:color w:val="000000"/>
        </w:rPr>
        <w:t xml:space="preserve"> </w:t>
      </w:r>
      <w:r>
        <w:rPr>
          <w:rFonts w:ascii="Arial;sans-serif" w:hAnsi="Arial;sans-serif"/>
          <w:b w:val="false"/>
          <w:color w:val="000000"/>
          <w:sz w:val="24"/>
        </w:rPr>
        <w:t>Vested Restricted Stock Units will be redeemed solely for Shares. [FOLLOWING INCLUDED AT COMPANY’S DISCRETION: Except as otherwise determined by the Company, in its sole discretion, vested Additional Restricted Stock Units will be redeemed solely for Shares.] [Subject to a deferral election made pursuant to Section 12, and] except as otherwise provided in Section 7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[You cannot defer payment of the Restricted Stock Units [or the Additional Restricted Stock Units.]]</w:t>
      </w:r>
    </w:p>
    <w:p>
      <w:pPr>
        <w:pStyle w:val="TextBody"/>
        <w:bidi w:val="0"/>
        <w:spacing w:lineRule="auto" w:line="300" w:before="0" w:after="160"/>
        <w:jc w:val="both"/>
        <w:rPr/>
      </w:pPr>
      <w:r>
        <w:rPr>
          <w:rFonts w:ascii="Arial;sans-serif" w:hAnsi="Arial;sans-serif"/>
          <w:b w:val="false"/>
          <w:color w:val="000000"/>
          <w:sz w:val="24"/>
        </w:rPr>
        <w:t>6.    </w:t>
      </w:r>
      <w:r>
        <w:rPr>
          <w:rFonts w:ascii="Arial;sans-serif" w:hAnsi="Arial;sans-serif"/>
          <w:b/>
          <w:color w:val="000000"/>
          <w:sz w:val="24"/>
        </w:rPr>
        <w:t>Termination of Employment.</w:t>
      </w:r>
      <w:r>
        <w:rPr>
          <w:color w:val="000000"/>
        </w:rPr>
        <w:t xml:space="preserve"> </w:t>
      </w:r>
      <w:r>
        <w:rPr>
          <w:rFonts w:ascii="Arial;sans-serif" w:hAnsi="Arial;sans-serif"/>
          <w:b w:val="false"/>
          <w:color w:val="000000"/>
          <w:sz w:val="24"/>
        </w:rPr>
        <w:t>Except as otherwise provided in Sections 7 and 8 of this Agreement, any Restricted Stock Units [and Additional Restricted Stock Units] that have not vested as of your Termination of Employment will immediately be forfeited, and your rights with respect to these Restricted Stock Units [and Additional Restricted Stock Units] will end.</w:t>
      </w:r>
    </w:p>
    <w:p>
      <w:pPr>
        <w:pStyle w:val="TextBody"/>
        <w:bidi w:val="0"/>
        <w:spacing w:lineRule="auto" w:line="300" w:before="0" w:after="160"/>
        <w:jc w:val="both"/>
        <w:rPr/>
      </w:pPr>
      <w:r>
        <w:rPr>
          <w:rFonts w:ascii="Arial;sans-serif" w:hAnsi="Arial;sans-serif"/>
          <w:b w:val="false"/>
          <w:color w:val="000000"/>
          <w:sz w:val="24"/>
        </w:rPr>
        <w:t>7.    </w:t>
      </w:r>
      <w:r>
        <w:rPr>
          <w:rFonts w:ascii="Arial;sans-serif" w:hAnsi="Arial;sans-serif"/>
          <w:b/>
          <w:color w:val="000000"/>
          <w:sz w:val="24"/>
        </w:rPr>
        <w:t>Retirement, Death or Disability.</w:t>
      </w:r>
    </w:p>
    <w:p>
      <w:pPr>
        <w:pStyle w:val="TextBody"/>
        <w:bidi w:val="0"/>
        <w:spacing w:lineRule="auto" w:line="300" w:before="0" w:after="160"/>
        <w:jc w:val="both"/>
        <w:rPr/>
      </w:pPr>
      <w:r>
        <w:rPr>
          <w:color w:val="000000"/>
        </w:rPr>
        <w:t>    </w:t>
      </w:r>
      <w:r>
        <w:rPr>
          <w:rFonts w:ascii="Arial;sans-serif" w:hAnsi="Arial;sans-serif"/>
          <w:b w:val="false"/>
          <w:color w:val="000000"/>
          <w:sz w:val="24"/>
        </w:rPr>
        <w:t>a.    </w:t>
      </w:r>
      <w:r>
        <w:rPr>
          <w:rFonts w:ascii="Arial;sans-serif" w:hAnsi="Arial;sans-serif"/>
          <w:b/>
          <w:color w:val="000000"/>
          <w:sz w:val="24"/>
        </w:rPr>
        <w:t>[FOLLOWING INCLUDED AT COMMITTEE’S DISCRETION: Vesting and Payment Following Retirement.</w:t>
      </w:r>
      <w:r>
        <w:rPr>
          <w:color w:val="000000"/>
        </w:rPr>
        <w:t xml:space="preserve"> </w:t>
      </w:r>
      <w:r>
        <w:rPr>
          <w:rFonts w:ascii="Arial;sans-serif" w:hAnsi="Arial;sans-serif"/>
          <w:b w:val="false"/>
          <w:color w:val="000000"/>
          <w:sz w:val="24"/>
        </w:rPr>
        <w:t>If you terminate employment with the Company and its 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pStyle w:val="TextBody"/>
        <w:bidi w:val="0"/>
        <w:spacing w:lineRule="auto" w:line="300" w:before="0" w:after="160"/>
        <w:jc w:val="both"/>
        <w:rPr/>
      </w:pPr>
      <w:r>
        <w:rPr>
          <w:color w:val="000000"/>
        </w:rPr>
        <w:t>    </w:t>
      </w:r>
      <w:r>
        <w:rPr>
          <w:rFonts w:ascii="Arial;sans-serif" w:hAnsi="Arial;sans-serif"/>
          <w:b/>
          <w:color w:val="000000"/>
          <w:sz w:val="24"/>
        </w:rPr>
        <w:t>FOLLOWING PARAGRAPH(S) INCLUDED AT COMMITTEE’S DISCRETION:</w:t>
      </w:r>
      <w:r>
        <w:rPr>
          <w:color w:val="000000"/>
        </w:rPr>
        <w:t xml:space="preserve"> </w:t>
      </w:r>
      <w:r>
        <w:rPr>
          <w:rFonts w:ascii="Arial;sans-serif" w:hAnsi="Arial;sans-serif"/>
          <w:b w:val="false"/>
          <w:color w:val="000000"/>
          <w:sz w:val="24"/>
        </w:rPr>
        <w:t xml:space="preserve">(A)    [if your Termination of Employment occurs on or before the 1-year anniversary of the Grant Date,] the amount of unvested Restricted Stock Units [and Additional Restricted Stock Units] that shall vest under this Section 5 shall equal (1) the total number of Shares granted to you under Section 1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Agreement, (2) multiplied by a fraction, the numerator of which is your Years of Service from the Grant Date to your Termination of Employment and the denominator of which is the total years of service from the Grant Date to the final vesting date of this Award, then (3) minus the total number of Shares that vested on or before your Termination of Employment; and</w:t>
      </w:r>
    </w:p>
    <w:p>
      <w:pPr>
        <w:pStyle w:val="TextBody"/>
        <w:bidi w:val="0"/>
        <w:spacing w:lineRule="auto" w:line="300" w:before="0" w:after="160"/>
        <w:jc w:val="both"/>
        <w:rPr>
          <w:rFonts w:ascii="Arial;sans-serif" w:hAnsi="Arial;sans-serif"/>
          <w:b/>
          <w:color w:val="000000"/>
          <w:sz w:val="24"/>
        </w:rPr>
      </w:pPr>
      <w:r>
        <w:rPr>
          <w:rFonts w:ascii="Arial;sans-serif" w:hAnsi="Arial;sans-serif"/>
          <w:b/>
          <w:color w:val="000000"/>
          <w:sz w:val="24"/>
        </w:rPr>
        <w:t>AND/OR</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    [if your Termination of Employment occurs after the 1-year anniversary of the Grant Date,] the amount of unvested Restricted Stock Units [and Additional Restricted Stock Units] that shall vest under this Section 5 shall equal (1) the total number of Shares granted to you under Section 1 of this Agreement, minus (2) the total number of Shares that vested on or before your Termination of Employment; and</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Shares that vest pursuant to Paragraph (A) above shall be distributed at the Award’s next regular vesting date, not to exceed the number of Shares that would have vested at such date under the original vesting schedule, with excess Shares vesting at a future vesting date if necessary.]</w:t>
      </w:r>
    </w:p>
    <w:p>
      <w:pPr>
        <w:pStyle w:val="TextBody"/>
        <w:bidi w:val="0"/>
        <w:spacing w:lineRule="auto" w:line="300" w:before="0" w:after="160"/>
        <w:ind w:left="0" w:right="0" w:firstLine="720"/>
        <w:jc w:val="both"/>
        <w:rPr/>
      </w:pPr>
      <w:r>
        <w:rPr>
          <w:rFonts w:ascii="Arial;sans-serif" w:hAnsi="Arial;sans-serif"/>
          <w:b w:val="false"/>
          <w:color w:val="000000"/>
          <w:sz w:val="24"/>
        </w:rPr>
        <w:t>b.</w:t>
      </w:r>
      <w:r>
        <w:rPr>
          <w:color w:val="000000"/>
        </w:rPr>
        <w:t>    </w:t>
      </w:r>
      <w:r>
        <w:rPr>
          <w:rFonts w:ascii="Arial;sans-serif" w:hAnsi="Arial;sans-serif"/>
          <w:b/>
          <w:color w:val="000000"/>
          <w:sz w:val="24"/>
        </w:rPr>
        <w:t>Vesting and Payment Following Death or Disability.</w:t>
      </w:r>
    </w:p>
    <w:p>
      <w:pPr>
        <w:pStyle w:val="TextBody"/>
        <w:bidi w:val="0"/>
        <w:spacing w:lineRule="auto" w:line="300" w:before="0" w:after="160"/>
        <w:ind w:left="0" w:right="0" w:firstLine="720"/>
        <w:jc w:val="both"/>
        <w:rPr/>
      </w:pPr>
      <w:r>
        <w:rPr>
          <w:rFonts w:ascii="Arial;sans-serif" w:hAnsi="Arial;sans-serif"/>
          <w:b w:val="false"/>
          <w:color w:val="000000"/>
          <w:sz w:val="24"/>
        </w:rPr>
        <w:t>(i)</w:t>
      </w:r>
      <w:r>
        <w:rPr>
          <w:color w:val="000000"/>
        </w:rPr>
        <w:t>    </w:t>
      </w:r>
      <w:r>
        <w:rPr>
          <w:rFonts w:ascii="Arial;sans-serif" w:hAnsi="Arial;sans-serif"/>
          <w:b w:val="false"/>
          <w:color w:val="000000"/>
          <w:sz w:val="24"/>
        </w:rPr>
        <w:t>If your Termination of Employment occurs due to death or Disability before the vesting date described in Section 4 of this Agreement, all of your unvested Restricted Stock Units [and Additional Restricted Stock Units] will vest as of your Termination of Employment. If you are deceased, the Company will make a payment to your estate only after the Company has determined that the payee is the duly appointed executor or administrator of your estate, subject to Section 7.14 of the Plan.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(ii)    If your Termination of Employment occurs due to death or Disability before the vesting date described in Section 4 of this Agreement, payment for vested Restricted Stock Units [and Additional Restricted Stock Units] will be made as soon as practicable following your Termination of Employment, but in no event later than the last day of the calendar year in which your Termination of Employment occurs.</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c.    If your Termination of Employment due to retirement occurs before the vesting date described in Section 4 of this Agreement and you do not satisfy the requirements of Section 7(a) above, all unvested Restricted Stock Units [and Additional Restricted Stock Units] will be forfeited and your rights with respect to any award under this Agreement will terminate.</w:t>
      </w:r>
    </w:p>
    <w:p>
      <w:pPr>
        <w:pStyle w:val="TextBody"/>
        <w:bidi w:val="0"/>
        <w:spacing w:lineRule="auto" w:line="300" w:before="0" w:after="160"/>
        <w:jc w:val="both"/>
        <w:rPr/>
      </w:pPr>
      <w:r>
        <w:rPr>
          <w:rFonts w:ascii="Arial;sans-serif" w:hAnsi="Arial;sans-serif"/>
          <w:b w:val="false"/>
          <w:color w:val="000000"/>
          <w:sz w:val="24"/>
        </w:rPr>
        <w:t>8.    </w:t>
      </w:r>
      <w:r>
        <w:rPr>
          <w:rFonts w:ascii="Arial;sans-serif" w:hAnsi="Arial;sans-serif"/>
          <w:b/>
          <w:color w:val="000000"/>
          <w:sz w:val="24"/>
        </w:rPr>
        <w:t>Change in Control.</w:t>
      </w:r>
      <w:r>
        <w:rPr>
          <w:color w:val="000000"/>
        </w:rPr>
        <w:t xml:space="preserve"> </w:t>
      </w:r>
      <w:r>
        <w:rPr>
          <w:rFonts w:ascii="Arial;sans-serif" w:hAnsi="Arial;sans-serif"/>
          <w:b w:val="false"/>
          <w:color w:val="000000"/>
          <w:sz w:val="24"/>
        </w:rPr>
        <w:t>In the event of a Change in Control (as defined in the Plan), the following provisions apply:</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Unless adjusted or exchanged pursuant to Section 5.3(c) or 5.3(d)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If adjusted or exchanged pursuant to Section 5.3(c) or 5.3(d)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Employment not for Cause (as defined in Section 2.7 of the Plan) or a voluntary Termination of Employment for Good Reason (as defined in Section 5.4(d) of the Plan) on or before the second anniversary of the date of the Change in Control, Restricted Stock Units [and Additional Restricted Stock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w:t>
      </w:r>
    </w:p>
    <w:p>
      <w:pPr>
        <w:pStyle w:val="TextBody"/>
        <w:bidi w:val="0"/>
        <w:spacing w:lineRule="auto" w:line="300" w:before="0" w:after="160"/>
        <w:jc w:val="both"/>
        <w:rPr/>
      </w:pPr>
      <w:r>
        <w:rPr>
          <w:rFonts w:ascii="Arial;sans-serif" w:hAnsi="Arial;sans-serif"/>
          <w:b w:val="false"/>
          <w:color w:val="000000"/>
          <w:sz w:val="24"/>
        </w:rPr>
        <w:t>9.    </w:t>
      </w:r>
      <w:r>
        <w:rPr>
          <w:rFonts w:ascii="Arial;sans-serif" w:hAnsi="Arial;sans-serif"/>
          <w:b/>
          <w:color w:val="000000"/>
          <w:sz w:val="24"/>
        </w:rPr>
        <w:t>Withholdings.</w:t>
      </w:r>
      <w:r>
        <w:rPr>
          <w:color w:val="000000"/>
        </w:rPr>
        <w:t xml:space="preserve"> </w:t>
      </w:r>
      <w:r>
        <w:rPr>
          <w:rFonts w:ascii="Arial;sans-serif" w:hAnsi="Arial;sans-serif"/>
          <w:b w:val="false"/>
          <w:color w:val="000000"/>
          <w:sz w:val="24"/>
        </w:rPr>
        <w:t>The Company or your local employer shall have the power and the right to deduct or withhold, or 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pStyle w:val="TextBody"/>
        <w:bidi w:val="0"/>
        <w:spacing w:lineRule="auto" w:line="300" w:before="0" w:after="160"/>
        <w:jc w:val="both"/>
        <w:rPr/>
      </w:pPr>
      <w:r>
        <w:rPr>
          <w:rFonts w:ascii="Arial;sans-serif" w:hAnsi="Arial;sans-serif"/>
          <w:b w:val="false"/>
          <w:color w:val="000000"/>
          <w:sz w:val="24"/>
        </w:rPr>
        <w:t>10.    </w:t>
      </w:r>
      <w:r>
        <w:rPr>
          <w:rFonts w:ascii="Arial;sans-serif" w:hAnsi="Arial;sans-serif"/>
          <w:b/>
          <w:color w:val="000000"/>
          <w:sz w:val="24"/>
        </w:rPr>
        <w:t>Transfer of Award.</w:t>
      </w:r>
      <w:r>
        <w:rPr>
          <w:color w:val="000000"/>
        </w:rPr>
        <w:t xml:space="preserve"> </w:t>
      </w:r>
      <w:r>
        <w:rPr>
          <w:rFonts w:ascii="Arial;sans-serif" w:hAnsi="Arial;sans-serif"/>
          <w:b w:val="false"/>
          <w:color w:val="000000"/>
          <w:sz w:val="24"/>
        </w:rPr>
        <w:t xml:space="preserve">You may not transfer the Restricted Stock Units[, Additional Restricted Stock Units] or any interest in such Units except by will or the laws of descent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and distribution or except as permitted by the Committee and as specified in the Plan. Any other attempt to dispose of your interest will be null and void.</w:t>
      </w:r>
    </w:p>
    <w:p>
      <w:pPr>
        <w:pStyle w:val="TextBody"/>
        <w:bidi w:val="0"/>
        <w:spacing w:lineRule="auto" w:line="300" w:before="0" w:after="160"/>
        <w:jc w:val="both"/>
        <w:rPr/>
      </w:pPr>
      <w:r>
        <w:rPr>
          <w:rFonts w:ascii="Arial;sans-serif" w:hAnsi="Arial;sans-serif"/>
          <w:b w:val="false"/>
          <w:color w:val="000000"/>
          <w:sz w:val="24"/>
        </w:rPr>
        <w:t>11.    </w:t>
      </w:r>
      <w:r>
        <w:rPr>
          <w:rFonts w:ascii="Arial;sans-serif" w:hAnsi="Arial;sans-serif"/>
          <w:b/>
          <w:color w:val="000000"/>
          <w:sz w:val="24"/>
        </w:rPr>
        <w:t>Requirements for and Forfeiture of Award.</w:t>
      </w:r>
    </w:p>
    <w:p>
      <w:pPr>
        <w:pStyle w:val="TextBody"/>
        <w:bidi w:val="0"/>
        <w:spacing w:lineRule="auto" w:line="300" w:before="0" w:after="160"/>
        <w:ind w:left="0" w:right="0" w:firstLine="720"/>
        <w:jc w:val="both"/>
        <w:rPr/>
      </w:pPr>
      <w:r>
        <w:rPr>
          <w:rFonts w:ascii="Arial;sans-serif" w:hAnsi="Arial;sans-serif"/>
          <w:b w:val="false"/>
          <w:color w:val="000000"/>
          <w:sz w:val="24"/>
        </w:rPr>
        <w:t>a.    </w:t>
      </w:r>
      <w:r>
        <w:rPr>
          <w:rFonts w:ascii="Arial;sans-serif" w:hAnsi="Arial;sans-serif"/>
          <w:b/>
          <w:color w:val="000000"/>
          <w:sz w:val="24"/>
        </w:rPr>
        <w:t>General.</w:t>
      </w:r>
      <w:r>
        <w:rPr>
          <w:color w:val="000000"/>
        </w:rPr>
        <w:t xml:space="preserve"> </w:t>
      </w:r>
      <w:r>
        <w:rPr>
          <w:rFonts w:ascii="Arial;sans-serif" w:hAnsi="Arial;sans-serif"/>
          <w:b w:val="false"/>
          <w:color w:val="000000"/>
          <w:sz w:val="24"/>
        </w:rPr>
        <w:t>The Award is expressly contingent upon you complying with the terms, conditions and definitions contained 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pStyle w:val="TextBody"/>
        <w:bidi w:val="0"/>
        <w:spacing w:lineRule="auto" w:line="300" w:before="0" w:after="160"/>
        <w:jc w:val="both"/>
        <w:rPr/>
      </w:pPr>
      <w:r>
        <w:rPr>
          <w:color w:val="000000"/>
        </w:rPr>
        <w:t>    </w:t>
      </w:r>
      <w:r>
        <w:rPr>
          <w:rFonts w:ascii="Arial;sans-serif" w:hAnsi="Arial;sans-serif"/>
          <w:b w:val="false"/>
          <w:color w:val="000000"/>
          <w:sz w:val="24"/>
        </w:rPr>
        <w:t>b.    </w:t>
      </w:r>
      <w:r>
        <w:rPr>
          <w:rFonts w:ascii="Arial;sans-serif" w:hAnsi="Arial;sans-serif"/>
          <w:b/>
          <w:color w:val="000000"/>
          <w:sz w:val="24"/>
        </w:rPr>
        <w:t>Remedies.</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 xml:space="preserve">1.    You expressly agree and acknowledge that the forfeiture provisions of subsection 11.b.2.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lineRule="auto" w:line="300" w:before="0" w:after="160"/>
        <w:ind w:left="0" w:right="0" w:firstLine="1440"/>
        <w:jc w:val="both"/>
        <w:rPr>
          <w:rFonts w:ascii="Arial;sans-serif" w:hAnsi="Arial;sans-serif"/>
          <w:b w:val="false"/>
          <w:color w:val="000000"/>
          <w:sz w:val="24"/>
        </w:rPr>
      </w:pPr>
      <w:r>
        <w:rPr>
          <w:rFonts w:ascii="Arial;sans-serif" w:hAnsi="Arial;sans-serif"/>
          <w:b w:val="false"/>
          <w:color w:val="000000"/>
          <w:sz w:val="24"/>
        </w:rPr>
        <w:t>2.    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pStyle w:val="TextBody"/>
        <w:bidi w:val="0"/>
        <w:spacing w:lineRule="auto" w:line="300" w:before="0" w:after="160"/>
        <w:ind w:left="0" w:right="0" w:firstLine="1440"/>
        <w:jc w:val="both"/>
        <w:rPr>
          <w:rFonts w:ascii="Arial;sans-serif" w:hAnsi="Arial;sans-serif"/>
          <w:b w:val="false"/>
          <w:color w:val="000000"/>
          <w:sz w:val="24"/>
        </w:rPr>
      </w:pPr>
      <w:r>
        <w:rPr>
          <w:rFonts w:ascii="Arial;sans-serif" w:hAnsi="Arial;sans-serif"/>
          <w:b w:val="false"/>
          <w:color w:val="000000"/>
          <w:sz w:val="24"/>
        </w:rPr>
        <w:t>3.    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pStyle w:val="TextBody"/>
        <w:bidi w:val="0"/>
        <w:spacing w:lineRule="auto" w:line="300" w:before="0" w:after="160"/>
        <w:jc w:val="both"/>
        <w:rPr/>
      </w:pPr>
      <w:r>
        <w:rPr>
          <w:rFonts w:ascii="Arial;sans-serif" w:hAnsi="Arial;sans-serif"/>
          <w:b w:val="false"/>
          <w:color w:val="000000"/>
          <w:sz w:val="24"/>
        </w:rPr>
        <w:t>12.    </w:t>
      </w:r>
      <w:r>
        <w:rPr>
          <w:rFonts w:ascii="Arial;sans-serif" w:hAnsi="Arial;sans-serif"/>
          <w:b/>
          <w:color w:val="000000"/>
          <w:sz w:val="24"/>
        </w:rPr>
        <w:t>Restrictions on Payment of Shares.</w:t>
      </w:r>
      <w:r>
        <w:rPr>
          <w:color w:val="000000"/>
        </w:rPr>
        <w:t xml:space="preserve"> </w:t>
      </w:r>
      <w:r>
        <w:rPr>
          <w:rFonts w:ascii="Arial;sans-serif" w:hAnsi="Arial;sans-serif"/>
          <w:b w:val="false"/>
          <w:color w:val="000000"/>
          <w:sz w:val="24"/>
        </w:rPr>
        <w:t xml:space="preserve">Payment of Shares for your Restricted Stock Units [and Additional Restricted Stock 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matters in connection with the issuance and delivery of the Shares have been approved by counsel for the Company.</w:t>
      </w:r>
    </w:p>
    <w:p>
      <w:pPr>
        <w:pStyle w:val="TextBody"/>
        <w:bidi w:val="0"/>
        <w:spacing w:lineRule="auto" w:line="300" w:before="0" w:after="160"/>
        <w:jc w:val="both"/>
        <w:rPr/>
      </w:pPr>
      <w:r>
        <w:rPr>
          <w:rFonts w:ascii="Arial;sans-serif" w:hAnsi="Arial;sans-serif"/>
          <w:b w:val="false"/>
          <w:color w:val="000000"/>
          <w:sz w:val="24"/>
        </w:rPr>
        <w:t>13.    </w:t>
      </w:r>
      <w:r>
        <w:rPr>
          <w:rFonts w:ascii="Arial;sans-serif" w:hAnsi="Arial;sans-serif"/>
          <w:b/>
          <w:color w:val="000000"/>
          <w:sz w:val="24"/>
        </w:rPr>
        <w:t>Adjustments</w:t>
      </w:r>
      <w:r>
        <w:rPr>
          <w:rFonts w:ascii="Arial;sans-serif" w:hAnsi="Arial;sans-serif"/>
          <w:b w:val="false"/>
          <w:color w:val="000000"/>
          <w:sz w:val="24"/>
        </w:rPr>
        <w:t>. Any adjustments to the Restricted Stock Units [and Additional Restricted Stock Units] will be governed by Section 5.3 of the Plan.</w:t>
      </w:r>
    </w:p>
    <w:p>
      <w:pPr>
        <w:pStyle w:val="TextBody"/>
        <w:bidi w:val="0"/>
        <w:spacing w:lineRule="auto" w:line="300" w:before="0" w:after="160"/>
        <w:jc w:val="both"/>
        <w:rPr/>
      </w:pPr>
      <w:r>
        <w:rPr>
          <w:rFonts w:ascii="Arial;sans-serif" w:hAnsi="Arial;sans-serif"/>
          <w:b w:val="false"/>
          <w:color w:val="000000"/>
          <w:sz w:val="24"/>
        </w:rPr>
        <w:t>14.    </w:t>
      </w:r>
      <w:r>
        <w:rPr>
          <w:rFonts w:ascii="Arial;sans-serif" w:hAnsi="Arial;sans-serif"/>
          <w:b/>
          <w:color w:val="000000"/>
          <w:sz w:val="24"/>
        </w:rPr>
        <w:t>Disposition of Securities.</w:t>
      </w:r>
      <w:r>
        <w:rPr>
          <w:color w:val="000000"/>
        </w:rPr>
        <w:t xml:space="preserve"> </w:t>
      </w:r>
      <w:r>
        <w:rPr>
          <w:rFonts w:ascii="Arial;sans-serif" w:hAnsi="Arial;sans-serif"/>
          <w:b w:val="false"/>
          <w:color w:val="000000"/>
          <w:sz w:val="24"/>
        </w:rPr>
        <w:t>By accepting the Award, you acknowledge that you have read and understand (i) the 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pStyle w:val="TextBody"/>
        <w:bidi w:val="0"/>
        <w:spacing w:lineRule="auto" w:line="300" w:before="0" w:after="160"/>
        <w:jc w:val="both"/>
        <w:rPr/>
      </w:pPr>
      <w:r>
        <w:rPr>
          <w:rFonts w:ascii="Arial;sans-serif" w:hAnsi="Arial;sans-serif"/>
          <w:b w:val="false"/>
          <w:color w:val="000000"/>
          <w:sz w:val="24"/>
        </w:rPr>
        <w:t>15.    </w:t>
      </w:r>
      <w:r>
        <w:rPr>
          <w:rFonts w:ascii="Arial;sans-serif" w:hAnsi="Arial;sans-serif"/>
          <w:b/>
          <w:color w:val="000000"/>
          <w:sz w:val="24"/>
        </w:rPr>
        <w:t>Plan Terms Govern.</w:t>
      </w:r>
      <w:r>
        <w:rPr>
          <w:color w:val="000000"/>
        </w:rPr>
        <w:t xml:space="preserve"> </w:t>
      </w:r>
      <w:r>
        <w:rPr>
          <w:rFonts w:ascii="Arial;sans-serif" w:hAnsi="Arial;sans-serif"/>
          <w:b w:val="false"/>
          <w:color w:val="000000"/>
          <w:sz w:val="24"/>
        </w:rPr>
        <w:t>The vesting and redemption of Restricted Stock Units [or Additional Restricted Stock 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w:t>
      </w:r>
    </w:p>
    <w:p>
      <w:pPr>
        <w:pStyle w:val="TextBody"/>
        <w:bidi w:val="0"/>
        <w:spacing w:lineRule="auto" w:line="300" w:before="0" w:after="160"/>
        <w:jc w:val="both"/>
        <w:rPr/>
      </w:pPr>
      <w:r>
        <w:rPr>
          <w:rFonts w:ascii="Arial;sans-serif" w:hAnsi="Arial;sans-serif"/>
          <w:b w:val="false"/>
          <w:color w:val="000000"/>
          <w:sz w:val="24"/>
        </w:rPr>
        <w:t>16.    </w:t>
      </w:r>
      <w:r>
        <w:rPr>
          <w:rFonts w:ascii="Arial;sans-serif" w:hAnsi="Arial;sans-serif"/>
          <w:b/>
          <w:color w:val="000000"/>
          <w:sz w:val="24"/>
        </w:rPr>
        <w:t>Personal Data.</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 xml:space="preserve">c.    You further understand that part or all of your Data may be also held by the Company or its Affiliates, pursuant to a transfer made in the past with your consent, in respect of any previous grant of Restricted Stock Units or awards, which was made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for the same purposes of managing and administering of previous award/incentive plans, or for other purposes.</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g.    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pStyle w:val="TextBody"/>
        <w:bidi w:val="0"/>
        <w:spacing w:lineRule="auto" w:line="300" w:before="0" w:after="160"/>
        <w:jc w:val="both"/>
        <w:rPr/>
      </w:pPr>
      <w:r>
        <w:rPr>
          <w:rFonts w:ascii="Arial;sans-serif" w:hAnsi="Arial;sans-serif"/>
          <w:b w:val="false"/>
          <w:color w:val="000000"/>
          <w:sz w:val="24"/>
        </w:rPr>
        <w:t>17.    </w:t>
      </w:r>
      <w:r>
        <w:rPr>
          <w:rFonts w:ascii="Arial;sans-serif" w:hAnsi="Arial;sans-serif"/>
          <w:b/>
          <w:color w:val="000000"/>
          <w:sz w:val="24"/>
        </w:rPr>
        <w:t>Discretionary Nature and Acceptance of Award.</w:t>
      </w:r>
      <w:r>
        <w:rPr>
          <w:color w:val="000000"/>
        </w:rPr>
        <w:t xml:space="preserve"> </w:t>
      </w:r>
      <w:r>
        <w:rPr>
          <w:rFonts w:ascii="Arial;sans-serif" w:hAnsi="Arial;sans-serif"/>
          <w:b w:val="false"/>
          <w:color w:val="000000"/>
          <w:sz w:val="24"/>
        </w:rPr>
        <w:t>By accepting this Award, you agree to be bound by the terms of this Agreement and acknowledge that:</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The Company may administer the Plan from outside your country of residence and United States law will govern all Restricted Stock Units [and Additional Restricted Stock Units] granted under the Plan.</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c.    Benefits and rights provided under the Plan are wholly discretionary and, although provided by the Company, do not constitute regular or periodic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e.    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g.    Participation in the Plan will not be deemed to constitute, and will not be deemed by you to constitute, an employment or labor relationship of any kind with the Company.</w:t>
      </w:r>
    </w:p>
    <w:p>
      <w:pPr>
        <w:pStyle w:val="TextBody"/>
        <w:bidi w:val="0"/>
        <w:spacing w:lineRule="auto" w:line="300" w:before="0" w:after="160"/>
        <w:jc w:val="both"/>
        <w:rPr/>
      </w:pPr>
      <w:r>
        <w:rPr>
          <w:rFonts w:ascii="Arial;sans-serif" w:hAnsi="Arial;sans-serif"/>
          <w:b w:val="false"/>
          <w:color w:val="000000"/>
          <w:sz w:val="24"/>
        </w:rPr>
        <w:t>18.    </w:t>
      </w:r>
      <w:r>
        <w:rPr>
          <w:rFonts w:ascii="Arial;sans-serif" w:hAnsi="Arial;sans-serif"/>
          <w:b/>
          <w:color w:val="000000"/>
          <w:sz w:val="24"/>
        </w:rPr>
        <w:t>Limitations.</w:t>
      </w:r>
      <w:r>
        <w:rPr>
          <w:color w:val="000000"/>
        </w:rPr>
        <w:t xml:space="preserve"> </w:t>
      </w:r>
      <w:r>
        <w:rPr>
          <w:rFonts w:ascii="Arial;sans-serif" w:hAnsi="Arial;sans-serif"/>
          <w:b w:val="false"/>
          <w:color w:val="000000"/>
          <w:sz w:val="24"/>
        </w:rPr>
        <w:t>Nothing in this Agreement or the Plan gives you any right to continue in the employ of the Company or any of 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pStyle w:val="TextBody"/>
        <w:bidi w:val="0"/>
        <w:spacing w:lineRule="auto" w:line="300" w:before="0" w:after="160"/>
        <w:jc w:val="both"/>
        <w:rPr/>
      </w:pPr>
      <w:r>
        <w:rPr>
          <w:rFonts w:ascii="Arial;sans-serif" w:hAnsi="Arial;sans-serif"/>
          <w:b w:val="false"/>
          <w:color w:val="000000"/>
          <w:sz w:val="24"/>
        </w:rPr>
        <w:t>19.    </w:t>
      </w:r>
      <w:r>
        <w:rPr>
          <w:rFonts w:ascii="Arial;sans-serif" w:hAnsi="Arial;sans-serif"/>
          <w:b/>
          <w:color w:val="000000"/>
          <w:sz w:val="24"/>
        </w:rPr>
        <w:t>Incorporation of Other Agreements.</w:t>
      </w:r>
      <w:r>
        <w:rPr>
          <w:color w:val="000000"/>
        </w:rPr>
        <w:t xml:space="preserve"> </w:t>
      </w:r>
      <w:r>
        <w:rPr>
          <w:rFonts w:ascii="Arial;sans-serif" w:hAnsi="Arial;sans-serif"/>
          <w:b w:val="false"/>
          <w:color w:val="000000"/>
          <w:sz w:val="24"/>
        </w:rPr>
        <w:t>This Agreement and the Plan constitute the entire understanding between you and the Company regarding the Restricted Stock Units. This Agreement supersedes any prior agreements, commitments or negotiations concerning the Restricted Stock Units [and the Additional Restricted Stock Units].</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pPr>
      <w:r>
        <w:rPr>
          <w:rFonts w:ascii="Arial;sans-serif" w:hAnsi="Arial;sans-serif"/>
          <w:b w:val="false"/>
          <w:color w:val="000000"/>
          <w:sz w:val="24"/>
        </w:rPr>
        <w:t>20.    </w:t>
      </w:r>
      <w:r>
        <w:rPr>
          <w:rFonts w:ascii="Arial;sans-serif" w:hAnsi="Arial;sans-serif"/>
          <w:b/>
          <w:color w:val="000000"/>
          <w:sz w:val="24"/>
        </w:rPr>
        <w:t>Severability.</w:t>
      </w:r>
      <w:r>
        <w:rPr>
          <w:color w:val="000000"/>
        </w:rPr>
        <w:t xml:space="preserve"> </w:t>
      </w:r>
      <w:r>
        <w:rPr>
          <w:rFonts w:ascii="Arial;sans-serif" w:hAnsi="Arial;sans-serif"/>
          <w:b w:val="false"/>
          <w:color w:val="000000"/>
          <w:sz w:val="24"/>
        </w:rPr>
        <w:t>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pStyle w:val="TextBody"/>
        <w:bidi w:val="0"/>
        <w:spacing w:lineRule="auto" w:line="300" w:before="0" w:after="160"/>
        <w:jc w:val="both"/>
        <w:rPr/>
      </w:pPr>
      <w:r>
        <w:rPr>
          <w:rFonts w:ascii="Arial;sans-serif" w:hAnsi="Arial;sans-serif"/>
          <w:b w:val="false"/>
          <w:color w:val="000000"/>
          <w:sz w:val="24"/>
        </w:rPr>
        <w:t>21.    </w:t>
      </w:r>
      <w:r>
        <w:rPr>
          <w:rFonts w:ascii="Arial;sans-serif" w:hAnsi="Arial;sans-serif"/>
          <w:b/>
          <w:color w:val="000000"/>
          <w:sz w:val="24"/>
        </w:rPr>
        <w:t>Governing Law.</w:t>
      </w:r>
      <w:r>
        <w:rPr>
          <w:color w:val="000000"/>
        </w:rPr>
        <w:t xml:space="preserve"> </w:t>
      </w:r>
      <w:r>
        <w:rPr>
          <w:rFonts w:ascii="Arial;sans-serif" w:hAnsi="Arial;sans-serif"/>
          <w:b w:val="false"/>
          <w:color w:val="000000"/>
          <w:sz w:val="24"/>
        </w:rPr>
        <w:t>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w:t>
      </w:r>
    </w:p>
    <w:p>
      <w:pPr>
        <w:pStyle w:val="TextBody"/>
        <w:bidi w:val="0"/>
        <w:spacing w:lineRule="auto" w:line="300" w:before="0" w:after="160"/>
        <w:jc w:val="both"/>
        <w:rPr/>
      </w:pPr>
      <w:r>
        <w:rPr>
          <w:rFonts w:ascii="Arial;sans-serif" w:hAnsi="Arial;sans-serif"/>
          <w:b w:val="false"/>
          <w:color w:val="000000"/>
          <w:sz w:val="24"/>
        </w:rPr>
        <w:t>22.    </w:t>
      </w:r>
      <w:r>
        <w:rPr>
          <w:rFonts w:ascii="Arial;sans-serif" w:hAnsi="Arial;sans-serif"/>
          <w:b/>
          <w:color w:val="000000"/>
          <w:sz w:val="24"/>
        </w:rPr>
        <w:t>Agreement Changes.</w:t>
      </w:r>
      <w:r>
        <w:rPr>
          <w:color w:val="000000"/>
        </w:rPr>
        <w:t xml:space="preserve"> </w:t>
      </w:r>
      <w:r>
        <w:rPr>
          <w:rFonts w:ascii="Arial;sans-serif" w:hAnsi="Arial;sans-serif"/>
          <w:b w:val="false"/>
          <w:color w:val="000000"/>
          <w:sz w:val="24"/>
        </w:rPr>
        <w:t>The Company reserves the right to change the terms of this Agreement and the Plan without your consent to the extent necessary or desirable to comply with the requirements of Code section 409A, the Treasury regulations and other guidance thereunder.</w:t>
      </w:r>
    </w:p>
    <w:p>
      <w:pPr>
        <w:pStyle w:val="TextBody"/>
        <w:bidi w:val="0"/>
        <w:spacing w:lineRule="auto" w:line="300" w:before="0" w:after="160"/>
        <w:jc w:val="both"/>
        <w:rPr/>
      </w:pPr>
      <w:r>
        <w:rPr>
          <w:rFonts w:ascii="Arial;sans-serif" w:hAnsi="Arial;sans-serif"/>
          <w:b w:val="false"/>
          <w:color w:val="000000"/>
          <w:sz w:val="24"/>
        </w:rPr>
        <w:t>23.    </w:t>
      </w:r>
      <w:r>
        <w:rPr>
          <w:rFonts w:ascii="Arial;sans-serif" w:hAnsi="Arial;sans-serif"/>
          <w:b/>
          <w:color w:val="000000"/>
          <w:sz w:val="24"/>
        </w:rPr>
        <w:t>Acknowledgements and Acceptance.</w:t>
      </w:r>
      <w:r>
        <w:rPr>
          <w:color w:val="000000"/>
        </w:rPr>
        <w:t xml:space="preserve"> </w:t>
      </w:r>
      <w:r>
        <w:rPr>
          <w:rFonts w:ascii="Arial;sans-serif" w:hAnsi="Arial;sans-serif"/>
          <w:b w:val="false"/>
          <w:color w:val="000000"/>
          <w:sz w:val="24"/>
        </w:rPr>
        <w:t>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To retain this Award, you must accept it on the Morgan Stanley website.</w:t>
      </w:r>
    </w:p>
    <w:p>
      <w:pPr>
        <w:pStyle w:val="TextBody"/>
        <w:bidi w:val="0"/>
        <w:spacing w:before="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8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VESTING SCHEDULE TABLE</w:t>
      </w:r>
    </w:p>
    <w:p>
      <w:pPr>
        <w:pStyle w:val="TextBody"/>
        <w:bidi w:val="0"/>
        <w:spacing w:before="0" w:after="160"/>
        <w:jc w:val="center"/>
        <w:rPr/>
      </w:pPr>
      <w:r>
        <w:rPr/>
      </w:r>
    </w:p>
    <w:p>
      <w:pPr>
        <w:pStyle w:val="TextBody"/>
        <w:bidi w:val="0"/>
        <w:spacing w:lineRule="auto" w:line="300" w:before="0" w:after="160"/>
        <w:jc w:val="center"/>
        <w:rPr>
          <w:rFonts w:ascii="Arial;sans-serif" w:hAnsi="Arial;sans-serif"/>
          <w:b w:val="false"/>
          <w:color w:val="000000"/>
          <w:sz w:val="24"/>
        </w:rPr>
      </w:pPr>
      <w:r>
        <w:rPr>
          <w:rFonts w:ascii="Arial;sans-serif" w:hAnsi="Arial;sans-serif"/>
          <w:b w:val="false"/>
          <w:color w:val="000000"/>
          <w:sz w:val="24"/>
        </w:rPr>
        <w:t>[VESTING PROVISIONS CONSISTENT WITH THE PLAN]</w:t>
      </w:r>
    </w:p>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2016 STOCK INCENTIVE PLAN</w: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OF HONEYWELL INTERNATIONAL INC. AND ITS AFFILIATES</w: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RESTRICTED STOCK UNIT AGREEMENT, FORM 2</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This RESTRICTED STOCK UNIT AGREEMENT made in Charlotte, North Carolina, as of [DATE] (the “Grant Date”), between Honeywell International Inc. (the “Company”) and [EMPLOYEE NAME] (“Participant”).</w:t>
      </w:r>
    </w:p>
    <w:p>
      <w:pPr>
        <w:pStyle w:val="TextBody"/>
        <w:bidi w:val="0"/>
        <w:spacing w:lineRule="auto" w:line="300" w:before="0" w:after="160"/>
        <w:jc w:val="both"/>
        <w:rPr/>
      </w:pPr>
      <w:r>
        <w:rPr>
          <w:rFonts w:ascii="Arial;sans-serif" w:hAnsi="Arial;sans-serif"/>
          <w:b w:val="false"/>
          <w:color w:val="000000"/>
          <w:sz w:val="24"/>
        </w:rPr>
        <w:t>1.    </w:t>
      </w:r>
      <w:r>
        <w:rPr>
          <w:rFonts w:ascii="Arial;sans-serif" w:hAnsi="Arial;sans-serif"/>
          <w:b/>
          <w:color w:val="000000"/>
          <w:sz w:val="24"/>
        </w:rPr>
        <w:t>Grant of Award.</w:t>
      </w:r>
      <w:r>
        <w:rPr>
          <w:color w:val="000000"/>
        </w:rPr>
        <w:t xml:space="preserve"> </w:t>
      </w:r>
      <w:r>
        <w:rPr>
          <w:rFonts w:ascii="Arial;sans-serif" w:hAnsi="Arial;sans-serif"/>
          <w:b w:val="false"/>
          <w:color w:val="000000"/>
          <w:sz w:val="24"/>
        </w:rPr>
        <w:t>The Company has granted you [NUMBER] Restricted Stock Units, subject to the provisions of this Agreement and the 2016 Stock Incentive Plan of Honeywell International Inc. and its Affiliates (the “Plan”). The Company will hold the Restricted Stock Units [and Additional Restricted Stock Units (as defined in Section 4)] in a bookkeeping account on your behalf until they become payable or are forfeited or cancelled.</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pStyle w:val="TextBody"/>
        <w:bidi w:val="0"/>
        <w:spacing w:lineRule="auto" w:line="300" w:before="0" w:after="160"/>
        <w:jc w:val="both"/>
        <w:rPr/>
      </w:pPr>
      <w:r>
        <w:rPr>
          <w:rFonts w:ascii="Arial;sans-serif" w:hAnsi="Arial;sans-serif"/>
          <w:b w:val="false"/>
          <w:color w:val="000000"/>
          <w:sz w:val="24"/>
        </w:rPr>
        <w:t>2.    </w:t>
      </w:r>
      <w:r>
        <w:rPr>
          <w:rFonts w:ascii="Arial;sans-serif" w:hAnsi="Arial;sans-serif"/>
          <w:b/>
          <w:color w:val="000000"/>
          <w:sz w:val="24"/>
        </w:rPr>
        <w:t>Definitions.</w:t>
      </w:r>
      <w:r>
        <w:rPr>
          <w:color w:val="000000"/>
        </w:rPr>
        <w:t xml:space="preserve"> </w:t>
      </w:r>
      <w:r>
        <w:rPr>
          <w:rFonts w:ascii="Arial;sans-serif" w:hAnsi="Arial;sans-serif"/>
          <w:b w:val="false"/>
          <w:color w:val="000000"/>
          <w:sz w:val="24"/>
        </w:rPr>
        <w:t>For purposes of this Agreement, the following definitions apply:</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“Actual Award” means the product of (i) the Plan Payout Percentage (as determined under Section 3), and (ii) your Target Award.</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c.    “Measurement Period” means [DESCRIBE MEASUREMENT PERIOD].</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d.    “Performance Cycle” means the period beginning on [DATE] and ending on [DATE].</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e.    “Target Award” means the number of Restricted Stock Units awarded to you for the Performance Cycle under Section 1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f.    “Total Shareholder Return” means the ratio of (A) a company’s share price as of the last trading day of a Measurement Period (determined using the average closing share price over the 30 preceding trading days) plus earned dividends per share during the Measurement Period, over (B) the company’s share price as of the first trading day of a Measurement Period (determined using the average closing share price over the 30 preceding trading days). Dividends are assumed earned and reinvested on the ex-dividend date.</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g.    [INSERT ADDITIONAL BUSINESS-RELATED DEFINITIONS AS APPLICABLE].</w:t>
      </w:r>
    </w:p>
    <w:p>
      <w:pPr>
        <w:pStyle w:val="TextBody"/>
        <w:bidi w:val="0"/>
        <w:spacing w:lineRule="auto" w:line="300" w:before="0" w:after="160"/>
        <w:jc w:val="both"/>
        <w:rPr/>
      </w:pPr>
      <w:r>
        <w:rPr>
          <w:rFonts w:ascii="Arial;sans-serif" w:hAnsi="Arial;sans-serif"/>
          <w:b w:val="false"/>
          <w:color w:val="000000"/>
          <w:sz w:val="24"/>
        </w:rPr>
        <w:t>3.    </w:t>
      </w:r>
      <w:r>
        <w:rPr>
          <w:rFonts w:ascii="Arial;sans-serif" w:hAnsi="Arial;sans-serif"/>
          <w:b/>
          <w:color w:val="000000"/>
          <w:sz w:val="24"/>
        </w:rPr>
        <w:t>Performance Measures.</w:t>
      </w:r>
      <w:r>
        <w:rPr>
          <w:color w:val="000000"/>
        </w:rPr>
        <w:t xml:space="preserve"> </w:t>
      </w:r>
      <w:r>
        <w:rPr>
          <w:rFonts w:ascii="Arial;sans-serif" w:hAnsi="Arial;sans-serif"/>
          <w:b w:val="false"/>
          <w:color w:val="000000"/>
          <w:sz w:val="24"/>
        </w:rPr>
        <w:t>For each Measurement Period, the Company’s Total Shareholder Return will be compared to the Total Shareholder Return of each company in the Compensation Peer Group, and the Total Shareholder Return of the Compensation Peer Group and the Company shall be ranked. [DESCRIBE OTHER BUSINESS-RELATED PERFORMANCE MEASURES AS APPLICABLE].</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The Plan Payout Percentage shall be determined based on the following for the Performance Cycle: [DESCRIBE HOW PLAN PAYOUT PERCENTAGE IS DETERMINED].</w:t>
      </w:r>
    </w:p>
    <w:p>
      <w:pPr>
        <w:pStyle w:val="TextBody"/>
        <w:bidi w:val="0"/>
        <w:spacing w:lineRule="auto" w:line="300" w:before="0" w:after="160"/>
        <w:jc w:val="both"/>
        <w:rPr/>
      </w:pPr>
      <w:r>
        <w:rPr>
          <w:rFonts w:ascii="Arial;sans-serif" w:hAnsi="Arial;sans-serif"/>
          <w:b w:val="false"/>
          <w:color w:val="000000"/>
          <w:sz w:val="24"/>
        </w:rPr>
        <w:t>4.    </w:t>
      </w:r>
      <w:r>
        <w:rPr>
          <w:rFonts w:ascii="Arial;sans-serif" w:hAnsi="Arial;sans-serif"/>
          <w:b/>
          <w:color w:val="000000"/>
          <w:sz w:val="24"/>
        </w:rPr>
        <w:t>[FOLLOWING INCLUDED AT COMMITTEE’S DISCRETION: Dividend Equivalents.</w:t>
      </w:r>
      <w:r>
        <w:rPr>
          <w:color w:val="000000"/>
        </w:rPr>
        <w:t xml:space="preserve"> </w:t>
      </w:r>
      <w:r>
        <w:rPr>
          <w:rFonts w:ascii="Arial;sans-serif" w:hAnsi="Arial;sans-serif"/>
          <w:b w:val="false"/>
          <w:color w:val="000000"/>
          <w:sz w:val="24"/>
        </w:rPr>
        <w:t xml:space="preserve">Except as 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with any fractional Shares rounded up to the nearest whole Share. You will continue to earn Additional Restricted Stock Units on unpaid Restricted Stock Units and Additional Restricted Stock Units that are held in your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bookkeeping account pursuant to a deferral election until the vested Shares are paid to you.]</w:t>
      </w:r>
    </w:p>
    <w:p>
      <w:pPr>
        <w:pStyle w:val="TextBody"/>
        <w:bidi w:val="0"/>
        <w:spacing w:lineRule="auto" w:line="300" w:before="0" w:after="160"/>
        <w:jc w:val="both"/>
        <w:rPr/>
      </w:pPr>
      <w:r>
        <w:rPr>
          <w:rFonts w:ascii="Arial;sans-serif" w:hAnsi="Arial;sans-serif"/>
          <w:b w:val="false"/>
          <w:color w:val="000000"/>
          <w:sz w:val="24"/>
        </w:rPr>
        <w:t>5.    </w:t>
      </w:r>
      <w:r>
        <w:rPr>
          <w:rFonts w:ascii="Arial;sans-serif" w:hAnsi="Arial;sans-serif"/>
          <w:b/>
          <w:color w:val="000000"/>
          <w:sz w:val="24"/>
        </w:rPr>
        <w:t>Payment Amount.</w:t>
      </w:r>
      <w:r>
        <w:rPr>
          <w:color w:val="000000"/>
        </w:rPr>
        <w:t xml:space="preserve"> </w:t>
      </w:r>
      <w:r>
        <w:rPr>
          <w:rFonts w:ascii="Arial;sans-serif" w:hAnsi="Arial;sans-serif"/>
          <w:b w:val="false"/>
          <w:color w:val="000000"/>
          <w:sz w:val="24"/>
        </w:rPr>
        <w:t>Each Restricted Stock Unit [and Additional Restricted Stock Unit] represents one (1) Share of Common Stock.</w:t>
      </w:r>
    </w:p>
    <w:p>
      <w:pPr>
        <w:pStyle w:val="TextBody"/>
        <w:bidi w:val="0"/>
        <w:spacing w:lineRule="auto" w:line="300" w:before="0" w:after="160"/>
        <w:jc w:val="both"/>
        <w:rPr/>
      </w:pPr>
      <w:r>
        <w:rPr>
          <w:rFonts w:ascii="Arial;sans-serif" w:hAnsi="Arial;sans-serif"/>
          <w:b w:val="false"/>
          <w:color w:val="000000"/>
          <w:sz w:val="24"/>
        </w:rPr>
        <w:t>6.    </w:t>
      </w:r>
      <w:r>
        <w:rPr>
          <w:rFonts w:ascii="Arial;sans-serif" w:hAnsi="Arial;sans-serif"/>
          <w:b/>
          <w:color w:val="000000"/>
          <w:sz w:val="24"/>
        </w:rPr>
        <w:t>Vesting and Payment.</w:t>
      </w:r>
      <w:r>
        <w:rPr>
          <w:color w:val="000000"/>
        </w:rPr>
        <w:t xml:space="preserve"> </w:t>
      </w:r>
      <w:r>
        <w:rPr>
          <w:rFonts w:ascii="Arial;sans-serif" w:hAnsi="Arial;sans-serif"/>
          <w:b w:val="false"/>
          <w:color w:val="000000"/>
          <w:sz w:val="24"/>
        </w:rPr>
        <w:t>Except as otherwise provided in Sections 8, 9, and 10 and a deferral election, the vesting and payment of Restricted Stock Units [and related Additional Restricted Stock Units] is/are contingent upon you remaining actively employed by the Company on the applicable vesting date(s) specified below: [DESCRIBE VESTING DATE(S)].</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Except as otherwise provided in Sections 8, 9, and 10 and a deferral election, payment will be made as soon as practicable following the vesting date, but in no event later than 2-1/2 months after the end of the calendar year in which vesting occurs.</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The Actual Award [and related Additional Restricted Stock Units] will be paid solely in Shares. [In no event will Additional Restricted Stock Units be paid if the related Restricted Stock Units have not vested.]</w:t>
      </w:r>
    </w:p>
    <w:p>
      <w:pPr>
        <w:pStyle w:val="TextBody"/>
        <w:bidi w:val="0"/>
        <w:spacing w:lineRule="auto" w:line="300" w:before="0" w:after="160"/>
        <w:jc w:val="both"/>
        <w:rPr/>
      </w:pPr>
      <w:r>
        <w:rPr>
          <w:rFonts w:ascii="Arial;sans-serif" w:hAnsi="Arial;sans-serif"/>
          <w:b w:val="false"/>
          <w:color w:val="000000"/>
          <w:sz w:val="24"/>
        </w:rPr>
        <w:t>7.    </w:t>
      </w:r>
      <w:r>
        <w:rPr>
          <w:rFonts w:ascii="Arial;sans-serif" w:hAnsi="Arial;sans-serif"/>
          <w:b/>
          <w:color w:val="000000"/>
          <w:sz w:val="24"/>
        </w:rPr>
        <w:t>Termination of Employment.</w:t>
      </w:r>
      <w:r>
        <w:rPr>
          <w:color w:val="000000"/>
        </w:rPr>
        <w:t xml:space="preserve"> </w:t>
      </w:r>
      <w:r>
        <w:rPr>
          <w:rFonts w:ascii="Arial;sans-serif" w:hAnsi="Arial;sans-serif"/>
          <w:b w:val="false"/>
          <w:color w:val="000000"/>
          <w:sz w:val="24"/>
        </w:rPr>
        <w:t>Except as otherwise provided in this Agreement, if your Termination of Employment occurs for any reason before the vesting date(s) specified above, any unvested Restricted Stock Units [and Additional Restricted Stock Units] will immediately be forfeited, and your rights with respect to these Restricted Stock Units [and Additional Restricted Stock Units] will end.</w:t>
      </w:r>
    </w:p>
    <w:p>
      <w:pPr>
        <w:pStyle w:val="TextBody"/>
        <w:bidi w:val="0"/>
        <w:spacing w:lineRule="auto" w:line="300" w:before="0" w:after="160"/>
        <w:jc w:val="both"/>
        <w:rPr/>
      </w:pPr>
      <w:r>
        <w:rPr>
          <w:rFonts w:ascii="Arial;sans-serif" w:hAnsi="Arial;sans-serif"/>
          <w:b w:val="false"/>
          <w:color w:val="000000"/>
          <w:sz w:val="24"/>
        </w:rPr>
        <w:t>8.    </w:t>
      </w:r>
      <w:r>
        <w:rPr>
          <w:rFonts w:ascii="Arial;sans-serif" w:hAnsi="Arial;sans-serif"/>
          <w:b/>
          <w:color w:val="000000"/>
          <w:sz w:val="24"/>
        </w:rPr>
        <w:t>Retirement, Death or Disability.</w:t>
      </w:r>
    </w:p>
    <w:p>
      <w:pPr>
        <w:pStyle w:val="TextBody"/>
        <w:bidi w:val="0"/>
        <w:spacing w:lineRule="auto" w:line="300" w:before="0" w:after="160"/>
        <w:jc w:val="both"/>
        <w:rPr/>
      </w:pPr>
      <w:r>
        <w:rPr>
          <w:color w:val="000000"/>
        </w:rPr>
        <w:t>    </w:t>
      </w:r>
      <w:r>
        <w:rPr>
          <w:rFonts w:ascii="Arial;sans-serif" w:hAnsi="Arial;sans-serif"/>
          <w:b w:val="false"/>
          <w:color w:val="000000"/>
          <w:sz w:val="24"/>
        </w:rPr>
        <w:t>a.    </w:t>
      </w:r>
      <w:r>
        <w:rPr>
          <w:rFonts w:ascii="Arial;sans-serif" w:hAnsi="Arial;sans-serif"/>
          <w:b/>
          <w:color w:val="000000"/>
          <w:sz w:val="24"/>
        </w:rPr>
        <w:t>[FOLLOWING INCLUDED AT COMMITTEE’S DISCRETION: Vesting and Payment Following Retirement.</w:t>
      </w:r>
      <w:r>
        <w:rPr>
          <w:color w:val="000000"/>
        </w:rPr>
        <w:t xml:space="preserve"> </w:t>
      </w:r>
      <w:r>
        <w:rPr>
          <w:rFonts w:ascii="Arial;sans-serif" w:hAnsi="Arial;sans-serif"/>
          <w:b w:val="false"/>
          <w:color w:val="000000"/>
          <w:sz w:val="24"/>
        </w:rPr>
        <w:t>If you terminate employment with the Company and its 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pStyle w:val="TextBody"/>
        <w:bidi w:val="0"/>
        <w:spacing w:lineRule="auto" w:line="300" w:before="0" w:after="160"/>
        <w:jc w:val="both"/>
        <w:rPr/>
      </w:pPr>
      <w:r>
        <w:rPr>
          <w:rFonts w:ascii="Arial;sans-serif" w:hAnsi="Arial;sans-serif"/>
          <w:b/>
          <w:color w:val="000000"/>
          <w:sz w:val="24"/>
        </w:rPr>
        <w:t xml:space="preserve">FOLLOWING PARAGRAPH(S) INCLUDED AT COMMITTEE’S DISCRETION: </w:t>
      </w:r>
      <w:r>
        <w:rPr>
          <w:rFonts w:ascii="Arial;sans-serif" w:hAnsi="Arial;sans-serif"/>
          <w:b w:val="false"/>
          <w:color w:val="000000"/>
          <w:sz w:val="24"/>
        </w:rPr>
        <w:t>(A)    [if your Termination of Employment occurs on or before the 1-year anniversary of the Grant Date,] the amount of unvested Restricted Stock Units [and Additional Restricted Stock Units] that shall vest under this Section 8 shall equal (1) the Actual Award, (2) multiplied by a fraction, the numerator of which is your Years of Service from the Grant Date to your Termination of Employment and the denominator of which is the total Years of Service from the Grant Date to the final vesting date of this Award, then (3) minus the total number of Shares that vested on or before your Termination of Employment; and</w:t>
      </w:r>
    </w:p>
    <w:p>
      <w:pPr>
        <w:pStyle w:val="TextBody"/>
        <w:bidi w:val="0"/>
        <w:spacing w:lineRule="auto" w:line="300" w:before="0" w:after="160"/>
        <w:jc w:val="both"/>
        <w:rPr>
          <w:rFonts w:ascii="Arial;sans-serif" w:hAnsi="Arial;sans-serif"/>
          <w:b/>
          <w:color w:val="000000"/>
          <w:sz w:val="24"/>
        </w:rPr>
      </w:pPr>
      <w:r>
        <w:rPr>
          <w:rFonts w:ascii="Arial;sans-serif" w:hAnsi="Arial;sans-serif"/>
          <w:b/>
          <w:color w:val="000000"/>
          <w:sz w:val="24"/>
        </w:rPr>
        <w:t>AND/OR</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    [if your Termination of Employment occurs after the 1-year anniversary of the Grant Date,] the amount of unvested Restricted Stock Units [and Additional Restricted Stock Units] that shall vest under this Section 8 shall equal (1) the Actual Award, minus (2) the total number of Shares that vested on or before your Termination of Employment; and</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Shares that vest pursuant to Paragraph (A) above shall be distributed at the Award’s next regular vesting date, not to exceed the number of Shares that would have vested at such date under the original vesting schedule, with excess Shares vesting at a future vesting date if necessary.]</w:t>
      </w:r>
    </w:p>
    <w:p>
      <w:pPr>
        <w:pStyle w:val="TextBody"/>
        <w:bidi w:val="0"/>
        <w:spacing w:lineRule="auto" w:line="300" w:before="0" w:after="160"/>
        <w:ind w:left="0" w:right="0" w:firstLine="720"/>
        <w:jc w:val="both"/>
        <w:rPr/>
      </w:pPr>
      <w:r>
        <w:rPr>
          <w:rFonts w:ascii="Arial;sans-serif" w:hAnsi="Arial;sans-serif"/>
          <w:b w:val="false"/>
          <w:color w:val="000000"/>
          <w:sz w:val="24"/>
        </w:rPr>
        <w:t>b.</w:t>
      </w:r>
      <w:r>
        <w:rPr>
          <w:color w:val="000000"/>
        </w:rPr>
        <w:t>    </w:t>
      </w:r>
      <w:r>
        <w:rPr>
          <w:rFonts w:ascii="Arial;sans-serif" w:hAnsi="Arial;sans-serif"/>
          <w:b/>
          <w:color w:val="000000"/>
          <w:sz w:val="24"/>
        </w:rPr>
        <w:t>Vesting and Payment Following Death or Disability.</w:t>
      </w:r>
    </w:p>
    <w:p>
      <w:pPr>
        <w:pStyle w:val="TextBody"/>
        <w:bidi w:val="0"/>
        <w:spacing w:lineRule="auto" w:line="300" w:before="0" w:after="160"/>
        <w:jc w:val="both"/>
        <w:rPr/>
      </w:pPr>
      <w:r>
        <w:rPr>
          <w:rFonts w:ascii="Arial;sans-serif" w:hAnsi="Arial;sans-serif"/>
          <w:b w:val="false"/>
          <w:color w:val="000000"/>
          <w:sz w:val="24"/>
        </w:rPr>
        <w:t>(i)</w:t>
      </w:r>
      <w:r>
        <w:rPr>
          <w:color w:val="000000"/>
        </w:rPr>
        <w:t>    </w:t>
      </w:r>
      <w:r>
        <w:rPr>
          <w:rFonts w:ascii="Arial;sans-serif" w:hAnsi="Arial;sans-serif"/>
          <w:b w:val="false"/>
          <w:color w:val="000000"/>
          <w:sz w:val="24"/>
        </w:rPr>
        <w:t>If your Termination of Employment occurs because of your death or Disability before the last day of the Performance Cycle, you or your estate will receive your Target Award as your Actual Award for the Performance Cycle. [No Additional Restricted Stock Units will be paid in this case. OR Additional Restricted Stock Units will be calculated as provided in Section 4.]</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(ii)    If your Termination of Employment occurs because of your death or Disability after the last day of the Performance Cycle but before the Actual Award is fully paid, you or your estate will receive the remainder of your unpaid Actual Award for the Performance Cycle. [No Additional Restricted Stock Units will be paid in this case. OR Additional Restricted Stock Units will be calculated as provided in Section 4.]</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c.    If your Termination of Employment due to retirement occurs before the vesting date described in Section 6 of this Agreement and you do not satisfy the requirements of Section 8 above, all unvested Restricted Stock Units [and Additional Restricted Stock Units] will be forfeited and your rights with respect to any award under this Agreement will terminate.</w:t>
      </w:r>
    </w:p>
    <w:p>
      <w:pPr>
        <w:pStyle w:val="TextBody"/>
        <w:bidi w:val="0"/>
        <w:spacing w:lineRule="auto" w:line="300" w:before="0" w:after="160"/>
        <w:jc w:val="both"/>
        <w:rPr/>
      </w:pPr>
      <w:r>
        <w:rPr>
          <w:rFonts w:ascii="Arial;sans-serif" w:hAnsi="Arial;sans-serif"/>
          <w:b w:val="false"/>
          <w:color w:val="000000"/>
          <w:sz w:val="24"/>
        </w:rPr>
        <w:t>9.    </w:t>
      </w:r>
      <w:r>
        <w:rPr>
          <w:rFonts w:ascii="Arial;sans-serif" w:hAnsi="Arial;sans-serif"/>
          <w:b/>
          <w:color w:val="000000"/>
          <w:sz w:val="24"/>
        </w:rPr>
        <w:t>[FOLLOWING INCLUDED AT COMMITTEE’S DISCRETION: Retirement.</w:t>
      </w:r>
      <w:r>
        <w:rPr>
          <w:color w:val="000000"/>
        </w:rPr>
        <w:t xml:space="preserve"> </w:t>
      </w:r>
      <w:r>
        <w:rPr>
          <w:rFonts w:ascii="Arial;sans-serif" w:hAnsi="Arial;sans-serif"/>
          <w:b w:val="false"/>
          <w:color w:val="000000"/>
          <w:sz w:val="24"/>
        </w:rPr>
        <w:t>For the avoidance of doubt, if your Termination of Employment occurs solely because of your Retirement at any age before the last day of the Performance Cycle, all unvested Restricted Stock Units [and Additional Restricted Stock Units] will be forfeited and your rights with respect to any award under this Agreement will end.</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OR</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 xml:space="preserve">If your Termination of Employment occurs solely because of your Retirement on or after age [AGE] before the last day of the Performance Cycle, you will receive a pro-rata payment of your Target Award as your Actual Award equal to the product of (a) times (b), minus (c), where (a) equals the total number of Restricted Stock Units set forth in Section 1 above [plus the total number of Additional Restricted Stock Units credited to you as of your Termination of Employment], (b) equals the ratio of your complete years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of service as an employee of the Company or its Affiliates between the Award Date and your Termination of Employment, and the number of complete years of service required under this Agreement to be fully vested in all Restricted Stock Units [and Additional Restricted Stock Units], and (c) equals the number of Restricted Stock Units [and Additional Restricted Stock Units] that vested before your Termination of Employment.</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OR</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If your Termination of Employment occurs solely because of your Retirement on or after age [AGE] before the last day of the Performance Cycle, you will be vested in an additional number of Restricted Stock Units [and related Additional Restricted Stock Units] equal to [INSERT VESTING PROVISION ON RETIREMENT AT OR AFTER THE SPECIFIED AGE].]</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[INCLUDE AS APPLICABLE: If your Termination of Employment occurs solely because of your Retirement on or after age [AGE] after the last day of the Performance Cycle but before the Actual Award is fully paid, you will receive the remainder of your unpaid Actual Award for the Performance Cycle.</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OR</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If your Termination of Employment occurs solely because of your Retirement on or after age [AGE] after the last day of the Performance Cycle but before the Actual Award is fully paid, any unpaid Actual Award will be forfeited and your rights with respect to any such Actual Award under this Agreement will terminate.</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OR</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If your Termination of Employment occurs solely because of your Retirement on or after age [AGE] after the last day of the Performance Cycle but before the Actual Award is fully paid, any unpaid Actual Award will be paid as follows: [INSERT VESTING PROVISION ON RETIREMENT ON OR AFTER AGE [AGE]].]</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[No Additional Restricted Stock Units will be paid in this case. OR Additional Restricted Stock Units will be calculated as provided in Section 4.]</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[INCLUDE AS APPLICABLE: Notwithstanding the preceding sentence, if you are a “specified employee” under Section 409A of the Code as of the date your Termination of Employment occurs due to Retirement, payment for vested Restricted Stock Units [and Additional Restricted Stock Units] will be made on the first business day of the first calendar month that begins after the six-month anniversary of your Termination of Employment, or, if earlier, your death.</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 xml:space="preserve">Subject to a deferral election, if (i) you are eligible for Retirement on or after age [AGE] on the Award Date or you become eligible for Retirement on or after age [AGE] before the last vesting date described in Section 6 of this Agreement and (ii) your Termination of Employment does not occur before the last vesting date described in Section 6 of this Agreement, payment for vested Restricted Stock Units [and Additional Restricted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Units] will be made as soon as practicable following the applicable vesting date described in Section 6 of this Agreement but in no event later than the last day of the calendar year in which each such vesting date occurs.]</w:t>
      </w:r>
    </w:p>
    <w:p>
      <w:pPr>
        <w:pStyle w:val="TextBody"/>
        <w:bidi w:val="0"/>
        <w:spacing w:lineRule="auto" w:line="300" w:before="0" w:after="160"/>
        <w:jc w:val="both"/>
        <w:rPr/>
      </w:pPr>
      <w:r>
        <w:rPr>
          <w:rFonts w:ascii="Arial;sans-serif" w:hAnsi="Arial;sans-serif"/>
          <w:b w:val="false"/>
          <w:color w:val="000000"/>
          <w:sz w:val="24"/>
        </w:rPr>
        <w:t>10.    </w:t>
      </w:r>
      <w:r>
        <w:rPr>
          <w:rFonts w:ascii="Arial;sans-serif" w:hAnsi="Arial;sans-serif"/>
          <w:b/>
          <w:color w:val="000000"/>
          <w:sz w:val="24"/>
        </w:rPr>
        <w:t>Change in Control.</w:t>
      </w:r>
      <w:r>
        <w:rPr>
          <w:color w:val="000000"/>
        </w:rPr>
        <w:t xml:space="preserve"> </w:t>
      </w:r>
      <w:r>
        <w:rPr>
          <w:rFonts w:ascii="Arial;sans-serif" w:hAnsi="Arial;sans-serif"/>
          <w:b w:val="false"/>
          <w:color w:val="000000"/>
          <w:sz w:val="24"/>
        </w:rPr>
        <w:t>Notwithstanding anything in Sections 2 through 9 above to the contrary, in the event of a Change in Control (as defined in the Plan), the following provisions apply:</w:t>
      </w:r>
    </w:p>
    <w:p>
      <w:pPr>
        <w:pStyle w:val="TextBody"/>
        <w:bidi w:val="0"/>
        <w:spacing w:lineRule="auto" w:line="300" w:before="0" w:after="160"/>
        <w:ind w:left="0" w:right="0" w:firstLine="720"/>
        <w:jc w:val="both"/>
        <w:rPr/>
      </w:pPr>
      <w:r>
        <w:rPr>
          <w:rFonts w:ascii="Arial;sans-serif" w:hAnsi="Arial;sans-serif"/>
          <w:b w:val="false"/>
          <w:color w:val="000000"/>
          <w:sz w:val="24"/>
        </w:rPr>
        <w:t>a.    </w:t>
      </w:r>
      <w:r>
        <w:rPr>
          <w:rFonts w:ascii="Arial;sans-serif" w:hAnsi="Arial;sans-serif"/>
          <w:b/>
          <w:color w:val="000000"/>
          <w:sz w:val="24"/>
        </w:rPr>
        <w:t>Rollover of Awards.</w:t>
      </w:r>
      <w:r>
        <w:rPr>
          <w:color w:val="000000"/>
        </w:rPr>
        <w:t xml:space="preserve"> </w:t>
      </w:r>
      <w:r>
        <w:rPr>
          <w:rFonts w:ascii="Arial;sans-serif" w:hAnsi="Arial;sans-serif"/>
          <w:b w:val="false"/>
          <w:color w:val="000000"/>
          <w:sz w:val="24"/>
        </w:rPr>
        <w:t>If adjusted or exchanged pursuant to Section 5.3(c), 5.3(d), 5.3(e) or 5.3(f) of the Plan, Restricted Stock Units [and Additional Restricted Stock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[subject to the terms of a deferral election,] the unpaid portion of your Actual Award will immediately vest in full and be settled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[subject to the terms of a deferral election,] an amount equal to the Target Award, pro-rated to reflect the portion of the Performance Cycle that elapsed prior to such Termination of Employment, will be paid in Shares no later than the earlier of 90 days after the Termination of Employment or two and one-half months after the end of the calendar year in which the Termination of Employment occurs.</w:t>
      </w:r>
    </w:p>
    <w:p>
      <w:pPr>
        <w:pStyle w:val="TextBody"/>
        <w:bidi w:val="0"/>
        <w:spacing w:lineRule="auto" w:line="300" w:before="0" w:after="160"/>
        <w:ind w:left="0" w:right="0" w:firstLine="720"/>
        <w:jc w:val="both"/>
        <w:rPr/>
      </w:pPr>
      <w:r>
        <w:rPr>
          <w:rFonts w:ascii="Arial;sans-serif" w:hAnsi="Arial;sans-serif"/>
          <w:b w:val="false"/>
          <w:color w:val="000000"/>
          <w:sz w:val="24"/>
        </w:rPr>
        <w:t>b.    </w:t>
      </w:r>
      <w:r>
        <w:rPr>
          <w:rFonts w:ascii="Arial;sans-serif" w:hAnsi="Arial;sans-serif"/>
          <w:b/>
          <w:color w:val="000000"/>
          <w:sz w:val="24"/>
        </w:rPr>
        <w:t>Cashout of Awards.</w:t>
      </w:r>
      <w:r>
        <w:rPr>
          <w:color w:val="000000"/>
        </w:rPr>
        <w:t xml:space="preserve"> </w:t>
      </w:r>
      <w:r>
        <w:rPr>
          <w:rFonts w:ascii="Arial;sans-serif" w:hAnsi="Arial;sans-serif"/>
          <w:b w:val="false"/>
          <w:color w:val="000000"/>
          <w:sz w:val="24"/>
        </w:rPr>
        <w:t xml:space="preserve">Unless adjusted or exchanged pursuant to Section 5.3(c), 5.3(d)(ii), 5.3(e) or 5.3(f) of the Plan (concerning rollover of outstanding awards in certain circumstances), Restricted Stock Units [and Additional Restricted Stock Units] that have not vested or terminated as of the date of the Change in Control will immediately vest. If the Change in Control occurs after the Performance Cycle has ended, [subject to the terms of a deferral election,] you will receive the portion of your unpaid Actual Award. If the Change in Control occurs before the Performance Cycle has ended, [subject to the terms of a deferral election,]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vested and outstanding Restricted Stock Units [and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Additional Restricted Stock Units] as of the date of the Change in Control (including any Restricted Stock Units [and Additional Restricted Stock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pStyle w:val="TextBody"/>
        <w:bidi w:val="0"/>
        <w:spacing w:lineRule="auto" w:line="300" w:before="0" w:after="160"/>
        <w:jc w:val="both"/>
        <w:rPr/>
      </w:pPr>
      <w:r>
        <w:rPr>
          <w:rFonts w:ascii="Arial;sans-serif" w:hAnsi="Arial;sans-serif"/>
          <w:b w:val="false"/>
          <w:color w:val="000000"/>
          <w:sz w:val="24"/>
        </w:rPr>
        <w:t>11.    </w:t>
      </w:r>
      <w:r>
        <w:rPr>
          <w:rFonts w:ascii="Arial;sans-serif" w:hAnsi="Arial;sans-serif"/>
          <w:b/>
          <w:color w:val="000000"/>
          <w:sz w:val="24"/>
        </w:rPr>
        <w:t>[FOLLOWING INCLUDED AT COMMITTEE’S DISCRETION: Deferral of Payment.</w:t>
      </w:r>
      <w:r>
        <w:rPr>
          <w:color w:val="000000"/>
        </w:rPr>
        <w:t xml:space="preserve"> </w:t>
      </w:r>
      <w:r>
        <w:rPr>
          <w:rFonts w:ascii="Arial;sans-serif" w:hAnsi="Arial;sans-serif"/>
          <w:b w:val="false"/>
          <w:color w:val="000000"/>
          <w:sz w:val="24"/>
        </w:rPr>
        <w:t>If you would like to defer payment on the Restricted Stock Units and related Additional Restricted Stock Units, you may do so in writing on the deferral form provided with this grant setting forth your desired payment schedule. The deferral shall not be permitted if, within the determination of the Company, such deferral would result in a violation of Section 409A of the Internal Revenue Code of 1986, as amended (the “Code”) and the regulations promulgated thereunder. If the deferral is not permitted, then payment shall be made as provided in this Agreement. All Additional Restricted Stock Units shall be subject to the same deferral restrictions as the Restricted Stock Units to which they relate.]</w:t>
      </w:r>
    </w:p>
    <w:p>
      <w:pPr>
        <w:pStyle w:val="TextBody"/>
        <w:bidi w:val="0"/>
        <w:spacing w:lineRule="auto" w:line="300" w:before="0" w:after="160"/>
        <w:jc w:val="both"/>
        <w:rPr/>
      </w:pPr>
      <w:r>
        <w:rPr>
          <w:rFonts w:ascii="Arial;sans-serif" w:hAnsi="Arial;sans-serif"/>
          <w:b w:val="false"/>
          <w:color w:val="000000"/>
          <w:sz w:val="24"/>
        </w:rPr>
        <w:t>12.    </w:t>
      </w:r>
      <w:r>
        <w:rPr>
          <w:rFonts w:ascii="Arial;sans-serif" w:hAnsi="Arial;sans-serif"/>
          <w:b/>
          <w:color w:val="000000"/>
          <w:sz w:val="24"/>
        </w:rPr>
        <w:t>Withholdings.</w:t>
      </w:r>
      <w:r>
        <w:rPr>
          <w:color w:val="000000"/>
        </w:rPr>
        <w:t xml:space="preserve"> </w:t>
      </w:r>
      <w:r>
        <w:rPr>
          <w:rFonts w:ascii="Arial;sans-serif" w:hAnsi="Arial;sans-serif"/>
          <w:b w:val="false"/>
          <w:color w:val="000000"/>
          <w:sz w:val="24"/>
        </w:rPr>
        <w:t>The Company or your local employer shall have the power and the right to deduct or withhold, or 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pStyle w:val="TextBody"/>
        <w:bidi w:val="0"/>
        <w:spacing w:lineRule="auto" w:line="300" w:before="0" w:after="160"/>
        <w:jc w:val="both"/>
        <w:rPr/>
      </w:pPr>
      <w:r>
        <w:rPr>
          <w:rFonts w:ascii="Arial;sans-serif" w:hAnsi="Arial;sans-serif"/>
          <w:b w:val="false"/>
          <w:color w:val="000000"/>
          <w:sz w:val="24"/>
        </w:rPr>
        <w:t>13.    </w:t>
      </w:r>
      <w:r>
        <w:rPr>
          <w:rFonts w:ascii="Arial;sans-serif" w:hAnsi="Arial;sans-serif"/>
          <w:b/>
          <w:color w:val="000000"/>
          <w:sz w:val="24"/>
        </w:rPr>
        <w:t>Transfer of Award.</w:t>
      </w:r>
      <w:r>
        <w:rPr>
          <w:color w:val="000000"/>
        </w:rPr>
        <w:t xml:space="preserve"> </w:t>
      </w:r>
      <w:r>
        <w:rPr>
          <w:rFonts w:ascii="Arial;sans-serif" w:hAnsi="Arial;sans-serif"/>
          <w:b w:val="false"/>
          <w:color w:val="000000"/>
          <w:sz w:val="24"/>
        </w:rPr>
        <w:t>You may not transfer the Restricted Stock Units [, Additional Restricted Stock Units] or any interest in such Units except by will or the laws of descent and distribution or except as permitted by the Committee and as specified in the Plan. Any other attempt to dispose of your interest will be null and void.</w:t>
      </w:r>
    </w:p>
    <w:p>
      <w:pPr>
        <w:pStyle w:val="TextBody"/>
        <w:bidi w:val="0"/>
        <w:spacing w:lineRule="auto" w:line="300" w:before="0" w:after="160"/>
        <w:jc w:val="both"/>
        <w:rPr/>
      </w:pPr>
      <w:r>
        <w:rPr>
          <w:rFonts w:ascii="Arial;sans-serif" w:hAnsi="Arial;sans-serif"/>
          <w:b w:val="false"/>
          <w:color w:val="000000"/>
          <w:sz w:val="24"/>
        </w:rPr>
        <w:t>14.    </w:t>
      </w:r>
      <w:r>
        <w:rPr>
          <w:rFonts w:ascii="Arial;sans-serif" w:hAnsi="Arial;sans-serif"/>
          <w:b/>
          <w:color w:val="000000"/>
          <w:sz w:val="24"/>
        </w:rPr>
        <w:t>Requirements for and Forfeiture of Award.</w:t>
      </w:r>
    </w:p>
    <w:p>
      <w:pPr>
        <w:pStyle w:val="TextBody"/>
        <w:bidi w:val="0"/>
        <w:spacing w:lineRule="auto" w:line="300" w:before="0" w:after="160"/>
        <w:ind w:left="0" w:right="0" w:firstLine="720"/>
        <w:jc w:val="both"/>
        <w:rPr/>
      </w:pPr>
      <w:r>
        <w:rPr>
          <w:rFonts w:ascii="Arial;sans-serif" w:hAnsi="Arial;sans-serif"/>
          <w:b w:val="false"/>
          <w:color w:val="000000"/>
          <w:sz w:val="24"/>
        </w:rPr>
        <w:t>a.    </w:t>
      </w:r>
      <w:r>
        <w:rPr>
          <w:rFonts w:ascii="Arial;sans-serif" w:hAnsi="Arial;sans-serif"/>
          <w:b/>
          <w:color w:val="000000"/>
          <w:sz w:val="24"/>
        </w:rPr>
        <w:t>General.</w:t>
      </w:r>
      <w:r>
        <w:rPr>
          <w:color w:val="000000"/>
        </w:rPr>
        <w:t xml:space="preserve"> </w:t>
      </w:r>
      <w:r>
        <w:rPr>
          <w:rFonts w:ascii="Arial;sans-serif" w:hAnsi="Arial;sans-serif"/>
          <w:b w:val="false"/>
          <w:color w:val="000000"/>
          <w:sz w:val="24"/>
        </w:rPr>
        <w:t xml:space="preserve">The Award is expressly contingent upon you complying with the terms, conditions and definitions contained in this Section 14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14, the term “Honeywell” is defined as Honeywell International Inc. (a Delaware corporation having a place of business in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pStyle w:val="TextBody"/>
        <w:bidi w:val="0"/>
        <w:spacing w:lineRule="auto" w:line="300" w:before="0" w:after="160"/>
        <w:ind w:left="0" w:right="0" w:firstLine="720"/>
        <w:jc w:val="both"/>
        <w:rPr/>
      </w:pPr>
      <w:r>
        <w:rPr>
          <w:rFonts w:ascii="Arial;sans-serif" w:hAnsi="Arial;sans-serif"/>
          <w:b w:val="false"/>
          <w:color w:val="000000"/>
          <w:sz w:val="24"/>
        </w:rPr>
        <w:t>b.    </w:t>
      </w:r>
      <w:r>
        <w:rPr>
          <w:rFonts w:ascii="Arial;sans-serif" w:hAnsi="Arial;sans-serif"/>
          <w:b/>
          <w:color w:val="000000"/>
          <w:sz w:val="24"/>
        </w:rPr>
        <w:t>Remedies.</w:t>
      </w:r>
    </w:p>
    <w:p>
      <w:pPr>
        <w:pStyle w:val="TextBody"/>
        <w:bidi w:val="0"/>
        <w:spacing w:lineRule="auto" w:line="300" w:before="0" w:after="160"/>
        <w:ind w:left="0" w:right="0" w:firstLine="1440"/>
        <w:jc w:val="both"/>
        <w:rPr>
          <w:rFonts w:ascii="Arial;sans-serif" w:hAnsi="Arial;sans-serif"/>
          <w:b w:val="false"/>
          <w:color w:val="000000"/>
          <w:sz w:val="24"/>
        </w:rPr>
      </w:pPr>
      <w:r>
        <w:rPr>
          <w:rFonts w:ascii="Arial;sans-serif" w:hAnsi="Arial;sans-serif"/>
          <w:b w:val="false"/>
          <w:color w:val="000000"/>
          <w:sz w:val="24"/>
        </w:rPr>
        <w:t>1.    You expressly agree and acknowledge that the forfeiture provisions of subsection 14.b.2.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For purposes of this subsection 14.b.1,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1440"/>
        <w:jc w:val="both"/>
        <w:rPr>
          <w:rFonts w:ascii="Arial;sans-serif" w:hAnsi="Arial;sans-serif"/>
          <w:b w:val="false"/>
          <w:color w:val="000000"/>
          <w:sz w:val="24"/>
        </w:rPr>
      </w:pPr>
      <w:r>
        <w:rPr>
          <w:rFonts w:ascii="Arial;sans-serif" w:hAnsi="Arial;sans-serif"/>
          <w:b w:val="false"/>
          <w:color w:val="000000"/>
          <w:sz w:val="24"/>
        </w:rPr>
        <w:t>2.    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14.b.1. of this Agreement or you are terminated for Cause (as defined in the Plan) or you voluntarily terminate your employment with less than a 60-day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pStyle w:val="TextBody"/>
        <w:bidi w:val="0"/>
        <w:spacing w:lineRule="auto" w:line="300" w:before="0" w:after="160"/>
        <w:ind w:left="0" w:right="0" w:firstLine="1440"/>
        <w:jc w:val="both"/>
        <w:rPr>
          <w:rFonts w:ascii="Arial;sans-serif" w:hAnsi="Arial;sans-serif"/>
          <w:b w:val="false"/>
          <w:color w:val="000000"/>
          <w:sz w:val="24"/>
        </w:rPr>
      </w:pPr>
      <w:r>
        <w:rPr>
          <w:rFonts w:ascii="Arial;sans-serif" w:hAnsi="Arial;sans-serif"/>
          <w:b w:val="false"/>
          <w:color w:val="000000"/>
          <w:sz w:val="24"/>
        </w:rPr>
        <w:t>3.    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pStyle w:val="TextBody"/>
        <w:bidi w:val="0"/>
        <w:spacing w:lineRule="auto" w:line="300" w:before="0" w:after="160"/>
        <w:jc w:val="both"/>
        <w:rPr/>
      </w:pPr>
      <w:r>
        <w:rPr>
          <w:rFonts w:ascii="Arial;sans-serif" w:hAnsi="Arial;sans-serif"/>
          <w:b w:val="false"/>
          <w:color w:val="000000"/>
          <w:sz w:val="24"/>
        </w:rPr>
        <w:t>15.    </w:t>
      </w:r>
      <w:r>
        <w:rPr>
          <w:rFonts w:ascii="Arial;sans-serif" w:hAnsi="Arial;sans-serif"/>
          <w:b/>
          <w:color w:val="000000"/>
          <w:sz w:val="24"/>
        </w:rPr>
        <w:t>Restrictions on Payment of Shares.</w:t>
      </w:r>
      <w:r>
        <w:rPr>
          <w:color w:val="000000"/>
        </w:rPr>
        <w:t xml:space="preserve"> </w:t>
      </w:r>
      <w:r>
        <w:rPr>
          <w:rFonts w:ascii="Arial;sans-serif" w:hAnsi="Arial;sans-serif"/>
          <w:b w:val="false"/>
          <w:color w:val="000000"/>
          <w:sz w:val="24"/>
        </w:rPr>
        <w:t>Payment of Shares for your Restricted Stock Units [and Additional Restricted Stock 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pStyle w:val="TextBody"/>
        <w:bidi w:val="0"/>
        <w:spacing w:lineRule="auto" w:line="300" w:before="0" w:after="160"/>
        <w:jc w:val="both"/>
        <w:rPr/>
      </w:pPr>
      <w:r>
        <w:rPr>
          <w:rFonts w:ascii="Arial;sans-serif" w:hAnsi="Arial;sans-serif"/>
          <w:b w:val="false"/>
          <w:color w:val="000000"/>
          <w:sz w:val="24"/>
        </w:rPr>
        <w:t>16.    </w:t>
      </w:r>
      <w:r>
        <w:rPr>
          <w:rFonts w:ascii="Arial;sans-serif" w:hAnsi="Arial;sans-serif"/>
          <w:b/>
          <w:color w:val="000000"/>
          <w:sz w:val="24"/>
        </w:rPr>
        <w:t>Adjustments.</w:t>
      </w:r>
      <w:r>
        <w:rPr>
          <w:color w:val="000000"/>
        </w:rPr>
        <w:t xml:space="preserve"> </w:t>
      </w:r>
      <w:r>
        <w:rPr>
          <w:rFonts w:ascii="Arial;sans-serif" w:hAnsi="Arial;sans-serif"/>
          <w:b w:val="false"/>
          <w:color w:val="000000"/>
          <w:sz w:val="24"/>
        </w:rPr>
        <w:t>Any adjustments to the Restricted Stock Units [and Additional Restricted Stock Units] will be governed by Section 5.3 of the Plan.</w:t>
      </w:r>
    </w:p>
    <w:p>
      <w:pPr>
        <w:pStyle w:val="TextBody"/>
        <w:bidi w:val="0"/>
        <w:spacing w:lineRule="auto" w:line="300" w:before="0" w:after="160"/>
        <w:jc w:val="both"/>
        <w:rPr/>
      </w:pPr>
      <w:r>
        <w:rPr>
          <w:rFonts w:ascii="Arial;sans-serif" w:hAnsi="Arial;sans-serif"/>
          <w:b w:val="false"/>
          <w:color w:val="000000"/>
          <w:sz w:val="24"/>
        </w:rPr>
        <w:t>17.    </w:t>
      </w:r>
      <w:r>
        <w:rPr>
          <w:rFonts w:ascii="Arial;sans-serif" w:hAnsi="Arial;sans-serif"/>
          <w:b/>
          <w:color w:val="000000"/>
          <w:sz w:val="24"/>
        </w:rPr>
        <w:t>Disposition of Securities.</w:t>
      </w:r>
      <w:r>
        <w:rPr>
          <w:color w:val="000000"/>
        </w:rPr>
        <w:t xml:space="preserve"> </w:t>
      </w:r>
      <w:r>
        <w:rPr>
          <w:rFonts w:ascii="Arial;sans-serif" w:hAnsi="Arial;sans-serif"/>
          <w:b w:val="false"/>
          <w:color w:val="000000"/>
          <w:sz w:val="24"/>
        </w:rPr>
        <w:t xml:space="preserve">By accepting the Award, you acknowledge that you have read and understand (i) the 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9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compensation or profit you realize on the disposition of Shares received for Restricted Stock Units [or Additional Restricted Stock Units] to the extent that the Company has a right of recovery or reimbursement under applicable securities laws.</w:t>
      </w:r>
    </w:p>
    <w:p>
      <w:pPr>
        <w:pStyle w:val="TextBody"/>
        <w:bidi w:val="0"/>
        <w:spacing w:lineRule="auto" w:line="300" w:before="0" w:after="160"/>
        <w:jc w:val="both"/>
        <w:rPr/>
      </w:pPr>
      <w:r>
        <w:rPr>
          <w:rFonts w:ascii="Arial;sans-serif" w:hAnsi="Arial;sans-serif"/>
          <w:b w:val="false"/>
          <w:color w:val="000000"/>
          <w:sz w:val="24"/>
        </w:rPr>
        <w:t>18.    </w:t>
      </w:r>
      <w:r>
        <w:rPr>
          <w:rFonts w:ascii="Arial;sans-serif" w:hAnsi="Arial;sans-serif"/>
          <w:b/>
          <w:color w:val="000000"/>
          <w:sz w:val="24"/>
        </w:rPr>
        <w:t>Plan Terms Govern.</w:t>
      </w:r>
      <w:r>
        <w:rPr>
          <w:color w:val="000000"/>
        </w:rPr>
        <w:t xml:space="preserve"> </w:t>
      </w:r>
      <w:r>
        <w:rPr>
          <w:rFonts w:ascii="Arial;sans-serif" w:hAnsi="Arial;sans-serif"/>
          <w:b w:val="false"/>
          <w:color w:val="000000"/>
          <w:sz w:val="24"/>
        </w:rPr>
        <w:t>The vesting and redemption of Restricted Stock Units [or Additional Restricted Stock 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Without limiting the generality of the foregoing, you agree that all determinations made by the Committee of Total Shareholder Return and the Company’s ranking within the Compensation Peer Group shall be final, binding and conclusive on you in accordance with Article III of the Plan.</w:t>
      </w:r>
    </w:p>
    <w:p>
      <w:pPr>
        <w:pStyle w:val="TextBody"/>
        <w:bidi w:val="0"/>
        <w:spacing w:lineRule="auto" w:line="300" w:before="0" w:after="160"/>
        <w:jc w:val="both"/>
        <w:rPr/>
      </w:pPr>
      <w:r>
        <w:rPr>
          <w:rFonts w:ascii="Arial;sans-serif" w:hAnsi="Arial;sans-serif"/>
          <w:b w:val="false"/>
          <w:color w:val="000000"/>
          <w:sz w:val="24"/>
        </w:rPr>
        <w:t>19.    </w:t>
      </w:r>
      <w:r>
        <w:rPr>
          <w:rFonts w:ascii="Arial;sans-serif" w:hAnsi="Arial;sans-serif"/>
          <w:b/>
          <w:color w:val="000000"/>
          <w:sz w:val="24"/>
        </w:rPr>
        <w:t>Personal Data.</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c.    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turn, further transfer Data to any third parties assisting the Company in the implementation, administration, and management of the Plan (“Data Recipients”).</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g.    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pStyle w:val="TextBody"/>
        <w:bidi w:val="0"/>
        <w:spacing w:lineRule="auto" w:line="300" w:before="0" w:after="160"/>
        <w:jc w:val="both"/>
        <w:rPr/>
      </w:pPr>
      <w:r>
        <w:rPr>
          <w:rFonts w:ascii="Arial;sans-serif" w:hAnsi="Arial;sans-serif"/>
          <w:b w:val="false"/>
          <w:color w:val="000000"/>
          <w:sz w:val="24"/>
        </w:rPr>
        <w:t>20.    </w:t>
      </w:r>
      <w:r>
        <w:rPr>
          <w:rFonts w:ascii="Arial;sans-serif" w:hAnsi="Arial;sans-serif"/>
          <w:b/>
          <w:color w:val="000000"/>
          <w:sz w:val="24"/>
        </w:rPr>
        <w:t>Discretionary Nature and Acceptance of Award.</w:t>
      </w:r>
      <w:r>
        <w:rPr>
          <w:color w:val="000000"/>
        </w:rPr>
        <w:t xml:space="preserve"> </w:t>
      </w:r>
      <w:r>
        <w:rPr>
          <w:rFonts w:ascii="Arial;sans-serif" w:hAnsi="Arial;sans-serif"/>
          <w:b w:val="false"/>
          <w:color w:val="000000"/>
          <w:sz w:val="24"/>
        </w:rPr>
        <w:t>By accepting this Award, you agree to be bound by the terms of this Agreement and acknowledge that:</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b.    The Company may administer the Plan from outside your country of residence and United States law will govern all Restricted Stock Units [and Additional Restricted Stock Units] granted under the Plan.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c.    Benefits and rights provided under the Plan are wholly discretionary and, although provided by the Company, do not constitute regular or periodic payments.</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e.    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g.    Participation in the Plan will not be deemed to constitute, and will not be deemed by you to constitute, an employment or labor relationship of any kind with the Company.</w:t>
      </w:r>
    </w:p>
    <w:p>
      <w:pPr>
        <w:pStyle w:val="TextBody"/>
        <w:bidi w:val="0"/>
        <w:spacing w:lineRule="auto" w:line="300" w:before="0" w:after="160"/>
        <w:jc w:val="both"/>
        <w:rPr/>
      </w:pPr>
      <w:r>
        <w:rPr>
          <w:rFonts w:ascii="Arial;sans-serif" w:hAnsi="Arial;sans-serif"/>
          <w:b w:val="false"/>
          <w:color w:val="000000"/>
          <w:sz w:val="24"/>
        </w:rPr>
        <w:t>21.    </w:t>
      </w:r>
      <w:r>
        <w:rPr>
          <w:rFonts w:ascii="Arial;sans-serif" w:hAnsi="Arial;sans-serif"/>
          <w:b/>
          <w:color w:val="000000"/>
          <w:sz w:val="24"/>
        </w:rPr>
        <w:t>Limitations.</w:t>
      </w:r>
      <w:r>
        <w:rPr>
          <w:color w:val="000000"/>
        </w:rPr>
        <w:t xml:space="preserve"> </w:t>
      </w:r>
      <w:r>
        <w:rPr>
          <w:rFonts w:ascii="Arial;sans-serif" w:hAnsi="Arial;sans-serif"/>
          <w:b w:val="false"/>
          <w:color w:val="000000"/>
          <w:sz w:val="24"/>
        </w:rPr>
        <w:t>Nothing in this Agreement or the Plan gives you any right to continue in the employ of the Company or any of 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pStyle w:val="TextBody"/>
        <w:bidi w:val="0"/>
        <w:spacing w:lineRule="auto" w:line="300" w:before="0" w:after="160"/>
        <w:jc w:val="both"/>
        <w:rPr/>
      </w:pPr>
      <w:r>
        <w:rPr>
          <w:rFonts w:ascii="Arial;sans-serif" w:hAnsi="Arial;sans-serif"/>
          <w:b w:val="false"/>
          <w:color w:val="000000"/>
          <w:sz w:val="24"/>
        </w:rPr>
        <w:t>22.    </w:t>
      </w:r>
      <w:r>
        <w:rPr>
          <w:rFonts w:ascii="Arial;sans-serif" w:hAnsi="Arial;sans-serif"/>
          <w:b/>
          <w:color w:val="000000"/>
          <w:sz w:val="24"/>
        </w:rPr>
        <w:t>Incorporation of Other Agreements.</w:t>
      </w:r>
      <w:r>
        <w:rPr>
          <w:color w:val="000000"/>
        </w:rPr>
        <w:t xml:space="preserve"> </w:t>
      </w:r>
      <w:r>
        <w:rPr>
          <w:rFonts w:ascii="Arial;sans-serif" w:hAnsi="Arial;sans-serif"/>
          <w:b w:val="false"/>
          <w:color w:val="000000"/>
          <w:sz w:val="24"/>
        </w:rPr>
        <w:t>This Agreement and the Plan constitute the entire understanding between you and the Company regarding the Restricted Stock Units. This Agreement supersedes any prior agreements, commitments or negotiations concerning the Restricted Stock Units [and Additional Restricted Stock Units].</w:t>
      </w:r>
    </w:p>
    <w:p>
      <w:pPr>
        <w:pStyle w:val="TextBody"/>
        <w:bidi w:val="0"/>
        <w:spacing w:lineRule="auto" w:line="300" w:before="0" w:after="160"/>
        <w:jc w:val="both"/>
        <w:rPr/>
      </w:pPr>
      <w:r>
        <w:rPr>
          <w:rFonts w:ascii="Arial;sans-serif" w:hAnsi="Arial;sans-serif"/>
          <w:b w:val="false"/>
          <w:color w:val="000000"/>
          <w:sz w:val="24"/>
        </w:rPr>
        <w:t>23.    </w:t>
      </w:r>
      <w:r>
        <w:rPr>
          <w:rFonts w:ascii="Arial;sans-serif" w:hAnsi="Arial;sans-serif"/>
          <w:b/>
          <w:color w:val="000000"/>
          <w:sz w:val="24"/>
        </w:rPr>
        <w:t>Severability.</w:t>
      </w:r>
      <w:r>
        <w:rPr>
          <w:color w:val="000000"/>
        </w:rPr>
        <w:t xml:space="preserve"> </w:t>
      </w:r>
      <w:r>
        <w:rPr>
          <w:rFonts w:ascii="Arial;sans-serif" w:hAnsi="Arial;sans-serif"/>
          <w:b w:val="false"/>
          <w:color w:val="000000"/>
          <w:sz w:val="24"/>
        </w:rPr>
        <w:t>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pPr>
      <w:r>
        <w:rPr>
          <w:rFonts w:ascii="Arial;sans-serif" w:hAnsi="Arial;sans-serif"/>
          <w:b w:val="false"/>
          <w:color w:val="000000"/>
          <w:sz w:val="24"/>
        </w:rPr>
        <w:t>24.    </w:t>
      </w:r>
      <w:r>
        <w:rPr>
          <w:rFonts w:ascii="Arial;sans-serif" w:hAnsi="Arial;sans-serif"/>
          <w:b/>
          <w:color w:val="000000"/>
          <w:sz w:val="24"/>
        </w:rPr>
        <w:t>Governing Law.</w:t>
      </w:r>
      <w:r>
        <w:rPr>
          <w:color w:val="000000"/>
        </w:rPr>
        <w:t xml:space="preserve"> </w:t>
      </w:r>
      <w:r>
        <w:rPr>
          <w:rFonts w:ascii="Arial;sans-serif" w:hAnsi="Arial;sans-serif"/>
          <w:b w:val="false"/>
          <w:color w:val="000000"/>
          <w:sz w:val="24"/>
        </w:rPr>
        <w:t>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w:t>
      </w:r>
    </w:p>
    <w:p>
      <w:pPr>
        <w:pStyle w:val="TextBody"/>
        <w:bidi w:val="0"/>
        <w:spacing w:lineRule="auto" w:line="300" w:before="0" w:after="160"/>
        <w:jc w:val="both"/>
        <w:rPr/>
      </w:pPr>
      <w:r>
        <w:rPr>
          <w:rFonts w:ascii="Arial;sans-serif" w:hAnsi="Arial;sans-serif"/>
          <w:b w:val="false"/>
          <w:color w:val="000000"/>
          <w:sz w:val="24"/>
        </w:rPr>
        <w:t>25.    </w:t>
      </w:r>
      <w:r>
        <w:rPr>
          <w:rFonts w:ascii="Arial;sans-serif" w:hAnsi="Arial;sans-serif"/>
          <w:b/>
          <w:color w:val="000000"/>
          <w:sz w:val="24"/>
        </w:rPr>
        <w:t>Agreement Changes.</w:t>
      </w:r>
      <w:r>
        <w:rPr>
          <w:color w:val="000000"/>
        </w:rPr>
        <w:t xml:space="preserve"> </w:t>
      </w:r>
      <w:r>
        <w:rPr>
          <w:rFonts w:ascii="Arial;sans-serif" w:hAnsi="Arial;sans-serif"/>
          <w:b w:val="false"/>
          <w:color w:val="000000"/>
          <w:sz w:val="24"/>
        </w:rPr>
        <w:t>The Company reserves the right to change the terms of this Agreement and the Plan without your consent to the extent necessary or desirable to comply with the requirements of Code section 409A, the Treasury regulations and other guidance thereunder.</w:t>
      </w:r>
    </w:p>
    <w:p>
      <w:pPr>
        <w:pStyle w:val="TextBody"/>
        <w:bidi w:val="0"/>
        <w:spacing w:lineRule="auto" w:line="300" w:before="0" w:after="160"/>
        <w:jc w:val="both"/>
        <w:rPr/>
      </w:pPr>
      <w:r>
        <w:rPr>
          <w:rFonts w:ascii="Arial;sans-serif" w:hAnsi="Arial;sans-serif"/>
          <w:b w:val="false"/>
          <w:color w:val="000000"/>
          <w:sz w:val="24"/>
        </w:rPr>
        <w:t>26.    </w:t>
      </w:r>
      <w:r>
        <w:rPr>
          <w:rFonts w:ascii="Arial;sans-serif" w:hAnsi="Arial;sans-serif"/>
          <w:b/>
          <w:color w:val="000000"/>
          <w:sz w:val="24"/>
        </w:rPr>
        <w:t>Acknowledgements and Acceptance.</w:t>
      </w:r>
      <w:r>
        <w:rPr>
          <w:color w:val="000000"/>
        </w:rPr>
        <w:t xml:space="preserve"> </w:t>
      </w:r>
      <w:r>
        <w:rPr>
          <w:rFonts w:ascii="Arial;sans-serif" w:hAnsi="Arial;sans-serif"/>
          <w:b w:val="false"/>
          <w:color w:val="000000"/>
          <w:sz w:val="24"/>
        </w:rPr>
        <w:t>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To retain this Award, you must accept it on the Morgan Stanley website.</w:t>
      </w:r>
    </w:p>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3"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2016 STOCK INCENTIVE PLAN</w: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OF HONEYWELL INTERNATIONAL INC. AND ITS AFFILIATES</w: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STOCK OPTION AWARD AGREEMENT</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STOCK OPTION AWARD AGREEMENT made in Charlotte, North Carolina, as of [DATE] (the “Grant Date”), between Honeywell International Inc. (the “Company”) and [EMPLOYEE NAME] (“Participant”).</w:t>
      </w:r>
    </w:p>
    <w:p>
      <w:pPr>
        <w:pStyle w:val="TextBody"/>
        <w:bidi w:val="0"/>
        <w:spacing w:lineRule="auto" w:line="300" w:before="0" w:after="160"/>
        <w:jc w:val="both"/>
        <w:rPr/>
      </w:pPr>
      <w:r>
        <w:rPr>
          <w:rFonts w:ascii="Arial;sans-serif" w:hAnsi="Arial;sans-serif"/>
          <w:b w:val="false"/>
          <w:color w:val="000000"/>
          <w:sz w:val="24"/>
        </w:rPr>
        <w:t>1.    </w:t>
      </w:r>
      <w:r>
        <w:rPr>
          <w:rFonts w:ascii="Arial;sans-serif" w:hAnsi="Arial;sans-serif"/>
          <w:b/>
          <w:color w:val="000000"/>
          <w:sz w:val="24"/>
        </w:rPr>
        <w:t>Grant of Option.</w:t>
      </w:r>
      <w:r>
        <w:rPr>
          <w:color w:val="000000"/>
        </w:rPr>
        <w:t xml:space="preserve"> </w:t>
      </w:r>
      <w:r>
        <w:rPr>
          <w:rFonts w:ascii="Arial;sans-serif" w:hAnsi="Arial;sans-serif"/>
          <w:b w:val="false"/>
          <w:color w:val="000000"/>
          <w:sz w:val="24"/>
        </w:rPr>
        <w:t>The Company has granted you an Option to purchase [NUMBER] Shares of Common Stock, subject to the provisions of this Agreement and the 2016 Stock Incentive Plan of Honeywell International Inc. and its Affiliates (the “Plan”). This Option is a nonqualified Option.</w:t>
      </w:r>
    </w:p>
    <w:p>
      <w:pPr>
        <w:pStyle w:val="TextBody"/>
        <w:bidi w:val="0"/>
        <w:spacing w:lineRule="auto" w:line="300" w:before="0" w:after="160"/>
        <w:jc w:val="both"/>
        <w:rPr/>
      </w:pPr>
      <w:r>
        <w:rPr>
          <w:color w:val="000000"/>
        </w:rPr>
        <w:t>    </w:t>
      </w:r>
      <w:r>
        <w:rPr>
          <w:rFonts w:ascii="Arial;sans-serif" w:hAnsi="Arial;sans-serif"/>
          <w:b w:val="false"/>
          <w:color w:val="000000"/>
          <w:sz w:val="24"/>
        </w:rPr>
        <w:t xml:space="preserve">The Stock Option Plan Details for this grant can be found on the Morgan Stanley StockPlan Connect website at </w:t>
      </w:r>
      <w:r>
        <w:rPr>
          <w:rFonts w:ascii="Arial;sans-serif" w:hAnsi="Arial;sans-serif"/>
          <w:b w:val="false"/>
          <w:color w:val="000000"/>
          <w:sz w:val="24"/>
          <w:u w:val="single"/>
        </w:rPr>
        <w:t>www.stockplanconnect.com</w:t>
      </w:r>
      <w:r>
        <w:rPr>
          <w:rFonts w:ascii="Arial;sans-serif" w:hAnsi="Arial;sans-serif"/>
          <w:b w:val="false"/>
          <w:color w:val="000000"/>
          <w:sz w:val="24"/>
        </w:rPr>
        <w:t>. The Company reserves the right to change or correct any information contained on the Morgan Stanley StockPlan Connect website to reflect the terms of the Award actually made by the Company on the Grant Date or the Plan.</w:t>
      </w:r>
    </w:p>
    <w:p>
      <w:pPr>
        <w:pStyle w:val="TextBody"/>
        <w:bidi w:val="0"/>
        <w:spacing w:lineRule="auto" w:line="300" w:before="0" w:after="160"/>
        <w:jc w:val="both"/>
        <w:rPr/>
      </w:pPr>
      <w:r>
        <w:rPr>
          <w:rFonts w:ascii="Arial;sans-serif" w:hAnsi="Arial;sans-serif"/>
          <w:b w:val="false"/>
          <w:color w:val="000000"/>
          <w:sz w:val="24"/>
        </w:rPr>
        <w:t>2.    </w:t>
      </w:r>
      <w:r>
        <w:rPr>
          <w:rFonts w:ascii="Arial;sans-serif" w:hAnsi="Arial;sans-serif"/>
          <w:b/>
          <w:color w:val="000000"/>
          <w:sz w:val="24"/>
        </w:rPr>
        <w:t>Exercise Price.</w:t>
      </w:r>
      <w:r>
        <w:rPr>
          <w:color w:val="000000"/>
        </w:rPr>
        <w:t xml:space="preserve"> </w:t>
      </w:r>
      <w:r>
        <w:rPr>
          <w:rFonts w:ascii="Arial;sans-serif" w:hAnsi="Arial;sans-serif"/>
          <w:b w:val="false"/>
          <w:color w:val="000000"/>
          <w:sz w:val="24"/>
        </w:rPr>
        <w:t>The purchase price of the Shares covered by the Option will be [DOLLAR AMOUNT] per Share (“Exercise Price” or “Grant Price”).</w:t>
      </w:r>
    </w:p>
    <w:p>
      <w:pPr>
        <w:pStyle w:val="TextBody"/>
        <w:bidi w:val="0"/>
        <w:spacing w:lineRule="auto" w:line="300" w:before="0" w:after="160"/>
        <w:jc w:val="both"/>
        <w:rPr/>
      </w:pPr>
      <w:r>
        <w:rPr>
          <w:rFonts w:ascii="Arial;sans-serif" w:hAnsi="Arial;sans-serif"/>
          <w:b w:val="false"/>
          <w:color w:val="000000"/>
          <w:sz w:val="24"/>
        </w:rPr>
        <w:t>3.    </w:t>
      </w:r>
      <w:r>
        <w:rPr>
          <w:rFonts w:ascii="Arial;sans-serif" w:hAnsi="Arial;sans-serif"/>
          <w:b/>
          <w:color w:val="000000"/>
          <w:sz w:val="24"/>
        </w:rPr>
        <w:t>Vesting.</w:t>
      </w:r>
      <w:r>
        <w:rPr>
          <w:color w:val="000000"/>
        </w:rPr>
        <w:t xml:space="preserve"> </w:t>
      </w:r>
      <w:r>
        <w:rPr>
          <w:rFonts w:ascii="Arial;sans-serif" w:hAnsi="Arial;sans-serif"/>
          <w:b w:val="false"/>
          <w:color w:val="000000"/>
          <w:sz w:val="24"/>
        </w:rPr>
        <w:t>Except in the event of a Termination of Employment due to death or Disability or as otherwise provided in Section 8 of this Agreement relating to a Change in Control, the Option will become exercisable as provided on the attached Vesting Schedule Table, which is incorporated into, and made a part of, this Agreement.</w:t>
      </w:r>
    </w:p>
    <w:p>
      <w:pPr>
        <w:pStyle w:val="TextBody"/>
        <w:bidi w:val="0"/>
        <w:spacing w:lineRule="auto" w:line="300" w:before="0" w:after="160"/>
        <w:jc w:val="both"/>
        <w:rPr/>
      </w:pPr>
      <w:r>
        <w:rPr>
          <w:rFonts w:ascii="Arial;sans-serif" w:hAnsi="Arial;sans-serif"/>
          <w:b w:val="false"/>
          <w:color w:val="000000"/>
          <w:sz w:val="24"/>
        </w:rPr>
        <w:t>4.    </w:t>
      </w:r>
      <w:r>
        <w:rPr>
          <w:rFonts w:ascii="Arial;sans-serif" w:hAnsi="Arial;sans-serif"/>
          <w:b/>
          <w:color w:val="000000"/>
          <w:sz w:val="24"/>
        </w:rPr>
        <w:t>Term of Option.</w:t>
      </w:r>
      <w:r>
        <w:rPr>
          <w:color w:val="000000"/>
        </w:rPr>
        <w:t xml:space="preserve"> </w:t>
      </w:r>
      <w:r>
        <w:rPr>
          <w:rFonts w:ascii="Arial;sans-serif" w:hAnsi="Arial;sans-serif"/>
          <w:b w:val="false"/>
          <w:color w:val="000000"/>
          <w:sz w:val="24"/>
        </w:rPr>
        <w:t>The Option must be exercised prior to the close of The Nasdaq Stock Market LLC (“Nasdaq”) on the day before the tenth anniversary of the Grant Date (the “Expiration Date”), subject to earlier termination or cancellation as provided below. If Nasdaq is not open for business on the Expiration Date, the Option will expire at the close of Nasdaq on the business day immediately preceding the Expiration Date.</w:t>
      </w:r>
    </w:p>
    <w:p>
      <w:pPr>
        <w:pStyle w:val="TextBody"/>
        <w:bidi w:val="0"/>
        <w:spacing w:lineRule="auto" w:line="300" w:before="0" w:after="160"/>
        <w:jc w:val="both"/>
        <w:rPr/>
      </w:pPr>
      <w:r>
        <w:rPr>
          <w:rFonts w:ascii="Arial;sans-serif" w:hAnsi="Arial;sans-serif"/>
          <w:b w:val="false"/>
          <w:color w:val="000000"/>
          <w:sz w:val="24"/>
        </w:rPr>
        <w:t>5.    </w:t>
      </w:r>
      <w:r>
        <w:rPr>
          <w:rFonts w:ascii="Arial;sans-serif" w:hAnsi="Arial;sans-serif"/>
          <w:b/>
          <w:color w:val="000000"/>
          <w:sz w:val="24"/>
        </w:rPr>
        <w:t>Payment of Exercise Price.</w:t>
      </w:r>
      <w:r>
        <w:rPr>
          <w:color w:val="000000"/>
        </w:rPr>
        <w:t xml:space="preserve"> </w:t>
      </w:r>
      <w:r>
        <w:rPr>
          <w:rFonts w:ascii="Arial;sans-serif" w:hAnsi="Arial;sans-serif"/>
          <w:b w:val="false"/>
          <w:color w:val="000000"/>
          <w:sz w:val="24"/>
        </w:rPr>
        <w:t>You may pay the Exercise Price by cash, certified check, bank draft, wire transfer, postal or 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pStyle w:val="TextBody"/>
        <w:bidi w:val="0"/>
        <w:spacing w:lineRule="auto" w:line="300" w:before="0" w:after="160"/>
        <w:jc w:val="both"/>
        <w:rPr/>
      </w:pPr>
      <w:r>
        <w:rPr>
          <w:rFonts w:ascii="Arial;sans-serif" w:hAnsi="Arial;sans-serif"/>
          <w:b w:val="false"/>
          <w:color w:val="000000"/>
          <w:sz w:val="24"/>
        </w:rPr>
        <w:t>6.    </w:t>
      </w:r>
      <w:r>
        <w:rPr>
          <w:rFonts w:ascii="Arial;sans-serif" w:hAnsi="Arial;sans-serif"/>
          <w:b/>
          <w:color w:val="000000"/>
          <w:sz w:val="24"/>
        </w:rPr>
        <w:t>Exercise of Option.</w:t>
      </w:r>
      <w:r>
        <w:rPr>
          <w:color w:val="000000"/>
        </w:rPr>
        <w:t xml:space="preserve"> </w:t>
      </w:r>
      <w:r>
        <w:rPr>
          <w:rFonts w:ascii="Arial;sans-serif" w:hAnsi="Arial;sans-serif"/>
          <w:b w:val="false"/>
          <w:color w:val="000000"/>
          <w:sz w:val="24"/>
        </w:rPr>
        <w:t xml:space="preserve">Subject to the terms and conditions of this Agreement, the Option may be exercised by contacting the Honeywell Stock Option Service Center, managed by Morgan Stanley, by telephone at 1-888-723-3391 or 1-801-617-7414, or on the internet at www.stockplanconnect.com. If the Option is exercised after your death, the Company will deliver Shares only after the Company has determined that the person </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exercising the Option is the duly appointed executor or administrator of your estate or the person to whom the Option has been transferred by your will or by the applicable laws of descent and distribution.</w:t>
      </w:r>
    </w:p>
    <w:p>
      <w:pPr>
        <w:pStyle w:val="TextBody"/>
        <w:bidi w:val="0"/>
        <w:spacing w:lineRule="auto" w:line="300" w:before="0" w:after="160"/>
        <w:jc w:val="both"/>
        <w:rPr/>
      </w:pPr>
      <w:r>
        <w:rPr>
          <w:rFonts w:ascii="Arial;sans-serif" w:hAnsi="Arial;sans-serif"/>
          <w:b w:val="false"/>
          <w:color w:val="000000"/>
          <w:sz w:val="24"/>
        </w:rPr>
        <w:t>7.    </w:t>
      </w:r>
      <w:r>
        <w:rPr>
          <w:rFonts w:ascii="Arial;sans-serif" w:hAnsi="Arial;sans-serif"/>
          <w:b/>
          <w:color w:val="000000"/>
          <w:sz w:val="24"/>
        </w:rPr>
        <w:t>Termination, Retirement, Disability or Death.</w:t>
      </w:r>
      <w:r>
        <w:rPr>
          <w:color w:val="000000"/>
        </w:rPr>
        <w:t xml:space="preserve"> </w:t>
      </w:r>
      <w:r>
        <w:rPr>
          <w:rFonts w:ascii="Arial;sans-serif" w:hAnsi="Arial;sans-serif"/>
          <w:b w:val="false"/>
          <w:color w:val="000000"/>
          <w:sz w:val="24"/>
        </w:rPr>
        <w:t>The Option will vest and remain exercisable as follows:</w:t>
      </w:r>
    </w:p>
    <w:tbl>
      <w:tblPr>
        <w:tblW w:w="10205" w:type="dxa"/>
        <w:jc w:val="left"/>
        <w:tblInd w:w="0" w:type="dxa"/>
        <w:tblLayout w:type="fixed"/>
        <w:tblCellMar>
          <w:top w:w="28" w:type="dxa"/>
          <w:left w:w="28" w:type="dxa"/>
          <w:bottom w:w="28" w:type="dxa"/>
          <w:right w:w="28" w:type="dxa"/>
        </w:tblCellMar>
      </w:tblPr>
      <w:tblGrid>
        <w:gridCol w:w="1493"/>
        <w:gridCol w:w="1307"/>
        <w:gridCol w:w="1327"/>
        <w:gridCol w:w="951"/>
        <w:gridCol w:w="904"/>
        <w:gridCol w:w="912"/>
        <w:gridCol w:w="967"/>
        <w:gridCol w:w="967"/>
        <w:gridCol w:w="1377"/>
      </w:tblGrid>
      <w:tr>
        <w:trPr/>
        <w:tc>
          <w:tcPr>
            <w:tcW w:w="149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4"/>
              </w:rPr>
            </w:pPr>
            <w:r>
              <w:rPr>
                <w:rFonts w:ascii="Arial;sans-serif" w:hAnsi="Arial;sans-serif"/>
                <w:b/>
                <w:color w:val="000000"/>
                <w:sz w:val="24"/>
              </w:rPr>
              <w:t>Event</w:t>
            </w:r>
          </w:p>
        </w:tc>
        <w:tc>
          <w:tcPr>
            <w:tcW w:w="27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4"/>
              </w:rPr>
            </w:pPr>
            <w:r>
              <w:rPr>
                <w:rFonts w:ascii="Arial;sans-serif" w:hAnsi="Arial;sans-serif"/>
                <w:b/>
                <w:color w:val="000000"/>
                <w:sz w:val="24"/>
              </w:rPr>
              <w:t xml:space="preserve">Vesting </w:t>
            </w:r>
          </w:p>
        </w:tc>
        <w:tc>
          <w:tcPr>
            <w:tcW w:w="331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color w:val="000000"/>
                <w:sz w:val="24"/>
              </w:rPr>
            </w:pPr>
            <w:r>
              <w:rPr>
                <w:rFonts w:ascii="Arial;sans-serif" w:hAnsi="Arial;sans-serif"/>
                <w:b/>
                <w:color w:val="000000"/>
                <w:sz w:val="24"/>
              </w:rPr>
              <w:t>Exercise</w:t>
            </w:r>
          </w:p>
        </w:tc>
      </w:tr>
      <w:tr>
        <w:trPr/>
        <w:tc>
          <w:tcPr>
            <w:tcW w:w="41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Death</w:t>
            </w:r>
          </w:p>
        </w:tc>
        <w:tc>
          <w:tcPr>
            <w:tcW w:w="27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Immediate vesting as of Termination of Employment due to death.</w:t>
            </w:r>
          </w:p>
        </w:tc>
        <w:tc>
          <w:tcPr>
            <w:tcW w:w="331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Expires earlier of (i) original expiration date, or (ii) 3 years after Termination of Employment.</w:t>
            </w:r>
          </w:p>
        </w:tc>
      </w:tr>
      <w:tr>
        <w:trPr/>
        <w:tc>
          <w:tcPr>
            <w:tcW w:w="41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Disability</w:t>
            </w:r>
          </w:p>
        </w:tc>
        <w:tc>
          <w:tcPr>
            <w:tcW w:w="27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Immediate vesting as of Termination of Employment due to Disability.</w:t>
            </w:r>
          </w:p>
        </w:tc>
        <w:tc>
          <w:tcPr>
            <w:tcW w:w="331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Expires earlier of (i) original expiration date, or (ii) 3 years after Termination of Employment.</w:t>
            </w:r>
          </w:p>
        </w:tc>
      </w:tr>
      <w:tr>
        <w:trPr/>
        <w:tc>
          <w:tcPr>
            <w:tcW w:w="41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Retirement (Termination of Employment because of retirement from active employment on or after age 55 and 10 Years of Service)</w:t>
            </w:r>
          </w:p>
        </w:tc>
        <w:tc>
          <w:tcPr>
            <w:tcW w:w="27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Unvested Awards forfeited as of Retirement.</w:t>
            </w:r>
          </w:p>
        </w:tc>
        <w:tc>
          <w:tcPr>
            <w:tcW w:w="331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Expires earlier of (i) original expiration date, or (ii) 3 years after Retirement.</w:t>
            </w:r>
          </w:p>
        </w:tc>
      </w:tr>
      <w:tr>
        <w:trPr/>
        <w:tc>
          <w:tcPr>
            <w:tcW w:w="41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Voluntary termination with notice period of 60 days or more</w:t>
            </w:r>
          </w:p>
        </w:tc>
        <w:tc>
          <w:tcPr>
            <w:tcW w:w="27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Unvested Awards forfeited as of Termination of Employment.</w:t>
            </w:r>
          </w:p>
        </w:tc>
        <w:tc>
          <w:tcPr>
            <w:tcW w:w="331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Expires earlier of (i) original expiration date, or (ii) 30 days after termination.</w:t>
            </w:r>
          </w:p>
        </w:tc>
      </w:tr>
      <w:tr>
        <w:trPr/>
        <w:tc>
          <w:tcPr>
            <w:tcW w:w="41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Voluntary termination with notice period of less than 60 days</w:t>
            </w:r>
          </w:p>
        </w:tc>
        <w:tc>
          <w:tcPr>
            <w:tcW w:w="27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Unvested Awards forfeited as of Termination of Employment.</w:t>
            </w:r>
          </w:p>
        </w:tc>
        <w:tc>
          <w:tcPr>
            <w:tcW w:w="331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Vested Awards immediately cancelled.</w:t>
            </w:r>
          </w:p>
        </w:tc>
      </w:tr>
      <w:tr>
        <w:trPr/>
        <w:tc>
          <w:tcPr>
            <w:tcW w:w="41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Involuntary termination not for Cause</w:t>
            </w:r>
          </w:p>
        </w:tc>
        <w:tc>
          <w:tcPr>
            <w:tcW w:w="27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Unvested Awards forfeited as of Termination of Employment.</w:t>
            </w:r>
          </w:p>
        </w:tc>
        <w:tc>
          <w:tcPr>
            <w:tcW w:w="3311"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Expires earlier of (i) original expiration date, or (ii) 1 year after termination.</w:t>
            </w:r>
          </w:p>
        </w:tc>
      </w:tr>
      <w:tr>
        <w:trPr/>
        <w:tc>
          <w:tcPr>
            <w:tcW w:w="41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Involuntary termination for Cause</w:t>
            </w:r>
          </w:p>
        </w:tc>
        <w:tc>
          <w:tcPr>
            <w:tcW w:w="27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Unvested Awards forfeited as of Termination of Employment.</w:t>
            </w:r>
          </w:p>
        </w:tc>
        <w:tc>
          <w:tcPr>
            <w:tcW w:w="3311"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val="false"/>
                <w:color w:val="000000"/>
                <w:sz w:val="24"/>
              </w:rPr>
            </w:pPr>
            <w:r>
              <w:rPr>
                <w:rFonts w:ascii="Arial;sans-serif" w:hAnsi="Arial;sans-serif"/>
                <w:b w:val="false"/>
                <w:color w:val="000000"/>
                <w:sz w:val="24"/>
              </w:rPr>
              <w:t>Vested Awards immediately cancelled.</w:t>
            </w:r>
          </w:p>
        </w:tc>
      </w:tr>
    </w:tbl>
    <w:p>
      <w:pPr>
        <w:pStyle w:val="TextBody"/>
        <w:bidi w:val="0"/>
        <w:spacing w:before="0" w:after="160"/>
        <w:jc w:val="both"/>
        <w:rPr/>
      </w:pPr>
      <w:r>
        <w:rPr/>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Except as expressly provided herein, all rights hereunder shall cease to accrue as of the date of your Termination of Employment with the Company and its Affiliates. You will forfeit the unvested portion of any award and all rights to continue vesting in awards shall cease as of the date of Termination of Employment. Further, you will not be entitled to receive additional awards hereunder after Termination of Employment.</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pPr>
      <w:r>
        <w:rPr>
          <w:rFonts w:ascii="Arial;sans-serif" w:hAnsi="Arial;sans-serif"/>
          <w:b/>
          <w:color w:val="000000"/>
          <w:sz w:val="24"/>
        </w:rPr>
        <w:t xml:space="preserve">[FOLLOWING INCLUDED AT COMMITTEE’S DISCRETION: </w:t>
      </w:r>
      <w:r>
        <w:rPr>
          <w:rFonts w:ascii="Arial;sans-serif" w:hAnsi="Arial;sans-serif"/>
          <w:b w:val="false"/>
          <w:color w:val="000000"/>
          <w:sz w:val="24"/>
        </w:rPr>
        <w:t>Notwithstanding the provisions related to Retirement described above, if you terminate employment with the Company and its 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pStyle w:val="TextBody"/>
        <w:bidi w:val="0"/>
        <w:spacing w:lineRule="auto" w:line="300" w:before="0" w:after="160"/>
        <w:jc w:val="both"/>
        <w:rPr/>
      </w:pPr>
      <w:r>
        <w:rPr>
          <w:color w:val="000000"/>
        </w:rPr>
        <w:t>    </w:t>
      </w:r>
      <w:r>
        <w:rPr>
          <w:rFonts w:ascii="Arial;sans-serif" w:hAnsi="Arial;sans-serif"/>
          <w:b/>
          <w:color w:val="000000"/>
          <w:sz w:val="24"/>
        </w:rPr>
        <w:t>FOLLOWING PARAGRAPH(S) INCLUDED AT COMMITTEE’S DISCRETION:</w:t>
      </w:r>
      <w:r>
        <w:rPr>
          <w:color w:val="000000"/>
        </w:rPr>
        <w:t xml:space="preserve"> </w:t>
      </w:r>
      <w:r>
        <w:rPr>
          <w:rFonts w:ascii="Arial;sans-serif" w:hAnsi="Arial;sans-serif"/>
          <w:b w:val="false"/>
          <w:color w:val="000000"/>
          <w:sz w:val="24"/>
        </w:rPr>
        <w:t>(A)    [if your Termination of Employment occurs on or before the 1-year anniversary of the Grant Date,] the amount of the unvested Option that shall vest under this Section 7 shall equal (1) the total number of Shares granted to you under Section 1 of this Agreement, (2) multiplied by a fraction, the numerator of which is your Years of Service from the Grant Date to your Termination of Employment and the denominator of which is the total years of service from the Grant Date to the final vesting date of this Award, then (3) minus the total number of Shares that vested on or before your Termination of Employment; and</w:t>
      </w:r>
    </w:p>
    <w:p>
      <w:pPr>
        <w:pStyle w:val="TextBody"/>
        <w:bidi w:val="0"/>
        <w:spacing w:lineRule="auto" w:line="300" w:before="0" w:after="160"/>
        <w:jc w:val="both"/>
        <w:rPr>
          <w:rFonts w:ascii="Arial;sans-serif" w:hAnsi="Arial;sans-serif"/>
          <w:b/>
          <w:color w:val="000000"/>
          <w:sz w:val="24"/>
        </w:rPr>
      </w:pPr>
      <w:r>
        <w:rPr>
          <w:rFonts w:ascii="Arial;sans-serif" w:hAnsi="Arial;sans-serif"/>
          <w:b/>
          <w:color w:val="000000"/>
          <w:sz w:val="24"/>
        </w:rPr>
        <w:t>AND/OR</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(A)    [if your Termination of Employment occurs after the 1-year anniversary of the Grant Date,] the amount of the unvested Option that shall vest under this Section 7 shall equal (1) the total number of Shares granted to you under Section 1 of this Agreement, minus (2) the total number of Shares that vested on or before your Termination of Employment; and</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Shares that vest pursuant to Paragraph (A) above shall vest and be made available for exercise at the Award’s next regular vesting date, not to exceed the number of Shares that would have vested at such date under the original vesting schedule, with excess Shares vesting at a future vesting date if necessary; and</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(C)    All Shares that vest under this Agreement shall remain exercisable until the Expiration Date described in Section 4.]</w:t>
      </w:r>
    </w:p>
    <w:p>
      <w:pPr>
        <w:pStyle w:val="TextBody"/>
        <w:bidi w:val="0"/>
        <w:spacing w:lineRule="auto" w:line="300" w:before="0" w:after="160"/>
        <w:jc w:val="both"/>
        <w:rPr/>
      </w:pPr>
      <w:r>
        <w:rPr>
          <w:rFonts w:ascii="Arial;sans-serif" w:hAnsi="Arial;sans-serif"/>
          <w:b w:val="false"/>
          <w:color w:val="000000"/>
          <w:sz w:val="24"/>
        </w:rPr>
        <w:t>8.    </w:t>
      </w:r>
      <w:r>
        <w:rPr>
          <w:rFonts w:ascii="Arial;sans-serif" w:hAnsi="Arial;sans-serif"/>
          <w:b/>
          <w:color w:val="000000"/>
          <w:sz w:val="24"/>
        </w:rPr>
        <w:t>Change in Control.</w:t>
      </w:r>
      <w:r>
        <w:rPr>
          <w:color w:val="000000"/>
        </w:rPr>
        <w:t xml:space="preserve"> </w:t>
      </w:r>
      <w:r>
        <w:rPr>
          <w:rFonts w:ascii="Arial;sans-serif" w:hAnsi="Arial;sans-serif"/>
          <w:b w:val="false"/>
          <w:color w:val="000000"/>
          <w:sz w:val="24"/>
        </w:rPr>
        <w:t>If you incur an involuntary Termination of Employment not for Cause (as defined in Section 2.7 of the Plan) or a voluntary Termination of Employment for Good Reason (as defined in Section 5.4(d) of the Plan) on or before the second anniversary of the date of a Change in Control, any portion of the Option that has not vested or terminated as of your Termination of Employment shall vest as of your Termination of Employment and become exercisable in full as of the date of such Termination of Employment. Such a termination shall be considered an Involuntary Termination not for Cause or, if applicable, a Retirement, under Section 7 of this Agreement.</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pPr>
      <w:r>
        <w:rPr>
          <w:rFonts w:ascii="Arial;sans-serif" w:hAnsi="Arial;sans-serif"/>
          <w:b w:val="false"/>
          <w:color w:val="000000"/>
          <w:sz w:val="24"/>
        </w:rPr>
        <w:t>9.    </w:t>
      </w:r>
      <w:r>
        <w:rPr>
          <w:rFonts w:ascii="Arial;sans-serif" w:hAnsi="Arial;sans-serif"/>
          <w:b/>
          <w:color w:val="000000"/>
          <w:sz w:val="24"/>
        </w:rPr>
        <w:t>Withholdings.</w:t>
      </w:r>
      <w:r>
        <w:rPr>
          <w:color w:val="000000"/>
        </w:rPr>
        <w:t xml:space="preserve"> </w:t>
      </w:r>
      <w:r>
        <w:rPr>
          <w:rFonts w:ascii="Arial;sans-serif" w:hAnsi="Arial;sans-serif"/>
          <w:b w:val="false"/>
          <w:color w:val="000000"/>
          <w:sz w:val="24"/>
        </w:rPr>
        <w:t>The Company or your local employer shall have the power and the right to deduct or withhold, or require you 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pStyle w:val="TextBody"/>
        <w:bidi w:val="0"/>
        <w:spacing w:lineRule="auto" w:line="300" w:before="0" w:after="160"/>
        <w:jc w:val="both"/>
        <w:rPr/>
      </w:pPr>
      <w:r>
        <w:rPr>
          <w:rFonts w:ascii="Arial;sans-serif" w:hAnsi="Arial;sans-serif"/>
          <w:b w:val="false"/>
          <w:color w:val="000000"/>
          <w:sz w:val="24"/>
        </w:rPr>
        <w:t>10.    </w:t>
      </w:r>
      <w:r>
        <w:rPr>
          <w:rFonts w:ascii="Arial;sans-serif" w:hAnsi="Arial;sans-serif"/>
          <w:b/>
          <w:color w:val="000000"/>
          <w:sz w:val="24"/>
        </w:rPr>
        <w:t>Transfer of Option.</w:t>
      </w:r>
      <w:r>
        <w:rPr>
          <w:color w:val="000000"/>
        </w:rPr>
        <w:t xml:space="preserve"> </w:t>
      </w:r>
      <w:r>
        <w:rPr>
          <w:rFonts w:ascii="Arial;sans-serif" w:hAnsi="Arial;sans-serif"/>
          <w:b w:val="false"/>
          <w:color w:val="000000"/>
          <w:sz w:val="24"/>
        </w:rPr>
        <w:t>You may not transfer the Option or any interest in the Option except by will or the laws of descent and distribution or except as permitted by the Committee and as specified in the Plan. Any other attempt to dispose of your interest will be null and void.</w:t>
      </w:r>
    </w:p>
    <w:p>
      <w:pPr>
        <w:pStyle w:val="TextBody"/>
        <w:bidi w:val="0"/>
        <w:spacing w:lineRule="auto" w:line="300" w:before="0" w:after="160"/>
        <w:jc w:val="both"/>
        <w:rPr/>
      </w:pPr>
      <w:r>
        <w:rPr>
          <w:rFonts w:ascii="Arial;sans-serif" w:hAnsi="Arial;sans-serif"/>
          <w:b w:val="false"/>
          <w:color w:val="000000"/>
          <w:sz w:val="24"/>
        </w:rPr>
        <w:t>11.    </w:t>
      </w:r>
      <w:r>
        <w:rPr>
          <w:rFonts w:ascii="Arial;sans-serif" w:hAnsi="Arial;sans-serif"/>
          <w:b/>
          <w:color w:val="000000"/>
          <w:sz w:val="24"/>
        </w:rPr>
        <w:t>Requirements for and Forfeiture of Award.</w:t>
      </w:r>
    </w:p>
    <w:p>
      <w:pPr>
        <w:pStyle w:val="TextBody"/>
        <w:bidi w:val="0"/>
        <w:spacing w:lineRule="auto" w:line="300" w:before="0" w:after="160"/>
        <w:ind w:left="0" w:right="0" w:firstLine="720"/>
        <w:jc w:val="both"/>
        <w:rPr/>
      </w:pPr>
      <w:r>
        <w:rPr>
          <w:rFonts w:ascii="Arial;sans-serif" w:hAnsi="Arial;sans-serif"/>
          <w:b w:val="false"/>
          <w:color w:val="000000"/>
          <w:sz w:val="24"/>
        </w:rPr>
        <w:t>a.    </w:t>
      </w:r>
      <w:r>
        <w:rPr>
          <w:rFonts w:ascii="Arial;sans-serif" w:hAnsi="Arial;sans-serif"/>
          <w:b/>
          <w:color w:val="000000"/>
          <w:sz w:val="24"/>
        </w:rPr>
        <w:t>General.</w:t>
      </w:r>
      <w:r>
        <w:rPr>
          <w:color w:val="000000"/>
        </w:rPr>
        <w:t xml:space="preserve"> </w:t>
      </w:r>
      <w:r>
        <w:rPr>
          <w:rFonts w:ascii="Arial;sans-serif" w:hAnsi="Arial;sans-serif"/>
          <w:b w:val="false"/>
          <w:color w:val="000000"/>
          <w:sz w:val="24"/>
        </w:rPr>
        <w:t>The Award is expressly contingent upon you complying with the terms, conditions and definitions contained 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pStyle w:val="TextBody"/>
        <w:bidi w:val="0"/>
        <w:spacing w:lineRule="auto" w:line="300" w:before="0" w:after="160"/>
        <w:ind w:left="0" w:right="0" w:firstLine="720"/>
        <w:jc w:val="both"/>
        <w:rPr/>
      </w:pPr>
      <w:r>
        <w:rPr>
          <w:rFonts w:ascii="Arial;sans-serif" w:hAnsi="Arial;sans-serif"/>
          <w:b w:val="false"/>
          <w:color w:val="000000"/>
          <w:sz w:val="24"/>
        </w:rPr>
        <w:t>b.    </w:t>
      </w:r>
      <w:r>
        <w:rPr>
          <w:rFonts w:ascii="Arial;sans-serif" w:hAnsi="Arial;sans-serif"/>
          <w:b/>
          <w:color w:val="000000"/>
          <w:sz w:val="24"/>
        </w:rPr>
        <w:t>Remedies.</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 xml:space="preserve">1.    You expressly agree and acknowledge that the forfeiture provisions of subsection 11.b.2.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lineRule="auto" w:line="300" w:before="0" w:after="160"/>
        <w:ind w:left="0" w:right="0" w:firstLine="1440"/>
        <w:jc w:val="both"/>
        <w:rPr>
          <w:rFonts w:ascii="Arial;sans-serif" w:hAnsi="Arial;sans-serif"/>
          <w:b w:val="false"/>
          <w:color w:val="000000"/>
          <w:sz w:val="24"/>
        </w:rPr>
      </w:pPr>
      <w:r>
        <w:rPr>
          <w:rFonts w:ascii="Arial;sans-serif" w:hAnsi="Arial;sans-serif"/>
          <w:b w:val="false"/>
          <w:color w:val="000000"/>
          <w:sz w:val="24"/>
        </w:rPr>
        <w:t>2.    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its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 (i) any portion of the Option you have not exercised (whether vested or unvested) shall immediately be cancelled, and you shall forfeit any rights you have with respect to the Option as of the date of the CEO’s determination or the date of your Termination of Employment, as applicable, and (ii) you shall immediately deliver to the Company Shares equal in value to the amount of any profit you realized upon an exercise of the Option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 xml:space="preserve">3.    Notwithstanding anything in the Plan or this Agreement to the contrary, you acknowledge that the Company may be entitled or required by law, </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Company policy or the requirements of an exchange on which the Shares are listed for trading, to recoup compensation paid to you pursuant to the Plan, and you agree to comply with any Company request or demand for recoupment.</w:t>
      </w:r>
    </w:p>
    <w:p>
      <w:pPr>
        <w:pStyle w:val="TextBody"/>
        <w:bidi w:val="0"/>
        <w:spacing w:lineRule="auto" w:line="300" w:before="0" w:after="160"/>
        <w:jc w:val="both"/>
        <w:rPr/>
      </w:pPr>
      <w:r>
        <w:rPr>
          <w:rFonts w:ascii="Arial;sans-serif" w:hAnsi="Arial;sans-serif"/>
          <w:b w:val="false"/>
          <w:color w:val="000000"/>
          <w:sz w:val="24"/>
        </w:rPr>
        <w:t>12.    </w:t>
      </w:r>
      <w:r>
        <w:rPr>
          <w:rFonts w:ascii="Arial;sans-serif" w:hAnsi="Arial;sans-serif"/>
          <w:b/>
          <w:color w:val="000000"/>
          <w:sz w:val="24"/>
        </w:rPr>
        <w:t>Adjustments.</w:t>
      </w:r>
      <w:r>
        <w:rPr>
          <w:color w:val="000000"/>
        </w:rPr>
        <w:t xml:space="preserve"> </w:t>
      </w:r>
      <w:r>
        <w:rPr>
          <w:rFonts w:ascii="Arial;sans-serif" w:hAnsi="Arial;sans-serif"/>
          <w:b w:val="false"/>
          <w:color w:val="000000"/>
          <w:sz w:val="24"/>
        </w:rPr>
        <w:t>Any adjustments to the Option will be governed by Section 5.3 of the Plan.</w:t>
      </w:r>
    </w:p>
    <w:p>
      <w:pPr>
        <w:pStyle w:val="TextBody"/>
        <w:bidi w:val="0"/>
        <w:spacing w:lineRule="auto" w:line="300" w:before="0" w:after="160"/>
        <w:jc w:val="both"/>
        <w:rPr/>
      </w:pPr>
      <w:r>
        <w:rPr>
          <w:rFonts w:ascii="Arial;sans-serif" w:hAnsi="Arial;sans-serif"/>
          <w:b w:val="false"/>
          <w:color w:val="000000"/>
          <w:sz w:val="24"/>
        </w:rPr>
        <w:t>13.    </w:t>
      </w:r>
      <w:r>
        <w:rPr>
          <w:rFonts w:ascii="Arial;sans-serif" w:hAnsi="Arial;sans-serif"/>
          <w:b/>
          <w:color w:val="000000"/>
          <w:sz w:val="24"/>
        </w:rPr>
        <w:t>Restrictions on Exercise.</w:t>
      </w:r>
      <w:r>
        <w:rPr>
          <w:color w:val="000000"/>
        </w:rPr>
        <w:t xml:space="preserve"> </w:t>
      </w:r>
      <w:r>
        <w:rPr>
          <w:rFonts w:ascii="Arial;sans-serif" w:hAnsi="Arial;sans-serif"/>
          <w:b w:val="false"/>
          <w:color w:val="000000"/>
          <w:sz w:val="24"/>
        </w:rPr>
        <w:t>Exercise of the Option is subject to the conditions that, to the extent required at the time of exercise, (i) the Shares covered by the Option will be duly listed, upon official notice of issuance, upon Nasdaq,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pStyle w:val="TextBody"/>
        <w:bidi w:val="0"/>
        <w:spacing w:lineRule="auto" w:line="300" w:before="0" w:after="160"/>
        <w:jc w:val="both"/>
        <w:rPr/>
      </w:pPr>
      <w:r>
        <w:rPr>
          <w:rFonts w:ascii="Arial;sans-serif" w:hAnsi="Arial;sans-serif"/>
          <w:b w:val="false"/>
          <w:color w:val="000000"/>
          <w:sz w:val="24"/>
        </w:rPr>
        <w:t>14.    </w:t>
      </w:r>
      <w:r>
        <w:rPr>
          <w:rFonts w:ascii="Arial;sans-serif" w:hAnsi="Arial;sans-serif"/>
          <w:b/>
          <w:color w:val="000000"/>
          <w:sz w:val="24"/>
        </w:rPr>
        <w:t>Disposition of Securities.</w:t>
      </w:r>
      <w:r>
        <w:rPr>
          <w:color w:val="000000"/>
        </w:rPr>
        <w:t xml:space="preserve"> </w:t>
      </w:r>
      <w:r>
        <w:rPr>
          <w:rFonts w:ascii="Arial;sans-serif" w:hAnsi="Arial;sans-serif"/>
          <w:b w:val="false"/>
          <w:color w:val="000000"/>
          <w:sz w:val="24"/>
        </w:rPr>
        <w:t xml:space="preserve">By accepting the Award, you acknowledge that you have read and understand (i) the Company’s policy, and are aware of and understand your obligations under U.S. federal securities laws in respect of trading in the Company’s securities, and (ii) the Company’s stock ownership guidelines as they apply to this Award. You agree not to use the Company’s “cashless exercise” program (or any successor program) at any time when you possess material nonpublic information with respect to the Company or when using the program would otherwise result in a violation of securities law. The Company shall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 </w:t>
      </w:r>
    </w:p>
    <w:p>
      <w:pPr>
        <w:pStyle w:val="TextBody"/>
        <w:bidi w:val="0"/>
        <w:spacing w:lineRule="auto" w:line="300" w:before="0" w:after="160"/>
        <w:jc w:val="both"/>
        <w:rPr/>
      </w:pPr>
      <w:r>
        <w:rPr>
          <w:rFonts w:ascii="Arial;sans-serif" w:hAnsi="Arial;sans-serif"/>
          <w:b w:val="false"/>
          <w:color w:val="000000"/>
          <w:sz w:val="24"/>
        </w:rPr>
        <w:t>15.    </w:t>
      </w:r>
      <w:r>
        <w:rPr>
          <w:rFonts w:ascii="Arial;sans-serif" w:hAnsi="Arial;sans-serif"/>
          <w:b/>
          <w:color w:val="000000"/>
          <w:sz w:val="24"/>
        </w:rPr>
        <w:t>Plan Terms Govern.</w:t>
      </w:r>
      <w:r>
        <w:rPr>
          <w:color w:val="000000"/>
        </w:rPr>
        <w:t xml:space="preserve"> </w:t>
      </w:r>
      <w:r>
        <w:rPr>
          <w:rFonts w:ascii="Arial;sans-serif" w:hAnsi="Arial;sans-serif"/>
          <w:b w:val="false"/>
          <w:color w:val="000000"/>
          <w:sz w:val="24"/>
        </w:rPr>
        <w:t>The exercise of the Option, the disposition of any Shares received upon exercise of the Option, and 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pStyle w:val="TextBody"/>
        <w:bidi w:val="0"/>
        <w:spacing w:lineRule="auto" w:line="300" w:before="0" w:after="160"/>
        <w:jc w:val="both"/>
        <w:rPr/>
      </w:pPr>
      <w:r>
        <w:rPr>
          <w:rFonts w:ascii="Arial;sans-serif" w:hAnsi="Arial;sans-serif"/>
          <w:b w:val="false"/>
          <w:color w:val="000000"/>
          <w:sz w:val="24"/>
        </w:rPr>
        <w:t>16.    </w:t>
      </w:r>
      <w:r>
        <w:rPr>
          <w:rFonts w:ascii="Arial;sans-serif" w:hAnsi="Arial;sans-serif"/>
          <w:b/>
          <w:color w:val="000000"/>
          <w:sz w:val="24"/>
        </w:rPr>
        <w:t>Personal Data.</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By entering into this Agreement, and as a condition of the grant of the Option, you expressly consent to the collection, use, and transfer of personal data as described in this Section to the full extent permitted by and in full compliance with applicable law.</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0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c.    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g.    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pStyle w:val="TextBody"/>
        <w:bidi w:val="0"/>
        <w:spacing w:lineRule="auto" w:line="300" w:before="0" w:after="160"/>
        <w:jc w:val="both"/>
        <w:rPr/>
      </w:pPr>
      <w:r>
        <w:rPr>
          <w:rFonts w:ascii="Arial;sans-serif" w:hAnsi="Arial;sans-serif"/>
          <w:b w:val="false"/>
          <w:color w:val="000000"/>
          <w:sz w:val="24"/>
        </w:rPr>
        <w:t>17.    </w:t>
      </w:r>
      <w:r>
        <w:rPr>
          <w:rFonts w:ascii="Arial;sans-serif" w:hAnsi="Arial;sans-serif"/>
          <w:b/>
          <w:color w:val="000000"/>
          <w:sz w:val="24"/>
        </w:rPr>
        <w:t>Discretionary Nature and Acceptance of Award.</w:t>
      </w:r>
      <w:r>
        <w:rPr>
          <w:color w:val="000000"/>
        </w:rPr>
        <w:t xml:space="preserve"> </w:t>
      </w:r>
      <w:r>
        <w:rPr>
          <w:rFonts w:ascii="Arial;sans-serif" w:hAnsi="Arial;sans-serif"/>
          <w:b w:val="false"/>
          <w:color w:val="000000"/>
          <w:sz w:val="24"/>
        </w:rPr>
        <w:t>By accepting this Award, you agree to be bound by the terms of this Agreement and acknowledge that:</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a.    The Company (and not your local employer) is granting your Option. Furthermore, this Agreement is not derived from any preexisting labor relationship between you and the Company, but rather from a mercantile relationship.</w:t>
      </w:r>
    </w:p>
    <w:p>
      <w:pPr>
        <w:pStyle w:val="TextBody"/>
        <w:bidi w:val="0"/>
        <w:spacing w:lineRule="auto" w:line="300" w:before="0" w:after="160"/>
        <w:jc w:val="both"/>
        <w:rPr>
          <w:color w:val="000000"/>
        </w:rPr>
      </w:pPr>
      <w:r>
        <w:rPr>
          <w:color w:val="000000"/>
        </w:rPr>
        <w:t>    </w:t>
      </w:r>
      <w:r>
        <w:rPr>
          <w:rFonts w:ascii="Arial;sans-serif" w:hAnsi="Arial;sans-serif"/>
          <w:b w:val="false"/>
          <w:color w:val="000000"/>
          <w:sz w:val="24"/>
        </w:rPr>
        <w:t>b.    The Company may administer the Plan from outside your country of residence and United States law will govern all options granted under the Plan.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c.    Benefits and rights provided under the Plan are wholly discretionary and, although provided by the Company, do not constitute regular or periodic payments.</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e.    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pStyle w:val="TextBody"/>
        <w:bidi w:val="0"/>
        <w:spacing w:lineRule="auto" w:line="300" w:before="0" w:after="160"/>
        <w:ind w:left="0" w:right="0" w:firstLine="720"/>
        <w:jc w:val="both"/>
        <w:rPr>
          <w:rFonts w:ascii="Arial;sans-serif" w:hAnsi="Arial;sans-serif"/>
          <w:b w:val="false"/>
          <w:color w:val="000000"/>
          <w:sz w:val="24"/>
        </w:rPr>
      </w:pPr>
      <w:r>
        <w:rPr>
          <w:rFonts w:ascii="Arial;sans-serif" w:hAnsi="Arial;sans-serif"/>
          <w:b w:val="false"/>
          <w:color w:val="000000"/>
          <w:sz w:val="24"/>
        </w:rPr>
        <w:t>g.    Participation in the Plan will not be deemed to constitute, and will not be deemed by you to constitute, an employment or labor relationship of any kind with the Company.</w:t>
      </w:r>
    </w:p>
    <w:p>
      <w:pPr>
        <w:pStyle w:val="TextBody"/>
        <w:bidi w:val="0"/>
        <w:spacing w:lineRule="auto" w:line="300" w:before="0" w:after="160"/>
        <w:jc w:val="both"/>
        <w:rPr/>
      </w:pPr>
      <w:r>
        <w:rPr>
          <w:rFonts w:ascii="Arial;sans-serif" w:hAnsi="Arial;sans-serif"/>
          <w:b w:val="false"/>
          <w:color w:val="000000"/>
          <w:sz w:val="24"/>
        </w:rPr>
        <w:t>18.    </w:t>
      </w:r>
      <w:r>
        <w:rPr>
          <w:rFonts w:ascii="Arial;sans-serif" w:hAnsi="Arial;sans-serif"/>
          <w:b/>
          <w:color w:val="000000"/>
          <w:sz w:val="24"/>
        </w:rPr>
        <w:t>Limitations.</w:t>
      </w:r>
      <w:r>
        <w:rPr>
          <w:color w:val="000000"/>
        </w:rPr>
        <w:t xml:space="preserve"> </w:t>
      </w:r>
      <w:r>
        <w:rPr>
          <w:rFonts w:ascii="Arial;sans-serif" w:hAnsi="Arial;sans-serif"/>
          <w:b w:val="false"/>
          <w:color w:val="000000"/>
          <w:sz w:val="24"/>
        </w:rPr>
        <w:t>Nothing in this Agreement or the Plan gives you any right to continue in the employ of the Company or any of 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pPr>
      <w:r>
        <w:rPr>
          <w:rFonts w:ascii="Arial;sans-serif" w:hAnsi="Arial;sans-serif"/>
          <w:b w:val="false"/>
          <w:color w:val="000000"/>
          <w:sz w:val="24"/>
        </w:rPr>
        <w:t>19.    </w:t>
      </w:r>
      <w:r>
        <w:rPr>
          <w:rFonts w:ascii="Arial;sans-serif" w:hAnsi="Arial;sans-serif"/>
          <w:b/>
          <w:color w:val="000000"/>
          <w:sz w:val="24"/>
        </w:rPr>
        <w:t>Incorporation of Other Agreements.</w:t>
      </w:r>
      <w:r>
        <w:rPr>
          <w:color w:val="000000"/>
        </w:rPr>
        <w:t xml:space="preserve"> </w:t>
      </w:r>
      <w:r>
        <w:rPr>
          <w:rFonts w:ascii="Arial;sans-serif" w:hAnsi="Arial;sans-serif"/>
          <w:b w:val="false"/>
          <w:color w:val="000000"/>
          <w:sz w:val="24"/>
        </w:rPr>
        <w:t>This Agreement and the Plan constitute the entire understanding between you and the Company regarding the Option. This Agreement supersedes any prior agreements, commitments or negotiations concerning the Option.</w:t>
      </w:r>
    </w:p>
    <w:p>
      <w:pPr>
        <w:pStyle w:val="TextBody"/>
        <w:bidi w:val="0"/>
        <w:spacing w:lineRule="auto" w:line="300" w:before="0" w:after="160"/>
        <w:jc w:val="both"/>
        <w:rPr/>
      </w:pPr>
      <w:r>
        <w:rPr>
          <w:rFonts w:ascii="Arial;sans-serif" w:hAnsi="Arial;sans-serif"/>
          <w:b w:val="false"/>
          <w:color w:val="000000"/>
          <w:sz w:val="24"/>
        </w:rPr>
        <w:t>20.    </w:t>
      </w:r>
      <w:r>
        <w:rPr>
          <w:rFonts w:ascii="Arial;sans-serif" w:hAnsi="Arial;sans-serif"/>
          <w:b/>
          <w:color w:val="000000"/>
          <w:sz w:val="24"/>
        </w:rPr>
        <w:t>Severability.</w:t>
      </w:r>
      <w:r>
        <w:rPr>
          <w:color w:val="000000"/>
        </w:rPr>
        <w:t xml:space="preserve"> </w:t>
      </w:r>
      <w:r>
        <w:rPr>
          <w:rFonts w:ascii="Arial;sans-serif" w:hAnsi="Arial;sans-serif"/>
          <w:b w:val="false"/>
          <w:color w:val="000000"/>
          <w:sz w:val="24"/>
        </w:rPr>
        <w:t>The invalidity or unenforceability of any provision of this Agreement will not affect the validity or 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pStyle w:val="TextBody"/>
        <w:bidi w:val="0"/>
        <w:spacing w:lineRule="auto" w:line="300" w:before="0" w:after="160"/>
        <w:jc w:val="both"/>
        <w:rPr/>
      </w:pPr>
      <w:r>
        <w:rPr>
          <w:rFonts w:ascii="Arial;sans-serif" w:hAnsi="Arial;sans-serif"/>
          <w:b w:val="false"/>
          <w:color w:val="000000"/>
          <w:sz w:val="24"/>
        </w:rPr>
        <w:t>21.    </w:t>
      </w:r>
      <w:r>
        <w:rPr>
          <w:rFonts w:ascii="Arial;sans-serif" w:hAnsi="Arial;sans-serif"/>
          <w:b/>
          <w:color w:val="000000"/>
          <w:sz w:val="24"/>
        </w:rPr>
        <w:t>Governing Law.</w:t>
      </w:r>
      <w:r>
        <w:rPr>
          <w:color w:val="000000"/>
        </w:rPr>
        <w:t xml:space="preserve"> </w:t>
      </w:r>
      <w:r>
        <w:rPr>
          <w:rFonts w:ascii="Arial;sans-serif" w:hAnsi="Arial;sans-serif"/>
          <w:b w:val="false"/>
          <w:color w:val="000000"/>
          <w:sz w:val="24"/>
        </w:rPr>
        <w:t>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w:t>
      </w:r>
    </w:p>
    <w:p>
      <w:pPr>
        <w:pStyle w:val="TextBody"/>
        <w:bidi w:val="0"/>
        <w:spacing w:lineRule="auto" w:line="300" w:before="0" w:after="160"/>
        <w:jc w:val="both"/>
        <w:rPr/>
      </w:pPr>
      <w:r>
        <w:rPr>
          <w:rFonts w:ascii="Arial;sans-serif" w:hAnsi="Arial;sans-serif"/>
          <w:b w:val="false"/>
          <w:color w:val="000000"/>
          <w:sz w:val="24"/>
        </w:rPr>
        <w:t>22.    </w:t>
      </w:r>
      <w:r>
        <w:rPr>
          <w:rFonts w:ascii="Arial;sans-serif" w:hAnsi="Arial;sans-serif"/>
          <w:b/>
          <w:color w:val="000000"/>
          <w:sz w:val="24"/>
        </w:rPr>
        <w:t>Acknowledgements and Acceptance.</w:t>
      </w:r>
      <w:r>
        <w:rPr>
          <w:color w:val="000000"/>
        </w:rPr>
        <w:t xml:space="preserve"> </w:t>
      </w:r>
      <w:r>
        <w:rPr>
          <w:rFonts w:ascii="Arial;sans-serif" w:hAnsi="Arial;sans-serif"/>
          <w:b w:val="false"/>
          <w:color w:val="000000"/>
          <w:sz w:val="24"/>
        </w:rPr>
        <w:t>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pStyle w:val="TextBody"/>
        <w:bidi w:val="0"/>
        <w:spacing w:lineRule="auto" w:line="300" w:before="0" w:after="160"/>
        <w:jc w:val="both"/>
        <w:rPr>
          <w:rFonts w:ascii="Arial;sans-serif" w:hAnsi="Arial;sans-serif"/>
          <w:b w:val="false"/>
          <w:color w:val="000000"/>
          <w:sz w:val="24"/>
        </w:rPr>
      </w:pPr>
      <w:r>
        <w:rPr>
          <w:rFonts w:ascii="Arial;sans-serif" w:hAnsi="Arial;sans-serif"/>
          <w:b w:val="false"/>
          <w:color w:val="000000"/>
          <w:sz w:val="24"/>
        </w:rPr>
        <w:t>To retain this Award, you must accept it on the Morgan Stanley website.</w:t>
      </w:r>
    </w:p>
    <w:p>
      <w:pPr>
        <w:pStyle w:val="TextBody"/>
        <w:bidi w:val="0"/>
        <w:spacing w:lineRule="auto" w:line="300" w:before="0" w:after="160"/>
        <w:jc w:val="both"/>
        <w:rPr>
          <w:color w:val="000000"/>
        </w:rPr>
      </w:pPr>
      <w:r>
        <w:rPr>
          <w:color w:val="000000"/>
        </w:rPr>
        <w:t xml:space="preserve">     </w:t>
      </w:r>
    </w:p>
    <w:p>
      <w:pPr>
        <w:pStyle w:val="TextBody"/>
        <w:bidi w:val="0"/>
        <w:spacing w:before="0" w:after="160"/>
        <w:jc w:val="both"/>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10.46</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VESTING SCHEDULE TABLE</w:t>
      </w:r>
    </w:p>
    <w:p>
      <w:pPr>
        <w:pStyle w:val="TextBody"/>
        <w:bidi w:val="0"/>
        <w:spacing w:lineRule="auto" w:line="300" w:before="0" w:after="160"/>
        <w:jc w:val="center"/>
        <w:rPr>
          <w:rFonts w:ascii="Arial;sans-serif" w:hAnsi="Arial;sans-serif"/>
          <w:b w:val="false"/>
          <w:color w:val="000000"/>
          <w:sz w:val="24"/>
        </w:rPr>
      </w:pPr>
      <w:r>
        <w:rPr>
          <w:rFonts w:ascii="Arial;sans-serif" w:hAnsi="Arial;sans-serif"/>
          <w:b w:val="false"/>
          <w:color w:val="000000"/>
          <w:sz w:val="24"/>
        </w:rPr>
        <w:t>[VESTING PROVISIONS CONSISTENT WITH THE PLAN]</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drawing>
          <wp:inline distT="0" distB="0" distL="0" distR="0">
            <wp:extent cx="1628775" cy="514350"/>
            <wp:effectExtent l="0" t="0" r="0" b="0"/>
            <wp:docPr id="21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44" descr=""/>
                    <pic:cNvPicPr>
                      <a:picLocks noChangeAspect="1" noChangeArrowheads="1"/>
                    </pic:cNvPicPr>
                  </pic:nvPicPr>
                  <pic:blipFill>
                    <a:blip r:embed="rId139"/>
                    <a:stretch>
                      <a:fillRect/>
                    </a:stretch>
                  </pic:blipFill>
                  <pic:spPr bwMode="auto">
                    <a:xfrm>
                      <a:off x="0" y="0"/>
                      <a:ext cx="1628775" cy="5143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May 5,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James Masso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2"/>
        </w:rPr>
      </w:pPr>
      <w:r>
        <w:rPr>
          <w:rFonts w:ascii="Arial;sans-serif" w:hAnsi="Arial;sans-serif"/>
          <w:b w:val="false"/>
          <w:i/>
          <w:color w:val="000000"/>
          <w:sz w:val="22"/>
        </w:rPr>
        <w:t>Re:    Offer Letter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Dear Jim: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I am pleased to confirm our offer to you to become President and Chief Executive Officer, Process </w:t>
      </w:r>
      <w:r>
        <w:rPr>
          <w:rFonts w:ascii="Arial;sans-serif" w:hAnsi="Arial;sans-serif"/>
          <w:b w:val="false"/>
          <w:color w:val="000000"/>
          <w:sz w:val="24"/>
        </w:rPr>
        <w:t>Automation</w:t>
      </w:r>
      <w:r>
        <w:rPr>
          <w:rFonts w:ascii="Arial;sans-serif" w:hAnsi="Arial;sans-serif"/>
          <w:b w:val="false"/>
          <w:color w:val="000000"/>
          <w:sz w:val="22"/>
        </w:rPr>
        <w:t>, based in Houston, Texas, reporting directly to me. Your first day of employment will be July 14, 2025 (“Effective Date”), subject to the terms and conditions of this offer letter. In this position, you will become an Executive Officer of Honeywell.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 connection with your new role, you will be entitled to the following compensation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and benefits package: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Base Salary</w:t>
      </w:r>
      <w:r>
        <w:rPr>
          <w:rFonts w:ascii="Arial;sans-serif" w:hAnsi="Arial;sans-serif"/>
          <w:b w:val="false"/>
          <w:color w:val="000000"/>
          <w:sz w:val="22"/>
        </w:rPr>
        <w:t>: Your annual base salary will be $675,000. Base salary reviews occur annually and any adjustments are generally at the end of the first quarter of the calendar year. Adjustments are based on your performance and other relevant factors. You will next be eligible for a base salary review in March of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Annual Incentive Compensation</w:t>
      </w:r>
      <w:r>
        <w:rPr>
          <w:rFonts w:ascii="Arial;sans-serif" w:hAnsi="Arial;sans-serif"/>
          <w:b w:val="false"/>
          <w:color w:val="000000"/>
          <w:sz w:val="22"/>
        </w:rPr>
        <w:t xml:space="preserve">: Your target incentive compensation opportunity will be 100% of your annual cash base salary earnings during the year. Incentive compensation awards are paid in the first quarter of the following year (e.g., 2026 for 2025 services).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Annual Long-Term Incentive Awards</w:t>
      </w:r>
      <w:r>
        <w:rPr>
          <w:rFonts w:ascii="Arial;sans-serif" w:hAnsi="Arial;sans-serif"/>
          <w:b w:val="false"/>
          <w:color w:val="000000"/>
          <w:sz w:val="22"/>
        </w:rPr>
        <w:t>: Beginning in 2025, you will be eligible for annual LTI awards with a target grant date value of $1,800,000. Your LTI awards shall consist of stock options, restricted stock units, performance stock units or cash-based awards, or some combination thereof, as determined by the Company in its discretion. The actual size and mix of your annual LTI awards will be determined by the MDCC based on your performance and future career potential with Honeywell. The terms of all LTI awards are governed by the terms of the applicable stock plan and the relevant award agreements. Moreover, Honeywell and the MDCC reserve the right to modify the design or mix of the LTI award program in the future.</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ind w:left="0" w:right="0" w:hanging="144"/>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As a corporate officer of Honeywell, your compensation must be officially approved by the Management Development and Compensation Committee of the Company’s Board of Directors (“MDCC”). It is expected that your compensation package will be retroactively approved at the next regularly scheduled meeting of the MDCC, which is expected to be on or about June 6, 2025.</w:t>
      </w: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5"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1 of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1 of 5</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SIGN-ON AWARDS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Honeywell management will seek approval for the award of restricted stock units (“RSUs”) from the MDCC with a grant date value equal to $2,500,000 (the “Replacement RSUs”). The Replacement RSUs shall be granted under, and shall be subject to the terms of, the applicable Stock Incentive Plan of Honeywell International Inc. and its Affiliates and governed by the relevant award agreement.  The Replacement RSUs will vest 33%/33%/34% on the first, second and third anniversaries of the grant date, provided in all cases you continue to be employed by Honeywell on such vesting dates.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Replacement RSU grant is subject to the approval of the MDCC, which has complete discretionary authority with respect to whether to approve such grant and, if so, the terms and conditions thereof.  Approval will be sought at the next MDCC meeting, expected to be on June 6, 2025. The Replacement RSU grant will be effective as of the later of the date the MDCC approves the grant or your first day of active employment.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OTHER EXECUTIVE BENEFITS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You will also be entitled to the following Executive Benefits: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Excess Liability Insurance:</w:t>
      </w:r>
      <w:r>
        <w:rPr>
          <w:color w:val="000000"/>
        </w:rPr>
        <w:t xml:space="preserve"> </w:t>
      </w:r>
      <w:r>
        <w:rPr>
          <w:rFonts w:ascii="Arial;sans-serif" w:hAnsi="Arial;sans-serif"/>
          <w:b w:val="false"/>
          <w:color w:val="000000"/>
          <w:sz w:val="22"/>
        </w:rPr>
        <w:t>Honeywell will pay the annual premium for an Excess Liability Insurance policy that provides $20,000,000 of personal liability umbrella coverage per occurrence.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Executive Severance</w:t>
      </w:r>
      <w:r>
        <w:rPr>
          <w:rFonts w:ascii="Arial;sans-serif" w:hAnsi="Arial;sans-serif"/>
          <w:b w:val="false"/>
          <w:color w:val="000000"/>
          <w:sz w:val="22"/>
        </w:rPr>
        <w:t>: The Officer Severance Plan currently provides for 12 months of base salary continuation and target bonus if your 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Details of additional executive benefits are outlined in Exhibit A.</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STOCK OWNERSHIP GUIDELINES FOR HONEYWELL OFFICERS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WORK LOCATION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Because your business will be headquartered in Houston, and because you will need to spend considerable time in Houston to effectively manage your business, you agree that you will maintain a residence in the Houston area even though you and your family will not be relocating to Houston.  Further, because we recognize that your duties will require extended domestic and international travel, you will have the discretion to efficiently manage the time and location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6"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2 of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2 of 5</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your work responsibilities as you see fit consistent with your responsibilities as President and Chief Executive officer of Process Automation.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PRE-EMPLOYMENT REQUIREMENTS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Upon your acceptance of this offer, a Honeywell representative will contact you regarding certain pre-employment requirements that need to be completed prior to your start date (e.g., drug screen, I-9 completion, paycheck direct deposit, etc.). </w:t>
      </w:r>
      <w:r>
        <w:rPr>
          <w:rFonts w:ascii="Arial;sans-serif" w:hAnsi="Arial;sans-serif"/>
          <w:b w:val="false"/>
          <w:i/>
          <w:color w:val="000000"/>
          <w:sz w:val="22"/>
        </w:rPr>
        <w:t>NOTE: Your offer is contingent upon a satisfactory background check and negative drug screen</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u w:val="single"/>
        </w:rPr>
      </w:pPr>
      <w:r>
        <w:rPr>
          <w:rFonts w:ascii="Arial;sans-serif" w:hAnsi="Arial;sans-serif"/>
          <w:b/>
          <w:color w:val="000000"/>
          <w:sz w:val="22"/>
          <w:u w:val="single"/>
        </w:rPr>
        <w:t>INTELLECTUAL PROPERTY AND NON-COMPETITION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a condition of this employment offer, you are required to execute (i) Honeywell’s “Employee Agreement Relating to Trade Secrets, Proprietary and Confidential Information” (“IP Agreement”), and (ii) the “Honeywell International Inc. Noncompete Agreement for Select Management Employees” (“Noncompete Agreement”), both of which are attached hereto.</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ACCEPTANCE OF OFFER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Please indicate your acceptance of this offer by electronically signing this offer letter, as well as the IP Agreement and Noncompete Agreement via DocuSign.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Jim, we very much look forward to working with you. Your experience and background will be assets to our Company and we sincerely hope that you will accept this offer and join us.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If you have any questions or need any further information about our offer, please contact me directly.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Congratulations,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Vimal Kapur</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Chairman &amp; Chief Executive Officer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Honeywell International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Read and Accepted: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/s/James Masso    </w:t>
      </w:r>
      <w:r>
        <w:rPr>
          <w:color w:val="000000"/>
        </w:rPr>
        <w:t>                            </w:t>
      </w:r>
      <w:r>
        <w:rPr>
          <w:rFonts w:ascii="Arial;sans-serif" w:hAnsi="Arial;sans-serif"/>
          <w:b w:val="false"/>
          <w:color w:val="000000"/>
          <w:sz w:val="22"/>
          <w:u w:val="single"/>
        </w:rPr>
        <w:t>May 5, 2025</w:t>
      </w:r>
    </w:p>
    <w:p>
      <w:pPr>
        <w:pStyle w:val="TextBody"/>
        <w:bidi w:val="0"/>
        <w:spacing w:lineRule="auto" w:line="276" w:before="0" w:after="0"/>
        <w:jc w:val="left"/>
        <w:rPr/>
      </w:pPr>
      <w:r>
        <w:rPr>
          <w:rFonts w:ascii="Arial;sans-serif" w:hAnsi="Arial;sans-serif"/>
          <w:b/>
          <w:color w:val="000000"/>
          <w:sz w:val="22"/>
        </w:rPr>
        <w:t>JAMES MASSO                        </w:t>
      </w:r>
      <w:r>
        <w:rPr>
          <w:color w:val="000000"/>
        </w:rPr>
        <w:t>        </w:t>
      </w:r>
      <w:r>
        <w:rPr>
          <w:rFonts w:ascii="Arial;sans-serif" w:hAnsi="Arial;sans-serif"/>
          <w:b w:val="false"/>
          <w:color w:val="000000"/>
          <w:sz w:val="22"/>
        </w:rPr>
        <w:t>Date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7"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3 of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3 of 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2"/>
        </w:rPr>
      </w:pPr>
      <w:r>
        <w:rPr>
          <w:rFonts w:ascii="Arial;sans-serif" w:hAnsi="Arial;sans-serif"/>
          <w:b/>
          <w:i/>
          <w:color w:val="000000"/>
          <w:sz w:val="22"/>
        </w:rPr>
        <w:t xml:space="preserve">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 </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2"/>
        </w:rPr>
      </w:pPr>
      <w:r>
        <w:rPr>
          <w:rFonts w:ascii="Arial;sans-serif" w:hAnsi="Arial;sans-serif"/>
          <w:b/>
          <w:i/>
          <w:color w:val="000000"/>
          <w:sz w:val="22"/>
        </w:rPr>
        <w:t xml:space="preserve">The descriptions of benefits and perquisites described in this offer letter (including Exhibit A)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 </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8"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4 of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4 of 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EXHIBIT A</w: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EMPLOYEE BENEFITS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Savings Plan:</w:t>
      </w:r>
      <w:r>
        <w:rPr>
          <w:color w:val="000000"/>
        </w:rPr>
        <w:t xml:space="preserve">  </w:t>
      </w:r>
      <w:r>
        <w:rPr>
          <w:rFonts w:ascii="Arial;sans-serif" w:hAnsi="Arial;sans-serif"/>
          <w:b w:val="false"/>
          <w:color w:val="000000"/>
          <w:sz w:val="22"/>
        </w:rPr>
        <w:t>Upon employment, you are eligible to participate in Honeywell’s 401(k) savings plan (“Savings Plan”). Please refer to the Savings Plan’s SPD for further details about your contributions and the Company’s match. Company matching contributions are made in Honeywell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Company’s matching contribution is fully vested after three (3) years of service at Honeywell.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You will be able to direct the investment of your contributions to the Savings Plan among a number of attractive investment opportunities.  After you become vested in your Company match account, you will similarly be eligible to direct the investment of those funds.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Your current savings in a qualified 401(k) plan may be eligible to be rolled over to the Savings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Medical and Dental Plans:</w:t>
      </w:r>
      <w:r>
        <w:rPr>
          <w:color w:val="000000"/>
        </w:rPr>
        <w:t xml:space="preserve"> </w:t>
      </w:r>
      <w:r>
        <w:rPr>
          <w:rFonts w:ascii="Arial;sans-serif" w:hAnsi="Arial;sans-serif"/>
          <w:b w:val="false"/>
          <w:color w:val="000000"/>
          <w:sz w:val="22"/>
        </w:rPr>
        <w:t>Honeywell’s medical and dental plans provide competitive and comprehensive coverage.  Coverage begins on the first day of employment.  The Company’s health plans cover pre-existing conditions if you enroll within 31 days of first becoming eligible for the plans.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Short Term Disability (STD): </w:t>
      </w:r>
      <w:r>
        <w:rPr>
          <w:color w:val="000000"/>
        </w:rPr>
        <w:t xml:space="preserve"> </w:t>
      </w:r>
      <w:r>
        <w:rPr>
          <w:rFonts w:ascii="Arial;sans-serif" w:hAnsi="Arial;sans-serif"/>
          <w:b w:val="false"/>
          <w:color w:val="000000"/>
          <w:sz w:val="22"/>
        </w:rPr>
        <w:t>A benefit of up to 6 months base salary will be provided.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Long Term Disability (LTD):</w:t>
      </w:r>
      <w:r>
        <w:rPr>
          <w:color w:val="000000"/>
        </w:rPr>
        <w:t xml:space="preserve"> </w:t>
      </w:r>
      <w:r>
        <w:rPr>
          <w:rFonts w:ascii="Arial;sans-serif" w:hAnsi="Arial;sans-serif"/>
          <w:b w:val="false"/>
          <w:color w:val="000000"/>
          <w:sz w:val="22"/>
        </w:rPr>
        <w:t>The plan provides 60% of your base salary and incentive compensation target up to a maximum of $30,000 per month.  This plan is fully contributory.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Life Insurance</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Group Life</w:t>
      </w:r>
      <w:r>
        <w:rPr>
          <w:color w:val="000000"/>
        </w:rPr>
        <w:t xml:space="preserve"> </w:t>
      </w:r>
      <w:r>
        <w:rPr>
          <w:rFonts w:ascii="Arial;sans-serif" w:hAnsi="Arial;sans-serif"/>
          <w:b w:val="false"/>
          <w:color w:val="000000"/>
          <w:sz w:val="22"/>
        </w:rPr>
        <w:t>will be provided on a non-contributory basis in an amount equal to one (1) times your base salary.  Additionally, Group Universal Life is available; equal to eight (8) times base salary and is contributory on an attractive group basis.  Group Universal Life amounts over $250,000 are subject to evidence of good health.</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Accidental Death and Dismemberment</w:t>
      </w:r>
      <w:r>
        <w:rPr>
          <w:color w:val="000000"/>
        </w:rPr>
        <w:t xml:space="preserve"> </w:t>
      </w:r>
      <w:r>
        <w:rPr>
          <w:rFonts w:ascii="Arial;sans-serif" w:hAnsi="Arial;sans-serif"/>
          <w:b w:val="false"/>
          <w:color w:val="000000"/>
          <w:sz w:val="22"/>
        </w:rPr>
        <w:t>insurance will be provided on a non-contributory basis in an amount equal to one and one-half times your base salary.  Additionally, Accidental Death and Dismemberment insurance is available on a contributory basis and provides a benefit up to a maximum of eight (8) times your base salary.</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Business Travel Accident</w:t>
      </w:r>
      <w:r>
        <w:rPr>
          <w:color w:val="000000"/>
        </w:rPr>
        <w:t xml:space="preserve"> </w:t>
      </w:r>
      <w:r>
        <w:rPr>
          <w:rFonts w:ascii="Arial;sans-serif" w:hAnsi="Arial;sans-serif"/>
          <w:b w:val="false"/>
          <w:color w:val="000000"/>
          <w:sz w:val="22"/>
        </w:rPr>
        <w:t>insurance is provided on a non-contributory basis, and provides a death benefit in the case of a business-related accident, of up to five (5) times your annual base salary (up to a maximum of $2.0 million).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Executive perquisites and employee benefits will terminate as of your last day of active employment except to the extent otherwise provided in the applicable plan document or as required by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19"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5 of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5 of 5</w:t>
                      </w:r>
                    </w:p>
                  </w:txbxContent>
                </v:textbox>
                <w10:wrap type="none"/>
              </v:rect>
            </w:pict>
          </mc:Fallback>
        </mc:AlternateContent>
      </w:r>
    </w:p>
    <w:p>
      <w:pPr>
        <w:pStyle w:val="TextBody"/>
        <w:bidi w:val="0"/>
        <w:spacing w:lineRule="auto" w:line="194" w:before="0" w:after="0"/>
        <w:jc w:val="right"/>
        <w:rPr>
          <w:rFonts w:ascii="Arial;sans-serif" w:hAnsi="Arial;sans-serif"/>
          <w:b/>
          <w:color w:val="000000"/>
          <w:sz w:val="24"/>
        </w:rPr>
      </w:pPr>
      <w:r>
        <w:rPr>
          <w:rFonts w:ascii="Arial;sans-serif" w:hAnsi="Arial;sans-serif"/>
          <w:b/>
          <w:color w:val="000000"/>
          <w:sz w:val="24"/>
        </w:rPr>
        <w:t>EXHIBIT 10.65</w:t>
      </w:r>
    </w:p>
    <w:p>
      <w:pPr>
        <w:pStyle w:val="TextBody"/>
        <w:bidi w:val="0"/>
        <w:spacing w:before="0" w:after="0"/>
        <w:jc w:val="both"/>
        <w:rPr/>
      </w:pPr>
      <w:r>
        <w:rPr/>
        <w:drawing>
          <wp:inline distT="0" distB="0" distL="0" distR="0">
            <wp:extent cx="1628775" cy="514350"/>
            <wp:effectExtent l="0" t="0" r="0" b="0"/>
            <wp:docPr id="2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45" descr=""/>
                    <pic:cNvPicPr>
                      <a:picLocks noChangeAspect="1" noChangeArrowheads="1"/>
                    </pic:cNvPicPr>
                  </pic:nvPicPr>
                  <pic:blipFill>
                    <a:blip r:embed="rId140"/>
                    <a:stretch>
                      <a:fillRect/>
                    </a:stretch>
                  </pic:blipFill>
                  <pic:spPr bwMode="auto">
                    <a:xfrm>
                      <a:off x="0" y="0"/>
                      <a:ext cx="1628775" cy="514350"/>
                    </a:xfrm>
                    <a:prstGeom prst="rect">
                      <a:avLst/>
                    </a:prstGeom>
                  </pic:spPr>
                </pic:pic>
              </a:graphicData>
            </a:graphic>
          </wp:inline>
        </w:drawing>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March 2,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Billal Hammoud</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2101 City West Boulevard</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Houston, Texas 77042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2"/>
        </w:rPr>
      </w:pPr>
      <w:r>
        <w:rPr>
          <w:rFonts w:ascii="Arial;sans-serif" w:hAnsi="Arial;sans-serif"/>
          <w:b w:val="false"/>
          <w:i/>
          <w:color w:val="000000"/>
          <w:sz w:val="22"/>
        </w:rPr>
        <w:t>Re:    Offer Letter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Dear Billal: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 am pleased to confirm our offer to you to become President and Chief Executive Officer, Honeywell Building Technologies (Executive Band), based in Atlanta, Georgia, reporting directly to me. The effective date of your promotion will be April 1, 2023 (“Effective Date”), subject to the terms and conditions of this offer letter. In this position, you will become an Executive Officer of Honeywell.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 connection with your new role, you will be entitled to the following compensation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and benefits package: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Base Salary</w:t>
      </w:r>
      <w:r>
        <w:rPr>
          <w:rFonts w:ascii="Arial;sans-serif" w:hAnsi="Arial;sans-serif"/>
          <w:b w:val="false"/>
          <w:color w:val="000000"/>
          <w:sz w:val="22"/>
        </w:rPr>
        <w:t>: If approved, your annual base salary will be increased to $650,000 retroactively to the Effective Date. Base salary reviews occur annually and any adjustments are generally at the end of the first quarter of the calendar year. Adjustments are based on your performance and other relevant factors. You will next be eligible for a base salary review in March of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Annual Incentive Compensation</w:t>
      </w:r>
      <w:r>
        <w:rPr>
          <w:rFonts w:ascii="Arial;sans-serif" w:hAnsi="Arial;sans-serif"/>
          <w:b w:val="false"/>
          <w:color w:val="000000"/>
          <w:sz w:val="22"/>
        </w:rPr>
        <w:t>: If approved, your target incentive compensation opportunity will be 100% of your annual cash base salary earnings during the year. For 2023, your incentive compensation award will be prorated based on the number of days your target incentive was 65%, and the number of days your target incentive will be 100%. Incentive compensation awards are paid in the first quarter of the following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Annual Long-Term Incentive Awards:</w:t>
      </w:r>
      <w:r>
        <w:rPr>
          <w:color w:val="000000"/>
        </w:rPr>
        <w:t xml:space="preserve"> </w:t>
      </w:r>
      <w:r>
        <w:rPr>
          <w:rFonts w:ascii="Arial;sans-serif" w:hAnsi="Arial;sans-serif"/>
          <w:b w:val="false"/>
          <w:color w:val="000000"/>
          <w:sz w:val="22"/>
        </w:rPr>
        <w:t xml:space="preserve">If approved, beginning in 2023, you will be eligible for annual long-term incentive (“LTI”) awards with a target grant date value of $1,520,000. Your LTI awards shall consist of stock options, restricted stock units, performance stock units or cash-based awards, or some combination thereof, as determined by the Company in its discretion. The actual size and mix of your annual LTI awards will be determined by the MDCC based on your performance and future career potential with Honeywell.  The terms of all LTI awards are governed by the terms of the applicable stock plan and the relevant award agreements. </w:t>
      </w:r>
    </w:p>
    <w:p>
      <w:pPr>
        <w:pStyle w:val="TextBody"/>
        <w:bidi w:val="0"/>
        <w:spacing w:lineRule="auto" w:line="288" w:before="0" w:after="120"/>
        <w:ind w:left="0" w:right="0" w:hanging="144"/>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As a corporate officer of Honeywell, your compensation must be officially approved by the Management Development and Compensation Committee of the Company’s Board of Directors (“MDCC”). It is expected that your compensation package will be retroactively approved at the next regularly scheduled meeting of the MDCC, which is expected to be on or about April 24, 2023.</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67665"/>
                <wp:effectExtent l="0" t="0" r="0" b="0"/>
                <wp:wrapNone/>
                <wp:docPr id="221" name="Frame1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1 of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1 of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Moreover, Honeywell and the MDCC reserve the right to modify the design or mix of the LTI award program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OTHER EXECUTIVE BENEFITS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You will also be entitled to the following Executive Benefits: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Excess Liability Insurance:</w:t>
      </w:r>
      <w:r>
        <w:rPr>
          <w:color w:val="000000"/>
        </w:rPr>
        <w:t xml:space="preserve"> </w:t>
      </w:r>
      <w:r>
        <w:rPr>
          <w:rFonts w:ascii="Arial;sans-serif" w:hAnsi="Arial;sans-serif"/>
          <w:b w:val="false"/>
          <w:color w:val="000000"/>
          <w:sz w:val="22"/>
        </w:rPr>
        <w:t>Honeywell will pay the annual premium for an Excess Liability Insurance policy that provides $20,000,000 of personal liability umbrella coverage per occurrence.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Executive Severance</w:t>
      </w:r>
      <w:r>
        <w:rPr>
          <w:rFonts w:ascii="Arial;sans-serif" w:hAnsi="Arial;sans-serif"/>
          <w:b w:val="false"/>
          <w:color w:val="000000"/>
          <w:sz w:val="22"/>
        </w:rPr>
        <w:t>: The Officer Severance Plan currently provides for 12 months of base salary continuation and target bonus if your 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u w:val="single"/>
        </w:rPr>
      </w:pPr>
      <w:r>
        <w:rPr>
          <w:rFonts w:ascii="Arial;sans-serif" w:hAnsi="Arial;sans-serif"/>
          <w:b/>
          <w:color w:val="000000"/>
          <w:sz w:val="22"/>
          <w:u w:val="single"/>
        </w:rPr>
        <w:t>STOCK OWNERSHIP GUIDELINES FOR HONEYWELL OFFICERS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RELOCATION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A condition of the offer is that you relocate to the Atlanta, Georgia area.  You will be eligible for relocation assistance in accordance with the Company’s Executive Level relocation guidelines.  </w:t>
      </w:r>
      <w:r>
        <w:rPr>
          <w:rFonts w:ascii="Arial;sans-serif" w:hAnsi="Arial;sans-serif"/>
          <w:b w:val="false"/>
          <w:i/>
          <w:color w:val="000000"/>
          <w:sz w:val="22"/>
        </w:rPr>
        <w:t>If you fail to so relocate within a reasonable period of time, you agree that you will be (i) treated as a voluntary quit for all purposes, including but not limited to this Offer Letter, Honeywell’s relocation policy, severance benefits and equity awards, and (ii) separated from the Company</w:t>
      </w:r>
      <w:r>
        <w:rPr>
          <w:rFonts w:ascii="Arial;sans-serif" w:hAnsi="Arial;sans-serif"/>
          <w:b w:val="false"/>
          <w:color w:val="000000"/>
          <w:sz w:val="22"/>
        </w:rPr>
        <w:t>. You will be contacted by a representative from our relocation vendor after you return your signed offer letter to initiate the relocation process.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u w:val="single"/>
        </w:rPr>
      </w:pPr>
      <w:r>
        <w:rPr>
          <w:rFonts w:ascii="Arial;sans-serif" w:hAnsi="Arial;sans-serif"/>
          <w:b/>
          <w:color w:val="000000"/>
          <w:sz w:val="22"/>
          <w:u w:val="single"/>
        </w:rPr>
        <w:t>INTELLECTUAL PROPERTY AND NON-COMPETITION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a condition of this employment offer, you are required to execute (i) Honeywell’s “Employee Agreement Relating to Trade Secrets, Proprietary and Confidential Information” (“IP Agreement”), and (ii) the “Honeywell International Inc. Noncompete Agreement for Select Management Employees” (“Noncompete Agreement”), both of which are attached hereto.</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ACCEPTANCE OF OFFER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Please indicate your acceptance of this offer by signing this offer letter, as well as the IP Agreement and Noncompete Agreement, and returning them to Karen Mattimore.</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Honeywell has a long and distinguished history. But, more importantly, we are a company with a terrific future and a great place to work. Our performance culture drives growth for us and competitive advantage for our customers. We hire the best people; give them every possible </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67665"/>
                <wp:effectExtent l="0" t="0" r="0" b="0"/>
                <wp:wrapNone/>
                <wp:docPr id="222" name="Frame1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2 of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2 of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opportunity to learn, grow, and develop; and reward them for their contributions. We offer career paths that span product lines, job types, businesses, and countries.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Billal, we are excited to be extending this offer to you and look forward to working with you in your expanded role. Your experience and background are an asset to our Company.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If you have any questions or need any further information about our offer, please contact me directly.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Congratulations,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Vimal Kapur</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President &amp; Chief Operating Officer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Honeywell International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Read and Accepted: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/s/Billal Hammoud        </w:t>
      </w:r>
      <w:r>
        <w:rPr>
          <w:color w:val="000000"/>
        </w:rPr>
        <w:t xml:space="preserve">     </w:t>
      </w:r>
      <w:r>
        <w:rPr>
          <w:rFonts w:ascii="Arial;sans-serif" w:hAnsi="Arial;sans-serif"/>
          <w:b w:val="false"/>
          <w:color w:val="000000"/>
          <w:sz w:val="22"/>
          <w:u w:val="single"/>
        </w:rPr>
        <w:t>March 2, 2023</w:t>
      </w:r>
    </w:p>
    <w:p>
      <w:pPr>
        <w:pStyle w:val="TextBody"/>
        <w:bidi w:val="0"/>
        <w:spacing w:lineRule="auto" w:line="276" w:before="0" w:after="0"/>
        <w:jc w:val="left"/>
        <w:rPr/>
      </w:pPr>
      <w:r>
        <w:rPr>
          <w:rFonts w:ascii="Arial;sans-serif" w:hAnsi="Arial;sans-serif"/>
          <w:b/>
          <w:color w:val="000000"/>
          <w:sz w:val="22"/>
        </w:rPr>
        <w:t>BILLAL HAMMOUD (E323384)                </w:t>
      </w:r>
      <w:r>
        <w:rPr>
          <w:color w:val="000000"/>
        </w:rPr>
        <w:t>    </w:t>
      </w:r>
      <w:r>
        <w:rPr>
          <w:rFonts w:ascii="Arial;sans-serif" w:hAnsi="Arial;sans-serif"/>
          <w:b w:val="false"/>
          <w:color w:val="000000"/>
          <w:sz w:val="22"/>
        </w:rPr>
        <w:t>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2"/>
        </w:rPr>
      </w:pPr>
      <w:r>
        <w:rPr>
          <w:rFonts w:ascii="Arial;sans-serif" w:hAnsi="Arial;sans-serif"/>
          <w:b/>
          <w:i/>
          <w:color w:val="000000"/>
          <w:sz w:val="22"/>
        </w:rPr>
        <w:t xml:space="preserve">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 </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2"/>
        </w:rPr>
      </w:pPr>
      <w:r>
        <w:rPr>
          <w:rFonts w:ascii="Arial;sans-serif" w:hAnsi="Arial;sans-serif"/>
          <w:b/>
          <w:i/>
          <w:color w:val="000000"/>
          <w:sz w:val="22"/>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66"/>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67665"/>
                <wp:effectExtent l="0" t="0" r="0" b="0"/>
                <wp:wrapNone/>
                <wp:docPr id="223" name="Frame1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3 of 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Page 3 of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drawing>
          <wp:inline distT="0" distB="0" distL="0" distR="0">
            <wp:extent cx="1628775" cy="514350"/>
            <wp:effectExtent l="0" t="0" r="0" b="0"/>
            <wp:docPr id="22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46" descr=""/>
                    <pic:cNvPicPr>
                      <a:picLocks noChangeAspect="1" noChangeArrowheads="1"/>
                    </pic:cNvPicPr>
                  </pic:nvPicPr>
                  <pic:blipFill>
                    <a:blip r:embed="rId141"/>
                    <a:stretch>
                      <a:fillRect/>
                    </a:stretch>
                  </pic:blipFill>
                  <pic:spPr bwMode="auto">
                    <a:xfrm>
                      <a:off x="0" y="0"/>
                      <a:ext cx="1628775" cy="5143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February 17,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James E. Currier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1944 E Sky Harbor Circle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Phoenix, Arizona 85034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2"/>
        </w:rPr>
      </w:pPr>
      <w:r>
        <w:rPr>
          <w:rFonts w:ascii="Arial;sans-serif" w:hAnsi="Arial;sans-serif"/>
          <w:b w:val="false"/>
          <w:i/>
          <w:color w:val="000000"/>
          <w:sz w:val="22"/>
        </w:rPr>
        <w:t>Re:    Offer Letter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Dear Jim: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 am pleased to confirm our offer to you to become the President and Chief Executive Officer (“CEO”) of Honeywell Aerospace, Inc. (“New Aerospace”), a division of Honeywell International Inc. (“Honeywell”) that is expected to be spun off as an independent public company at some point in the third quarter of 2026 (the actual spin-off date, if applicable, is hereinafter referred to as the “Separation Date”). The role is effective as of the Separation Date and is based in Phoenix, Arizona.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connection with your new role, you will be entitled to the following compensation and benefits package with New Aerospace: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Base Salary</w:t>
      </w:r>
      <w:r>
        <w:rPr>
          <w:rFonts w:ascii="Arial;sans-serif" w:hAnsi="Arial;sans-serif"/>
          <w:b w:val="false"/>
          <w:color w:val="000000"/>
          <w:sz w:val="22"/>
        </w:rPr>
        <w:t xml:space="preserve">: </w:t>
      </w:r>
      <w:r>
        <w:rPr>
          <w:rFonts w:ascii="Arial;sans-serif" w:hAnsi="Arial;sans-serif"/>
          <w:b w:val="false"/>
          <w:i/>
          <w:color w:val="000000"/>
          <w:sz w:val="22"/>
        </w:rPr>
        <w:t>As of the Separation Date</w:t>
      </w:r>
      <w:r>
        <w:rPr>
          <w:rFonts w:ascii="Arial;sans-serif" w:hAnsi="Arial;sans-serif"/>
          <w:b w:val="false"/>
          <w:color w:val="000000"/>
          <w:sz w:val="22"/>
        </w:rPr>
        <w:t>, your annual base salary will be $1,400,000. After the Separation Date, your base salary shall adjusted by the compensation committee of New Aerospace’s Board of Directors from time to time. Adjustments are based on your performance and other relevant factors.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Annual Incentive Compensation Opportunity From New Aerospace:</w:t>
      </w:r>
      <w:r>
        <w:rPr>
          <w:color w:val="000000"/>
        </w:rPr>
        <w:t xml:space="preserve"> </w:t>
      </w:r>
      <w:r>
        <w:rPr>
          <w:rFonts w:ascii="Arial;sans-serif" w:hAnsi="Arial;sans-serif"/>
          <w:b w:val="false"/>
          <w:i/>
          <w:color w:val="000000"/>
          <w:sz w:val="22"/>
        </w:rPr>
        <w:t>As of the Separation Date</w:t>
      </w:r>
      <w:r>
        <w:rPr>
          <w:rFonts w:ascii="Arial;sans-serif" w:hAnsi="Arial;sans-serif"/>
          <w:b w:val="false"/>
          <w:color w:val="000000"/>
          <w:sz w:val="22"/>
        </w:rPr>
        <w:t>, your target incentive compensation opportunity with New Aerospace will be 175% of your annual cash base salary earnings during the year. For the calendar year that contains the Separation Date, you will be eligible for an incentive compensation award from New Aerospace for post-Separation Date earnings. New Aerospace incentive compensation awards are paid in the first quarter of the following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Pre-Separation Date Annual Incentive Compensation Opportunity:</w:t>
      </w:r>
      <w:r>
        <w:rPr>
          <w:color w:val="000000"/>
        </w:rPr>
        <w:t xml:space="preserve"> </w:t>
      </w:r>
      <w:r>
        <w:rPr>
          <w:rFonts w:ascii="Arial;sans-serif" w:hAnsi="Arial;sans-serif"/>
          <w:b w:val="false"/>
          <w:color w:val="000000"/>
          <w:sz w:val="22"/>
        </w:rPr>
        <w:t>You will continue to be eligible to receive an incentive compensation award for your services with Honeywell up through the Separation Date. Such award shall be based on your pre-Separation Date cash base salary earnings and incentive plan target percentage with Honeywell for the pre-separation period and shall be payable in the first quarter of the following year. Honeywell retains the right to assign the related payment obligation to New Aerospace.</w:t>
      </w:r>
    </w:p>
    <w:p>
      <w:pPr>
        <w:pStyle w:val="TextBody"/>
        <w:bidi w:val="0"/>
        <w:spacing w:before="0" w:after="0"/>
        <w:jc w:val="both"/>
        <w:rPr/>
      </w:pPr>
      <w:r>
        <w:rPr/>
      </w:r>
    </w:p>
    <w:p>
      <w:pPr>
        <w:pStyle w:val="TextBody"/>
        <w:bidi w:val="0"/>
        <w:spacing w:lineRule="auto" w:line="288"/>
        <w:jc w:val="both"/>
        <w:rPr/>
      </w:pPr>
      <w:r>
        <w:rPr>
          <w:rFonts w:ascii="Arial;sans-serif" w:hAnsi="Arial;sans-serif"/>
          <w:b/>
          <w:color w:val="000000"/>
          <w:sz w:val="22"/>
        </w:rPr>
        <w:t>Annual Long-Term Incentive Awards From New Aerospace:</w:t>
      </w:r>
      <w:r>
        <w:rPr>
          <w:color w:val="000000"/>
        </w:rPr>
        <w:t xml:space="preserve"> </w:t>
      </w:r>
      <w:r>
        <w:rPr>
          <w:rFonts w:ascii="Arial;sans-serif" w:hAnsi="Arial;sans-serif"/>
          <w:b w:val="false"/>
          <w:i/>
          <w:color w:val="000000"/>
          <w:sz w:val="22"/>
        </w:rPr>
        <w:t>After the Separation Date</w:t>
      </w:r>
      <w:r>
        <w:rPr>
          <w:rFonts w:ascii="Arial;sans-serif" w:hAnsi="Arial;sans-serif"/>
          <w:b w:val="false"/>
          <w:color w:val="000000"/>
          <w:sz w:val="22"/>
        </w:rPr>
        <w:t xml:space="preserve">, you will be eligible to receive annual long-term incentive (“LTI”) awards from New Aerospace consisting of stock options, restricted stock units, performance stock units or cash awards, or </w:t>
      </w: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1 of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1 of 3</w:t>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rPr>
        <w:t>some combination thereof, as determined by New Aerospace in its sole discretion. The New Aerospace awards shall have an annual target grant date value equal to $13,000,000.</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The actual size and mix of your future New Aerospace LTI awards will be determined by the compensation committee of New Aerospace’s Board of Directors based on your performance and future career potential. The terms of the New Aerospace LTI awards will be governed by the terms of the applicable stock plan and the relevant award agreements.</w:t>
      </w:r>
      <w:r>
        <w:rPr>
          <w:rFonts w:ascii="Arial;sans-serif" w:hAnsi="Arial;sans-serif"/>
          <w:b w:val="false"/>
          <w:color w:val="000000"/>
          <w:sz w:val="14"/>
        </w:rPr>
        <w:t>2</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OTHER EXECUTIVE BENEFITS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You will also be entitled to the following Executive Benefits: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 xml:space="preserve">Welfare and Retirement: </w:t>
      </w:r>
      <w:r>
        <w:rPr>
          <w:rFonts w:ascii="Arial;sans-serif" w:hAnsi="Arial;sans-serif"/>
          <w:b w:val="false"/>
          <w:color w:val="000000"/>
          <w:sz w:val="22"/>
        </w:rPr>
        <w:t>As provided to other employees of New Aerospace (to be determined).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 xml:space="preserve">Vacation: </w:t>
      </w:r>
      <w:r>
        <w:rPr>
          <w:rFonts w:ascii="Arial;sans-serif" w:hAnsi="Arial;sans-serif"/>
          <w:b w:val="false"/>
          <w:color w:val="000000"/>
          <w:sz w:val="22"/>
        </w:rPr>
        <w:t>As provided to other senior executives of New Aerospace (to be determined)</w:t>
      </w:r>
      <w:r>
        <w:rPr>
          <w:rFonts w:ascii="Arial;sans-serif" w:hAnsi="Arial;sans-serif"/>
          <w:b w:val="false"/>
          <w:i/>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 xml:space="preserve">Excess Liability Insurance: </w:t>
      </w:r>
      <w:r>
        <w:rPr>
          <w:rFonts w:ascii="Arial;sans-serif" w:hAnsi="Arial;sans-serif"/>
          <w:b w:val="false"/>
          <w:color w:val="000000"/>
          <w:sz w:val="22"/>
        </w:rPr>
        <w:t>As provided to other senior executives of New Aerospace (to be determined).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Executive Severance</w:t>
      </w:r>
      <w:r>
        <w:rPr>
          <w:rFonts w:ascii="Arial;sans-serif" w:hAnsi="Arial;sans-serif"/>
          <w:b w:val="false"/>
          <w:color w:val="000000"/>
          <w:sz w:val="22"/>
        </w:rPr>
        <w:t>: As provided to other senior executives of New Aerospace (to be determined).</w:t>
      </w:r>
      <w:r>
        <w:rPr>
          <w:rFonts w:ascii="Arial;sans-serif" w:hAnsi="Arial;sans-serif"/>
          <w:b w:val="false"/>
          <w:color w:val="000000"/>
          <w:sz w:val="14"/>
        </w:rPr>
        <w:t>3</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STOCK OWNERSHIP GUIDELINES FOR COMPANY OFFICERS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an Executive Officer of New Aerospace, you will be required to hold a multiple of your annual base salary in Company shares in accordance with New Aerospace’s Stock Ownership Guidelines (to be determined).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PROTECTION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You shall be eligible for security and protection services as deemed appropriate by New Aerospace Security, which includes access to New Aerospace aircraft.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144"/>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2026, you will receive the difference between the $13,000,000 target and the value of any LTI awards granted to you by Honeywell in 2026 prior to the Separation Date.</w:t>
      </w:r>
    </w:p>
    <w:p>
      <w:pPr>
        <w:pStyle w:val="TextBody"/>
        <w:bidi w:val="0"/>
        <w:spacing w:lineRule="auto" w:line="288" w:before="80" w:after="80"/>
        <w:ind w:left="0" w:right="0" w:hanging="144"/>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It is expected that Honeywell’s Board of Directors will approve an equity plan for New Aerospace executives that provides that in the event of a change in control, you will vest in all of your outstanding equity in the event of (i) an involuntary termination of employment other than for Cause, or (ii) a voluntary termination of employment for Good Reason, within two (2) years of the change in control.</w:t>
      </w:r>
    </w:p>
    <w:p>
      <w:pPr>
        <w:pStyle w:val="TextBody"/>
        <w:bidi w:val="0"/>
        <w:spacing w:lineRule="auto" w:line="288" w:before="80" w:after="283"/>
        <w:ind w:left="0" w:right="0" w:hanging="144"/>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Honeywell’s Board of Directors has approved a severance plan for New Aerospace officers that provides you with thirty-six (36) months of base and bonus in the event of an involuntary termination of employment other than for Cause. In the event of a change in control, you will likewise be entitled to thirty-six (36) months of base and bonus in the event of (i) an involuntary termination of employment other than for Cause, or (ii) a voluntary termination of employment for Good Reason, within two (2) years of the change in control.</w:t>
      </w:r>
    </w:p>
    <w:p>
      <w:pPr>
        <w:pStyle w:val="TextBody"/>
        <w:bidi w:val="0"/>
        <w:spacing w:before="0" w:after="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2 of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2 of 3</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INTELLECTUAL PROPERTY AND NON-COMPETITION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a condition of this employment offer, you will be required to execute, in a form substantially similar to the corresponding Honeywell agreements, New Aerospace’s intellectual property agreement and noncompete agreement for senior executives. Such agreements will be provided to you prior to the Separation Date.</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ACCEPTANCE OF OFFER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Please indicate your acceptance of this offer by electronically signing this offer letter via DocuSign.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Jim, we are excited to be extending this offer to you and look forward to working with you as you transition to your new role. Your experience and background will be an asset to New Aerospace.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If you have any questions or need any further information about our offer, please contact me directly.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Congratulations,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194" w:before="0" w:after="0"/>
        <w:jc w:val="both"/>
        <w:rPr>
          <w:rFonts w:ascii="Arial;sans-serif" w:hAnsi="Arial;sans-serif"/>
          <w:b w:val="false"/>
          <w:color w:val="000000"/>
          <w:sz w:val="22"/>
        </w:rPr>
      </w:pPr>
      <w:r>
        <w:rPr>
          <w:rFonts w:ascii="Arial;sans-serif" w:hAnsi="Arial;sans-serif"/>
          <w:b w:val="false"/>
          <w:color w:val="000000"/>
          <w:sz w:val="22"/>
        </w:rPr>
        <w:t>Karen Mattimore</w:t>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Senior Vice President and Chief Human Resources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Read and Accepted: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/s/James E. Currier     </w:t>
      </w:r>
      <w:r>
        <w:rPr>
          <w:color w:val="000000"/>
        </w:rPr>
        <w:t>                            </w:t>
      </w:r>
      <w:r>
        <w:rPr>
          <w:rFonts w:ascii="Arial;sans-serif" w:hAnsi="Arial;sans-serif"/>
          <w:b w:val="false"/>
          <w:color w:val="000000"/>
          <w:sz w:val="22"/>
          <w:u w:val="single"/>
        </w:rPr>
        <w:t>February 17, 2026</w:t>
      </w:r>
    </w:p>
    <w:p>
      <w:pPr>
        <w:pStyle w:val="TextBody"/>
        <w:bidi w:val="0"/>
        <w:spacing w:lineRule="auto" w:line="276" w:before="0" w:after="0"/>
        <w:jc w:val="left"/>
        <w:rPr/>
      </w:pPr>
      <w:r>
        <w:rPr>
          <w:rFonts w:ascii="Arial;sans-serif" w:hAnsi="Arial;sans-serif"/>
          <w:b/>
          <w:color w:val="000000"/>
          <w:sz w:val="22"/>
        </w:rPr>
        <w:t>JAMES E. CURRIER (E355611)                        </w:t>
      </w:r>
      <w:r>
        <w:rPr>
          <w:rFonts w:ascii="Arial;sans-serif" w:hAnsi="Arial;sans-serif"/>
          <w:b w:val="false"/>
          <w:color w:val="000000"/>
          <w:sz w:val="22"/>
        </w:rPr>
        <w:t>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22"/>
        </w:rPr>
      </w:pPr>
      <w:r>
        <w:rPr>
          <w:rFonts w:ascii="Arial;sans-serif" w:hAnsi="Arial;sans-serif"/>
          <w:b/>
          <w:i/>
          <w:color w:val="000000"/>
          <w:sz w:val="22"/>
        </w:rPr>
        <w:t>All businesses experience changing conditions. Accordingly, New Aerospace reserves the right to change work assignments, reporting relationships and staffing levels to meet business needs, and your employment with New Aerospace will be on an "at will" basis. This means that there is no guarantee of employment for any specific period, and either you or New Aerospace may terminate your employment at any time.</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3 of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Page 3 of 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21</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HONEYWELL INTERNATIONAL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SUBSIDIARIES OF THE REGISTRANT</w:t>
      </w:r>
    </w:p>
    <w:tbl>
      <w:tblPr>
        <w:tblW w:w="7833" w:type="dxa"/>
        <w:jc w:val="center"/>
        <w:tblInd w:w="0" w:type="dxa"/>
        <w:tblLayout w:type="fixed"/>
        <w:tblCellMar>
          <w:top w:w="28" w:type="dxa"/>
          <w:left w:w="28" w:type="dxa"/>
          <w:bottom w:w="28" w:type="dxa"/>
          <w:right w:w="28" w:type="dxa"/>
        </w:tblCellMar>
      </w:tblPr>
      <w:tblGrid>
        <w:gridCol w:w="1818"/>
        <w:gridCol w:w="1590"/>
        <w:gridCol w:w="1616"/>
        <w:gridCol w:w="568"/>
        <w:gridCol w:w="568"/>
        <w:gridCol w:w="575"/>
        <w:gridCol w:w="240"/>
        <w:gridCol w:w="241"/>
        <w:gridCol w:w="617"/>
      </w:tblGrid>
      <w:tr>
        <w:trPr/>
        <w:tc>
          <w:tcPr>
            <w:tcW w:w="181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Country or State</w:t>
              <w:br/>
              <w:t>of Incorporation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Ownership</w:t>
            </w:r>
          </w:p>
        </w:tc>
      </w:tr>
      <w:tr>
        <w:trPr/>
        <w:tc>
          <w:tcPr>
            <w:tcW w:w="5024" w:type="dxa"/>
            <w:gridSpan w:val="3"/>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AlliedSignal Aerospace Service LLC</w:t>
            </w:r>
          </w:p>
        </w:tc>
        <w:tc>
          <w:tcPr>
            <w:tcW w:w="1711" w:type="dxa"/>
            <w:gridSpan w:val="3"/>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 Technologies Partnership</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Canada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CAES Systems Holdings LLC</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States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Cedar Court Indemnity Company</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Vermont</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 DEV Europe Limited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Eclipse, Inc.</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Illinois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Elster GmbH</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Elster Group GmbH</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ELSTER METERING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Elster Metering Pty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Australia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Elster S.A.S.</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France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Elster s.r.o.</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Slovakia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Elster Solutions Corporation</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EMS Defense Technologies, Inc.</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Georgia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EMS Technologies Canada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Canada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Friedland Doggart Group Limited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Garrett Thermal Systems Limited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Grimes Aerospace Company</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Hand Held Products, Inc.</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(China) Co.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(Tianjin) Limited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Advanced Limited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Ireland</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Aerospace Avionics Malaysia Sdn Bhd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Malaysia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Aerospace de Mexico, S.de R.L. de C.V.</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Mexico</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Aerospace De Puerto Rico, Inc.</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Puerto Rico</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Aerospace GmbH</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Aerospace Olomouc s.r.o.</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Czech Republic</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Aerospace Singapore Pte.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Singapore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Aerospace UK</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Analytics Inc.</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Texas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Automation and Control Products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Saudi Arabia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Automation Control Solutions (China) Co.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Automation India Limited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Automation Technology (China) Co.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Automotive de Mexico S. de R.L. de C.V.</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Mexico</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Avionics (Shanghai) Co.,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B.V.</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Netherlands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Building Solutions GmbH</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Chile S.A.</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Chile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Co., Ltd.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Korea, Republic of</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Control Systems Limited</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2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Deutschland Holding GmbH</w:t>
            </w:r>
          </w:p>
        </w:tc>
        <w:tc>
          <w:tcPr>
            <w:tcW w:w="1711"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821" w:type="dxa"/>
        <w:jc w:val="center"/>
        <w:tblInd w:w="0" w:type="dxa"/>
        <w:tblLayout w:type="fixed"/>
        <w:tblCellMar>
          <w:top w:w="28" w:type="dxa"/>
          <w:left w:w="28" w:type="dxa"/>
          <w:bottom w:w="28" w:type="dxa"/>
          <w:right w:w="28" w:type="dxa"/>
        </w:tblCellMar>
      </w:tblPr>
      <w:tblGrid>
        <w:gridCol w:w="1911"/>
        <w:gridCol w:w="1669"/>
        <w:gridCol w:w="1699"/>
        <w:gridCol w:w="812"/>
        <w:gridCol w:w="812"/>
        <w:gridCol w:w="820"/>
        <w:gridCol w:w="240"/>
        <w:gridCol w:w="241"/>
        <w:gridCol w:w="617"/>
      </w:tblGrid>
      <w:tr>
        <w:trPr/>
        <w:tc>
          <w:tcPr>
            <w:tcW w:w="191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Country or State</w:t>
              <w:br/>
              <w:t>of Incorporation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Ownership</w:t>
            </w:r>
          </w:p>
        </w:tc>
      </w:tr>
      <w:tr>
        <w:trPr/>
        <w:tc>
          <w:tcPr>
            <w:tcW w:w="5279" w:type="dxa"/>
            <w:gridSpan w:val="3"/>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Europe BV</w:t>
            </w:r>
          </w:p>
        </w:tc>
        <w:tc>
          <w:tcPr>
            <w:tcW w:w="2444" w:type="dxa"/>
            <w:gridSpan w:val="3"/>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Belgium</w:t>
            </w:r>
          </w:p>
        </w:tc>
        <w:tc>
          <w:tcPr>
            <w:tcW w:w="481" w:type="dxa"/>
            <w:gridSpan w:val="2"/>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FINANCE ONTARIO LP</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Canada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GmbH</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Holdings International Inc.</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 </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India Private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Sarl</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Switzerland</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Sdn. Bhd.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Malaysia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UK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Life Safety Romania SRL</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Romania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Australia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Limited (Hong Kong)</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Hong Kong</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Limited/Honeywell Limitee</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Canada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Middle East B.V.</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Netherlands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Middle East FZE</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Arab Emirates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N.V. (Belgium)</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Belgium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Performance Material and Tech. (China) Co. Ltd.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Productivity Solutions B.V.</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Netherlands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Honeywell Productivity Solutions GmbH </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Products &amp; Solutions Sarl</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Switzerland</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Pte. Ltd.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Singapore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S.A. de C.V.</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Mexico</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S.A.S. [France]</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France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S.L.</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Spain</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S.r.l</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Italy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Sensing and Control China Co Ltd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spol. s.r.o.</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Czech Republic</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Taiwan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Taiwan (Province of 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Technology Solutions Lab Private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Technology Solutions Qatar</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Qatar</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Teknoloji Anonim Sirketi</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Turkey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Trading (Shanghai) Co., Ltd.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Turki Arabia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Saudi Arabia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UK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Intelligrated Headquarters, LLC</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Intelligrated Systems, Inc.</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Intelligrated Systems, LLC</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Intermec Technologies (S) Pte. Ltd.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Singapore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Turbine Engine Company LLC</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King's Shoe Manufacturing Pte. Ltd.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Singapore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Life Safety Distribution GmbH</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Switzerland</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Maxon Corporation</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Indiana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Metro (Suzhou) Technologies Co., Ltd.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Notifier Italia S.r.l.</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Italy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79"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Novar ED And S Limited</w:t>
            </w:r>
          </w:p>
        </w:tc>
        <w:tc>
          <w:tcPr>
            <w:tcW w:w="2444"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809" w:type="dxa"/>
        <w:jc w:val="center"/>
        <w:tblInd w:w="0" w:type="dxa"/>
        <w:tblLayout w:type="fixed"/>
        <w:tblCellMar>
          <w:top w:w="28" w:type="dxa"/>
          <w:left w:w="28" w:type="dxa"/>
          <w:bottom w:w="28" w:type="dxa"/>
          <w:right w:w="28" w:type="dxa"/>
        </w:tblCellMar>
      </w:tblPr>
      <w:tblGrid>
        <w:gridCol w:w="1158"/>
        <w:gridCol w:w="1011"/>
        <w:gridCol w:w="1026"/>
        <w:gridCol w:w="504"/>
        <w:gridCol w:w="504"/>
        <w:gridCol w:w="508"/>
        <w:gridCol w:w="240"/>
        <w:gridCol w:w="241"/>
        <w:gridCol w:w="617"/>
      </w:tblGrid>
      <w:tr>
        <w:trPr/>
        <w:tc>
          <w:tcPr>
            <w:tcW w:w="11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Country or State</w:t>
              <w:br/>
              <w:t>of Incorporation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Ownership</w:t>
            </w:r>
          </w:p>
        </w:tc>
      </w:tr>
      <w:tr>
        <w:trPr/>
        <w:tc>
          <w:tcPr>
            <w:tcW w:w="3195" w:type="dxa"/>
            <w:gridSpan w:val="3"/>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Novar GmbH</w:t>
            </w:r>
          </w:p>
        </w:tc>
        <w:tc>
          <w:tcPr>
            <w:tcW w:w="1516" w:type="dxa"/>
            <w:gridSpan w:val="3"/>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8" w:space="0" w:color="DC202E"/>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Novar Systems Limited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 &amp; S Holdings (Vic) Pty. Ltd.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Australia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Quantinuum</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Cayman Islands</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Rocky Research</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Nevada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Shanghai UOP Ltd.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Sinopec Honeywell Tianjin Limited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Sparta Systems, Inc.</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Jersey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Star US Bidco</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TRANSNORM SYSTEM GmbH</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Germany</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Transnorm System Inc.</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Tridium, Inc.</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UOP CH Sarl</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Switzerland</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UOP India Private Limited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UOP Limited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UOP Process Technology Co., Ltd.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China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UOP Services Limited</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United Kingdom</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Vocollect, Inc.</w:t>
            </w:r>
          </w:p>
        </w:tc>
        <w:tc>
          <w:tcPr>
            <w:tcW w:w="1516" w:type="dxa"/>
            <w:gridSpan w:val="3"/>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Pennsylvania</w:t>
            </w:r>
          </w:p>
        </w:tc>
        <w:tc>
          <w:tcPr>
            <w:tcW w:w="481" w:type="dxa"/>
            <w:gridSpan w:val="2"/>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Xtralis, Inc.</w:t>
            </w:r>
          </w:p>
        </w:tc>
        <w:tc>
          <w:tcPr>
            <w:tcW w:w="1516" w:type="dxa"/>
            <w:gridSpan w:val="3"/>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Maryland</w:t>
            </w:r>
          </w:p>
        </w:tc>
        <w:tc>
          <w:tcPr>
            <w:tcW w:w="481" w:type="dxa"/>
            <w:gridSpan w:val="2"/>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7" w:type="dxa"/>
            <w:tcBorders>
              <w:top w:val="single" w:sz="2" w:space="0" w:color="888B8D"/>
              <w:bottom w:val="single" w:sz="2" w:space="0" w:color="888B8D"/>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Registration Statement Nos. 033-55425, 333-22355, 333-101455, and 333-282810 on Form S-3 and Registration Statement Nos. 333-49280, 333-136083, 333-146932, 333-148995, 333-175260, 333-195331, 333-210889, 333-210899 and 333-228733 on Form S-8 of our report dated February 17, 2026, relating to the consolidated financial statements of Honeywell International Inc. and subsidiaries and the effectiveness of the Honeywell International Inc. and subsidiaries’internal control over financial reporting appearing in this Annual Report on Form 10-K of Honeywell International Inc. for the year ended December 31,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 Deloitte &amp; Touche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Charlotte, North Carolina</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February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24</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Arial;sans-serif" w:hAnsi="Arial;sans-serif"/>
          <w:b/>
          <w:color w:val="000000"/>
          <w:sz w:val="22"/>
          <w:u w:val="single"/>
        </w:rPr>
      </w:pPr>
      <w:r>
        <w:rPr>
          <w:rFonts w:ascii="Arial;sans-serif" w:hAnsi="Arial;sans-serif"/>
          <w:b/>
          <w:color w:val="000000"/>
          <w:sz w:val="22"/>
          <w:u w:val="single"/>
        </w:rPr>
        <w:t>POWER OF ATTORNEY</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r>
        <w:rPr>
          <w:rFonts w:ascii="Arial;sans-serif" w:hAnsi="Arial;sans-serif"/>
          <w:b w:val="false"/>
          <w:color w:val="000000"/>
          <w:sz w:val="22"/>
        </w:rPr>
        <w:t>Each of the undersigned, as a director of Honeywell International Inc. (the “Company”), a Delaware corporation, hereby appoints Vimal Kapur, Su Ping Lu, Robert D. Mailloux, and Michal Stepniak, each with power to act without the other and with power of substitution and resubstitution, as my attorney-in-fact and agent for me and in my name, place and stead in any and all capacities,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2"/>
        </w:rPr>
        <w:t>(i)</w:t>
      </w:r>
      <w:r>
        <w:rPr>
          <w:rFonts w:ascii="Arial;sans-serif" w:hAnsi="Arial;sans-serif"/>
          <w:b w:val="false"/>
          <w:color w:val="000000"/>
          <w:sz w:val="22"/>
        </w:rPr>
        <w:t>to sign the Company’s Annual Report on Form 10-K under the Securities Exchange Act of 1934 for the year ended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2"/>
        </w:rPr>
        <w:t>(ii)</w:t>
      </w:r>
      <w:r>
        <w:rPr>
          <w:rFonts w:ascii="Arial;sans-serif" w:hAnsi="Arial;sans-serif"/>
          <w:b w:val="false"/>
          <w:color w:val="000000"/>
          <w:sz w:val="22"/>
        </w:rPr>
        <w:t>to sign any amendment to the Annual Report referred to in (i) above, or to any previously filed Annual Report on Form 10-K for any prior fiscal year,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2"/>
        </w:rPr>
        <w:t>(iii)</w:t>
      </w:r>
      <w:r>
        <w:rPr>
          <w:rFonts w:ascii="Arial;sans-serif" w:hAnsi="Arial;sans-serif"/>
          <w:b w:val="false"/>
          <w:color w:val="000000"/>
          <w:sz w:val="22"/>
        </w:rPr>
        <w:t xml:space="preserve">to file the documents described in (i) and (ii) above and all exhibits thereto and any and all other documents in connection therewith,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w:t>
      </w:r>
      <w:r>
        <w:rPr>
          <w:rFonts w:ascii="sans-serif" w:hAnsi="sans-serif"/>
          <w:b w:val="false"/>
          <w:color w:val="000000"/>
          <w:sz w:val="22"/>
        </w:rPr>
        <w:t>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This Power of Attorney may be signed in any number of counterparts, each of which shall be an original, with the same effect as if the signatures thereto and hereto were upon the same instrument.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December 12, 2025</w:t>
      </w:r>
    </w:p>
    <w:p>
      <w:pPr>
        <w:pStyle w:val="TextBody"/>
        <w:bidi w:val="0"/>
        <w:spacing w:before="0" w:after="0"/>
        <w:ind w:left="0" w:right="0" w:firstLine="720"/>
        <w:jc w:val="left"/>
        <w:rPr/>
      </w:pPr>
      <w:r>
        <w:rPr/>
      </w:r>
    </w:p>
    <w:tbl>
      <w:tblPr>
        <w:tblW w:w="6908" w:type="dxa"/>
        <w:jc w:val="left"/>
        <w:tblInd w:w="0" w:type="dxa"/>
        <w:tblLayout w:type="fixed"/>
        <w:tblCellMar>
          <w:top w:w="28" w:type="dxa"/>
          <w:left w:w="28" w:type="dxa"/>
          <w:bottom w:w="28" w:type="dxa"/>
          <w:right w:w="28" w:type="dxa"/>
        </w:tblCellMar>
      </w:tblPr>
      <w:tblGrid>
        <w:gridCol w:w="721"/>
        <w:gridCol w:w="634"/>
        <w:gridCol w:w="639"/>
        <w:gridCol w:w="109"/>
        <w:gridCol w:w="109"/>
        <w:gridCol w:w="109"/>
        <w:gridCol w:w="774"/>
        <w:gridCol w:w="774"/>
        <w:gridCol w:w="777"/>
        <w:gridCol w:w="109"/>
        <w:gridCol w:w="109"/>
        <w:gridCol w:w="109"/>
        <w:gridCol w:w="565"/>
        <w:gridCol w:w="565"/>
        <w:gridCol w:w="805"/>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Duncan Angove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Craig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William Ayer</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Duncan Angove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Craig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William Ayer</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Kevin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 Scott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Deborah Flint</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Kevin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 Scott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Deborah Flint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Mike Lamach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Grace Lieblein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Marc Steinberg</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Mike Lamach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Grace Lieblein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Marc Steinberg</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Robin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Stephen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Robin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Stephen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February 13, 2026</w:t>
      </w:r>
    </w:p>
    <w:p>
      <w:pPr>
        <w:pStyle w:val="TextBody"/>
        <w:bidi w:val="0"/>
        <w:spacing w:before="0" w:after="0"/>
        <w:jc w:val="left"/>
        <w:rPr/>
      </w:pPr>
      <w:r>
        <w:rPr/>
      </w:r>
    </w:p>
    <w:tbl>
      <w:tblPr>
        <w:tblW w:w="3168"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109"/>
        <w:gridCol w:w="109"/>
        <w:gridCol w:w="109"/>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Indra K. Nooyi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Indra K. Nooyi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POWER OF ATTORNEY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 xml:space="preserve">Each of the undersigned, as a director of Honeywell International Inc. (the “Company”), a Delaware corporation, hereby appoints Vimal Kapur, Su Ping Lu, Robert D. Mailloux, and Michal Stepniak, each with power to act without the other and with power of substitution and resubstitution, as my attorney-in-fact to sign on my behalf in my capacity as a director of the Company one or more registration statements on Form S-8 or any other appropriate form during fiscal year 2026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I hereby revoke any or all prior appointments of attorneys-in-fact to sign the above-described documents.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This Power of Attorney may be signed in any number of counterparts, each of which shall be an original, with the same effect as if the signatures thereto and hereto were upon the same instrument.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December 12, 2025</w:t>
      </w:r>
    </w:p>
    <w:p>
      <w:pPr>
        <w:pStyle w:val="TextBody"/>
        <w:bidi w:val="0"/>
        <w:spacing w:before="0" w:after="0"/>
        <w:jc w:val="left"/>
        <w:rPr/>
      </w:pPr>
      <w:r>
        <w:rPr/>
      </w:r>
    </w:p>
    <w:tbl>
      <w:tblPr>
        <w:tblW w:w="6908" w:type="dxa"/>
        <w:jc w:val="left"/>
        <w:tblInd w:w="0" w:type="dxa"/>
        <w:tblLayout w:type="fixed"/>
        <w:tblCellMar>
          <w:top w:w="28" w:type="dxa"/>
          <w:left w:w="28" w:type="dxa"/>
          <w:bottom w:w="28" w:type="dxa"/>
          <w:right w:w="28" w:type="dxa"/>
        </w:tblCellMar>
      </w:tblPr>
      <w:tblGrid>
        <w:gridCol w:w="721"/>
        <w:gridCol w:w="634"/>
        <w:gridCol w:w="639"/>
        <w:gridCol w:w="109"/>
        <w:gridCol w:w="109"/>
        <w:gridCol w:w="109"/>
        <w:gridCol w:w="774"/>
        <w:gridCol w:w="774"/>
        <w:gridCol w:w="777"/>
        <w:gridCol w:w="109"/>
        <w:gridCol w:w="109"/>
        <w:gridCol w:w="109"/>
        <w:gridCol w:w="565"/>
        <w:gridCol w:w="565"/>
        <w:gridCol w:w="805"/>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Duncan Angove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Craig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William Ayer</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Duncan Angove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Craig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William Ayer</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Kevin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 Scott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Deborah Flint</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Kevin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 Scott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Deborah Flint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Mike Lamach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Grace Lieblein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Marc Steinberg</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Mike Lamach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Grace Lieblein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Marc Steinberg</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Robin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Stephen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Robin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Stephen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February 13, 2026</w:t>
      </w:r>
    </w:p>
    <w:p>
      <w:pPr>
        <w:pStyle w:val="TextBody"/>
        <w:bidi w:val="0"/>
        <w:spacing w:before="0" w:after="0"/>
        <w:jc w:val="left"/>
        <w:rPr/>
      </w:pPr>
      <w:r>
        <w:rPr/>
      </w:r>
    </w:p>
    <w:tbl>
      <w:tblPr>
        <w:tblW w:w="3168"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109"/>
        <w:gridCol w:w="109"/>
        <w:gridCol w:w="109"/>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Indra K. Nooyi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Indra K. Nooyi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Each of the undersigned, as a director of Honeywell International Inc. (the “Company”), a Delaware corporation, hereby appoints Vimal Kapur, Su Ping Lu, Robert D. Mailloux, and Michal Stepniak,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2026, and to file the same together with all exhibits thereto, under the Securities Act of 1933, including any amendment or supplement thereto or to any registration statement heretofore filed by the Company for the registration of sales or resales of: </w:t>
      </w:r>
    </w:p>
    <w:p>
      <w:pPr>
        <w:pStyle w:val="TextBody"/>
        <w:bidi w:val="0"/>
        <w:spacing w:before="0" w:after="0"/>
        <w:ind w:left="0" w:right="0" w:firstLine="720"/>
        <w:jc w:val="left"/>
        <w:rPr/>
      </w:pPr>
      <w:r>
        <w:rPr/>
      </w:r>
    </w:p>
    <w:p>
      <w:pPr>
        <w:pStyle w:val="TextBody"/>
        <w:bidi w:val="0"/>
        <w:spacing w:lineRule="auto" w:line="288" w:before="0" w:after="0"/>
        <w:ind w:left="0" w:right="0" w:firstLine="547"/>
        <w:jc w:val="left"/>
        <w:rPr>
          <w:rFonts w:ascii="Arial;sans-serif" w:hAnsi="Arial;sans-serif"/>
          <w:b w:val="false"/>
          <w:color w:val="000000"/>
          <w:sz w:val="22"/>
        </w:rPr>
      </w:pPr>
      <w:r>
        <w:rPr>
          <w:rFonts w:ascii="Arial;sans-serif" w:hAnsi="Arial;sans-serif"/>
          <w:b w:val="false"/>
          <w:color w:val="000000"/>
          <w:sz w:val="22"/>
        </w:rPr>
        <w:t>(i) shares of the Company’s common stock, par value, $1.00 per share, including shares of common stock to be offered under the Dividend Reinvestment and Share Purchase Plan of the Company and any successor or new plan for such purposes;</w:t>
      </w:r>
    </w:p>
    <w:p>
      <w:pPr>
        <w:pStyle w:val="TextBody"/>
        <w:bidi w:val="0"/>
        <w:spacing w:before="0" w:after="0"/>
        <w:ind w:left="0" w:right="0" w:firstLine="547"/>
        <w:jc w:val="left"/>
        <w:rPr/>
      </w:pPr>
      <w:r>
        <w:rPr/>
      </w:r>
    </w:p>
    <w:p>
      <w:pPr>
        <w:pStyle w:val="TextBody"/>
        <w:bidi w:val="0"/>
        <w:spacing w:lineRule="auto" w:line="288" w:before="0" w:after="0"/>
        <w:ind w:left="0" w:right="0" w:firstLine="547"/>
        <w:jc w:val="left"/>
        <w:rPr>
          <w:rFonts w:ascii="Arial;sans-serif" w:hAnsi="Arial;sans-serif"/>
          <w:b w:val="false"/>
          <w:color w:val="000000"/>
          <w:sz w:val="22"/>
        </w:rPr>
      </w:pPr>
      <w:r>
        <w:rPr>
          <w:rFonts w:ascii="Arial;sans-serif" w:hAnsi="Arial;sans-serif"/>
          <w:b w:val="false"/>
          <w:color w:val="000000"/>
          <w:sz w:val="22"/>
        </w:rPr>
        <w:t xml:space="preserve">(ii) shares of the Company’s preferred stock, without par value; </w:t>
      </w:r>
    </w:p>
    <w:p>
      <w:pPr>
        <w:pStyle w:val="TextBody"/>
        <w:bidi w:val="0"/>
        <w:spacing w:before="0" w:after="0"/>
        <w:ind w:left="0" w:right="0" w:firstLine="547"/>
        <w:jc w:val="left"/>
        <w:rPr/>
      </w:pPr>
      <w:r>
        <w:rPr/>
      </w:r>
    </w:p>
    <w:p>
      <w:pPr>
        <w:pStyle w:val="TextBody"/>
        <w:bidi w:val="0"/>
        <w:spacing w:lineRule="auto" w:line="288" w:before="0" w:after="0"/>
        <w:ind w:left="0" w:right="0" w:firstLine="547"/>
        <w:jc w:val="left"/>
        <w:rPr>
          <w:rFonts w:ascii="Arial;sans-serif" w:hAnsi="Arial;sans-serif"/>
          <w:b w:val="false"/>
          <w:color w:val="000000"/>
          <w:sz w:val="22"/>
        </w:rPr>
      </w:pPr>
      <w:r>
        <w:rPr>
          <w:rFonts w:ascii="Arial;sans-serif" w:hAnsi="Arial;sans-serif"/>
          <w:b w:val="false"/>
          <w:color w:val="000000"/>
          <w:sz w:val="22"/>
        </w:rPr>
        <w:t>(iii) debt securities of the Company, with such terms as may be from time to time specified in such registration statement or any amendment, post-effective amendment or supplement thereto; and</w:t>
      </w:r>
    </w:p>
    <w:p>
      <w:pPr>
        <w:pStyle w:val="TextBody"/>
        <w:bidi w:val="0"/>
        <w:spacing w:before="0" w:after="0"/>
        <w:ind w:left="0" w:right="0" w:firstLine="547"/>
        <w:jc w:val="left"/>
        <w:rPr/>
      </w:pPr>
      <w:r>
        <w:rPr/>
      </w:r>
    </w:p>
    <w:p>
      <w:pPr>
        <w:pStyle w:val="TextBody"/>
        <w:bidi w:val="0"/>
        <w:spacing w:lineRule="auto" w:line="288" w:before="0" w:after="0"/>
        <w:ind w:left="0" w:right="0" w:firstLine="547"/>
        <w:jc w:val="left"/>
        <w:rPr>
          <w:rFonts w:ascii="Arial;sans-serif" w:hAnsi="Arial;sans-serif"/>
          <w:b w:val="false"/>
          <w:color w:val="000000"/>
          <w:sz w:val="22"/>
        </w:rPr>
      </w:pPr>
      <w:r>
        <w:rPr>
          <w:rFonts w:ascii="Arial;sans-serif" w:hAnsi="Arial;sans-serif"/>
          <w:b w:val="false"/>
          <w:color w:val="000000"/>
          <w:sz w:val="22"/>
        </w:rPr>
        <w:t xml:space="preserve">(iv) 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 </w:t>
      </w:r>
    </w:p>
    <w:p>
      <w:pPr>
        <w:pStyle w:val="TextBody"/>
        <w:bidi w:val="0"/>
        <w:spacing w:before="0" w:after="0"/>
        <w:ind w:left="0" w:right="0" w:firstLine="547"/>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I hereby revoke any or all prior appointments of attorneys-in-fact to the extent that they confer authority to sign the above-described documents.</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This Power of Attorney may be signed in any number of counterparts, each of which shall be an original, with the same effect as if the signatures thereto and hereto were upon the same instrument.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December 12, 2025</w:t>
      </w:r>
    </w:p>
    <w:p>
      <w:pPr>
        <w:pStyle w:val="TextBody"/>
        <w:bidi w:val="0"/>
        <w:spacing w:before="0" w:after="0"/>
        <w:jc w:val="left"/>
        <w:rPr/>
      </w:pPr>
      <w:r>
        <w:rPr/>
      </w:r>
    </w:p>
    <w:tbl>
      <w:tblPr>
        <w:tblW w:w="6908" w:type="dxa"/>
        <w:jc w:val="left"/>
        <w:tblInd w:w="0" w:type="dxa"/>
        <w:tblLayout w:type="fixed"/>
        <w:tblCellMar>
          <w:top w:w="28" w:type="dxa"/>
          <w:left w:w="28" w:type="dxa"/>
          <w:bottom w:w="28" w:type="dxa"/>
          <w:right w:w="28" w:type="dxa"/>
        </w:tblCellMar>
      </w:tblPr>
      <w:tblGrid>
        <w:gridCol w:w="721"/>
        <w:gridCol w:w="634"/>
        <w:gridCol w:w="639"/>
        <w:gridCol w:w="109"/>
        <w:gridCol w:w="109"/>
        <w:gridCol w:w="109"/>
        <w:gridCol w:w="774"/>
        <w:gridCol w:w="774"/>
        <w:gridCol w:w="777"/>
        <w:gridCol w:w="109"/>
        <w:gridCol w:w="109"/>
        <w:gridCol w:w="109"/>
        <w:gridCol w:w="565"/>
        <w:gridCol w:w="565"/>
        <w:gridCol w:w="805"/>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Duncan Angove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Craig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William Ayer</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Duncan Angove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Craig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William Ayer</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Kevin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 Scott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Deborah Flint</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Kevin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 Scott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Deborah Flint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Mike Lamach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Grace Lieblein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Marc Steinberg</w:t>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Mike Lamach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Grace Lieblein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Marc Steinberg</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Robin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Stephen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Robin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Stephen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Date: February 13, 2026</w:t>
      </w:r>
    </w:p>
    <w:p>
      <w:pPr>
        <w:pStyle w:val="TextBody"/>
        <w:bidi w:val="0"/>
        <w:spacing w:before="0" w:after="0"/>
        <w:jc w:val="left"/>
        <w:rPr/>
      </w:pPr>
      <w:r>
        <w:rPr/>
      </w:r>
    </w:p>
    <w:tbl>
      <w:tblPr>
        <w:tblW w:w="3168"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109"/>
        <w:gridCol w:w="109"/>
        <w:gridCol w:w="109"/>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Indra K. Nooyi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Indra K. Nooyi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I, Vimal Kapur, a director and the principal executive officer of Honeywell International Inc. (the “Company”), a Delaware corporation, hereby appoint Su Ping Lu, Robert D. Mailloux, and Michal Stepniak, each with power to act without the other and with power of substitution and resubstitution, as my attorney-in-fact and agent for me and in my name, place and stead in any and all capacities,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(i)</w:t>
      </w:r>
      <w:r>
        <w:rPr>
          <w:rFonts w:ascii="Arial;sans-serif" w:hAnsi="Arial;sans-serif"/>
          <w:b w:val="false"/>
          <w:color w:val="000000"/>
          <w:sz w:val="24"/>
        </w:rPr>
        <w:t>to sign the Company’s Annual Report on Form 10-K under the Securities Exchange Act of 1934 for the year ended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(ii)</w:t>
      </w:r>
      <w:r>
        <w:rPr>
          <w:rFonts w:ascii="Arial;sans-serif" w:hAnsi="Arial;sans-serif"/>
          <w:b w:val="false"/>
          <w:color w:val="000000"/>
          <w:sz w:val="24"/>
        </w:rPr>
        <w:t>to sign any amendment to the Annual Report referred to in (i) above or to any previously filed Annual Report on Form 10-K for any prior fiscal year,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(iii)</w:t>
      </w:r>
      <w:r>
        <w:rPr>
          <w:rFonts w:ascii="Arial;sans-serif" w:hAnsi="Arial;sans-serif"/>
          <w:b w:val="false"/>
          <w:color w:val="000000"/>
          <w:sz w:val="24"/>
        </w:rPr>
        <w:t xml:space="preserve">to file the documents described in (i) and (ii) above and all exhibits thereto and any and all other documents in connection therewith,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December 12, 2025</w:t>
      </w:r>
    </w:p>
    <w:p>
      <w:pPr>
        <w:pStyle w:val="TextBody"/>
        <w:bidi w:val="0"/>
        <w:spacing w:before="0" w:after="0"/>
        <w:jc w:val="left"/>
        <w:rPr/>
      </w:pPr>
      <w:r>
        <w:rPr/>
      </w:r>
    </w:p>
    <w:tbl>
      <w:tblPr>
        <w:tblW w:w="3092"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 Vimal Kapur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Vimal Kapur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 xml:space="preserve">I, Vimal Kapur, a director and the principal executive officer of Honeywell International Inc. (the “Company”), a Delaware corporation, hereby appoint Su Ping Lu, Robert D. Mailloux, and Michal Stepniak,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2026,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I hereby revoke any or all prior appointments of attorneys-in-fact to sign the above-described documents.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December 12, 2025</w:t>
      </w:r>
    </w:p>
    <w:p>
      <w:pPr>
        <w:pStyle w:val="TextBody"/>
        <w:bidi w:val="0"/>
        <w:spacing w:before="0" w:after="0"/>
        <w:jc w:val="left"/>
        <w:rPr/>
      </w:pPr>
      <w:r>
        <w:rPr/>
      </w:r>
    </w:p>
    <w:tbl>
      <w:tblPr>
        <w:tblW w:w="3092"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 Vimal Kapur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Vimal Kapur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I, Vimal Kapur, a director and the principal executive officer of Honeywell International Inc. (the “Company”), a Delaware corporation, hereby appoint Su Ping Lu, Robert D. Mailloux, and Michal Stepniak,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2026, and to file the same together with all exhibits thereto, under the Securities Act of 1933, including any amendment or supplement thereto or to any registration statement heretofore filed by the Company for the registration of sales or resales of: </w:t>
      </w:r>
    </w:p>
    <w:p>
      <w:pPr>
        <w:pStyle w:val="TextBody"/>
        <w:bidi w:val="0"/>
        <w:spacing w:before="0" w:after="0"/>
        <w:ind w:left="0" w:right="0" w:firstLine="720"/>
        <w:jc w:val="left"/>
        <w:rPr/>
      </w:pPr>
      <w:r>
        <w:rPr/>
      </w:r>
    </w:p>
    <w:p>
      <w:pPr>
        <w:pStyle w:val="TextBody"/>
        <w:bidi w:val="0"/>
        <w:spacing w:lineRule="auto" w:line="288" w:before="0" w:after="0"/>
        <w:ind w:left="0" w:right="0" w:firstLine="547"/>
        <w:jc w:val="left"/>
        <w:rPr>
          <w:rFonts w:ascii="Arial;sans-serif" w:hAnsi="Arial;sans-serif"/>
          <w:b w:val="false"/>
          <w:color w:val="000000"/>
          <w:sz w:val="24"/>
        </w:rPr>
      </w:pPr>
      <w:r>
        <w:rPr>
          <w:rFonts w:ascii="Arial;sans-serif" w:hAnsi="Arial;sans-serif"/>
          <w:b w:val="false"/>
          <w:color w:val="000000"/>
          <w:sz w:val="24"/>
        </w:rPr>
        <w:t>(i) shares of the Company’s common stock, par value, $1.00 per share, including shares of common stock to be offered under the Dividend Reinvestment and Share Purchase Plan of the Company and any successor or new plan for such purposes;</w:t>
      </w:r>
    </w:p>
    <w:p>
      <w:pPr>
        <w:pStyle w:val="TextBody"/>
        <w:bidi w:val="0"/>
        <w:spacing w:before="0" w:after="0"/>
        <w:ind w:left="0" w:right="0" w:firstLine="547"/>
        <w:jc w:val="left"/>
        <w:rPr/>
      </w:pPr>
      <w:r>
        <w:rPr/>
      </w:r>
    </w:p>
    <w:p>
      <w:pPr>
        <w:pStyle w:val="TextBody"/>
        <w:bidi w:val="0"/>
        <w:spacing w:lineRule="auto" w:line="288" w:before="0" w:after="0"/>
        <w:ind w:left="0" w:right="0" w:firstLine="547"/>
        <w:jc w:val="left"/>
        <w:rPr>
          <w:rFonts w:ascii="Arial;sans-serif" w:hAnsi="Arial;sans-serif"/>
          <w:b w:val="false"/>
          <w:color w:val="000000"/>
          <w:sz w:val="24"/>
        </w:rPr>
      </w:pPr>
      <w:r>
        <w:rPr>
          <w:rFonts w:ascii="Arial;sans-serif" w:hAnsi="Arial;sans-serif"/>
          <w:b w:val="false"/>
          <w:color w:val="000000"/>
          <w:sz w:val="24"/>
        </w:rPr>
        <w:t xml:space="preserve">(ii) shares of the Company’s preferred stock, without par value; </w:t>
      </w:r>
    </w:p>
    <w:p>
      <w:pPr>
        <w:pStyle w:val="TextBody"/>
        <w:bidi w:val="0"/>
        <w:spacing w:before="0" w:after="0"/>
        <w:ind w:left="0" w:right="0" w:firstLine="547"/>
        <w:jc w:val="left"/>
        <w:rPr/>
      </w:pPr>
      <w:r>
        <w:rPr/>
      </w:r>
    </w:p>
    <w:p>
      <w:pPr>
        <w:pStyle w:val="TextBody"/>
        <w:bidi w:val="0"/>
        <w:spacing w:lineRule="auto" w:line="288" w:before="0" w:after="0"/>
        <w:ind w:left="0" w:right="0" w:firstLine="547"/>
        <w:jc w:val="left"/>
        <w:rPr>
          <w:rFonts w:ascii="Arial;sans-serif" w:hAnsi="Arial;sans-serif"/>
          <w:b w:val="false"/>
          <w:color w:val="000000"/>
          <w:sz w:val="24"/>
        </w:rPr>
      </w:pPr>
      <w:r>
        <w:rPr>
          <w:rFonts w:ascii="Arial;sans-serif" w:hAnsi="Arial;sans-serif"/>
          <w:b w:val="false"/>
          <w:color w:val="000000"/>
          <w:sz w:val="24"/>
        </w:rPr>
        <w:t>(iii) debt securities of the Company, with such terms as may be from time to time specified in such registration statement or any amendment, post-effective amendment or supplement thereto; and</w:t>
      </w:r>
    </w:p>
    <w:p>
      <w:pPr>
        <w:pStyle w:val="TextBody"/>
        <w:bidi w:val="0"/>
        <w:spacing w:before="0" w:after="0"/>
        <w:ind w:left="0" w:right="0" w:firstLine="547"/>
        <w:jc w:val="left"/>
        <w:rPr/>
      </w:pPr>
      <w:r>
        <w:rPr/>
      </w:r>
    </w:p>
    <w:p>
      <w:pPr>
        <w:pStyle w:val="TextBody"/>
        <w:bidi w:val="0"/>
        <w:spacing w:lineRule="auto" w:line="288" w:before="0" w:after="0"/>
        <w:ind w:left="0" w:right="0" w:firstLine="547"/>
        <w:jc w:val="left"/>
        <w:rPr>
          <w:rFonts w:ascii="Arial;sans-serif" w:hAnsi="Arial;sans-serif"/>
          <w:b w:val="false"/>
          <w:color w:val="000000"/>
          <w:sz w:val="24"/>
        </w:rPr>
      </w:pPr>
      <w:r>
        <w:rPr>
          <w:rFonts w:ascii="Arial;sans-serif" w:hAnsi="Arial;sans-serif"/>
          <w:b w:val="false"/>
          <w:color w:val="000000"/>
          <w:sz w:val="24"/>
        </w:rPr>
        <w:t xml:space="preserve">(iv) 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 </w:t>
      </w:r>
    </w:p>
    <w:p>
      <w:pPr>
        <w:pStyle w:val="TextBody"/>
        <w:bidi w:val="0"/>
        <w:spacing w:before="0" w:after="0"/>
        <w:ind w:left="0" w:right="0" w:firstLine="547"/>
        <w:jc w:val="left"/>
        <w:rPr/>
      </w:pPr>
      <w:r>
        <w:rPr/>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I hereby revoke any or all prior appointments of attorneys-in-fact to the extent that they confer authority to sign the above-described documents.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December 12, 2025</w:t>
      </w:r>
    </w:p>
    <w:p>
      <w:pPr>
        <w:pStyle w:val="TextBody"/>
        <w:bidi w:val="0"/>
        <w:spacing w:before="0" w:after="0"/>
        <w:jc w:val="left"/>
        <w:rPr/>
      </w:pPr>
      <w:r>
        <w:rPr/>
      </w:r>
    </w:p>
    <w:p>
      <w:pPr>
        <w:pStyle w:val="TextBody"/>
        <w:bidi w:val="0"/>
        <w:spacing w:before="0" w:after="0"/>
        <w:jc w:val="left"/>
        <w:rPr/>
      </w:pPr>
      <w:r>
        <w:rPr/>
      </w:r>
    </w:p>
    <w:tbl>
      <w:tblPr>
        <w:tblW w:w="3092"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 Vimal Kapur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Vimal Kapur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Vimal Kapur,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8"/>
        <w:gridCol w:w="2845"/>
        <w:gridCol w:w="40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Annual Report on Form 10-K of Honeywell International Inc.;</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27"/>
        <w:gridCol w:w="2873"/>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6"/>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6712"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34"/>
        <w:gridCol w:w="134"/>
        <w:gridCol w:w="136"/>
        <w:gridCol w:w="109"/>
        <w:gridCol w:w="109"/>
        <w:gridCol w:w="109"/>
        <w:gridCol w:w="1003"/>
        <w:gridCol w:w="1003"/>
        <w:gridCol w:w="1429"/>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Vimal Kapur</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Vimal Kapur</w:t>
              <w:b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60" w:after="120"/>
        <w:jc w:val="left"/>
        <w:rPr>
          <w:rFonts w:ascii="Arial;sans-serif" w:hAnsi="Arial;sans-serif"/>
          <w:b w:val="false"/>
          <w:color w:val="000000"/>
          <w:sz w:val="20"/>
        </w:rPr>
      </w:pPr>
      <w:r>
        <w:rPr>
          <w:rFonts w:ascii="Arial;sans-serif" w:hAnsi="Arial;sans-serif"/>
          <w:b w:val="false"/>
          <w:color w:val="000000"/>
          <w:sz w:val="20"/>
        </w:rPr>
        <w:t>I, Michal Stepniak,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8"/>
        <w:gridCol w:w="2845"/>
        <w:gridCol w:w="40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Annual Report on Form 10-K of Honeywell International Inc.;</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27"/>
        <w:gridCol w:w="2873"/>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6"/>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7687"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34"/>
        <w:gridCol w:w="134"/>
        <w:gridCol w:w="136"/>
        <w:gridCol w:w="109"/>
        <w:gridCol w:w="109"/>
        <w:gridCol w:w="109"/>
        <w:gridCol w:w="1290"/>
        <w:gridCol w:w="1290"/>
        <w:gridCol w:w="1830"/>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Michal Stepniak</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Michal Stepniak</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Annual Report of Honeywell International Inc. (the Company) on Form 10-K for the period ending December 31, 2025 as filed with the Securities and Exchange Commission on the date hereof (the Report), I, Vimal Kapur, Chief Executive Officer of the Company, certify, pursuant to 18 U.S.C. Section 1350, as adopted pursuant to Section 906 of the Sarbanes-Oxley Act of 2002, that:</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712"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34"/>
        <w:gridCol w:w="134"/>
        <w:gridCol w:w="136"/>
        <w:gridCol w:w="109"/>
        <w:gridCol w:w="109"/>
        <w:gridCol w:w="109"/>
        <w:gridCol w:w="1003"/>
        <w:gridCol w:w="1003"/>
        <w:gridCol w:w="1429"/>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Vimal Kapur</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Vimal Kapur</w:t>
              <w:br/>
              <w:t>Chairman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Annual Report of Honeywell International Inc. (the Company) on Form 10-K for the period ending December 31, 2025 as filed with the Securities and Exchange Commission on the date hereof (the Report), I, Michal Stepniak, Senior Vice President and Chief Financial Officer of the Company, certify, pursuant to 18 U.S.C. Section 1350, as adopted pursuant to Section 906 of the Sarbanes-Oxley Act of 2002, that:</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687"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34"/>
        <w:gridCol w:w="134"/>
        <w:gridCol w:w="136"/>
        <w:gridCol w:w="109"/>
        <w:gridCol w:w="109"/>
        <w:gridCol w:w="109"/>
        <w:gridCol w:w="1290"/>
        <w:gridCol w:w="1290"/>
        <w:gridCol w:w="1830"/>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Michal Stepniak</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Michal Stepniak</w:t>
              <w:br/>
              <w:t>Senior Vice President and 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95</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Mine Safety Disclosures</w:t>
      </w:r>
    </w:p>
    <w:p>
      <w:pPr>
        <w:pStyle w:val="TextBody"/>
        <w:bidi w:val="0"/>
        <w:spacing w:lineRule="auto" w:line="288" w:before="360" w:after="283"/>
        <w:ind w:left="0" w:right="0" w:firstLine="405"/>
        <w:jc w:val="both"/>
        <w:rPr>
          <w:rFonts w:ascii="Arial;sans-serif" w:hAnsi="Arial;sans-serif"/>
          <w:b w:val="false"/>
          <w:color w:val="000000"/>
          <w:sz w:val="20"/>
        </w:rPr>
      </w:pPr>
      <w:r>
        <w:rPr>
          <w:rFonts w:ascii="Arial;sans-serif" w:hAnsi="Arial;sans-serif"/>
          <w:b w:val="false"/>
          <w:color w:val="000000"/>
          <w:sz w:val="20"/>
        </w:rPr>
        <w:t xml:space="preserve">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 </w:t>
      </w:r>
    </w:p>
    <w:p>
      <w:pPr>
        <w:pStyle w:val="TextBody"/>
        <w:bidi w:val="0"/>
        <w:spacing w:lineRule="auto" w:line="288" w:before="120" w:after="283"/>
        <w:ind w:left="0" w:right="0" w:firstLine="405"/>
        <w:jc w:val="both"/>
        <w:rPr>
          <w:rFonts w:ascii="Arial;sans-serif" w:hAnsi="Arial;sans-serif"/>
          <w:b w:val="false"/>
          <w:color w:val="000000"/>
          <w:sz w:val="20"/>
        </w:rPr>
      </w:pPr>
      <w:r>
        <w:rPr>
          <w:rFonts w:ascii="Arial;sans-serif" w:hAnsi="Arial;sans-serif"/>
          <w:b w:val="false"/>
          <w:color w:val="000000"/>
          <w:sz w:val="20"/>
        </w:rPr>
        <w:t>During the year ended December 31, 2025,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  </w:t>
      </w:r>
    </w:p>
    <w:p>
      <w:pPr>
        <w:pStyle w:val="TextBody"/>
        <w:bidi w:val="0"/>
        <w:spacing w:lineRule="auto" w:line="288" w:before="120" w:after="283"/>
        <w:ind w:left="0" w:right="0" w:firstLine="405"/>
        <w:jc w:val="both"/>
        <w:rPr>
          <w:rFonts w:ascii="Arial;sans-serif" w:hAnsi="Arial;sans-serif"/>
          <w:b w:val="false"/>
          <w:color w:val="000000"/>
          <w:sz w:val="20"/>
        </w:rPr>
      </w:pPr>
      <w:r>
        <w:rPr>
          <w:rFonts w:ascii="Arial;sans-serif" w:hAnsi="Arial;sans-serif"/>
          <w:b w:val="false"/>
          <w:color w:val="000000"/>
          <w:sz w:val="20"/>
        </w:rPr>
        <w:t xml:space="preserve">In addition, during the year ended December 31, 2025,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 </w:t>
      </w:r>
    </w:p>
    <w:p>
      <w:pPr>
        <w:pStyle w:val="TextBody"/>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Arial MT Std Black">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hyperlink" Target="https://www.sec.gov/Archives/edgar/data/773840/000077384025000054/exhibit31-amendedandrestat.htm" TargetMode="External"/><Relationship Id="rId46" Type="http://schemas.openxmlformats.org/officeDocument/2006/relationships/hyperlink" Target="https://www.sec.gov/Archives/edgar/data/773840/000077384025000067/exhibit3i-amendedandrestat.htm" TargetMode="External"/><Relationship Id="rId47" Type="http://schemas.openxmlformats.org/officeDocument/2006/relationships/hyperlink" Target="https://www.sec.gov/Archives/edgar/data/773840/000077384025000010/exhibit4212312024.htm" TargetMode="External"/><Relationship Id="rId48" Type="http://schemas.openxmlformats.org/officeDocument/2006/relationships/hyperlink" Target="https://www.sec.gov/Archives/edgar/data/773840/000077384025000010/exhibit4212312024.htm" TargetMode="External"/><Relationship Id="rId49" Type="http://schemas.openxmlformats.org/officeDocument/2006/relationships/hyperlink" Target="https://www.sec.gov/Archives/edgar/data/773840/000077384025000010/exhibit4212312024.htm" TargetMode="External"/><Relationship Id="rId50" Type="http://schemas.openxmlformats.org/officeDocument/2006/relationships/hyperlink" Target="https://www.sec.gov/Archives/edgar/data/773840/000077384025000010/exhibit4212312024.htm" TargetMode="External"/><Relationship Id="rId51" Type="http://schemas.openxmlformats.org/officeDocument/2006/relationships/hyperlink" Target="https://www.sec.gov/Archives/edgar/data/773840/000095011703003488/ex10-2.txt" TargetMode="External"/><Relationship Id="rId52" Type="http://schemas.openxmlformats.org/officeDocument/2006/relationships/hyperlink" Target="https://www.sec.gov/Archives/edgar/data/773840/000095011704004532/ex10-1.htm" TargetMode="External"/><Relationship Id="rId53" Type="http://schemas.openxmlformats.org/officeDocument/2006/relationships/hyperlink" Target="https://www.sec.gov/Archives/edgar/data/773840/000095011706000980/ex10-2.htm" TargetMode="External"/><Relationship Id="rId54" Type="http://schemas.openxmlformats.org/officeDocument/2006/relationships/hyperlink" Target="https://www.sec.gov/Archives/edgar/data/773840/000077384021000057/exhibit10106302021.htm" TargetMode="External"/><Relationship Id="rId55" Type="http://schemas.openxmlformats.org/officeDocument/2006/relationships/hyperlink" Target="https://www.sec.gov/Archives/edgar/data/773840/000093041319000366/c92779_ex10-4.htm" TargetMode="External"/><Relationship Id="rId56" Type="http://schemas.openxmlformats.org/officeDocument/2006/relationships/hyperlink" Target="https://www.sec.gov/Archives/edgar/data/0000773840/000077384021000015/exhibit106912312020.htm" TargetMode="External"/><Relationship Id="rId57" Type="http://schemas.openxmlformats.org/officeDocument/2006/relationships/hyperlink" Target="https://www.sec.gov/Archives/edgar/data/0000773840/000077384021000057/exhibit10106302021.htm" TargetMode="External"/><Relationship Id="rId58" Type="http://schemas.openxmlformats.org/officeDocument/2006/relationships/hyperlink" Target="https://www.sec.gov/Archives/edgar/data/773840/000077384021000015/exhibit10512312020.htm" TargetMode="External"/><Relationship Id="rId59" Type="http://schemas.openxmlformats.org/officeDocument/2006/relationships/hyperlink" Target="https://www.sec.gov/Archives/edgar/data/773840/000077384021000057/exhibit10106302021.htm" TargetMode="External"/><Relationship Id="rId60" Type="http://schemas.openxmlformats.org/officeDocument/2006/relationships/hyperlink" Target="https://www.sec.gov/Archives/edgar/data/773840/000077384023000013/exhibit101012312022.htm" TargetMode="External"/><Relationship Id="rId61" Type="http://schemas.openxmlformats.org/officeDocument/2006/relationships/hyperlink" Target="https://www.sec.gov/Archives/edgar/data/0000773840/000077384021000015/exhibit10712312020.htm" TargetMode="External"/><Relationship Id="rId62" Type="http://schemas.openxmlformats.org/officeDocument/2006/relationships/hyperlink" Target="https://www.sec.gov/Archives/edgar/data/0000773840/000077384021000057/exhibit10106302021.htm" TargetMode="External"/><Relationship Id="rId63" Type="http://schemas.openxmlformats.org/officeDocument/2006/relationships/hyperlink" Target="https://www.sec.gov/Archives/edgar/data/773840/000093041309000801/c56028_ex10-10.htm" TargetMode="External"/><Relationship Id="rId64" Type="http://schemas.openxmlformats.org/officeDocument/2006/relationships/hyperlink" Target="https://www.sec.gov/Archives/edgar/data/773840/000093041310000784/c60039_ex10-10.htm" TargetMode="External"/><Relationship Id="rId65" Type="http://schemas.openxmlformats.org/officeDocument/2006/relationships/hyperlink" Target="https://www.sec.gov/Archives/edgar/data/773840/000093041316005457/c83288_ex10-7.htm" TargetMode="External"/><Relationship Id="rId66" Type="http://schemas.openxmlformats.org/officeDocument/2006/relationships/hyperlink" Target="https://www.sec.gov/Archives/edgar/data/773840/000093041309000801/c56028_ex10-12.htm" TargetMode="External"/><Relationship Id="rId67" Type="http://schemas.openxmlformats.org/officeDocument/2006/relationships/hyperlink" Target="https://www.sec.gov/Archives/edgar/data/773840/000093041310000784/c60039_ex10-12.htm" TargetMode="External"/><Relationship Id="rId68" Type="http://schemas.openxmlformats.org/officeDocument/2006/relationships/hyperlink" Target="https://www.sec.gov/Archives/edgar/data/773840/000093041314000634/c75936_ex10-9.htm" TargetMode="External"/><Relationship Id="rId69" Type="http://schemas.openxmlformats.org/officeDocument/2006/relationships/hyperlink" Target="https://www.sec.gov/Archives/edgar/data/773840/000093041316005457/c83288_ex10-8.htm" TargetMode="External"/><Relationship Id="rId70" Type="http://schemas.openxmlformats.org/officeDocument/2006/relationships/hyperlink" Target="https://www.sec.gov/Archives/edgar/data/773840/000093041309000801/c56028_ex10-13.htm" TargetMode="External"/><Relationship Id="rId71" Type="http://schemas.openxmlformats.org/officeDocument/2006/relationships/hyperlink" Target="https://www.sec.gov/Archives/edgar/data/773840/000093041310000784/c60039_ex10-13.htm" TargetMode="External"/><Relationship Id="rId72" Type="http://schemas.openxmlformats.org/officeDocument/2006/relationships/hyperlink" Target="https://www.sec.gov/Archives/edgar/data/773840/000093041316005457/c83288_ex10-9.htm" TargetMode="External"/><Relationship Id="rId73" Type="http://schemas.openxmlformats.org/officeDocument/2006/relationships/hyperlink" Target="https://www.sec.gov/Archives/edgar/data/773840/000093041314000634/c75936_ex10-12.htm" TargetMode="External"/><Relationship Id="rId74" Type="http://schemas.openxmlformats.org/officeDocument/2006/relationships/hyperlink" Target="https://www.sec.gov/Archives/edgar/data/773840/000093041307001369/c44492_ex10-24.htm" TargetMode="External"/><Relationship Id="rId75" Type="http://schemas.openxmlformats.org/officeDocument/2006/relationships/hyperlink" Target="https://www.sec.gov/Archives/edgar/data/773840/000093041309000801/c56028_ex10-31.htm" TargetMode="External"/><Relationship Id="rId76" Type="http://schemas.openxmlformats.org/officeDocument/2006/relationships/hyperlink" Target="https://www.sec.gov/Archives/edgar/data/773840/000093041312000976/c68029_ex10-27.htm" TargetMode="External"/><Relationship Id="rId77" Type="http://schemas.openxmlformats.org/officeDocument/2006/relationships/hyperlink" Target="https://www.sec.gov/Archives/edgar/data/773840/000093041315000621/c79276_ex10-24.htm" TargetMode="External"/><Relationship Id="rId78" Type="http://schemas.openxmlformats.org/officeDocument/2006/relationships/hyperlink" Target="https://www.sec.gov/Archives/edgar/data/0000773840/000077384021000057/exhibit10106302021.htm" TargetMode="External"/><Relationship Id="rId79" Type="http://schemas.openxmlformats.org/officeDocument/2006/relationships/hyperlink" Target="https://www.sec.gov/Archives/edgar/data/773840/000093041312002323/c69322_ex10-3.htm" TargetMode="External"/><Relationship Id="rId80" Type="http://schemas.openxmlformats.org/officeDocument/2006/relationships/hyperlink" Target="https://www.sec.gov/Archives/edgar/data/0000773840/000077384021000057/exhibit10106302021.htm" TargetMode="External"/><Relationship Id="rId81" Type="http://schemas.openxmlformats.org/officeDocument/2006/relationships/hyperlink" Target="https://www.sec.gov/Archives/edgar/data/773840/000093041307002180/c46936.htm" TargetMode="External"/><Relationship Id="rId82" Type="http://schemas.openxmlformats.org/officeDocument/2006/relationships/hyperlink" Target="https://www.sec.gov/Archives/edgar/data/0000773840/000077384021000057/exhibit10106302021.htm" TargetMode="External"/><Relationship Id="rId83" Type="http://schemas.openxmlformats.org/officeDocument/2006/relationships/hyperlink" Target="https://www.sec.gov/Archives/edgar/data/773840/000093041311001776/c64436_def14a.htm" TargetMode="External"/><Relationship Id="rId84" Type="http://schemas.openxmlformats.org/officeDocument/2006/relationships/hyperlink" Target="https://www.sec.gov/Archives/edgar/data/773840/000093041313000907/c72130_ex10-36.htm" TargetMode="External"/><Relationship Id="rId85" Type="http://schemas.openxmlformats.org/officeDocument/2006/relationships/hyperlink" Target="https://www.sec.gov/Archives/edgar/data/773840/000093041314001831/c77214_ex10-1.htm" TargetMode="External"/><Relationship Id="rId86" Type="http://schemas.openxmlformats.org/officeDocument/2006/relationships/hyperlink" Target="https://www.sec.gov/Archives/edgar/data/0000773840/000077384021000057/exhibit10106302021.htm" TargetMode="External"/><Relationship Id="rId87" Type="http://schemas.openxmlformats.org/officeDocument/2006/relationships/hyperlink" Target="https://www.sec.gov/Archives/edgar/data/773840/000093041314001831/c77214_ex10-4.htm" TargetMode="External"/><Relationship Id="rId88" Type="http://schemas.openxmlformats.org/officeDocument/2006/relationships/hyperlink" Target="https://www.sec.gov/Archives/edgar/data/0000773840/000077384021000057/exhibit10106302021.htm" TargetMode="External"/><Relationship Id="rId89" Type="http://schemas.openxmlformats.org/officeDocument/2006/relationships/hyperlink" Target="https://www.sec.gov/Archives/edgar/data/773840/000093041315000621/c79276_ex10-39.htm" TargetMode="External"/><Relationship Id="rId90" Type="http://schemas.openxmlformats.org/officeDocument/2006/relationships/hyperlink" Target="https://www.sec.gov/Archives/edgar/data/0000773840/000077384021000057/exhibit10106302021.htm" TargetMode="External"/><Relationship Id="rId91" Type="http://schemas.openxmlformats.org/officeDocument/2006/relationships/hyperlink" Target="https://www.sec.gov/Archives/edgar/data/773840/000093041316005948/c82838_def14a.htm" TargetMode="External"/><Relationship Id="rId92" Type="http://schemas.openxmlformats.org/officeDocument/2006/relationships/hyperlink" Target="https://www.sec.gov/Archives/edgar/data/773840/000077384020000048/exhibit10209302020.htm" TargetMode="External"/><Relationship Id="rId93" Type="http://schemas.openxmlformats.org/officeDocument/2006/relationships/hyperlink" Target="https://www.sec.gov/Archives/edgar/data/0000773840/000077384021000057/exhibit10106302021.htm" TargetMode="External"/><Relationship Id="rId94" Type="http://schemas.openxmlformats.org/officeDocument/2006/relationships/hyperlink" Target="https://www.sec.gov/Archives/edgar/data/773840/000077384025000010/exhibit104712312024.htm" TargetMode="External"/><Relationship Id="rId95" Type="http://schemas.openxmlformats.org/officeDocument/2006/relationships/hyperlink" Target="https://www.sec.gov/Archives/edgar/data/773840/000077384025000010/exhibit104712312024.htm" TargetMode="External"/><Relationship Id="rId96" Type="http://schemas.openxmlformats.org/officeDocument/2006/relationships/hyperlink" Target="https://www.sec.gov/Archives/edgar/data/773840/000077384025000010/exhibit104712312024.htm" TargetMode="External"/><Relationship Id="rId97" Type="http://schemas.openxmlformats.org/officeDocument/2006/relationships/hyperlink" Target="https://www.sec.gov/Archives/edgar/data/773840/000077384025000010/exhibit104712312024.htm" TargetMode="External"/><Relationship Id="rId98" Type="http://schemas.openxmlformats.org/officeDocument/2006/relationships/hyperlink" Target="https://www.sec.gov/Archives/edgar/data/773840/000077384025000010/exhibit104712312024.htm" TargetMode="External"/><Relationship Id="rId99" Type="http://schemas.openxmlformats.org/officeDocument/2006/relationships/hyperlink" Target="https://www.sec.gov/Archives/edgar/data/773840/000077384025000010/exhibit104712312024.htm" TargetMode="External"/><Relationship Id="rId100" Type="http://schemas.openxmlformats.org/officeDocument/2006/relationships/hyperlink" Target="https://www.sec.gov/Archives/edgar/data/773840/000093041316005948/c82838_def14a.htm" TargetMode="External"/><Relationship Id="rId101" Type="http://schemas.openxmlformats.org/officeDocument/2006/relationships/hyperlink" Target="https://www.sec.gov/Archives/edgar/data/773840/000093041319002643/c94369_ex99-2.htm" TargetMode="External"/><Relationship Id="rId102" Type="http://schemas.openxmlformats.org/officeDocument/2006/relationships/hyperlink" Target="https://www.sec.gov/Archives/edgar/data/773840/000077384020000038/exhibit10106302020.htm" TargetMode="External"/><Relationship Id="rId103" Type="http://schemas.openxmlformats.org/officeDocument/2006/relationships/hyperlink" Target="https://www.sec.gov/Archives/edgar/data/0000773840/000077384021000057/exhibit10106302021.htm" TargetMode="External"/><Relationship Id="rId104" Type="http://schemas.openxmlformats.org/officeDocument/2006/relationships/hyperlink" Target="https://www.sec.gov/Archives/edgar/data/773840/000077384021000057/exhibit10606302021.htm" TargetMode="External"/><Relationship Id="rId105" Type="http://schemas.openxmlformats.org/officeDocument/2006/relationships/hyperlink" Target="https://www.sec.gov/Archives/edgar/data/773840/000077384021000057/exhibit10706302021.htm" TargetMode="External"/><Relationship Id="rId106" Type="http://schemas.openxmlformats.org/officeDocument/2006/relationships/hyperlink" Target="https://www.sec.gov/Archives/edgar/data/773840/000077384024000014/exhibit10512312023.htm" TargetMode="External"/><Relationship Id="rId107" Type="http://schemas.openxmlformats.org/officeDocument/2006/relationships/hyperlink" Target="https://www.sec.gov/Archives/edgar/data/773840/000077384022000018/exhibit106112312021.htm" TargetMode="External"/><Relationship Id="rId108" Type="http://schemas.openxmlformats.org/officeDocument/2006/relationships/hyperlink" Target="https://www.sec.gov/Archives/edgar/data/773840/000077384022000018/exhibit106112312021.htm" TargetMode="External"/><Relationship Id="rId109" Type="http://schemas.openxmlformats.org/officeDocument/2006/relationships/hyperlink" Target="https://www.sec.gov/Archives/edgar/data/773840/000077384021000015/exhibit107012312020.htm" TargetMode="External"/><Relationship Id="rId110" Type="http://schemas.openxmlformats.org/officeDocument/2006/relationships/hyperlink" Target="https://www.sec.gov/Archives/edgar/data/773840/000077384021000015/exhibit107012312020.htm" TargetMode="External"/><Relationship Id="rId111" Type="http://schemas.openxmlformats.org/officeDocument/2006/relationships/hyperlink" Target="https://www.sec.gov/Archives/edgar/data/773840/000077384021000015/exhibit107012312020.htm" TargetMode="External"/><Relationship Id="rId112" Type="http://schemas.openxmlformats.org/officeDocument/2006/relationships/hyperlink" Target="https://www.sec.gov/Archives/edgar/data/773840/000077384025000025/exhibit991annemaddenofferl.htm" TargetMode="External"/><Relationship Id="rId113" Type="http://schemas.openxmlformats.org/officeDocument/2006/relationships/hyperlink" Target="https://www.sec.gov/Archives/edgar/data/773840/000077384025000014/exhibit102.htm" TargetMode="External"/><Relationship Id="rId114" Type="http://schemas.openxmlformats.org/officeDocument/2006/relationships/hyperlink" Target="https://www.sec.gov/Archives/edgar/data/773840/000077384025000014/exhibit102.htm" TargetMode="External"/><Relationship Id="rId115" Type="http://schemas.openxmlformats.org/officeDocument/2006/relationships/hyperlink" Target="https://www.sec.gov/Archives/edgar/data/773840/000077384025000014/exhibit102.htm" TargetMode="External"/><Relationship Id="rId116" Type="http://schemas.openxmlformats.org/officeDocument/2006/relationships/hyperlink" Target="https://www.sec.gov/Archives/edgar/data/773840/000119312523069598/d780318dex102.htm" TargetMode="External"/><Relationship Id="rId117" Type="http://schemas.openxmlformats.org/officeDocument/2006/relationships/hyperlink" Target="https://www.sec.gov/Archives/edgar/data/773840/000119312522204108/d376391dex101.htm" TargetMode="External"/><Relationship Id="rId118" Type="http://schemas.openxmlformats.org/officeDocument/2006/relationships/hyperlink" Target="https://www.sec.gov/Archives/edgar/data/773840/000077384024000014/exhibit106512312023.htm" TargetMode="External"/><Relationship Id="rId119" Type="http://schemas.openxmlformats.org/officeDocument/2006/relationships/hyperlink" Target="https://www.sec.gov/Archives/edgar/data/773840/000077384024000014/exhibit106512312023.htm" TargetMode="External"/><Relationship Id="rId120" Type="http://schemas.openxmlformats.org/officeDocument/2006/relationships/hyperlink" Target="https://www.sec.gov/Archives/edgar/data/773840/000077384024000014/exhibit106512312023.htm" TargetMode="External"/><Relationship Id="rId121" Type="http://schemas.openxmlformats.org/officeDocument/2006/relationships/hyperlink" Target="https://www.sec.gov/Archives/edgar/data/773840/000077384024000014/exhibit106612312023.htm" TargetMode="External"/><Relationship Id="rId122" Type="http://schemas.openxmlformats.org/officeDocument/2006/relationships/hyperlink" Target="https://www.sec.gov/Archives/edgar/data/773840/000077384024000014/exhibit106612312023.htm" TargetMode="External"/><Relationship Id="rId123" Type="http://schemas.openxmlformats.org/officeDocument/2006/relationships/hyperlink" Target="https://www.sec.gov/Archives/edgar/data/773840/000077384024000014/exhibit106612312023.htm" TargetMode="External"/><Relationship Id="rId124" Type="http://schemas.openxmlformats.org/officeDocument/2006/relationships/hyperlink" Target="https://www.sec.gov/Archives/edgar/data/773840/000077384025000014/exhibit101.htm" TargetMode="External"/><Relationship Id="rId125" Type="http://schemas.openxmlformats.org/officeDocument/2006/relationships/hyperlink" Target="https://www.sec.gov/Archives/edgar/data/773840/000119312525128673/d923884dex101.htm" TargetMode="External"/><Relationship Id="rId126" Type="http://schemas.openxmlformats.org/officeDocument/2006/relationships/hyperlink" Target="https://www.sec.gov/Archives/edgar/data/773840/000119312525055636/d915924dex101.htm" TargetMode="External"/><Relationship Id="rId127" Type="http://schemas.openxmlformats.org/officeDocument/2006/relationships/hyperlink" Target="https://www.sec.gov/Archives/edgar/data/773840/000119312525115181/d901112dex101.htm" TargetMode="External"/><Relationship Id="rId128" Type="http://schemas.openxmlformats.org/officeDocument/2006/relationships/hyperlink" Target="https://www.sec.gov/Archives/edgar/data/773840/000119312524071322/d785317dex102.htm" TargetMode="External"/><Relationship Id="rId129" Type="http://schemas.openxmlformats.org/officeDocument/2006/relationships/hyperlink" Target="https://www.sec.gov/Archives/edgar/data/773840/000119312524199003/d743374dex101.htm" TargetMode="External"/><Relationship Id="rId130" Type="http://schemas.openxmlformats.org/officeDocument/2006/relationships/hyperlink" Target="https://www.sec.gov/Archives/edgar/data/773840/000119312522290052/d424061dex101.htm" TargetMode="External"/><Relationship Id="rId131" Type="http://schemas.openxmlformats.org/officeDocument/2006/relationships/hyperlink" Target="https://www.sec.gov/Archives/edgar/data/773840/000077384025000010/exhibit1912312024.htm" TargetMode="External"/><Relationship Id="rId132" Type="http://schemas.openxmlformats.org/officeDocument/2006/relationships/hyperlink" Target="https://www.sec.gov/Archives/edgar/data/773840/000077384025000010/exhibit1912312024.htm" TargetMode="External"/><Relationship Id="rId133" Type="http://schemas.openxmlformats.org/officeDocument/2006/relationships/hyperlink" Target="https://www.sec.gov/Archives/edgar/data/773840/000077384025000010/exhibit1912312024.htm" TargetMode="External"/><Relationship Id="rId134" Type="http://schemas.openxmlformats.org/officeDocument/2006/relationships/hyperlink" Target="https://www.sec.gov/Archives/edgar/data/773840/000077384025000010/exhibit1912312024.htm" TargetMode="External"/><Relationship Id="rId135" Type="http://schemas.openxmlformats.org/officeDocument/2006/relationships/hyperlink" Target="https://www.sec.gov/Archives/edgar/data/773840/000077384025000010/exhibit1912312024.htm" TargetMode="External"/><Relationship Id="rId136" Type="http://schemas.openxmlformats.org/officeDocument/2006/relationships/hyperlink" Target="https://www.sec.gov/Archives/edgar/data/773840/000077384025000010/exhibit1912312024.htm" TargetMode="External"/><Relationship Id="rId137" Type="http://schemas.openxmlformats.org/officeDocument/2006/relationships/hyperlink" Target="https://www.sec.gov/Archives/edgar/data/773840/000077384025000010/exhibit1912312024.htm" TargetMode="External"/><Relationship Id="rId138" Type="http://schemas.openxmlformats.org/officeDocument/2006/relationships/hyperlink" Target="https://www.sec.gov/Archives/edgar/data/773840/000077384024000014/exhibit97123123.htm" TargetMode="External"/><Relationship Id="rId139" Type="http://schemas.openxmlformats.org/officeDocument/2006/relationships/image" Target="media/image44.png"/><Relationship Id="rId140" Type="http://schemas.openxmlformats.org/officeDocument/2006/relationships/image" Target="media/image45.png"/><Relationship Id="rId141" Type="http://schemas.openxmlformats.org/officeDocument/2006/relationships/image" Target="media/image44.png"/><Relationship Id="rId142" Type="http://schemas.openxmlformats.org/officeDocument/2006/relationships/fontTable" Target="fontTable.xml"/><Relationship Id="rId1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89555</Words>
  <Characters>504709</Characters>
  <CharactersWithSpaces>589260</CharactersWithSpaces>
  <Paragraphs>10417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