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9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31" w:lineRule="exact"/>
        <w:rPr>
          <w:sz w:val="24"/>
          <w:szCs w:val="24"/>
          <w:color w:val="auto"/>
        </w:rPr>
      </w:pPr>
    </w:p>
    <w:p>
      <w:pPr>
        <w:ind w:left="4720"/>
        <w:spacing w:after="0"/>
        <w:rPr>
          <w:sz w:val="20"/>
          <w:szCs w:val="20"/>
          <w:color w:val="auto"/>
        </w:rPr>
      </w:pPr>
      <w:r>
        <w:rPr>
          <w:rFonts w:ascii="Arial" w:cs="Arial" w:eastAsia="Arial" w:hAnsi="Arial"/>
          <w:sz w:val="18"/>
          <w:szCs w:val="18"/>
          <w:color w:val="auto"/>
        </w:rPr>
        <w:t>__________________</w:t>
      </w:r>
    </w:p>
    <w:p>
      <w:pPr>
        <w:spacing w:after="0" w:line="117" w:lineRule="exact"/>
        <w:rPr>
          <w:sz w:val="24"/>
          <w:szCs w:val="24"/>
          <w:color w:val="auto"/>
        </w:rPr>
      </w:pPr>
    </w:p>
    <w:p>
      <w:pPr>
        <w:ind w:left="3180" w:hanging="215"/>
        <w:spacing w:after="0"/>
        <w:tabs>
          <w:tab w:leader="none" w:pos="31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w:t>
      </w:r>
    </w:p>
    <w:p>
      <w:pPr>
        <w:spacing w:after="0" w:line="117" w:lineRule="exact"/>
        <w:rPr>
          <w:rFonts w:ascii="MS PGothic" w:cs="MS PGothic" w:eastAsia="MS PGothic" w:hAnsi="MS PGothic"/>
          <w:sz w:val="18"/>
          <w:szCs w:val="18"/>
          <w:color w:val="auto"/>
        </w:rPr>
      </w:pPr>
    </w:p>
    <w:p>
      <w:pPr>
        <w:jc w:val="both"/>
        <w:ind w:left="3580" w:right="3560" w:firstLine="46"/>
        <w:spacing w:after="0" w:line="424" w:lineRule="auto"/>
        <w:rPr>
          <w:rFonts w:ascii="MS PGothic" w:cs="MS PGothic" w:eastAsia="MS PGothic" w:hAnsi="MS PGothic"/>
          <w:sz w:val="18"/>
          <w:szCs w:val="18"/>
          <w:color w:val="auto"/>
        </w:rPr>
      </w:pPr>
      <w:r>
        <w:rPr>
          <w:rFonts w:ascii="Arial" w:cs="Arial" w:eastAsia="Arial" w:hAnsi="Arial"/>
          <w:sz w:val="17"/>
          <w:szCs w:val="17"/>
          <w:color w:val="auto"/>
        </w:rPr>
        <w:t xml:space="preserve">OF THE SECURITIES EXCHANGE ACT OF 1934 For the quarterly period ended </w:t>
      </w:r>
      <w:r>
        <w:rPr>
          <w:rFonts w:ascii="Arial" w:cs="Arial" w:eastAsia="Arial" w:hAnsi="Arial"/>
          <w:sz w:val="17"/>
          <w:szCs w:val="17"/>
          <w:u w:val="single" w:color="auto"/>
          <w:color w:val="auto"/>
        </w:rPr>
        <w:t>September 30, 2021</w:t>
      </w:r>
    </w:p>
    <w:p>
      <w:pPr>
        <w:spacing w:after="0" w:line="281" w:lineRule="exact"/>
        <w:rPr>
          <w:sz w:val="24"/>
          <w:szCs w:val="24"/>
          <w:color w:val="auto"/>
        </w:rPr>
      </w:pPr>
    </w:p>
    <w:p>
      <w:pPr>
        <w:ind w:left="3180" w:hanging="218"/>
        <w:spacing w:after="0"/>
        <w:tabs>
          <w:tab w:leader="none" w:pos="31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w:t>
      </w:r>
    </w:p>
    <w:p>
      <w:pPr>
        <w:spacing w:after="0" w:line="117" w:lineRule="exact"/>
        <w:rPr>
          <w:rFonts w:ascii="MS PGothic" w:cs="MS PGothic" w:eastAsia="MS PGothic" w:hAnsi="MS PGothic"/>
          <w:sz w:val="18"/>
          <w:szCs w:val="18"/>
          <w:color w:val="auto"/>
        </w:rPr>
      </w:pPr>
    </w:p>
    <w:p>
      <w:pPr>
        <w:jc w:val="center"/>
        <w:ind w:left="3760" w:right="3620" w:hanging="149"/>
        <w:spacing w:after="0" w:line="397" w:lineRule="auto"/>
        <w:rPr>
          <w:rFonts w:ascii="MS PGothic" w:cs="MS PGothic" w:eastAsia="MS PGothic" w:hAnsi="MS PGothic"/>
          <w:sz w:val="18"/>
          <w:szCs w:val="18"/>
          <w:color w:val="auto"/>
        </w:rPr>
      </w:pPr>
      <w:r>
        <w:rPr>
          <w:rFonts w:ascii="Arial" w:cs="Arial" w:eastAsia="Arial" w:hAnsi="Arial"/>
          <w:sz w:val="17"/>
          <w:szCs w:val="17"/>
          <w:color w:val="auto"/>
        </w:rPr>
        <w:t>OF THE SECURITIES EXCHANGE ACT OF 1934 For the transition period from ______ to _____</w:t>
      </w:r>
    </w:p>
    <w:p>
      <w:pPr>
        <w:spacing w:after="0" w:line="1" w:lineRule="exact"/>
        <w:rPr>
          <w:rFonts w:ascii="MS PGothic" w:cs="MS PGothic" w:eastAsia="MS PGothic" w:hAnsi="MS PGothic"/>
          <w:sz w:val="18"/>
          <w:szCs w:val="18"/>
          <w:color w:val="auto"/>
        </w:rPr>
      </w:pPr>
    </w:p>
    <w:p>
      <w:pPr>
        <w:ind w:left="4360"/>
        <w:spacing w:after="0"/>
        <w:rPr>
          <w:rFonts w:ascii="MS PGothic" w:cs="MS PGothic" w:eastAsia="MS PGothic" w:hAnsi="MS PGothic"/>
          <w:sz w:val="18"/>
          <w:szCs w:val="18"/>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1-8974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109220</wp:posOffset>
            </wp:positionV>
            <wp:extent cx="1757045" cy="3511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57045" cy="351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Honeywell International Inc</w:t>
      </w:r>
      <w:r>
        <w:rPr>
          <w:rFonts w:ascii="Arial" w:cs="Arial" w:eastAsia="Arial" w:hAnsi="Arial"/>
          <w:sz w:val="17"/>
          <w:szCs w:val="17"/>
          <w:b w:val="1"/>
          <w:bCs w:val="1"/>
          <w:color w:val="auto"/>
        </w:rPr>
        <w:t>.</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50" w:lineRule="exact"/>
        <w:rPr>
          <w:sz w:val="24"/>
          <w:szCs w:val="24"/>
          <w:color w:val="auto"/>
        </w:rPr>
      </w:pPr>
    </w:p>
    <w:tbl>
      <w:tblPr>
        <w:tblLayout w:type="fixed"/>
        <w:tblInd w:w="1200" w:type="dxa"/>
        <w:tblCellMar>
          <w:top w:w="0" w:type="dxa"/>
          <w:left w:w="0" w:type="dxa"/>
          <w:bottom w:w="0" w:type="dxa"/>
          <w:right w:w="0" w:type="dxa"/>
        </w:tblCellMar>
      </w:tblPr>
      <w:tr>
        <w:trPr>
          <w:trHeight w:val="217"/>
        </w:trPr>
        <w:tc>
          <w:tcPr>
            <w:tcW w:w="580" w:type="dxa"/>
            <w:vAlign w:val="bottom"/>
            <w:tcBorders>
              <w:bottom w:val="single" w:sz="8" w:color="auto"/>
            </w:tcBorders>
          </w:tcPr>
          <w:p>
            <w:pPr>
              <w:spacing w:after="0"/>
              <w:rPr>
                <w:sz w:val="18"/>
                <w:szCs w:val="18"/>
                <w:color w:val="auto"/>
              </w:rPr>
            </w:pPr>
          </w:p>
        </w:tc>
        <w:tc>
          <w:tcPr>
            <w:tcW w:w="3780" w:type="dxa"/>
            <w:vAlign w:val="bottom"/>
            <w:tcBorders>
              <w:bottom w:val="single" w:sz="8" w:color="auto"/>
            </w:tcBorders>
          </w:tcPr>
          <w:p>
            <w:pPr>
              <w:jc w:val="center"/>
              <w:ind w:right="490"/>
              <w:spacing w:after="0"/>
              <w:rPr>
                <w:sz w:val="20"/>
                <w:szCs w:val="20"/>
                <w:color w:val="auto"/>
              </w:rPr>
            </w:pPr>
            <w:r>
              <w:rPr>
                <w:rFonts w:ascii="Arial" w:cs="Arial" w:eastAsia="Arial" w:hAnsi="Arial"/>
                <w:sz w:val="18"/>
                <w:szCs w:val="18"/>
                <w:color w:val="auto"/>
                <w:w w:val="99"/>
              </w:rPr>
              <w:t>Delaware</w:t>
            </w:r>
          </w:p>
        </w:tc>
        <w:tc>
          <w:tcPr>
            <w:tcW w:w="1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color w:val="auto"/>
              </w:rPr>
              <w:t>22-2640650</w:t>
            </w:r>
          </w:p>
        </w:tc>
        <w:tc>
          <w:tcPr>
            <w:tcW w:w="620" w:type="dxa"/>
            <w:vAlign w:val="bottom"/>
            <w:tcBorders>
              <w:bottom w:val="single" w:sz="8" w:color="auto"/>
            </w:tcBorders>
          </w:tcPr>
          <w:p>
            <w:pPr>
              <w:spacing w:after="0"/>
              <w:rPr>
                <w:sz w:val="18"/>
                <w:szCs w:val="18"/>
                <w:color w:val="auto"/>
              </w:rPr>
            </w:pPr>
          </w:p>
        </w:tc>
      </w:tr>
      <w:tr>
        <w:trPr>
          <w:trHeight w:val="182"/>
        </w:trPr>
        <w:tc>
          <w:tcPr>
            <w:tcW w:w="580" w:type="dxa"/>
            <w:vAlign w:val="bottom"/>
          </w:tcPr>
          <w:p>
            <w:pPr>
              <w:spacing w:after="0"/>
              <w:rPr>
                <w:sz w:val="15"/>
                <w:szCs w:val="15"/>
                <w:color w:val="auto"/>
              </w:rPr>
            </w:pPr>
          </w:p>
        </w:tc>
        <w:tc>
          <w:tcPr>
            <w:tcW w:w="4840" w:type="dxa"/>
            <w:vAlign w:val="bottom"/>
            <w:gridSpan w:val="3"/>
          </w:tcPr>
          <w:p>
            <w:pPr>
              <w:jc w:val="center"/>
              <w:ind w:right="1640"/>
              <w:spacing w:after="0" w:line="182" w:lineRule="exact"/>
              <w:rPr>
                <w:sz w:val="20"/>
                <w:szCs w:val="20"/>
                <w:color w:val="auto"/>
              </w:rPr>
            </w:pPr>
            <w:r>
              <w:rPr>
                <w:rFonts w:ascii="Arial" w:cs="Arial" w:eastAsia="Arial" w:hAnsi="Arial"/>
                <w:sz w:val="18"/>
                <w:szCs w:val="18"/>
                <w:color w:val="auto"/>
                <w:w w:val="99"/>
              </w:rPr>
              <w:t>(State or other jurisdiction of</w:t>
            </w:r>
          </w:p>
        </w:tc>
        <w:tc>
          <w:tcPr>
            <w:tcW w:w="3440" w:type="dxa"/>
            <w:vAlign w:val="bottom"/>
            <w:gridSpan w:val="2"/>
          </w:tcPr>
          <w:p>
            <w:pPr>
              <w:jc w:val="center"/>
              <w:ind w:right="960"/>
              <w:spacing w:after="0" w:line="182" w:lineRule="exact"/>
              <w:rPr>
                <w:sz w:val="20"/>
                <w:szCs w:val="20"/>
                <w:color w:val="auto"/>
              </w:rPr>
            </w:pPr>
            <w:r>
              <w:rPr>
                <w:rFonts w:ascii="Arial" w:cs="Arial" w:eastAsia="Arial" w:hAnsi="Arial"/>
                <w:sz w:val="18"/>
                <w:szCs w:val="18"/>
                <w:color w:val="auto"/>
                <w:w w:val="99"/>
              </w:rPr>
              <w:t>(I.R.S. Employer</w:t>
            </w:r>
          </w:p>
        </w:tc>
      </w:tr>
      <w:tr>
        <w:trPr>
          <w:trHeight w:val="217"/>
        </w:trPr>
        <w:tc>
          <w:tcPr>
            <w:tcW w:w="580" w:type="dxa"/>
            <w:vAlign w:val="bottom"/>
          </w:tcPr>
          <w:p>
            <w:pPr>
              <w:spacing w:after="0"/>
              <w:rPr>
                <w:sz w:val="18"/>
                <w:szCs w:val="18"/>
                <w:color w:val="auto"/>
              </w:rPr>
            </w:pPr>
          </w:p>
        </w:tc>
        <w:tc>
          <w:tcPr>
            <w:tcW w:w="4840" w:type="dxa"/>
            <w:vAlign w:val="bottom"/>
            <w:gridSpan w:val="3"/>
          </w:tcPr>
          <w:p>
            <w:pPr>
              <w:jc w:val="center"/>
              <w:ind w:right="1620"/>
              <w:spacing w:after="0"/>
              <w:rPr>
                <w:sz w:val="20"/>
                <w:szCs w:val="20"/>
                <w:color w:val="auto"/>
              </w:rPr>
            </w:pPr>
            <w:r>
              <w:rPr>
                <w:rFonts w:ascii="Arial" w:cs="Arial" w:eastAsia="Arial" w:hAnsi="Arial"/>
                <w:sz w:val="18"/>
                <w:szCs w:val="18"/>
                <w:color w:val="auto"/>
                <w:w w:val="99"/>
              </w:rPr>
              <w:t>incorporation or organization)</w:t>
            </w:r>
          </w:p>
        </w:tc>
        <w:tc>
          <w:tcPr>
            <w:tcW w:w="3440" w:type="dxa"/>
            <w:vAlign w:val="bottom"/>
            <w:gridSpan w:val="2"/>
          </w:tcPr>
          <w:p>
            <w:pPr>
              <w:jc w:val="center"/>
              <w:ind w:right="960"/>
              <w:spacing w:after="0"/>
              <w:rPr>
                <w:sz w:val="20"/>
                <w:szCs w:val="20"/>
                <w:color w:val="auto"/>
              </w:rPr>
            </w:pPr>
            <w:r>
              <w:rPr>
                <w:rFonts w:ascii="Arial" w:cs="Arial" w:eastAsia="Arial" w:hAnsi="Arial"/>
                <w:sz w:val="18"/>
                <w:szCs w:val="18"/>
                <w:color w:val="auto"/>
                <w:w w:val="99"/>
              </w:rPr>
              <w:t>Identification No.)</w:t>
            </w:r>
          </w:p>
        </w:tc>
      </w:tr>
      <w:tr>
        <w:trPr>
          <w:trHeight w:val="310"/>
        </w:trPr>
        <w:tc>
          <w:tcPr>
            <w:tcW w:w="580" w:type="dxa"/>
            <w:vAlign w:val="bottom"/>
          </w:tcPr>
          <w:p>
            <w:pPr>
              <w:spacing w:after="0"/>
              <w:rPr>
                <w:sz w:val="24"/>
                <w:szCs w:val="24"/>
                <w:color w:val="auto"/>
              </w:rPr>
            </w:pPr>
          </w:p>
        </w:tc>
        <w:tc>
          <w:tcPr>
            <w:tcW w:w="4840" w:type="dxa"/>
            <w:vAlign w:val="bottom"/>
            <w:gridSpan w:val="3"/>
          </w:tcPr>
          <w:p>
            <w:pPr>
              <w:jc w:val="center"/>
              <w:ind w:right="1620"/>
              <w:spacing w:after="0"/>
              <w:rPr>
                <w:sz w:val="20"/>
                <w:szCs w:val="20"/>
                <w:color w:val="auto"/>
              </w:rPr>
            </w:pPr>
            <w:r>
              <w:rPr>
                <w:rFonts w:ascii="Arial" w:cs="Arial" w:eastAsia="Arial" w:hAnsi="Arial"/>
                <w:sz w:val="18"/>
                <w:szCs w:val="18"/>
                <w:color w:val="auto"/>
                <w:w w:val="99"/>
              </w:rPr>
              <w:t>855 South Mint Street</w:t>
            </w:r>
          </w:p>
        </w:tc>
        <w:tc>
          <w:tcPr>
            <w:tcW w:w="28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56"/>
        </w:trPr>
        <w:tc>
          <w:tcPr>
            <w:tcW w:w="580" w:type="dxa"/>
            <w:vAlign w:val="bottom"/>
            <w:tcBorders>
              <w:bottom w:val="single" w:sz="8" w:color="auto"/>
            </w:tcBorders>
          </w:tcPr>
          <w:p>
            <w:pPr>
              <w:spacing w:after="0"/>
              <w:rPr>
                <w:sz w:val="22"/>
                <w:szCs w:val="22"/>
                <w:color w:val="auto"/>
              </w:rPr>
            </w:pPr>
          </w:p>
        </w:tc>
        <w:tc>
          <w:tcPr>
            <w:tcW w:w="378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Charlotte, NC</w:t>
            </w:r>
          </w:p>
        </w:tc>
        <w:tc>
          <w:tcPr>
            <w:tcW w:w="120" w:type="dxa"/>
            <w:vAlign w:val="bottom"/>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2820" w:type="dxa"/>
            <w:vAlign w:val="bottom"/>
            <w:tcBorders>
              <w:bottom w:val="single" w:sz="8" w:color="auto"/>
            </w:tcBorders>
          </w:tcPr>
          <w:p>
            <w:pPr>
              <w:jc w:val="right"/>
              <w:ind w:right="1250"/>
              <w:spacing w:after="0"/>
              <w:rPr>
                <w:sz w:val="20"/>
                <w:szCs w:val="20"/>
                <w:color w:val="auto"/>
              </w:rPr>
            </w:pPr>
            <w:r>
              <w:rPr>
                <w:rFonts w:ascii="Arial" w:cs="Arial" w:eastAsia="Arial" w:hAnsi="Arial"/>
                <w:sz w:val="18"/>
                <w:szCs w:val="18"/>
                <w:color w:val="auto"/>
              </w:rPr>
              <w:t>28202</w:t>
            </w:r>
          </w:p>
        </w:tc>
        <w:tc>
          <w:tcPr>
            <w:tcW w:w="620" w:type="dxa"/>
            <w:vAlign w:val="bottom"/>
            <w:tcBorders>
              <w:bottom w:val="single" w:sz="8" w:color="auto"/>
            </w:tcBorders>
          </w:tcPr>
          <w:p>
            <w:pPr>
              <w:spacing w:after="0"/>
              <w:rPr>
                <w:sz w:val="22"/>
                <w:szCs w:val="22"/>
                <w:color w:val="auto"/>
              </w:rPr>
            </w:pPr>
          </w:p>
        </w:tc>
      </w:tr>
      <w:tr>
        <w:trPr>
          <w:trHeight w:val="223"/>
        </w:trPr>
        <w:tc>
          <w:tcPr>
            <w:tcW w:w="580" w:type="dxa"/>
            <w:vAlign w:val="bottom"/>
          </w:tcPr>
          <w:p>
            <w:pPr>
              <w:spacing w:after="0"/>
              <w:rPr>
                <w:sz w:val="19"/>
                <w:szCs w:val="19"/>
                <w:color w:val="auto"/>
              </w:rPr>
            </w:pPr>
          </w:p>
        </w:tc>
        <w:tc>
          <w:tcPr>
            <w:tcW w:w="4840" w:type="dxa"/>
            <w:vAlign w:val="bottom"/>
            <w:gridSpan w:val="3"/>
          </w:tcPr>
          <w:p>
            <w:pPr>
              <w:jc w:val="center"/>
              <w:ind w:right="1640"/>
              <w:spacing w:after="0"/>
              <w:rPr>
                <w:sz w:val="20"/>
                <w:szCs w:val="20"/>
                <w:color w:val="auto"/>
              </w:rPr>
            </w:pPr>
            <w:r>
              <w:rPr>
                <w:rFonts w:ascii="Arial" w:cs="Arial" w:eastAsia="Arial" w:hAnsi="Arial"/>
                <w:sz w:val="18"/>
                <w:szCs w:val="18"/>
                <w:color w:val="auto"/>
                <w:w w:val="99"/>
              </w:rPr>
              <w:t>(Address of principal executive offices)</w:t>
            </w:r>
          </w:p>
        </w:tc>
        <w:tc>
          <w:tcPr>
            <w:tcW w:w="3440" w:type="dxa"/>
            <w:vAlign w:val="bottom"/>
            <w:gridSpan w:val="2"/>
          </w:tcPr>
          <w:p>
            <w:pPr>
              <w:jc w:val="center"/>
              <w:ind w:right="960"/>
              <w:spacing w:after="0"/>
              <w:rPr>
                <w:sz w:val="20"/>
                <w:szCs w:val="20"/>
                <w:color w:val="auto"/>
              </w:rPr>
            </w:pPr>
            <w:r>
              <w:rPr>
                <w:rFonts w:ascii="Arial" w:cs="Arial" w:eastAsia="Arial" w:hAnsi="Arial"/>
                <w:sz w:val="18"/>
                <w:szCs w:val="18"/>
                <w:color w:val="auto"/>
                <w:w w:val="98"/>
              </w:rPr>
              <w:t>(Zip Code)</w:t>
            </w:r>
          </w:p>
        </w:tc>
      </w:tr>
      <w:tr>
        <w:trPr>
          <w:trHeight w:val="338"/>
        </w:trPr>
        <w:tc>
          <w:tcPr>
            <w:tcW w:w="580" w:type="dxa"/>
            <w:vAlign w:val="bottom"/>
          </w:tcPr>
          <w:p>
            <w:pPr>
              <w:spacing w:after="0"/>
              <w:rPr>
                <w:sz w:val="24"/>
                <w:szCs w:val="24"/>
                <w:color w:val="auto"/>
              </w:rPr>
            </w:pPr>
          </w:p>
        </w:tc>
        <w:tc>
          <w:tcPr>
            <w:tcW w:w="4840" w:type="dxa"/>
            <w:vAlign w:val="bottom"/>
            <w:tcBorders>
              <w:bottom w:val="single" w:sz="8" w:color="auto"/>
            </w:tcBorders>
            <w:gridSpan w:val="3"/>
          </w:tcPr>
          <w:p>
            <w:pPr>
              <w:jc w:val="right"/>
              <w:ind w:right="540"/>
              <w:spacing w:after="0"/>
              <w:rPr>
                <w:sz w:val="20"/>
                <w:szCs w:val="20"/>
                <w:color w:val="auto"/>
              </w:rPr>
            </w:pPr>
            <w:r>
              <w:rPr>
                <w:rFonts w:ascii="Arial" w:cs="Arial" w:eastAsia="Arial" w:hAnsi="Arial"/>
                <w:sz w:val="18"/>
                <w:szCs w:val="18"/>
                <w:color w:val="auto"/>
              </w:rPr>
              <w:t>(704) 627-6200</w:t>
            </w:r>
          </w:p>
        </w:tc>
        <w:tc>
          <w:tcPr>
            <w:tcW w:w="2820" w:type="dxa"/>
            <w:vAlign w:val="bottom"/>
            <w:tcBorders>
              <w:bottom w:val="single" w:sz="8" w:color="auto"/>
            </w:tcBorders>
          </w:tcPr>
          <w:p>
            <w:pPr>
              <w:spacing w:after="0"/>
              <w:rPr>
                <w:sz w:val="24"/>
                <w:szCs w:val="24"/>
                <w:color w:val="auto"/>
              </w:rPr>
            </w:pPr>
          </w:p>
        </w:tc>
        <w:tc>
          <w:tcPr>
            <w:tcW w:w="620" w:type="dxa"/>
            <w:vAlign w:val="bottom"/>
          </w:tcPr>
          <w:p>
            <w:pPr>
              <w:spacing w:after="0"/>
              <w:rPr>
                <w:sz w:val="24"/>
                <w:szCs w:val="24"/>
                <w:color w:val="auto"/>
              </w:rPr>
            </w:pPr>
          </w:p>
        </w:tc>
      </w:tr>
      <w:tr>
        <w:trPr>
          <w:trHeight w:val="223"/>
        </w:trPr>
        <w:tc>
          <w:tcPr>
            <w:tcW w:w="580" w:type="dxa"/>
            <w:vAlign w:val="bottom"/>
          </w:tcPr>
          <w:p>
            <w:pPr>
              <w:spacing w:after="0"/>
              <w:rPr>
                <w:sz w:val="19"/>
                <w:szCs w:val="19"/>
                <w:color w:val="auto"/>
              </w:rPr>
            </w:pPr>
          </w:p>
        </w:tc>
        <w:tc>
          <w:tcPr>
            <w:tcW w:w="8280" w:type="dxa"/>
            <w:vAlign w:val="bottom"/>
            <w:gridSpan w:val="5"/>
          </w:tcPr>
          <w:p>
            <w:pPr>
              <w:ind w:left="1720"/>
              <w:spacing w:after="0"/>
              <w:rPr>
                <w:sz w:val="20"/>
                <w:szCs w:val="20"/>
                <w:color w:val="auto"/>
              </w:rPr>
            </w:pPr>
            <w:r>
              <w:rPr>
                <w:rFonts w:ascii="Arial" w:cs="Arial" w:eastAsia="Arial" w:hAnsi="Arial"/>
                <w:sz w:val="18"/>
                <w:szCs w:val="18"/>
                <w:color w:val="auto"/>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1127760</wp:posOffset>
            </wp:positionH>
            <wp:positionV relativeFrom="paragraph">
              <wp:posOffset>179705</wp:posOffset>
            </wp:positionV>
            <wp:extent cx="48602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60290" cy="8255"/>
                    </a:xfrm>
                    <a:prstGeom prst="rect">
                      <a:avLst/>
                    </a:prstGeom>
                    <a:noFill/>
                  </pic:spPr>
                </pic:pic>
              </a:graphicData>
            </a:graphic>
          </wp:anchor>
        </w:drawing>
      </w:r>
    </w:p>
    <w:p>
      <w:pPr>
        <w:spacing w:after="0" w:line="258"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former address and former fiscal year,</w:t>
      </w:r>
    </w:p>
    <w:p>
      <w:pPr>
        <w:jc w:val="center"/>
        <w:ind w:right="40"/>
        <w:spacing w:after="0"/>
        <w:rPr>
          <w:sz w:val="20"/>
          <w:szCs w:val="20"/>
          <w:color w:val="auto"/>
        </w:rPr>
      </w:pPr>
      <w:r>
        <w:rPr>
          <w:rFonts w:ascii="Arial" w:cs="Arial" w:eastAsia="Arial" w:hAnsi="Arial"/>
          <w:sz w:val="18"/>
          <w:szCs w:val="18"/>
          <w:color w:val="auto"/>
        </w:rPr>
        <w:t>if changed since last report)</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217"/>
        </w:trPr>
        <w:tc>
          <w:tcPr>
            <w:tcW w:w="466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80" w:type="dxa"/>
            <w:vAlign w:val="bottom"/>
          </w:tcPr>
          <w:p>
            <w:pPr>
              <w:spacing w:after="0"/>
              <w:rPr>
                <w:sz w:val="18"/>
                <w:szCs w:val="18"/>
                <w:color w:val="auto"/>
              </w:rPr>
            </w:pPr>
          </w:p>
        </w:tc>
      </w:tr>
      <w:tr>
        <w:trPr>
          <w:trHeight w:val="323"/>
        </w:trPr>
        <w:tc>
          <w:tcPr>
            <w:tcW w:w="4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color w:val="auto"/>
                <w:w w:val="98"/>
              </w:rPr>
              <w:t>Trading</w:t>
            </w:r>
          </w:p>
        </w:tc>
        <w:tc>
          <w:tcPr>
            <w:tcW w:w="5280" w:type="dxa"/>
            <w:vAlign w:val="bottom"/>
          </w:tcPr>
          <w:p>
            <w:pPr>
              <w:spacing w:after="0"/>
              <w:rPr>
                <w:sz w:val="24"/>
                <w:szCs w:val="24"/>
                <w:color w:val="auto"/>
              </w:rPr>
            </w:pPr>
          </w:p>
        </w:tc>
      </w:tr>
      <w:tr>
        <w:trPr>
          <w:trHeight w:val="217"/>
        </w:trPr>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Title of each class</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8"/>
              </w:rPr>
              <w:t>Symbol(s)</w:t>
            </w:r>
          </w:p>
        </w:tc>
        <w:tc>
          <w:tcPr>
            <w:tcW w:w="120" w:type="dxa"/>
            <w:vAlign w:val="bottom"/>
          </w:tcPr>
          <w:p>
            <w:pPr>
              <w:spacing w:after="0"/>
              <w:rPr>
                <w:sz w:val="18"/>
                <w:szCs w:val="18"/>
                <w:color w:val="auto"/>
              </w:rPr>
            </w:pPr>
          </w:p>
        </w:tc>
        <w:tc>
          <w:tcPr>
            <w:tcW w:w="5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Name of each exchange on which registered</w:t>
            </w:r>
          </w:p>
        </w:tc>
      </w:tr>
      <w:tr>
        <w:trPr>
          <w:trHeight w:val="223"/>
        </w:trPr>
        <w:tc>
          <w:tcPr>
            <w:tcW w:w="4660" w:type="dxa"/>
            <w:vAlign w:val="bottom"/>
            <w:gridSpan w:val="3"/>
          </w:tcPr>
          <w:p>
            <w:pPr>
              <w:jc w:val="center"/>
              <w:ind w:right="300"/>
              <w:spacing w:after="0"/>
              <w:rPr>
                <w:sz w:val="20"/>
                <w:szCs w:val="20"/>
                <w:color w:val="auto"/>
              </w:rPr>
            </w:pPr>
            <w:r>
              <w:rPr>
                <w:rFonts w:ascii="Arial" w:cs="Arial" w:eastAsia="Arial" w:hAnsi="Arial"/>
                <w:sz w:val="18"/>
                <w:szCs w:val="18"/>
                <w:color w:val="auto"/>
                <w:w w:val="99"/>
              </w:rPr>
              <w:t>Common Stock, par value $1 per share*</w:t>
            </w: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HON</w:t>
            </w:r>
          </w:p>
        </w:tc>
        <w:tc>
          <w:tcPr>
            <w:tcW w:w="5280" w:type="dxa"/>
            <w:vAlign w:val="bottom"/>
          </w:tcPr>
          <w:p>
            <w:pPr>
              <w:jc w:val="center"/>
              <w:spacing w:after="0"/>
              <w:rPr>
                <w:sz w:val="20"/>
                <w:szCs w:val="20"/>
                <w:color w:val="auto"/>
              </w:rPr>
            </w:pPr>
            <w:r>
              <w:rPr>
                <w:rFonts w:ascii="Arial" w:cs="Arial" w:eastAsia="Arial" w:hAnsi="Arial"/>
                <w:sz w:val="18"/>
                <w:szCs w:val="18"/>
                <w:color w:val="auto"/>
                <w:w w:val="99"/>
              </w:rPr>
              <w:t>The NASDAQ Stock Market LLC</w:t>
            </w:r>
          </w:p>
        </w:tc>
      </w:tr>
      <w:tr>
        <w:trPr>
          <w:trHeight w:val="230"/>
        </w:trPr>
        <w:tc>
          <w:tcPr>
            <w:tcW w:w="4660" w:type="dxa"/>
            <w:vAlign w:val="bottom"/>
            <w:gridSpan w:val="3"/>
          </w:tcPr>
          <w:p>
            <w:pPr>
              <w:jc w:val="center"/>
              <w:ind w:right="280"/>
              <w:spacing w:after="0"/>
              <w:rPr>
                <w:sz w:val="20"/>
                <w:szCs w:val="20"/>
                <w:color w:val="auto"/>
              </w:rPr>
            </w:pPr>
            <w:r>
              <w:rPr>
                <w:rFonts w:ascii="Arial" w:cs="Arial" w:eastAsia="Arial" w:hAnsi="Arial"/>
                <w:sz w:val="18"/>
                <w:szCs w:val="18"/>
                <w:color w:val="auto"/>
                <w:w w:val="99"/>
              </w:rPr>
              <w:t>1.300% Senior Notes due 2023</w:t>
            </w: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color w:val="auto"/>
                <w:w w:val="98"/>
              </w:rPr>
              <w:t>HON 23A</w:t>
            </w:r>
          </w:p>
        </w:tc>
        <w:tc>
          <w:tcPr>
            <w:tcW w:w="5280" w:type="dxa"/>
            <w:vAlign w:val="bottom"/>
          </w:tcPr>
          <w:p>
            <w:pPr>
              <w:jc w:val="center"/>
              <w:spacing w:after="0"/>
              <w:rPr>
                <w:sz w:val="20"/>
                <w:szCs w:val="20"/>
                <w:color w:val="auto"/>
              </w:rPr>
            </w:pPr>
            <w:r>
              <w:rPr>
                <w:rFonts w:ascii="Arial" w:cs="Arial" w:eastAsia="Arial" w:hAnsi="Arial"/>
                <w:sz w:val="18"/>
                <w:szCs w:val="18"/>
                <w:color w:val="auto"/>
                <w:w w:val="99"/>
              </w:rPr>
              <w:t>The NASDAQ Stock Market LLC</w:t>
            </w:r>
          </w:p>
        </w:tc>
      </w:tr>
      <w:tr>
        <w:trPr>
          <w:trHeight w:val="229"/>
        </w:trPr>
        <w:tc>
          <w:tcPr>
            <w:tcW w:w="4660" w:type="dxa"/>
            <w:vAlign w:val="bottom"/>
            <w:gridSpan w:val="3"/>
          </w:tcPr>
          <w:p>
            <w:pPr>
              <w:jc w:val="center"/>
              <w:ind w:right="280"/>
              <w:spacing w:after="0"/>
              <w:rPr>
                <w:sz w:val="20"/>
                <w:szCs w:val="20"/>
                <w:color w:val="auto"/>
              </w:rPr>
            </w:pPr>
            <w:r>
              <w:rPr>
                <w:rFonts w:ascii="Arial" w:cs="Arial" w:eastAsia="Arial" w:hAnsi="Arial"/>
                <w:sz w:val="18"/>
                <w:szCs w:val="18"/>
                <w:color w:val="auto"/>
                <w:w w:val="99"/>
              </w:rPr>
              <w:t>0.000% Senior Notes due 2024</w:t>
            </w: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color w:val="auto"/>
                <w:w w:val="98"/>
              </w:rPr>
              <w:t>HON 24A</w:t>
            </w:r>
          </w:p>
        </w:tc>
        <w:tc>
          <w:tcPr>
            <w:tcW w:w="5280" w:type="dxa"/>
            <w:vAlign w:val="bottom"/>
          </w:tcPr>
          <w:p>
            <w:pPr>
              <w:jc w:val="center"/>
              <w:spacing w:after="0"/>
              <w:rPr>
                <w:sz w:val="20"/>
                <w:szCs w:val="20"/>
                <w:color w:val="auto"/>
              </w:rPr>
            </w:pPr>
            <w:r>
              <w:rPr>
                <w:rFonts w:ascii="Arial" w:cs="Arial" w:eastAsia="Arial" w:hAnsi="Arial"/>
                <w:sz w:val="18"/>
                <w:szCs w:val="18"/>
                <w:color w:val="auto"/>
                <w:w w:val="99"/>
              </w:rPr>
              <w:t>The NASDAQ Stock Market LLC</w:t>
            </w:r>
          </w:p>
        </w:tc>
      </w:tr>
      <w:tr>
        <w:trPr>
          <w:trHeight w:val="230"/>
        </w:trPr>
        <w:tc>
          <w:tcPr>
            <w:tcW w:w="4660" w:type="dxa"/>
            <w:vAlign w:val="bottom"/>
            <w:gridSpan w:val="3"/>
          </w:tcPr>
          <w:p>
            <w:pPr>
              <w:jc w:val="center"/>
              <w:ind w:right="280"/>
              <w:spacing w:after="0"/>
              <w:rPr>
                <w:sz w:val="20"/>
                <w:szCs w:val="20"/>
                <w:color w:val="auto"/>
              </w:rPr>
            </w:pPr>
            <w:r>
              <w:rPr>
                <w:rFonts w:ascii="Arial" w:cs="Arial" w:eastAsia="Arial" w:hAnsi="Arial"/>
                <w:sz w:val="18"/>
                <w:szCs w:val="18"/>
                <w:color w:val="auto"/>
                <w:w w:val="99"/>
              </w:rPr>
              <w:t>2.250% Senior Notes due 2028</w:t>
            </w: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color w:val="auto"/>
                <w:w w:val="98"/>
              </w:rPr>
              <w:t>HON 28A</w:t>
            </w:r>
          </w:p>
        </w:tc>
        <w:tc>
          <w:tcPr>
            <w:tcW w:w="5280" w:type="dxa"/>
            <w:vAlign w:val="bottom"/>
          </w:tcPr>
          <w:p>
            <w:pPr>
              <w:jc w:val="center"/>
              <w:spacing w:after="0"/>
              <w:rPr>
                <w:sz w:val="20"/>
                <w:szCs w:val="20"/>
                <w:color w:val="auto"/>
              </w:rPr>
            </w:pPr>
            <w:r>
              <w:rPr>
                <w:rFonts w:ascii="Arial" w:cs="Arial" w:eastAsia="Arial" w:hAnsi="Arial"/>
                <w:sz w:val="18"/>
                <w:szCs w:val="18"/>
                <w:color w:val="auto"/>
                <w:w w:val="99"/>
              </w:rPr>
              <w:t>The NASDAQ Stock Market LLC</w:t>
            </w:r>
          </w:p>
        </w:tc>
      </w:tr>
      <w:tr>
        <w:trPr>
          <w:trHeight w:val="230"/>
        </w:trPr>
        <w:tc>
          <w:tcPr>
            <w:tcW w:w="4660" w:type="dxa"/>
            <w:vAlign w:val="bottom"/>
            <w:gridSpan w:val="3"/>
          </w:tcPr>
          <w:p>
            <w:pPr>
              <w:jc w:val="center"/>
              <w:ind w:right="280"/>
              <w:spacing w:after="0"/>
              <w:rPr>
                <w:sz w:val="20"/>
                <w:szCs w:val="20"/>
                <w:color w:val="auto"/>
              </w:rPr>
            </w:pPr>
            <w:r>
              <w:rPr>
                <w:rFonts w:ascii="Arial" w:cs="Arial" w:eastAsia="Arial" w:hAnsi="Arial"/>
                <w:sz w:val="18"/>
                <w:szCs w:val="18"/>
                <w:color w:val="auto"/>
                <w:w w:val="99"/>
              </w:rPr>
              <w:t>0.750% Senior Notes due 2032</w:t>
            </w: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color w:val="auto"/>
                <w:w w:val="98"/>
              </w:rPr>
              <w:t>HON 32</w:t>
            </w:r>
          </w:p>
        </w:tc>
        <w:tc>
          <w:tcPr>
            <w:tcW w:w="5280" w:type="dxa"/>
            <w:vAlign w:val="bottom"/>
          </w:tcPr>
          <w:p>
            <w:pPr>
              <w:jc w:val="center"/>
              <w:spacing w:after="0"/>
              <w:rPr>
                <w:sz w:val="20"/>
                <w:szCs w:val="20"/>
                <w:color w:val="auto"/>
              </w:rPr>
            </w:pPr>
            <w:r>
              <w:rPr>
                <w:rFonts w:ascii="Arial" w:cs="Arial" w:eastAsia="Arial" w:hAnsi="Arial"/>
                <w:sz w:val="18"/>
                <w:szCs w:val="18"/>
                <w:color w:val="auto"/>
                <w:w w:val="99"/>
              </w:rPr>
              <w:t>The NASDAQ Stock Market LLC</w:t>
            </w:r>
          </w:p>
        </w:tc>
      </w:tr>
    </w:tbl>
    <w:p>
      <w:pPr>
        <w:spacing w:after="0" w:line="107" w:lineRule="exact"/>
        <w:rPr>
          <w:sz w:val="24"/>
          <w:szCs w:val="24"/>
          <w:color w:val="auto"/>
        </w:rPr>
      </w:pPr>
    </w:p>
    <w:p>
      <w:pPr>
        <w:spacing w:after="0"/>
        <w:rPr>
          <w:sz w:val="20"/>
          <w:szCs w:val="20"/>
          <w:color w:val="auto"/>
        </w:rPr>
      </w:pPr>
      <w:r>
        <w:rPr>
          <w:rFonts w:ascii="Arial" w:cs="Arial" w:eastAsia="Arial" w:hAnsi="Arial"/>
          <w:sz w:val="18"/>
          <w:szCs w:val="18"/>
          <w:color w:val="auto"/>
        </w:rPr>
        <w:t>* The common stock is also listed on the London Stock Exchange</w:t>
      </w:r>
    </w:p>
    <w:p>
      <w:pPr>
        <w:spacing w:after="0" w:line="117" w:lineRule="exact"/>
        <w:rPr>
          <w:sz w:val="24"/>
          <w:szCs w:val="24"/>
          <w:color w:val="auto"/>
        </w:rPr>
      </w:pPr>
    </w:p>
    <w:p>
      <w:pPr>
        <w:jc w:val="both"/>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94" w:lineRule="exact"/>
        <w:rPr>
          <w:sz w:val="24"/>
          <w:szCs w:val="24"/>
          <w:color w:val="auto"/>
        </w:rPr>
      </w:pPr>
    </w:p>
    <w:p>
      <w:pPr>
        <w:jc w:val="both"/>
        <w:spacing w:after="0" w:line="256"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94" w:lineRule="exact"/>
        <w:rPr>
          <w:sz w:val="24"/>
          <w:szCs w:val="24"/>
          <w:color w:val="auto"/>
        </w:rPr>
      </w:pPr>
    </w:p>
    <w:p>
      <w:pPr>
        <w:jc w:val="both"/>
        <w:spacing w:after="0" w:line="250"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20" w:type="dxa"/>
        <w:tblCellMar>
          <w:top w:w="0" w:type="dxa"/>
          <w:left w:w="0" w:type="dxa"/>
          <w:bottom w:w="0" w:type="dxa"/>
          <w:right w:w="0" w:type="dxa"/>
        </w:tblCellMar>
      </w:tblPr>
      <w:tr>
        <w:trPr>
          <w:trHeight w:val="223"/>
        </w:trPr>
        <w:tc>
          <w:tcPr>
            <w:tcW w:w="21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860" w:type="dxa"/>
            <w:vAlign w:val="bottom"/>
          </w:tcPr>
          <w:p>
            <w:pPr>
              <w:ind w:left="260"/>
              <w:spacing w:after="0"/>
              <w:rPr>
                <w:sz w:val="20"/>
                <w:szCs w:val="20"/>
                <w:color w:val="auto"/>
              </w:rPr>
            </w:pPr>
            <w:r>
              <w:rPr>
                <w:rFonts w:ascii="Arial" w:cs="Arial" w:eastAsia="Arial" w:hAnsi="Arial"/>
                <w:sz w:val="18"/>
                <w:szCs w:val="18"/>
                <w:color w:val="auto"/>
              </w:rPr>
              <w:t>x</w:t>
            </w:r>
          </w:p>
        </w:tc>
        <w:tc>
          <w:tcPr>
            <w:tcW w:w="3880" w:type="dxa"/>
            <w:vAlign w:val="bottom"/>
          </w:tcPr>
          <w:p>
            <w:pPr>
              <w:ind w:left="1420"/>
              <w:spacing w:after="0"/>
              <w:rPr>
                <w:sz w:val="20"/>
                <w:szCs w:val="20"/>
                <w:color w:val="auto"/>
              </w:rPr>
            </w:pPr>
            <w:r>
              <w:rPr>
                <w:rFonts w:ascii="Arial" w:cs="Arial" w:eastAsia="Arial" w:hAnsi="Arial"/>
                <w:sz w:val="18"/>
                <w:szCs w:val="18"/>
                <w:color w:val="auto"/>
              </w:rPr>
              <w:t>Accelerated filer</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2120" w:type="dxa"/>
            <w:vAlign w:val="bottom"/>
          </w:tcPr>
          <w:p>
            <w:pPr>
              <w:spacing w:after="0"/>
              <w:rPr>
                <w:sz w:val="20"/>
                <w:szCs w:val="20"/>
                <w:color w:val="auto"/>
              </w:rPr>
            </w:pPr>
            <w:r>
              <w:rPr>
                <w:rFonts w:ascii="Arial" w:cs="Arial" w:eastAsia="Arial" w:hAnsi="Arial"/>
                <w:sz w:val="18"/>
                <w:szCs w:val="18"/>
                <w:color w:val="auto"/>
              </w:rPr>
              <w:t>Non-Accelerated filer</w:t>
            </w:r>
          </w:p>
        </w:tc>
        <w:tc>
          <w:tcPr>
            <w:tcW w:w="186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3880" w:type="dxa"/>
            <w:vAlign w:val="bottom"/>
          </w:tcPr>
          <w:p>
            <w:pPr>
              <w:ind w:left="1420"/>
              <w:spacing w:after="0"/>
              <w:rPr>
                <w:sz w:val="20"/>
                <w:szCs w:val="20"/>
                <w:color w:val="auto"/>
              </w:rPr>
            </w:pPr>
            <w:r>
              <w:rPr>
                <w:rFonts w:ascii="Arial" w:cs="Arial" w:eastAsia="Arial" w:hAnsi="Arial"/>
                <w:sz w:val="18"/>
                <w:szCs w:val="18"/>
                <w:color w:val="auto"/>
              </w:rPr>
              <w:t>Smaller reporting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1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880" w:type="dxa"/>
            <w:vAlign w:val="bottom"/>
          </w:tcPr>
          <w:p>
            <w:pPr>
              <w:ind w:left="1420"/>
              <w:spacing w:after="0"/>
              <w:rPr>
                <w:sz w:val="20"/>
                <w:szCs w:val="20"/>
                <w:color w:val="auto"/>
              </w:rPr>
            </w:pPr>
            <w:r>
              <w:rPr>
                <w:rFonts w:ascii="Arial" w:cs="Arial" w:eastAsia="Arial" w:hAnsi="Arial"/>
                <w:sz w:val="18"/>
                <w:szCs w:val="18"/>
                <w:color w:val="auto"/>
              </w:rPr>
              <w:t>Emerging growth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87" w:lineRule="exact"/>
        <w:rPr>
          <w:sz w:val="24"/>
          <w:szCs w:val="24"/>
          <w:color w:val="auto"/>
        </w:rPr>
      </w:pPr>
    </w:p>
    <w:p>
      <w:pPr>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right="1140"/>
        <w:spacing w:after="0" w:line="29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 There were 688,422,975 shares of Common Stock outstanding at September 30,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613410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690" w:gutter="0" w:footer="0" w:header="0"/>
        </w:sectPr>
      </w:pPr>
    </w:p>
    <w:bookmarkStart w:id="1" w:name="page2"/>
    <w:bookmarkEnd w:id="1"/>
    <w:p>
      <w:pPr>
        <w:spacing w:after="0" w:line="118" w:lineRule="exact"/>
        <w:rPr>
          <w:sz w:val="20"/>
          <w:szCs w:val="20"/>
          <w:color w:val="auto"/>
        </w:rPr>
      </w:pPr>
    </w:p>
    <w:p>
      <w:pPr>
        <w:spacing w:after="0"/>
        <w:rPr>
          <w:sz w:val="20"/>
          <w:szCs w:val="20"/>
          <w:color w:val="auto"/>
        </w:rPr>
      </w:pPr>
      <w:r>
        <w:rPr>
          <w:rFonts w:ascii="Arial" w:cs="Arial" w:eastAsia="Arial" w:hAnsi="Arial"/>
          <w:sz w:val="29"/>
          <w:szCs w:val="29"/>
          <w:b w:val="1"/>
          <w:bCs w:val="1"/>
          <w:color w:val="DC202E"/>
        </w:rPr>
        <w:t>TABLE OF CONTENTS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40" w:type="dxa"/>
            <w:vAlign w:val="bottom"/>
            <w:vMerge w:val="restart"/>
          </w:tcPr>
          <w:p>
            <w:pPr>
              <w:ind w:left="20"/>
              <w:spacing w:after="0"/>
              <w:rPr>
                <w:rFonts w:ascii="Arial" w:cs="Arial" w:eastAsia="Arial" w:hAnsi="Arial"/>
                <w:sz w:val="18"/>
                <w:szCs w:val="18"/>
                <w:b w:val="1"/>
                <w:bCs w:val="1"/>
                <w:color w:val="DC202E"/>
              </w:rPr>
            </w:pPr>
            <w:hyperlink w:anchor="page3">
              <w:r>
                <w:rPr>
                  <w:rFonts w:ascii="Arial" w:cs="Arial" w:eastAsia="Arial" w:hAnsi="Arial"/>
                  <w:sz w:val="18"/>
                  <w:szCs w:val="18"/>
                  <w:b w:val="1"/>
                  <w:bCs w:val="1"/>
                  <w:color w:val="DC202E"/>
                </w:rPr>
                <w:t>PART I</w:t>
              </w:r>
            </w:hyperlink>
          </w:p>
        </w:tc>
        <w:tc>
          <w:tcPr>
            <w:tcW w:w="8860" w:type="dxa"/>
            <w:vAlign w:val="bottom"/>
            <w:vMerge w:val="restart"/>
          </w:tcPr>
          <w:p>
            <w:pPr>
              <w:ind w:left="20"/>
              <w:spacing w:after="0"/>
              <w:rPr>
                <w:rFonts w:ascii="Arial" w:cs="Arial" w:eastAsia="Arial" w:hAnsi="Arial"/>
                <w:sz w:val="18"/>
                <w:szCs w:val="18"/>
                <w:b w:val="1"/>
                <w:bCs w:val="1"/>
                <w:color w:val="DC202E"/>
              </w:rPr>
            </w:pPr>
            <w:hyperlink w:anchor="page3">
              <w:r>
                <w:rPr>
                  <w:rFonts w:ascii="Arial" w:cs="Arial" w:eastAsia="Arial" w:hAnsi="Arial"/>
                  <w:sz w:val="18"/>
                  <w:szCs w:val="18"/>
                  <w:b w:val="1"/>
                  <w:bCs w:val="1"/>
                  <w:color w:val="DC202E"/>
                </w:rPr>
                <w:t>Financial Information</w:t>
              </w:r>
            </w:hyperlink>
          </w:p>
        </w:tc>
        <w:tc>
          <w:tcPr>
            <w:tcW w:w="120" w:type="dxa"/>
            <w:vAlign w:val="bottom"/>
          </w:tcPr>
          <w:p>
            <w:pPr>
              <w:spacing w:after="0"/>
              <w:rPr>
                <w:sz w:val="17"/>
                <w:szCs w:val="17"/>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8"/>
              </w:rPr>
              <w:t>Page No.</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240" w:type="dxa"/>
            <w:vAlign w:val="bottom"/>
            <w:tcBorders>
              <w:bottom w:val="single" w:sz="8" w:color="DC202E"/>
            </w:tcBorders>
            <w:vMerge w:val="continue"/>
          </w:tcPr>
          <w:p>
            <w:pPr>
              <w:spacing w:after="0"/>
              <w:rPr>
                <w:sz w:val="22"/>
                <w:szCs w:val="22"/>
                <w:color w:val="auto"/>
              </w:rPr>
            </w:pPr>
          </w:p>
        </w:tc>
        <w:tc>
          <w:tcPr>
            <w:tcW w:w="8860" w:type="dxa"/>
            <w:vAlign w:val="bottom"/>
            <w:tcBorders>
              <w:bottom w:val="single" w:sz="8" w:color="DC202E"/>
            </w:tcBorders>
            <w:vMerge w:val="continue"/>
          </w:tcPr>
          <w:p>
            <w:pPr>
              <w:spacing w:after="0"/>
              <w:rPr>
                <w:sz w:val="22"/>
                <w:szCs w:val="22"/>
                <w:color w:val="auto"/>
              </w:rPr>
            </w:pPr>
          </w:p>
        </w:tc>
        <w:tc>
          <w:tcPr>
            <w:tcW w:w="900" w:type="dxa"/>
            <w:vAlign w:val="bottom"/>
            <w:tcBorders>
              <w:bottom w:val="single" w:sz="8" w:color="DC202E"/>
            </w:tcBorders>
            <w:gridSpan w:val="2"/>
          </w:tcPr>
          <w:p>
            <w:pPr>
              <w:jc w:val="center"/>
              <w:ind w:left="30"/>
              <w:spacing w:after="0"/>
              <w:rPr>
                <w:rFonts w:ascii="Arial" w:cs="Arial" w:eastAsia="Arial" w:hAnsi="Arial"/>
                <w:sz w:val="18"/>
                <w:szCs w:val="18"/>
                <w:color w:val="auto"/>
                <w:w w:val="99"/>
              </w:rPr>
            </w:pPr>
            <w:hyperlink w:anchor="page3">
              <w:r>
                <w:rPr>
                  <w:rFonts w:ascii="Arial" w:cs="Arial" w:eastAsia="Arial" w:hAnsi="Arial"/>
                  <w:sz w:val="18"/>
                  <w:szCs w:val="18"/>
                  <w:color w:val="auto"/>
                  <w:w w:val="99"/>
                </w:rPr>
                <w:t>1</w:t>
              </w:r>
            </w:hyperlink>
          </w:p>
        </w:tc>
        <w:tc>
          <w:tcPr>
            <w:tcW w:w="240" w:type="dxa"/>
            <w:vAlign w:val="bottom"/>
            <w:tcBorders>
              <w:bottom w:val="single" w:sz="8" w:color="DC202E"/>
            </w:tcBorders>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240" w:type="dxa"/>
            <w:vAlign w:val="bottom"/>
          </w:tcPr>
          <w:p>
            <w:pPr>
              <w:ind w:left="20"/>
              <w:spacing w:after="0"/>
              <w:rPr>
                <w:rFonts w:ascii="Arial" w:cs="Arial" w:eastAsia="Arial" w:hAnsi="Arial"/>
                <w:sz w:val="18"/>
                <w:szCs w:val="18"/>
                <w:b w:val="1"/>
                <w:bCs w:val="1"/>
                <w:color w:val="auto"/>
              </w:rPr>
            </w:pPr>
            <w:hyperlink w:anchor="page4">
              <w:r>
                <w:rPr>
                  <w:rFonts w:ascii="Arial" w:cs="Arial" w:eastAsia="Arial" w:hAnsi="Arial"/>
                  <w:sz w:val="18"/>
                  <w:szCs w:val="18"/>
                  <w:b w:val="1"/>
                  <w:bCs w:val="1"/>
                  <w:color w:val="auto"/>
                </w:rPr>
                <w:t>ITEM 1</w:t>
              </w:r>
            </w:hyperlink>
          </w:p>
        </w:tc>
        <w:tc>
          <w:tcPr>
            <w:tcW w:w="8860" w:type="dxa"/>
            <w:vAlign w:val="bottom"/>
            <w:tcBorders>
              <w:bottom w:val="single" w:sz="8" w:color="auto"/>
            </w:tcBorders>
          </w:tcPr>
          <w:p>
            <w:pPr>
              <w:ind w:left="20"/>
              <w:spacing w:after="0"/>
              <w:rPr>
                <w:rFonts w:ascii="Arial" w:cs="Arial" w:eastAsia="Arial" w:hAnsi="Arial"/>
                <w:sz w:val="18"/>
                <w:szCs w:val="18"/>
                <w:color w:val="auto"/>
              </w:rPr>
            </w:pPr>
            <w:hyperlink w:anchor="page4">
              <w:r>
                <w:rPr>
                  <w:rFonts w:ascii="Arial" w:cs="Arial" w:eastAsia="Arial" w:hAnsi="Arial"/>
                  <w:sz w:val="18"/>
                  <w:szCs w:val="18"/>
                  <w:color w:val="auto"/>
                </w:rPr>
                <w:t>Financial Statements:</w:t>
              </w:r>
            </w:hyperlink>
          </w:p>
        </w:tc>
        <w:tc>
          <w:tcPr>
            <w:tcW w:w="900" w:type="dxa"/>
            <w:vAlign w:val="bottom"/>
            <w:tcBorders>
              <w:bottom w:val="single" w:sz="8" w:color="auto"/>
            </w:tcBorders>
            <w:gridSpan w:val="2"/>
          </w:tcPr>
          <w:p>
            <w:pPr>
              <w:jc w:val="center"/>
              <w:ind w:left="30"/>
              <w:spacing w:after="0"/>
              <w:rPr>
                <w:rFonts w:ascii="Arial" w:cs="Arial" w:eastAsia="Arial" w:hAnsi="Arial"/>
                <w:sz w:val="18"/>
                <w:szCs w:val="18"/>
                <w:color w:val="auto"/>
                <w:w w:val="99"/>
              </w:rPr>
            </w:pPr>
            <w:hyperlink w:anchor="page4">
              <w:r>
                <w:rPr>
                  <w:rFonts w:ascii="Arial" w:cs="Arial" w:eastAsia="Arial" w:hAnsi="Arial"/>
                  <w:sz w:val="18"/>
                  <w:szCs w:val="18"/>
                  <w:color w:val="auto"/>
                  <w:w w:val="99"/>
                </w:rPr>
                <w:t>1</w:t>
              </w:r>
            </w:hyperlink>
          </w:p>
        </w:tc>
        <w:tc>
          <w:tcPr>
            <w:tcW w:w="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1240" w:type="dxa"/>
            <w:vAlign w:val="bottom"/>
          </w:tcPr>
          <w:p>
            <w:pPr>
              <w:spacing w:after="0"/>
              <w:rPr>
                <w:sz w:val="15"/>
                <w:szCs w:val="15"/>
                <w:color w:val="auto"/>
              </w:rPr>
            </w:pPr>
          </w:p>
        </w:tc>
        <w:tc>
          <w:tcPr>
            <w:tcW w:w="8860" w:type="dxa"/>
            <w:vAlign w:val="bottom"/>
          </w:tcPr>
          <w:p>
            <w:pPr>
              <w:ind w:left="20"/>
              <w:spacing w:after="0" w:line="182" w:lineRule="exact"/>
              <w:rPr>
                <w:rFonts w:ascii="Arial" w:cs="Arial" w:eastAsia="Arial" w:hAnsi="Arial"/>
                <w:sz w:val="18"/>
                <w:szCs w:val="18"/>
                <w:color w:val="auto"/>
              </w:rPr>
            </w:pPr>
            <w:hyperlink w:anchor="page4">
              <w:r>
                <w:rPr>
                  <w:rFonts w:ascii="Arial" w:cs="Arial" w:eastAsia="Arial" w:hAnsi="Arial"/>
                  <w:sz w:val="18"/>
                  <w:szCs w:val="18"/>
                  <w:color w:val="auto"/>
                </w:rPr>
                <w:t xml:space="preserve">Consolidated Statement of Operations (unaudited) – </w:t>
              </w:r>
            </w:hyperlink>
            <w:r>
              <w:rPr>
                <w:rFonts w:ascii="Arial" w:cs="Arial" w:eastAsia="Arial" w:hAnsi="Arial"/>
                <w:sz w:val="18"/>
                <w:szCs w:val="18"/>
                <w:color w:val="auto"/>
              </w:rPr>
              <w:t xml:space="preserve">Three and Nine </w:t>
            </w:r>
            <w:hyperlink w:anchor="page4">
              <w:r>
                <w:rPr>
                  <w:rFonts w:ascii="Arial" w:cs="Arial" w:eastAsia="Arial" w:hAnsi="Arial"/>
                  <w:sz w:val="18"/>
                  <w:szCs w:val="18"/>
                  <w:color w:val="auto"/>
                </w:rPr>
                <w:t xml:space="preserve">Months Ended </w:t>
              </w:r>
            </w:hyperlink>
            <w:r>
              <w:rPr>
                <w:rFonts w:ascii="Arial" w:cs="Arial" w:eastAsia="Arial" w:hAnsi="Arial"/>
                <w:sz w:val="18"/>
                <w:szCs w:val="18"/>
                <w:color w:val="auto"/>
              </w:rPr>
              <w:t xml:space="preserve">September 30, 2021 </w:t>
            </w:r>
            <w:hyperlink w:anchor="page4">
              <w:r>
                <w:rPr>
                  <w:rFonts w:ascii="Arial" w:cs="Arial" w:eastAsia="Arial" w:hAnsi="Arial"/>
                  <w:sz w:val="18"/>
                  <w:szCs w:val="18"/>
                  <w:color w:val="auto"/>
                </w:rPr>
                <w:t>and</w:t>
              </w:r>
            </w:hyperlink>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240" w:type="dxa"/>
            <w:vAlign w:val="bottom"/>
          </w:tcPr>
          <w:p>
            <w:pPr>
              <w:spacing w:after="0"/>
              <w:rPr>
                <w:sz w:val="18"/>
                <w:szCs w:val="18"/>
                <w:color w:val="auto"/>
              </w:rPr>
            </w:pPr>
          </w:p>
        </w:tc>
        <w:tc>
          <w:tcPr>
            <w:tcW w:w="8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2020</w:t>
            </w:r>
          </w:p>
        </w:tc>
        <w:tc>
          <w:tcPr>
            <w:tcW w:w="900" w:type="dxa"/>
            <w:vAlign w:val="bottom"/>
            <w:tcBorders>
              <w:bottom w:val="single" w:sz="8" w:color="auto"/>
            </w:tcBorders>
            <w:gridSpan w:val="2"/>
          </w:tcPr>
          <w:p>
            <w:pPr>
              <w:jc w:val="center"/>
              <w:ind w:left="30"/>
              <w:spacing w:after="0"/>
              <w:rPr>
                <w:rFonts w:ascii="Arial" w:cs="Arial" w:eastAsia="Arial" w:hAnsi="Arial"/>
                <w:sz w:val="18"/>
                <w:szCs w:val="18"/>
                <w:color w:val="auto"/>
                <w:w w:val="99"/>
              </w:rPr>
            </w:pPr>
            <w:hyperlink w:anchor="page4">
              <w:r>
                <w:rPr>
                  <w:rFonts w:ascii="Arial" w:cs="Arial" w:eastAsia="Arial" w:hAnsi="Arial"/>
                  <w:sz w:val="18"/>
                  <w:szCs w:val="18"/>
                  <w:color w:val="auto"/>
                  <w:w w:val="99"/>
                </w:rPr>
                <w:t>1</w:t>
              </w:r>
            </w:hyperlink>
          </w:p>
        </w:tc>
        <w:tc>
          <w:tcPr>
            <w:tcW w:w="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1240" w:type="dxa"/>
            <w:vAlign w:val="bottom"/>
          </w:tcPr>
          <w:p>
            <w:pPr>
              <w:spacing w:after="0"/>
              <w:rPr>
                <w:sz w:val="15"/>
                <w:szCs w:val="15"/>
                <w:color w:val="auto"/>
              </w:rPr>
            </w:pPr>
          </w:p>
        </w:tc>
        <w:tc>
          <w:tcPr>
            <w:tcW w:w="8860" w:type="dxa"/>
            <w:vAlign w:val="bottom"/>
          </w:tcPr>
          <w:p>
            <w:pPr>
              <w:ind w:left="20"/>
              <w:spacing w:after="0" w:line="182" w:lineRule="exact"/>
              <w:rPr>
                <w:rFonts w:ascii="Arial" w:cs="Arial" w:eastAsia="Arial" w:hAnsi="Arial"/>
                <w:sz w:val="18"/>
                <w:szCs w:val="18"/>
                <w:color w:val="auto"/>
              </w:rPr>
            </w:pPr>
            <w:hyperlink w:anchor="page4">
              <w:r>
                <w:rPr>
                  <w:rFonts w:ascii="Arial" w:cs="Arial" w:eastAsia="Arial" w:hAnsi="Arial"/>
                  <w:sz w:val="18"/>
                  <w:szCs w:val="18"/>
                  <w:color w:val="auto"/>
                </w:rPr>
                <w:t xml:space="preserve">Consolidated Statement of Comprehensive Income (unaudited) – </w:t>
              </w:r>
            </w:hyperlink>
            <w:r>
              <w:rPr>
                <w:rFonts w:ascii="Arial" w:cs="Arial" w:eastAsia="Arial" w:hAnsi="Arial"/>
                <w:sz w:val="18"/>
                <w:szCs w:val="18"/>
                <w:color w:val="auto"/>
              </w:rPr>
              <w:t xml:space="preserve">Three and Nine </w:t>
            </w:r>
            <w:hyperlink w:anchor="page4">
              <w:r>
                <w:rPr>
                  <w:rFonts w:ascii="Arial" w:cs="Arial" w:eastAsia="Arial" w:hAnsi="Arial"/>
                  <w:sz w:val="18"/>
                  <w:szCs w:val="18"/>
                  <w:color w:val="auto"/>
                </w:rPr>
                <w:t xml:space="preserve">Months Ended </w:t>
              </w:r>
            </w:hyperlink>
            <w:r>
              <w:rPr>
                <w:rFonts w:ascii="Arial" w:cs="Arial" w:eastAsia="Arial" w:hAnsi="Arial"/>
                <w:sz w:val="18"/>
                <w:szCs w:val="18"/>
                <w:color w:val="auto"/>
              </w:rPr>
              <w:t>September</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240" w:type="dxa"/>
            <w:vAlign w:val="bottom"/>
          </w:tcPr>
          <w:p>
            <w:pPr>
              <w:spacing w:after="0"/>
              <w:rPr>
                <w:sz w:val="18"/>
                <w:szCs w:val="18"/>
                <w:color w:val="auto"/>
              </w:rPr>
            </w:pPr>
          </w:p>
        </w:tc>
        <w:tc>
          <w:tcPr>
            <w:tcW w:w="8860" w:type="dxa"/>
            <w:vAlign w:val="bottom"/>
            <w:tcBorders>
              <w:bottom w:val="single" w:sz="8" w:color="auto"/>
            </w:tcBorders>
          </w:tcPr>
          <w:p>
            <w:pPr>
              <w:ind w:left="20"/>
              <w:spacing w:after="0"/>
              <w:rPr>
                <w:rFonts w:ascii="Arial" w:cs="Arial" w:eastAsia="Arial" w:hAnsi="Arial"/>
                <w:sz w:val="18"/>
                <w:szCs w:val="18"/>
                <w:color w:val="auto"/>
              </w:rPr>
            </w:pPr>
            <w:r>
              <w:rPr>
                <w:rFonts w:ascii="Arial" w:cs="Arial" w:eastAsia="Arial" w:hAnsi="Arial"/>
                <w:sz w:val="18"/>
                <w:szCs w:val="18"/>
                <w:color w:val="auto"/>
              </w:rPr>
              <w:t xml:space="preserve">30, 2021 </w:t>
            </w:r>
            <w:hyperlink w:anchor="page4">
              <w:r>
                <w:rPr>
                  <w:rFonts w:ascii="Arial" w:cs="Arial" w:eastAsia="Arial" w:hAnsi="Arial"/>
                  <w:sz w:val="18"/>
                  <w:szCs w:val="18"/>
                  <w:color w:val="auto"/>
                </w:rPr>
                <w:t xml:space="preserve">and </w:t>
              </w:r>
            </w:hyperlink>
            <w:r>
              <w:rPr>
                <w:rFonts w:ascii="Arial" w:cs="Arial" w:eastAsia="Arial" w:hAnsi="Arial"/>
                <w:sz w:val="18"/>
                <w:szCs w:val="18"/>
                <w:color w:val="auto"/>
              </w:rPr>
              <w:t>2020</w:t>
            </w:r>
          </w:p>
        </w:tc>
        <w:tc>
          <w:tcPr>
            <w:tcW w:w="900" w:type="dxa"/>
            <w:vAlign w:val="bottom"/>
            <w:tcBorders>
              <w:bottom w:val="single" w:sz="8" w:color="auto"/>
            </w:tcBorders>
            <w:gridSpan w:val="2"/>
          </w:tcPr>
          <w:p>
            <w:pPr>
              <w:jc w:val="center"/>
              <w:ind w:left="30"/>
              <w:spacing w:after="0"/>
              <w:rPr>
                <w:rFonts w:ascii="Arial" w:cs="Arial" w:eastAsia="Arial" w:hAnsi="Arial"/>
                <w:sz w:val="18"/>
                <w:szCs w:val="18"/>
                <w:color w:val="auto"/>
                <w:w w:val="99"/>
              </w:rPr>
            </w:pPr>
            <w:hyperlink w:anchor="page4">
              <w:r>
                <w:rPr>
                  <w:rFonts w:ascii="Arial" w:cs="Arial" w:eastAsia="Arial" w:hAnsi="Arial"/>
                  <w:sz w:val="18"/>
                  <w:szCs w:val="18"/>
                  <w:color w:val="auto"/>
                  <w:w w:val="99"/>
                </w:rPr>
                <w:t>2</w:t>
              </w:r>
            </w:hyperlink>
          </w:p>
        </w:tc>
        <w:tc>
          <w:tcPr>
            <w:tcW w:w="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40" w:type="dxa"/>
            <w:vAlign w:val="bottom"/>
          </w:tcPr>
          <w:p>
            <w:pPr>
              <w:spacing w:after="0"/>
              <w:rPr>
                <w:sz w:val="19"/>
                <w:szCs w:val="19"/>
                <w:color w:val="auto"/>
              </w:rPr>
            </w:pPr>
          </w:p>
        </w:tc>
        <w:tc>
          <w:tcPr>
            <w:tcW w:w="8860" w:type="dxa"/>
            <w:vAlign w:val="bottom"/>
            <w:tcBorders>
              <w:bottom w:val="single" w:sz="8" w:color="auto"/>
            </w:tcBorders>
          </w:tcPr>
          <w:p>
            <w:pPr>
              <w:ind w:left="20"/>
              <w:spacing w:after="0"/>
              <w:rPr>
                <w:rFonts w:ascii="Arial" w:cs="Arial" w:eastAsia="Arial" w:hAnsi="Arial"/>
                <w:sz w:val="18"/>
                <w:szCs w:val="18"/>
                <w:color w:val="auto"/>
              </w:rPr>
            </w:pPr>
            <w:hyperlink w:anchor="page5">
              <w:r>
                <w:rPr>
                  <w:rFonts w:ascii="Arial" w:cs="Arial" w:eastAsia="Arial" w:hAnsi="Arial"/>
                  <w:sz w:val="18"/>
                  <w:szCs w:val="18"/>
                  <w:color w:val="auto"/>
                </w:rPr>
                <w:t xml:space="preserve">Consolidated Balance Sheet (unaudited) – </w:t>
              </w:r>
            </w:hyperlink>
            <w:r>
              <w:rPr>
                <w:rFonts w:ascii="Arial" w:cs="Arial" w:eastAsia="Arial" w:hAnsi="Arial"/>
                <w:sz w:val="18"/>
                <w:szCs w:val="18"/>
                <w:color w:val="auto"/>
              </w:rPr>
              <w:t xml:space="preserve">September 30, 2021 </w:t>
            </w:r>
            <w:hyperlink w:anchor="page5">
              <w:r>
                <w:rPr>
                  <w:rFonts w:ascii="Arial" w:cs="Arial" w:eastAsia="Arial" w:hAnsi="Arial"/>
                  <w:sz w:val="18"/>
                  <w:szCs w:val="18"/>
                  <w:color w:val="auto"/>
                </w:rPr>
                <w:t xml:space="preserve">and </w:t>
              </w:r>
            </w:hyperlink>
            <w:r>
              <w:rPr>
                <w:rFonts w:ascii="Arial" w:cs="Arial" w:eastAsia="Arial" w:hAnsi="Arial"/>
                <w:sz w:val="18"/>
                <w:szCs w:val="18"/>
                <w:color w:val="auto"/>
              </w:rPr>
              <w:t>December 31, 2020</w:t>
            </w:r>
          </w:p>
        </w:tc>
        <w:tc>
          <w:tcPr>
            <w:tcW w:w="900" w:type="dxa"/>
            <w:vAlign w:val="bottom"/>
            <w:tcBorders>
              <w:bottom w:val="single" w:sz="8" w:color="auto"/>
            </w:tcBorders>
            <w:gridSpan w:val="2"/>
          </w:tcPr>
          <w:p>
            <w:pPr>
              <w:jc w:val="center"/>
              <w:ind w:left="30"/>
              <w:spacing w:after="0"/>
              <w:rPr>
                <w:rFonts w:ascii="Arial" w:cs="Arial" w:eastAsia="Arial" w:hAnsi="Arial"/>
                <w:sz w:val="18"/>
                <w:szCs w:val="18"/>
                <w:color w:val="auto"/>
                <w:w w:val="99"/>
              </w:rPr>
            </w:pPr>
            <w:hyperlink w:anchor="page5">
              <w:r>
                <w:rPr>
                  <w:rFonts w:ascii="Arial" w:cs="Arial" w:eastAsia="Arial" w:hAnsi="Arial"/>
                  <w:sz w:val="18"/>
                  <w:szCs w:val="18"/>
                  <w:color w:val="auto"/>
                  <w:w w:val="99"/>
                </w:rPr>
                <w:t>3</w:t>
              </w:r>
            </w:hyperlink>
          </w:p>
        </w:tc>
        <w:tc>
          <w:tcPr>
            <w:tcW w:w="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40" w:type="dxa"/>
            <w:vAlign w:val="bottom"/>
          </w:tcPr>
          <w:p>
            <w:pPr>
              <w:spacing w:after="0"/>
              <w:rPr>
                <w:sz w:val="19"/>
                <w:szCs w:val="19"/>
                <w:color w:val="auto"/>
              </w:rPr>
            </w:pPr>
          </w:p>
        </w:tc>
        <w:tc>
          <w:tcPr>
            <w:tcW w:w="8860" w:type="dxa"/>
            <w:vAlign w:val="bottom"/>
            <w:tcBorders>
              <w:bottom w:val="single" w:sz="8" w:color="auto"/>
            </w:tcBorders>
          </w:tcPr>
          <w:p>
            <w:pPr>
              <w:ind w:left="20"/>
              <w:spacing w:after="0"/>
              <w:rPr>
                <w:rFonts w:ascii="Arial" w:cs="Arial" w:eastAsia="Arial" w:hAnsi="Arial"/>
                <w:sz w:val="18"/>
                <w:szCs w:val="18"/>
                <w:color w:val="auto"/>
              </w:rPr>
            </w:pPr>
            <w:hyperlink w:anchor="page6">
              <w:r>
                <w:rPr>
                  <w:rFonts w:ascii="Arial" w:cs="Arial" w:eastAsia="Arial" w:hAnsi="Arial"/>
                  <w:sz w:val="18"/>
                  <w:szCs w:val="18"/>
                  <w:color w:val="auto"/>
                </w:rPr>
                <w:t xml:space="preserve">Consolidated Statement of Cash Flows (unaudited) – </w:t>
              </w:r>
            </w:hyperlink>
            <w:r>
              <w:rPr>
                <w:rFonts w:ascii="Arial" w:cs="Arial" w:eastAsia="Arial" w:hAnsi="Arial"/>
                <w:sz w:val="18"/>
                <w:szCs w:val="18"/>
                <w:color w:val="auto"/>
              </w:rPr>
              <w:t xml:space="preserve">Nine Months Ended September 30, 2021 </w:t>
            </w:r>
            <w:hyperlink w:anchor="page6">
              <w:r>
                <w:rPr>
                  <w:rFonts w:ascii="Arial" w:cs="Arial" w:eastAsia="Arial" w:hAnsi="Arial"/>
                  <w:sz w:val="18"/>
                  <w:szCs w:val="18"/>
                  <w:color w:val="auto"/>
                </w:rPr>
                <w:t xml:space="preserve">and </w:t>
              </w:r>
            </w:hyperlink>
            <w:r>
              <w:rPr>
                <w:rFonts w:ascii="Arial" w:cs="Arial" w:eastAsia="Arial" w:hAnsi="Arial"/>
                <w:sz w:val="18"/>
                <w:szCs w:val="18"/>
                <w:color w:val="auto"/>
              </w:rPr>
              <w:t>2020</w:t>
            </w:r>
          </w:p>
        </w:tc>
        <w:tc>
          <w:tcPr>
            <w:tcW w:w="900" w:type="dxa"/>
            <w:vAlign w:val="bottom"/>
            <w:tcBorders>
              <w:bottom w:val="single" w:sz="8" w:color="auto"/>
            </w:tcBorders>
            <w:gridSpan w:val="2"/>
          </w:tcPr>
          <w:p>
            <w:pPr>
              <w:jc w:val="center"/>
              <w:ind w:left="30"/>
              <w:spacing w:after="0"/>
              <w:rPr>
                <w:rFonts w:ascii="Arial" w:cs="Arial" w:eastAsia="Arial" w:hAnsi="Arial"/>
                <w:sz w:val="18"/>
                <w:szCs w:val="18"/>
                <w:color w:val="auto"/>
                <w:w w:val="99"/>
              </w:rPr>
            </w:pPr>
            <w:hyperlink w:anchor="page6">
              <w:r>
                <w:rPr>
                  <w:rFonts w:ascii="Arial" w:cs="Arial" w:eastAsia="Arial" w:hAnsi="Arial"/>
                  <w:sz w:val="18"/>
                  <w:szCs w:val="18"/>
                  <w:color w:val="auto"/>
                  <w:w w:val="99"/>
                </w:rPr>
                <w:t>4</w:t>
              </w:r>
            </w:hyperlink>
          </w:p>
        </w:tc>
        <w:tc>
          <w:tcPr>
            <w:tcW w:w="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1240" w:type="dxa"/>
            <w:vAlign w:val="bottom"/>
          </w:tcPr>
          <w:p>
            <w:pPr>
              <w:spacing w:after="0"/>
              <w:rPr>
                <w:sz w:val="15"/>
                <w:szCs w:val="15"/>
                <w:color w:val="auto"/>
              </w:rPr>
            </w:pPr>
          </w:p>
        </w:tc>
        <w:tc>
          <w:tcPr>
            <w:tcW w:w="8860" w:type="dxa"/>
            <w:vAlign w:val="bottom"/>
          </w:tcPr>
          <w:p>
            <w:pPr>
              <w:ind w:left="20"/>
              <w:spacing w:after="0" w:line="182" w:lineRule="exact"/>
              <w:rPr>
                <w:rFonts w:ascii="Arial" w:cs="Arial" w:eastAsia="Arial" w:hAnsi="Arial"/>
                <w:sz w:val="18"/>
                <w:szCs w:val="18"/>
                <w:color w:val="auto"/>
              </w:rPr>
            </w:pPr>
            <w:hyperlink w:anchor="page7">
              <w:r>
                <w:rPr>
                  <w:rFonts w:ascii="Arial" w:cs="Arial" w:eastAsia="Arial" w:hAnsi="Arial"/>
                  <w:sz w:val="18"/>
                  <w:szCs w:val="18"/>
                  <w:color w:val="auto"/>
                </w:rPr>
                <w:t xml:space="preserve">Consolidated Statement of Shareowners' Equity (unaudited) – </w:t>
              </w:r>
            </w:hyperlink>
            <w:r>
              <w:rPr>
                <w:rFonts w:ascii="Arial" w:cs="Arial" w:eastAsia="Arial" w:hAnsi="Arial"/>
                <w:sz w:val="18"/>
                <w:szCs w:val="18"/>
                <w:color w:val="auto"/>
              </w:rPr>
              <w:t xml:space="preserve">Three and Nine </w:t>
            </w:r>
            <w:hyperlink w:anchor="page4">
              <w:r>
                <w:rPr>
                  <w:rFonts w:ascii="Arial" w:cs="Arial" w:eastAsia="Arial" w:hAnsi="Arial"/>
                  <w:sz w:val="18"/>
                  <w:szCs w:val="18"/>
                  <w:color w:val="auto"/>
                </w:rPr>
                <w:t xml:space="preserve">Months Ended </w:t>
              </w:r>
            </w:hyperlink>
            <w:r>
              <w:rPr>
                <w:rFonts w:ascii="Arial" w:cs="Arial" w:eastAsia="Arial" w:hAnsi="Arial"/>
                <w:sz w:val="18"/>
                <w:szCs w:val="18"/>
                <w:color w:val="auto"/>
              </w:rPr>
              <w:t>September 30,</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240" w:type="dxa"/>
            <w:vAlign w:val="bottom"/>
          </w:tcPr>
          <w:p>
            <w:pPr>
              <w:spacing w:after="0"/>
              <w:rPr>
                <w:sz w:val="18"/>
                <w:szCs w:val="18"/>
                <w:color w:val="auto"/>
              </w:rPr>
            </w:pPr>
          </w:p>
        </w:tc>
        <w:tc>
          <w:tcPr>
            <w:tcW w:w="8860" w:type="dxa"/>
            <w:vAlign w:val="bottom"/>
            <w:tcBorders>
              <w:bottom w:val="single" w:sz="8" w:color="auto"/>
            </w:tcBorders>
          </w:tcPr>
          <w:p>
            <w:pPr>
              <w:ind w:left="20"/>
              <w:spacing w:after="0"/>
              <w:rPr>
                <w:rFonts w:ascii="Arial" w:cs="Arial" w:eastAsia="Arial" w:hAnsi="Arial"/>
                <w:sz w:val="18"/>
                <w:szCs w:val="18"/>
                <w:color w:val="auto"/>
              </w:rPr>
            </w:pPr>
            <w:r>
              <w:rPr>
                <w:rFonts w:ascii="Arial" w:cs="Arial" w:eastAsia="Arial" w:hAnsi="Arial"/>
                <w:sz w:val="18"/>
                <w:szCs w:val="18"/>
                <w:color w:val="auto"/>
              </w:rPr>
              <w:t xml:space="preserve">2021 </w:t>
            </w:r>
            <w:hyperlink w:anchor="page4">
              <w:r>
                <w:rPr>
                  <w:rFonts w:ascii="Arial" w:cs="Arial" w:eastAsia="Arial" w:hAnsi="Arial"/>
                  <w:sz w:val="18"/>
                  <w:szCs w:val="18"/>
                  <w:color w:val="auto"/>
                </w:rPr>
                <w:t xml:space="preserve">and </w:t>
              </w:r>
            </w:hyperlink>
            <w:r>
              <w:rPr>
                <w:rFonts w:ascii="Arial" w:cs="Arial" w:eastAsia="Arial" w:hAnsi="Arial"/>
                <w:sz w:val="18"/>
                <w:szCs w:val="18"/>
                <w:color w:val="auto"/>
              </w:rPr>
              <w:t>2020</w:t>
            </w:r>
          </w:p>
        </w:tc>
        <w:tc>
          <w:tcPr>
            <w:tcW w:w="900" w:type="dxa"/>
            <w:vAlign w:val="bottom"/>
            <w:tcBorders>
              <w:bottom w:val="single" w:sz="8" w:color="auto"/>
            </w:tcBorders>
            <w:gridSpan w:val="2"/>
          </w:tcPr>
          <w:p>
            <w:pPr>
              <w:jc w:val="center"/>
              <w:ind w:left="30"/>
              <w:spacing w:after="0"/>
              <w:rPr>
                <w:rFonts w:ascii="Arial" w:cs="Arial" w:eastAsia="Arial" w:hAnsi="Arial"/>
                <w:sz w:val="18"/>
                <w:szCs w:val="18"/>
                <w:color w:val="auto"/>
                <w:w w:val="99"/>
              </w:rPr>
            </w:pPr>
            <w:hyperlink w:anchor="page7">
              <w:r>
                <w:rPr>
                  <w:rFonts w:ascii="Arial" w:cs="Arial" w:eastAsia="Arial" w:hAnsi="Arial"/>
                  <w:sz w:val="18"/>
                  <w:szCs w:val="18"/>
                  <w:color w:val="auto"/>
                  <w:w w:val="99"/>
                </w:rPr>
                <w:t>5</w:t>
              </w:r>
            </w:hyperlink>
          </w:p>
        </w:tc>
        <w:tc>
          <w:tcPr>
            <w:tcW w:w="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40" w:type="dxa"/>
            <w:vAlign w:val="bottom"/>
          </w:tcPr>
          <w:p>
            <w:pPr>
              <w:spacing w:after="0"/>
              <w:rPr>
                <w:sz w:val="19"/>
                <w:szCs w:val="19"/>
                <w:color w:val="auto"/>
              </w:rPr>
            </w:pPr>
          </w:p>
        </w:tc>
        <w:tc>
          <w:tcPr>
            <w:tcW w:w="8860" w:type="dxa"/>
            <w:vAlign w:val="bottom"/>
            <w:tcBorders>
              <w:bottom w:val="single" w:sz="8" w:color="auto"/>
            </w:tcBorders>
          </w:tcPr>
          <w:p>
            <w:pPr>
              <w:ind w:left="20"/>
              <w:spacing w:after="0"/>
              <w:rPr>
                <w:rFonts w:ascii="Arial" w:cs="Arial" w:eastAsia="Arial" w:hAnsi="Arial"/>
                <w:sz w:val="18"/>
                <w:szCs w:val="18"/>
                <w:color w:val="auto"/>
              </w:rPr>
            </w:pPr>
            <w:hyperlink w:anchor="page8">
              <w:r>
                <w:rPr>
                  <w:rFonts w:ascii="Arial" w:cs="Arial" w:eastAsia="Arial" w:hAnsi="Arial"/>
                  <w:sz w:val="18"/>
                  <w:szCs w:val="18"/>
                  <w:color w:val="auto"/>
                </w:rPr>
                <w:t>Notes to Consolidated Financial Statements (unaudited)</w:t>
              </w:r>
            </w:hyperlink>
          </w:p>
        </w:tc>
        <w:tc>
          <w:tcPr>
            <w:tcW w:w="900" w:type="dxa"/>
            <w:vAlign w:val="bottom"/>
            <w:tcBorders>
              <w:bottom w:val="single" w:sz="8" w:color="auto"/>
            </w:tcBorders>
            <w:gridSpan w:val="2"/>
          </w:tcPr>
          <w:p>
            <w:pPr>
              <w:jc w:val="center"/>
              <w:ind w:left="30"/>
              <w:spacing w:after="0"/>
              <w:rPr>
                <w:rFonts w:ascii="Arial" w:cs="Arial" w:eastAsia="Arial" w:hAnsi="Arial"/>
                <w:sz w:val="18"/>
                <w:szCs w:val="18"/>
                <w:color w:val="auto"/>
                <w:w w:val="99"/>
              </w:rPr>
            </w:pPr>
            <w:hyperlink w:anchor="page8">
              <w:r>
                <w:rPr>
                  <w:rFonts w:ascii="Arial" w:cs="Arial" w:eastAsia="Arial" w:hAnsi="Arial"/>
                  <w:sz w:val="18"/>
                  <w:szCs w:val="18"/>
                  <w:color w:val="auto"/>
                  <w:w w:val="99"/>
                </w:rPr>
                <w:t>6</w:t>
              </w:r>
            </w:hyperlink>
          </w:p>
        </w:tc>
        <w:tc>
          <w:tcPr>
            <w:tcW w:w="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40" w:type="dxa"/>
            <w:vAlign w:val="bottom"/>
            <w:tcBorders>
              <w:bottom w:val="single" w:sz="8" w:color="auto"/>
            </w:tcBorders>
          </w:tcPr>
          <w:p>
            <w:pPr>
              <w:ind w:left="20"/>
              <w:spacing w:after="0"/>
              <w:rPr>
                <w:rFonts w:ascii="Arial" w:cs="Arial" w:eastAsia="Arial" w:hAnsi="Arial"/>
                <w:sz w:val="18"/>
                <w:szCs w:val="18"/>
                <w:b w:val="1"/>
                <w:bCs w:val="1"/>
                <w:color w:val="auto"/>
              </w:rPr>
            </w:pPr>
            <w:hyperlink w:anchor="page34">
              <w:r>
                <w:rPr>
                  <w:rFonts w:ascii="Arial" w:cs="Arial" w:eastAsia="Arial" w:hAnsi="Arial"/>
                  <w:sz w:val="18"/>
                  <w:szCs w:val="18"/>
                  <w:b w:val="1"/>
                  <w:bCs w:val="1"/>
                  <w:color w:val="auto"/>
                </w:rPr>
                <w:t>ITEM 2</w:t>
              </w:r>
            </w:hyperlink>
          </w:p>
        </w:tc>
        <w:tc>
          <w:tcPr>
            <w:tcW w:w="8860" w:type="dxa"/>
            <w:vAlign w:val="bottom"/>
            <w:tcBorders>
              <w:bottom w:val="single" w:sz="8" w:color="auto"/>
            </w:tcBorders>
          </w:tcPr>
          <w:p>
            <w:pPr>
              <w:ind w:left="20"/>
              <w:spacing w:after="0"/>
              <w:rPr>
                <w:rFonts w:ascii="Arial" w:cs="Arial" w:eastAsia="Arial" w:hAnsi="Arial"/>
                <w:sz w:val="18"/>
                <w:szCs w:val="18"/>
                <w:color w:val="auto"/>
              </w:rPr>
            </w:pPr>
            <w:hyperlink w:anchor="page34">
              <w:r>
                <w:rPr>
                  <w:rFonts w:ascii="Arial" w:cs="Arial" w:eastAsia="Arial" w:hAnsi="Arial"/>
                  <w:sz w:val="18"/>
                  <w:szCs w:val="18"/>
                  <w:color w:val="auto"/>
                </w:rPr>
                <w:t>Management’s Discussion and Analysis of Financial Condition and Results of Operations</w:t>
              </w:r>
            </w:hyperlink>
          </w:p>
        </w:tc>
        <w:tc>
          <w:tcPr>
            <w:tcW w:w="900" w:type="dxa"/>
            <w:vAlign w:val="bottom"/>
            <w:tcBorders>
              <w:bottom w:val="single" w:sz="8" w:color="auto"/>
            </w:tcBorders>
            <w:gridSpan w:val="2"/>
          </w:tcPr>
          <w:p>
            <w:pPr>
              <w:jc w:val="center"/>
              <w:ind w:left="50"/>
              <w:spacing w:after="0"/>
              <w:rPr>
                <w:rFonts w:ascii="Arial" w:cs="Arial" w:eastAsia="Arial" w:hAnsi="Arial"/>
                <w:sz w:val="18"/>
                <w:szCs w:val="18"/>
                <w:color w:val="auto"/>
                <w:w w:val="99"/>
              </w:rPr>
            </w:pPr>
            <w:hyperlink w:anchor="page34">
              <w:r>
                <w:rPr>
                  <w:rFonts w:ascii="Arial" w:cs="Arial" w:eastAsia="Arial" w:hAnsi="Arial"/>
                  <w:sz w:val="18"/>
                  <w:szCs w:val="18"/>
                  <w:color w:val="auto"/>
                  <w:w w:val="99"/>
                </w:rPr>
                <w:t>32</w:t>
              </w:r>
            </w:hyperlink>
          </w:p>
        </w:tc>
        <w:tc>
          <w:tcPr>
            <w:tcW w:w="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40" w:type="dxa"/>
            <w:vAlign w:val="bottom"/>
            <w:tcBorders>
              <w:bottom w:val="single" w:sz="8" w:color="auto"/>
            </w:tcBorders>
          </w:tcPr>
          <w:p>
            <w:pPr>
              <w:ind w:left="20"/>
              <w:spacing w:after="0"/>
              <w:rPr>
                <w:rFonts w:ascii="Arial" w:cs="Arial" w:eastAsia="Arial" w:hAnsi="Arial"/>
                <w:sz w:val="18"/>
                <w:szCs w:val="18"/>
                <w:b w:val="1"/>
                <w:bCs w:val="1"/>
                <w:color w:val="auto"/>
              </w:rPr>
            </w:pPr>
            <w:hyperlink w:anchor="page54">
              <w:r>
                <w:rPr>
                  <w:rFonts w:ascii="Arial" w:cs="Arial" w:eastAsia="Arial" w:hAnsi="Arial"/>
                  <w:sz w:val="18"/>
                  <w:szCs w:val="18"/>
                  <w:b w:val="1"/>
                  <w:bCs w:val="1"/>
                  <w:color w:val="auto"/>
                </w:rPr>
                <w:t>ITEM 3</w:t>
              </w:r>
            </w:hyperlink>
          </w:p>
        </w:tc>
        <w:tc>
          <w:tcPr>
            <w:tcW w:w="8860" w:type="dxa"/>
            <w:vAlign w:val="bottom"/>
            <w:tcBorders>
              <w:bottom w:val="single" w:sz="8" w:color="auto"/>
            </w:tcBorders>
          </w:tcPr>
          <w:p>
            <w:pPr>
              <w:ind w:left="20"/>
              <w:spacing w:after="0"/>
              <w:rPr>
                <w:rFonts w:ascii="Arial" w:cs="Arial" w:eastAsia="Arial" w:hAnsi="Arial"/>
                <w:sz w:val="18"/>
                <w:szCs w:val="18"/>
                <w:color w:val="auto"/>
              </w:rPr>
            </w:pPr>
            <w:hyperlink w:anchor="page54">
              <w:r>
                <w:rPr>
                  <w:rFonts w:ascii="Arial" w:cs="Arial" w:eastAsia="Arial" w:hAnsi="Arial"/>
                  <w:sz w:val="18"/>
                  <w:szCs w:val="18"/>
                  <w:color w:val="auto"/>
                </w:rPr>
                <w:t>Quantitative and Qualitative Disclosures About Market Risks</w:t>
              </w:r>
            </w:hyperlink>
          </w:p>
        </w:tc>
        <w:tc>
          <w:tcPr>
            <w:tcW w:w="900" w:type="dxa"/>
            <w:vAlign w:val="bottom"/>
            <w:tcBorders>
              <w:bottom w:val="single" w:sz="8" w:color="auto"/>
            </w:tcBorders>
            <w:gridSpan w:val="2"/>
          </w:tcPr>
          <w:p>
            <w:pPr>
              <w:jc w:val="center"/>
              <w:ind w:left="50"/>
              <w:spacing w:after="0"/>
              <w:rPr>
                <w:rFonts w:ascii="Arial" w:cs="Arial" w:eastAsia="Arial" w:hAnsi="Arial"/>
                <w:sz w:val="18"/>
                <w:szCs w:val="18"/>
                <w:color w:val="auto"/>
                <w:w w:val="99"/>
              </w:rPr>
            </w:pPr>
            <w:hyperlink w:anchor="page54">
              <w:r>
                <w:rPr>
                  <w:rFonts w:ascii="Arial" w:cs="Arial" w:eastAsia="Arial" w:hAnsi="Arial"/>
                  <w:sz w:val="18"/>
                  <w:szCs w:val="18"/>
                  <w:color w:val="auto"/>
                  <w:w w:val="99"/>
                </w:rPr>
                <w:t>51</w:t>
              </w:r>
            </w:hyperlink>
          </w:p>
        </w:tc>
        <w:tc>
          <w:tcPr>
            <w:tcW w:w="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40" w:type="dxa"/>
            <w:vAlign w:val="bottom"/>
            <w:tcBorders>
              <w:bottom w:val="single" w:sz="8" w:color="auto"/>
            </w:tcBorders>
          </w:tcPr>
          <w:p>
            <w:pPr>
              <w:ind w:left="20"/>
              <w:spacing w:after="0"/>
              <w:rPr>
                <w:rFonts w:ascii="Arial" w:cs="Arial" w:eastAsia="Arial" w:hAnsi="Arial"/>
                <w:sz w:val="18"/>
                <w:szCs w:val="18"/>
                <w:b w:val="1"/>
                <w:bCs w:val="1"/>
                <w:color w:val="auto"/>
              </w:rPr>
            </w:pPr>
            <w:hyperlink w:anchor="page54">
              <w:r>
                <w:rPr>
                  <w:rFonts w:ascii="Arial" w:cs="Arial" w:eastAsia="Arial" w:hAnsi="Arial"/>
                  <w:sz w:val="18"/>
                  <w:szCs w:val="18"/>
                  <w:b w:val="1"/>
                  <w:bCs w:val="1"/>
                  <w:color w:val="auto"/>
                </w:rPr>
                <w:t>ITEM 4</w:t>
              </w:r>
            </w:hyperlink>
          </w:p>
        </w:tc>
        <w:tc>
          <w:tcPr>
            <w:tcW w:w="8860" w:type="dxa"/>
            <w:vAlign w:val="bottom"/>
            <w:tcBorders>
              <w:bottom w:val="single" w:sz="8" w:color="auto"/>
            </w:tcBorders>
          </w:tcPr>
          <w:p>
            <w:pPr>
              <w:ind w:left="20"/>
              <w:spacing w:after="0"/>
              <w:rPr>
                <w:rFonts w:ascii="Arial" w:cs="Arial" w:eastAsia="Arial" w:hAnsi="Arial"/>
                <w:sz w:val="18"/>
                <w:szCs w:val="18"/>
                <w:color w:val="auto"/>
              </w:rPr>
            </w:pPr>
            <w:hyperlink w:anchor="page54">
              <w:r>
                <w:rPr>
                  <w:rFonts w:ascii="Arial" w:cs="Arial" w:eastAsia="Arial" w:hAnsi="Arial"/>
                  <w:sz w:val="18"/>
                  <w:szCs w:val="18"/>
                  <w:color w:val="auto"/>
                </w:rPr>
                <w:t>Controls and Procedures</w:t>
              </w:r>
            </w:hyperlink>
          </w:p>
        </w:tc>
        <w:tc>
          <w:tcPr>
            <w:tcW w:w="900" w:type="dxa"/>
            <w:vAlign w:val="bottom"/>
            <w:tcBorders>
              <w:bottom w:val="single" w:sz="8" w:color="auto"/>
            </w:tcBorders>
            <w:gridSpan w:val="2"/>
          </w:tcPr>
          <w:p>
            <w:pPr>
              <w:jc w:val="center"/>
              <w:ind w:left="50"/>
              <w:spacing w:after="0"/>
              <w:rPr>
                <w:rFonts w:ascii="Arial" w:cs="Arial" w:eastAsia="Arial" w:hAnsi="Arial"/>
                <w:sz w:val="18"/>
                <w:szCs w:val="18"/>
                <w:color w:val="auto"/>
                <w:w w:val="99"/>
              </w:rPr>
            </w:pPr>
            <w:hyperlink w:anchor="page54">
              <w:r>
                <w:rPr>
                  <w:rFonts w:ascii="Arial" w:cs="Arial" w:eastAsia="Arial" w:hAnsi="Arial"/>
                  <w:sz w:val="18"/>
                  <w:szCs w:val="18"/>
                  <w:color w:val="auto"/>
                  <w:w w:val="99"/>
                </w:rPr>
                <w:t>52</w:t>
              </w:r>
            </w:hyperlink>
          </w:p>
        </w:tc>
        <w:tc>
          <w:tcPr>
            <w:tcW w:w="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40" w:type="dxa"/>
            <w:vAlign w:val="bottom"/>
            <w:tcBorders>
              <w:bottom w:val="single" w:sz="8" w:color="DC202E"/>
            </w:tcBorders>
          </w:tcPr>
          <w:p>
            <w:pPr>
              <w:ind w:left="20"/>
              <w:spacing w:after="0"/>
              <w:rPr>
                <w:rFonts w:ascii="Arial" w:cs="Arial" w:eastAsia="Arial" w:hAnsi="Arial"/>
                <w:sz w:val="18"/>
                <w:szCs w:val="18"/>
                <w:b w:val="1"/>
                <w:bCs w:val="1"/>
                <w:color w:val="DC202E"/>
              </w:rPr>
            </w:pPr>
            <w:hyperlink w:anchor="page55">
              <w:r>
                <w:rPr>
                  <w:rFonts w:ascii="Arial" w:cs="Arial" w:eastAsia="Arial" w:hAnsi="Arial"/>
                  <w:sz w:val="18"/>
                  <w:szCs w:val="18"/>
                  <w:b w:val="1"/>
                  <w:bCs w:val="1"/>
                  <w:color w:val="DC202E"/>
                </w:rPr>
                <w:t>PART II</w:t>
              </w:r>
            </w:hyperlink>
          </w:p>
        </w:tc>
        <w:tc>
          <w:tcPr>
            <w:tcW w:w="8860" w:type="dxa"/>
            <w:vAlign w:val="bottom"/>
            <w:tcBorders>
              <w:bottom w:val="single" w:sz="8" w:color="DC202E"/>
            </w:tcBorders>
          </w:tcPr>
          <w:p>
            <w:pPr>
              <w:ind w:left="20"/>
              <w:spacing w:after="0"/>
              <w:rPr>
                <w:rFonts w:ascii="Arial" w:cs="Arial" w:eastAsia="Arial" w:hAnsi="Arial"/>
                <w:sz w:val="18"/>
                <w:szCs w:val="18"/>
                <w:b w:val="1"/>
                <w:bCs w:val="1"/>
                <w:color w:val="DC202E"/>
              </w:rPr>
            </w:pPr>
            <w:hyperlink w:anchor="page55">
              <w:r>
                <w:rPr>
                  <w:rFonts w:ascii="Arial" w:cs="Arial" w:eastAsia="Arial" w:hAnsi="Arial"/>
                  <w:sz w:val="18"/>
                  <w:szCs w:val="18"/>
                  <w:b w:val="1"/>
                  <w:bCs w:val="1"/>
                  <w:color w:val="DC202E"/>
                </w:rPr>
                <w:t>Other Information</w:t>
              </w:r>
            </w:hyperlink>
          </w:p>
        </w:tc>
        <w:tc>
          <w:tcPr>
            <w:tcW w:w="900" w:type="dxa"/>
            <w:vAlign w:val="bottom"/>
            <w:tcBorders>
              <w:bottom w:val="single" w:sz="8" w:color="DC202E"/>
            </w:tcBorders>
            <w:gridSpan w:val="2"/>
          </w:tcPr>
          <w:p>
            <w:pPr>
              <w:jc w:val="center"/>
              <w:ind w:left="50"/>
              <w:spacing w:after="0"/>
              <w:rPr>
                <w:rFonts w:ascii="Arial" w:cs="Arial" w:eastAsia="Arial" w:hAnsi="Arial"/>
                <w:sz w:val="18"/>
                <w:szCs w:val="18"/>
                <w:color w:val="auto"/>
                <w:w w:val="99"/>
              </w:rPr>
            </w:pPr>
            <w:hyperlink w:anchor="page55">
              <w:r>
                <w:rPr>
                  <w:rFonts w:ascii="Arial" w:cs="Arial" w:eastAsia="Arial" w:hAnsi="Arial"/>
                  <w:sz w:val="18"/>
                  <w:szCs w:val="18"/>
                  <w:color w:val="auto"/>
                  <w:w w:val="99"/>
                </w:rPr>
                <w:t>52</w:t>
              </w:r>
            </w:hyperlink>
          </w:p>
        </w:tc>
        <w:tc>
          <w:tcPr>
            <w:tcW w:w="240" w:type="dxa"/>
            <w:vAlign w:val="bottom"/>
            <w:tcBorders>
              <w:bottom w:val="single" w:sz="8" w:color="DC202E"/>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240" w:type="dxa"/>
            <w:vAlign w:val="bottom"/>
            <w:tcBorders>
              <w:bottom w:val="single" w:sz="8" w:color="auto"/>
            </w:tcBorders>
          </w:tcPr>
          <w:p>
            <w:pPr>
              <w:ind w:left="20"/>
              <w:spacing w:after="0"/>
              <w:rPr>
                <w:rFonts w:ascii="Arial" w:cs="Arial" w:eastAsia="Arial" w:hAnsi="Arial"/>
                <w:sz w:val="18"/>
                <w:szCs w:val="18"/>
                <w:b w:val="1"/>
                <w:bCs w:val="1"/>
                <w:color w:val="auto"/>
              </w:rPr>
            </w:pPr>
            <w:hyperlink w:anchor="page55">
              <w:r>
                <w:rPr>
                  <w:rFonts w:ascii="Arial" w:cs="Arial" w:eastAsia="Arial" w:hAnsi="Arial"/>
                  <w:sz w:val="18"/>
                  <w:szCs w:val="18"/>
                  <w:b w:val="1"/>
                  <w:bCs w:val="1"/>
                  <w:color w:val="auto"/>
                </w:rPr>
                <w:t>ITEM 1</w:t>
              </w:r>
            </w:hyperlink>
          </w:p>
        </w:tc>
        <w:tc>
          <w:tcPr>
            <w:tcW w:w="8860" w:type="dxa"/>
            <w:vAlign w:val="bottom"/>
            <w:tcBorders>
              <w:bottom w:val="single" w:sz="8" w:color="auto"/>
            </w:tcBorders>
          </w:tcPr>
          <w:p>
            <w:pPr>
              <w:ind w:left="20"/>
              <w:spacing w:after="0"/>
              <w:rPr>
                <w:rFonts w:ascii="Arial" w:cs="Arial" w:eastAsia="Arial" w:hAnsi="Arial"/>
                <w:sz w:val="18"/>
                <w:szCs w:val="18"/>
                <w:color w:val="auto"/>
              </w:rPr>
            </w:pPr>
            <w:hyperlink w:anchor="page55">
              <w:r>
                <w:rPr>
                  <w:rFonts w:ascii="Arial" w:cs="Arial" w:eastAsia="Arial" w:hAnsi="Arial"/>
                  <w:sz w:val="18"/>
                  <w:szCs w:val="18"/>
                  <w:color w:val="auto"/>
                </w:rPr>
                <w:t>Legal Proceedings</w:t>
              </w:r>
            </w:hyperlink>
          </w:p>
        </w:tc>
        <w:tc>
          <w:tcPr>
            <w:tcW w:w="900" w:type="dxa"/>
            <w:vAlign w:val="bottom"/>
            <w:tcBorders>
              <w:bottom w:val="single" w:sz="8" w:color="auto"/>
            </w:tcBorders>
            <w:gridSpan w:val="2"/>
          </w:tcPr>
          <w:p>
            <w:pPr>
              <w:jc w:val="center"/>
              <w:ind w:left="50"/>
              <w:spacing w:after="0"/>
              <w:rPr>
                <w:rFonts w:ascii="Arial" w:cs="Arial" w:eastAsia="Arial" w:hAnsi="Arial"/>
                <w:sz w:val="18"/>
                <w:szCs w:val="18"/>
                <w:color w:val="auto"/>
                <w:w w:val="99"/>
              </w:rPr>
            </w:pPr>
            <w:hyperlink w:anchor="page55">
              <w:r>
                <w:rPr>
                  <w:rFonts w:ascii="Arial" w:cs="Arial" w:eastAsia="Arial" w:hAnsi="Arial"/>
                  <w:sz w:val="18"/>
                  <w:szCs w:val="18"/>
                  <w:color w:val="auto"/>
                  <w:w w:val="99"/>
                </w:rPr>
                <w:t>52</w:t>
              </w:r>
            </w:hyperlink>
          </w:p>
        </w:tc>
        <w:tc>
          <w:tcPr>
            <w:tcW w:w="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40" w:type="dxa"/>
            <w:vAlign w:val="bottom"/>
            <w:tcBorders>
              <w:bottom w:val="single" w:sz="8" w:color="auto"/>
            </w:tcBorders>
          </w:tcPr>
          <w:p>
            <w:pPr>
              <w:ind w:left="20"/>
              <w:spacing w:after="0"/>
              <w:rPr>
                <w:rFonts w:ascii="Arial" w:cs="Arial" w:eastAsia="Arial" w:hAnsi="Arial"/>
                <w:sz w:val="18"/>
                <w:szCs w:val="18"/>
                <w:b w:val="1"/>
                <w:bCs w:val="1"/>
                <w:color w:val="auto"/>
              </w:rPr>
            </w:pPr>
            <w:hyperlink w:anchor="page55">
              <w:r>
                <w:rPr>
                  <w:rFonts w:ascii="Arial" w:cs="Arial" w:eastAsia="Arial" w:hAnsi="Arial"/>
                  <w:sz w:val="18"/>
                  <w:szCs w:val="18"/>
                  <w:b w:val="1"/>
                  <w:bCs w:val="1"/>
                  <w:color w:val="auto"/>
                </w:rPr>
                <w:t>ITEM 1A</w:t>
              </w:r>
            </w:hyperlink>
          </w:p>
        </w:tc>
        <w:tc>
          <w:tcPr>
            <w:tcW w:w="8860" w:type="dxa"/>
            <w:vAlign w:val="bottom"/>
            <w:tcBorders>
              <w:bottom w:val="single" w:sz="8" w:color="auto"/>
            </w:tcBorders>
          </w:tcPr>
          <w:p>
            <w:pPr>
              <w:ind w:left="20"/>
              <w:spacing w:after="0"/>
              <w:rPr>
                <w:rFonts w:ascii="Arial" w:cs="Arial" w:eastAsia="Arial" w:hAnsi="Arial"/>
                <w:sz w:val="18"/>
                <w:szCs w:val="18"/>
                <w:color w:val="auto"/>
              </w:rPr>
            </w:pPr>
            <w:hyperlink w:anchor="page55">
              <w:r>
                <w:rPr>
                  <w:rFonts w:ascii="Arial" w:cs="Arial" w:eastAsia="Arial" w:hAnsi="Arial"/>
                  <w:sz w:val="18"/>
                  <w:szCs w:val="18"/>
                  <w:color w:val="auto"/>
                </w:rPr>
                <w:t>Risk Factors</w:t>
              </w:r>
            </w:hyperlink>
          </w:p>
        </w:tc>
        <w:tc>
          <w:tcPr>
            <w:tcW w:w="900" w:type="dxa"/>
            <w:vAlign w:val="bottom"/>
            <w:tcBorders>
              <w:bottom w:val="single" w:sz="8" w:color="auto"/>
            </w:tcBorders>
            <w:gridSpan w:val="2"/>
          </w:tcPr>
          <w:p>
            <w:pPr>
              <w:jc w:val="center"/>
              <w:ind w:left="50"/>
              <w:spacing w:after="0"/>
              <w:rPr>
                <w:rFonts w:ascii="Arial" w:cs="Arial" w:eastAsia="Arial" w:hAnsi="Arial"/>
                <w:sz w:val="18"/>
                <w:szCs w:val="18"/>
                <w:color w:val="auto"/>
                <w:w w:val="99"/>
              </w:rPr>
            </w:pPr>
            <w:hyperlink w:anchor="page55">
              <w:r>
                <w:rPr>
                  <w:rFonts w:ascii="Arial" w:cs="Arial" w:eastAsia="Arial" w:hAnsi="Arial"/>
                  <w:sz w:val="18"/>
                  <w:szCs w:val="18"/>
                  <w:color w:val="auto"/>
                  <w:w w:val="99"/>
                </w:rPr>
                <w:t>52</w:t>
              </w:r>
            </w:hyperlink>
          </w:p>
        </w:tc>
        <w:tc>
          <w:tcPr>
            <w:tcW w:w="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40" w:type="dxa"/>
            <w:vAlign w:val="bottom"/>
            <w:tcBorders>
              <w:bottom w:val="single" w:sz="8" w:color="auto"/>
            </w:tcBorders>
          </w:tcPr>
          <w:p>
            <w:pPr>
              <w:ind w:left="20"/>
              <w:spacing w:after="0"/>
              <w:rPr>
                <w:rFonts w:ascii="Arial" w:cs="Arial" w:eastAsia="Arial" w:hAnsi="Arial"/>
                <w:sz w:val="18"/>
                <w:szCs w:val="18"/>
                <w:b w:val="1"/>
                <w:bCs w:val="1"/>
                <w:color w:val="auto"/>
              </w:rPr>
            </w:pPr>
            <w:hyperlink w:anchor="page56">
              <w:r>
                <w:rPr>
                  <w:rFonts w:ascii="Arial" w:cs="Arial" w:eastAsia="Arial" w:hAnsi="Arial"/>
                  <w:sz w:val="18"/>
                  <w:szCs w:val="18"/>
                  <w:b w:val="1"/>
                  <w:bCs w:val="1"/>
                  <w:color w:val="auto"/>
                </w:rPr>
                <w:t>ITEM 2</w:t>
              </w:r>
            </w:hyperlink>
          </w:p>
        </w:tc>
        <w:tc>
          <w:tcPr>
            <w:tcW w:w="8860" w:type="dxa"/>
            <w:vAlign w:val="bottom"/>
            <w:tcBorders>
              <w:bottom w:val="single" w:sz="8" w:color="auto"/>
            </w:tcBorders>
          </w:tcPr>
          <w:p>
            <w:pPr>
              <w:ind w:left="20"/>
              <w:spacing w:after="0"/>
              <w:rPr>
                <w:rFonts w:ascii="Arial" w:cs="Arial" w:eastAsia="Arial" w:hAnsi="Arial"/>
                <w:sz w:val="18"/>
                <w:szCs w:val="18"/>
                <w:color w:val="auto"/>
              </w:rPr>
            </w:pPr>
            <w:hyperlink w:anchor="page56">
              <w:r>
                <w:rPr>
                  <w:rFonts w:ascii="Arial" w:cs="Arial" w:eastAsia="Arial" w:hAnsi="Arial"/>
                  <w:sz w:val="18"/>
                  <w:szCs w:val="18"/>
                  <w:color w:val="auto"/>
                </w:rPr>
                <w:t>Unregistered Sales of Equity Securities and Use of Proceeds</w:t>
              </w:r>
            </w:hyperlink>
          </w:p>
        </w:tc>
        <w:tc>
          <w:tcPr>
            <w:tcW w:w="900" w:type="dxa"/>
            <w:vAlign w:val="bottom"/>
            <w:tcBorders>
              <w:bottom w:val="single" w:sz="8" w:color="auto"/>
            </w:tcBorders>
            <w:gridSpan w:val="2"/>
          </w:tcPr>
          <w:p>
            <w:pPr>
              <w:jc w:val="center"/>
              <w:ind w:left="50"/>
              <w:spacing w:after="0"/>
              <w:rPr>
                <w:rFonts w:ascii="Arial" w:cs="Arial" w:eastAsia="Arial" w:hAnsi="Arial"/>
                <w:sz w:val="18"/>
                <w:szCs w:val="18"/>
                <w:color w:val="auto"/>
                <w:w w:val="99"/>
              </w:rPr>
            </w:pPr>
            <w:hyperlink w:anchor="page56">
              <w:r>
                <w:rPr>
                  <w:rFonts w:ascii="Arial" w:cs="Arial" w:eastAsia="Arial" w:hAnsi="Arial"/>
                  <w:sz w:val="18"/>
                  <w:szCs w:val="18"/>
                  <w:color w:val="auto"/>
                  <w:w w:val="99"/>
                </w:rPr>
                <w:t>53</w:t>
              </w:r>
            </w:hyperlink>
          </w:p>
        </w:tc>
        <w:tc>
          <w:tcPr>
            <w:tcW w:w="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40" w:type="dxa"/>
            <w:vAlign w:val="bottom"/>
            <w:tcBorders>
              <w:bottom w:val="single" w:sz="8" w:color="auto"/>
            </w:tcBorders>
          </w:tcPr>
          <w:p>
            <w:pPr>
              <w:ind w:left="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ITEM </w:t>
            </w:r>
            <w:hyperlink w:anchor="page56">
              <w:r>
                <w:rPr>
                  <w:rFonts w:ascii="Arial" w:cs="Arial" w:eastAsia="Arial" w:hAnsi="Arial"/>
                  <w:sz w:val="18"/>
                  <w:szCs w:val="18"/>
                  <w:b w:val="1"/>
                  <w:bCs w:val="1"/>
                  <w:color w:val="auto"/>
                </w:rPr>
                <w:t>4</w:t>
              </w:r>
            </w:hyperlink>
          </w:p>
        </w:tc>
        <w:tc>
          <w:tcPr>
            <w:tcW w:w="8860" w:type="dxa"/>
            <w:vAlign w:val="bottom"/>
            <w:tcBorders>
              <w:bottom w:val="single" w:sz="8" w:color="auto"/>
            </w:tcBorders>
          </w:tcPr>
          <w:p>
            <w:pPr>
              <w:ind w:left="20"/>
              <w:spacing w:after="0"/>
              <w:rPr>
                <w:rFonts w:ascii="Arial" w:cs="Arial" w:eastAsia="Arial" w:hAnsi="Arial"/>
                <w:sz w:val="18"/>
                <w:szCs w:val="18"/>
                <w:color w:val="auto"/>
              </w:rPr>
            </w:pPr>
            <w:hyperlink w:anchor="page56">
              <w:r>
                <w:rPr>
                  <w:rFonts w:ascii="Arial" w:cs="Arial" w:eastAsia="Arial" w:hAnsi="Arial"/>
                  <w:sz w:val="18"/>
                  <w:szCs w:val="18"/>
                  <w:color w:val="auto"/>
                </w:rPr>
                <w:t>Mine Safety Disclosures</w:t>
              </w:r>
            </w:hyperlink>
          </w:p>
        </w:tc>
        <w:tc>
          <w:tcPr>
            <w:tcW w:w="900" w:type="dxa"/>
            <w:vAlign w:val="bottom"/>
            <w:tcBorders>
              <w:bottom w:val="single" w:sz="8" w:color="auto"/>
            </w:tcBorders>
            <w:gridSpan w:val="2"/>
          </w:tcPr>
          <w:p>
            <w:pPr>
              <w:jc w:val="center"/>
              <w:ind w:left="50"/>
              <w:spacing w:after="0"/>
              <w:rPr>
                <w:rFonts w:ascii="Arial" w:cs="Arial" w:eastAsia="Arial" w:hAnsi="Arial"/>
                <w:sz w:val="18"/>
                <w:szCs w:val="18"/>
                <w:color w:val="auto"/>
                <w:w w:val="99"/>
              </w:rPr>
            </w:pPr>
            <w:hyperlink w:anchor="page56">
              <w:r>
                <w:rPr>
                  <w:rFonts w:ascii="Arial" w:cs="Arial" w:eastAsia="Arial" w:hAnsi="Arial"/>
                  <w:sz w:val="18"/>
                  <w:szCs w:val="18"/>
                  <w:color w:val="auto"/>
                  <w:w w:val="99"/>
                </w:rPr>
                <w:t>53</w:t>
              </w:r>
            </w:hyperlink>
          </w:p>
        </w:tc>
        <w:tc>
          <w:tcPr>
            <w:tcW w:w="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ITEM 5</w:t>
            </w:r>
          </w:p>
        </w:tc>
        <w:tc>
          <w:tcPr>
            <w:tcW w:w="8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Information</w:t>
            </w:r>
          </w:p>
        </w:tc>
        <w:tc>
          <w:tcPr>
            <w:tcW w:w="900" w:type="dxa"/>
            <w:vAlign w:val="bottom"/>
            <w:tcBorders>
              <w:bottom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99"/>
              </w:rPr>
              <w:t>1</w:t>
            </w:r>
          </w:p>
        </w:tc>
        <w:tc>
          <w:tcPr>
            <w:tcW w:w="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40" w:type="dxa"/>
            <w:vAlign w:val="bottom"/>
            <w:tcBorders>
              <w:bottom w:val="single" w:sz="8" w:color="auto"/>
            </w:tcBorders>
          </w:tcPr>
          <w:p>
            <w:pPr>
              <w:ind w:left="20"/>
              <w:spacing w:after="0"/>
              <w:rPr>
                <w:rFonts w:ascii="Arial" w:cs="Arial" w:eastAsia="Arial" w:hAnsi="Arial"/>
                <w:sz w:val="18"/>
                <w:szCs w:val="18"/>
                <w:b w:val="1"/>
                <w:bCs w:val="1"/>
                <w:color w:val="auto"/>
              </w:rPr>
            </w:pPr>
            <w:hyperlink w:anchor="page56">
              <w:r>
                <w:rPr>
                  <w:rFonts w:ascii="Arial" w:cs="Arial" w:eastAsia="Arial" w:hAnsi="Arial"/>
                  <w:sz w:val="18"/>
                  <w:szCs w:val="18"/>
                  <w:b w:val="1"/>
                  <w:bCs w:val="1"/>
                  <w:color w:val="auto"/>
                </w:rPr>
                <w:t>ITEM 6</w:t>
              </w:r>
            </w:hyperlink>
          </w:p>
        </w:tc>
        <w:tc>
          <w:tcPr>
            <w:tcW w:w="8860" w:type="dxa"/>
            <w:vAlign w:val="bottom"/>
            <w:tcBorders>
              <w:bottom w:val="single" w:sz="8" w:color="auto"/>
            </w:tcBorders>
          </w:tcPr>
          <w:p>
            <w:pPr>
              <w:ind w:left="20"/>
              <w:spacing w:after="0"/>
              <w:rPr>
                <w:rFonts w:ascii="Arial" w:cs="Arial" w:eastAsia="Arial" w:hAnsi="Arial"/>
                <w:sz w:val="18"/>
                <w:szCs w:val="18"/>
                <w:color w:val="auto"/>
              </w:rPr>
            </w:pPr>
            <w:hyperlink w:anchor="page56">
              <w:r>
                <w:rPr>
                  <w:rFonts w:ascii="Arial" w:cs="Arial" w:eastAsia="Arial" w:hAnsi="Arial"/>
                  <w:sz w:val="18"/>
                  <w:szCs w:val="18"/>
                  <w:color w:val="auto"/>
                </w:rPr>
                <w:t>Exhibits</w:t>
              </w:r>
            </w:hyperlink>
          </w:p>
        </w:tc>
        <w:tc>
          <w:tcPr>
            <w:tcW w:w="900" w:type="dxa"/>
            <w:vAlign w:val="bottom"/>
            <w:tcBorders>
              <w:bottom w:val="single" w:sz="8" w:color="auto"/>
            </w:tcBorders>
            <w:gridSpan w:val="2"/>
          </w:tcPr>
          <w:p>
            <w:pPr>
              <w:jc w:val="center"/>
              <w:ind w:left="50"/>
              <w:spacing w:after="0"/>
              <w:rPr>
                <w:rFonts w:ascii="Arial" w:cs="Arial" w:eastAsia="Arial" w:hAnsi="Arial"/>
                <w:sz w:val="18"/>
                <w:szCs w:val="18"/>
                <w:color w:val="auto"/>
                <w:w w:val="99"/>
              </w:rPr>
            </w:pPr>
            <w:hyperlink w:anchor="page56">
              <w:r>
                <w:rPr>
                  <w:rFonts w:ascii="Arial" w:cs="Arial" w:eastAsia="Arial" w:hAnsi="Arial"/>
                  <w:sz w:val="18"/>
                  <w:szCs w:val="18"/>
                  <w:color w:val="auto"/>
                  <w:w w:val="99"/>
                </w:rPr>
                <w:t>54</w:t>
              </w:r>
            </w:hyperlink>
          </w:p>
        </w:tc>
        <w:tc>
          <w:tcPr>
            <w:tcW w:w="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40" w:type="dxa"/>
            <w:vAlign w:val="bottom"/>
          </w:tcPr>
          <w:p>
            <w:pPr>
              <w:spacing w:after="0"/>
              <w:rPr>
                <w:sz w:val="19"/>
                <w:szCs w:val="19"/>
                <w:color w:val="auto"/>
              </w:rPr>
            </w:pPr>
          </w:p>
        </w:tc>
        <w:tc>
          <w:tcPr>
            <w:tcW w:w="8860" w:type="dxa"/>
            <w:vAlign w:val="bottom"/>
            <w:tcBorders>
              <w:bottom w:val="single" w:sz="8" w:color="auto"/>
            </w:tcBorders>
          </w:tcPr>
          <w:p>
            <w:pPr>
              <w:ind w:left="20"/>
              <w:spacing w:after="0"/>
              <w:rPr>
                <w:rFonts w:ascii="Arial" w:cs="Arial" w:eastAsia="Arial" w:hAnsi="Arial"/>
                <w:sz w:val="18"/>
                <w:szCs w:val="18"/>
                <w:color w:val="auto"/>
              </w:rPr>
            </w:pPr>
            <w:hyperlink w:anchor="page57">
              <w:r>
                <w:rPr>
                  <w:rFonts w:ascii="Arial" w:cs="Arial" w:eastAsia="Arial" w:hAnsi="Arial"/>
                  <w:sz w:val="18"/>
                  <w:szCs w:val="18"/>
                  <w:color w:val="auto"/>
                </w:rPr>
                <w:t>Signatures</w:t>
              </w:r>
            </w:hyperlink>
          </w:p>
        </w:tc>
        <w:tc>
          <w:tcPr>
            <w:tcW w:w="900" w:type="dxa"/>
            <w:vAlign w:val="bottom"/>
            <w:tcBorders>
              <w:bottom w:val="single" w:sz="8" w:color="auto"/>
            </w:tcBorders>
            <w:gridSpan w:val="2"/>
          </w:tcPr>
          <w:p>
            <w:pPr>
              <w:jc w:val="center"/>
              <w:ind w:left="50"/>
              <w:spacing w:after="0"/>
              <w:rPr>
                <w:rFonts w:ascii="Arial" w:cs="Arial" w:eastAsia="Arial" w:hAnsi="Arial"/>
                <w:sz w:val="18"/>
                <w:szCs w:val="18"/>
                <w:color w:val="auto"/>
                <w:w w:val="99"/>
              </w:rPr>
            </w:pPr>
            <w:hyperlink w:anchor="page57">
              <w:r>
                <w:rPr>
                  <w:rFonts w:ascii="Arial" w:cs="Arial" w:eastAsia="Arial" w:hAnsi="Arial"/>
                  <w:sz w:val="18"/>
                  <w:szCs w:val="18"/>
                  <w:color w:val="auto"/>
                  <w:w w:val="99"/>
                </w:rPr>
                <w:t>55</w:t>
              </w:r>
            </w:hyperlink>
          </w:p>
        </w:tc>
        <w:tc>
          <w:tcPr>
            <w:tcW w:w="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70" w:lineRule="exact"/>
        <w:rPr>
          <w:sz w:val="20"/>
          <w:szCs w:val="20"/>
          <w:color w:val="auto"/>
        </w:rPr>
      </w:pPr>
    </w:p>
    <w:p>
      <w:pPr>
        <w:spacing w:after="0"/>
        <w:rPr>
          <w:sz w:val="20"/>
          <w:szCs w:val="20"/>
          <w:color w:val="auto"/>
        </w:rPr>
      </w:pPr>
      <w:r>
        <w:rPr>
          <w:rFonts w:ascii="Arial" w:cs="Arial" w:eastAsia="Arial" w:hAnsi="Arial"/>
          <w:sz w:val="29"/>
          <w:szCs w:val="29"/>
          <w:b w:val="1"/>
          <w:bCs w:val="1"/>
          <w:color w:val="DC202E"/>
        </w:rPr>
        <w:t>CAUTIONARY STATEMENT ABOUT FORWARD-LOOKING STATEMENTS</w:t>
      </w:r>
    </w:p>
    <w:p>
      <w:pPr>
        <w:spacing w:after="0" w:line="15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describe many of the trends and other factors that drive our business and future results in the section titled Management’s Discussion and Analysis of Financial Condition and Results of Operations and in other parts of this report (including Part II, Item 1A Risk Factors). Such discussions contain forward-looking statements within the meaning of Section 21E of the Securities Exchange Act of 1934, as amended (the Exchange Act). Forward-looking statements are those that address activities, events or developments that management intends, expects, projects, believes or anticipates will or may occur in the future. They are based on management’s assumptions and assessments in light of past experience and trends, current economic and industry conditions, expected future developments and other relevant factors. They are not guarantees of future performance, and actual results, developments and business decisions may differ significantly from those envisaged by our forward-looking statements. We do not undertake to update or revise any of our forward-looking statements. Our forward-looking statements are also subject to risks and uncertainties, including the impact of the coronavirus pandemic (COVID-19), that can affect our performance in both the near- and long-term. These forward-looking statements should be considered in light of the information included in this report and our other filings with the Securities and Exchange Commission, including, without limitation, the Risk Factors, as well as the description of trends and other factors in Management’s Discussion and Analysis of Financial Condition and Results of Operations, set forth in this report and our 2020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986790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26" w:lineRule="exact"/>
        <w:rPr>
          <w:sz w:val="20"/>
          <w:szCs w:val="20"/>
          <w:color w:val="auto"/>
        </w:rPr>
      </w:pPr>
    </w:p>
    <w:p>
      <w:pPr>
        <w:spacing w:after="0"/>
        <w:rPr>
          <w:sz w:val="20"/>
          <w:szCs w:val="20"/>
          <w:color w:val="auto"/>
        </w:rPr>
      </w:pPr>
      <w:r>
        <w:rPr>
          <w:rFonts w:ascii="Arial" w:cs="Arial" w:eastAsia="Arial" w:hAnsi="Arial"/>
          <w:sz w:val="29"/>
          <w:szCs w:val="29"/>
          <w:b w:val="1"/>
          <w:bCs w:val="1"/>
          <w:color w:val="DC202E"/>
        </w:rPr>
        <w:t>ABOUT HONEYWELL</w:t>
      </w:r>
    </w:p>
    <w:p>
      <w:pPr>
        <w:spacing w:after="0" w:line="15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Honeywell International Inc. (Honeywell or the Company) invents and commercializes technologies that address some of the world’s most critical challenges around energy, safety, security, air travel, productivity and global urbanization. As a diversified technology and manufacturing company, we are uniquely positioned to blend physical products with software to serve customers worldwide with aerospace products and services, energy efficient products and solutions for businesses, specialty chemicals, electronic and advanced materials, process technology for refining and petrochemicals, and productivity, sensing, safety and security technologies for buildings and industries. Our products and solutions enable a safer, more comfortable and more productive world, enhancing the quality of life of people around the globe. The Honeywell brand dates back to 1906, and the Company was incorporated in Delaware in 1985.</w:t>
      </w:r>
    </w:p>
    <w:p>
      <w:pPr>
        <w:spacing w:after="0" w:line="9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Annual Report on Form 10-K, Quarterly Reports on Form 10-Q, Current Reports on Form 8-K and any amendments to those reports, are available free of charge on our website (honeywell.com) under the heading Investors (see SEC Filings) immediately after they are filed with, or furnished to, the SEC. Honeywell uses our Investor Relations website, investor.honeywell.com, as a means of disclosing information which may be of interest or material to our investors and for complying with disclosure obligations under Regulation FD. Accordingly, investors should monitor our Investor Relations website, in addition to following our press releases, SEC filings, public conference calls, webcasts, and social media. Information contained on or accessible through our website is not a part of, and is not incorporated by reference into, this Quarterly Report on Form 10-Q or any other report or document we file with the SEC. Any reference to our website is intended to be an inactive textual reference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538480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9"/>
          <w:szCs w:val="29"/>
          <w:b w:val="1"/>
          <w:bCs w:val="1"/>
          <w:color w:val="DC202E"/>
        </w:rPr>
        <w:t>PART I. FINANCIAL INFORMATION</w:t>
      </w:r>
    </w:p>
    <w:p>
      <w:pPr>
        <w:spacing w:after="0" w:line="15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financial statements and related notes as of September 30, 2021, should be read in conjunction with the financial statements for the year ended December 31, 2020, contained in our 2020 Annual Report on Form 10-K.</w:t>
      </w:r>
    </w:p>
    <w:p>
      <w:pPr>
        <w:spacing w:after="0" w:line="186" w:lineRule="exact"/>
        <w:rPr>
          <w:sz w:val="20"/>
          <w:szCs w:val="20"/>
          <w:color w:val="auto"/>
        </w:rPr>
      </w:pPr>
    </w:p>
    <w:p>
      <w:pPr>
        <w:spacing w:after="0"/>
        <w:rPr>
          <w:sz w:val="20"/>
          <w:szCs w:val="20"/>
          <w:color w:val="auto"/>
        </w:rPr>
      </w:pPr>
      <w:r>
        <w:rPr>
          <w:rFonts w:ascii="Arial" w:cs="Arial" w:eastAsia="Arial" w:hAnsi="Arial"/>
          <w:sz w:val="29"/>
          <w:szCs w:val="29"/>
          <w:b w:val="1"/>
          <w:bCs w:val="1"/>
          <w:color w:val="DC202E"/>
        </w:rPr>
        <w:t>ITEM 1. FINANCIAL STATEMENTS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20" w:type="dxa"/>
            <w:vAlign w:val="bottom"/>
          </w:tcPr>
          <w:p>
            <w:pPr>
              <w:spacing w:after="0"/>
              <w:rPr>
                <w:sz w:val="17"/>
                <w:szCs w:val="17"/>
                <w:color w:val="auto"/>
              </w:rPr>
            </w:pPr>
          </w:p>
        </w:tc>
        <w:tc>
          <w:tcPr>
            <w:tcW w:w="274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7"/>
                <w:szCs w:val="17"/>
                <w:color w:val="auto"/>
              </w:rPr>
            </w:pPr>
          </w:p>
        </w:tc>
        <w:tc>
          <w:tcPr>
            <w:tcW w:w="2540" w:type="dxa"/>
            <w:vAlign w:val="bottom"/>
            <w:gridSpan w:val="4"/>
          </w:tcPr>
          <w:p>
            <w:pPr>
              <w:jc w:val="right"/>
              <w:ind w:right="71"/>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5820" w:type="dxa"/>
            <w:vAlign w:val="bottom"/>
          </w:tcPr>
          <w:p>
            <w:pPr>
              <w:spacing w:after="0"/>
              <w:rPr>
                <w:sz w:val="17"/>
                <w:szCs w:val="17"/>
                <w:color w:val="auto"/>
              </w:rPr>
            </w:pPr>
          </w:p>
        </w:tc>
        <w:tc>
          <w:tcPr>
            <w:tcW w:w="280" w:type="dxa"/>
            <w:vAlign w:val="bottom"/>
            <w:tcBorders>
              <w:top w:val="single" w:sz="8" w:color="DC202E"/>
              <w:bottom w:val="single" w:sz="8" w:color="DC202E"/>
            </w:tcBorders>
          </w:tcPr>
          <w:p>
            <w:pPr>
              <w:spacing w:after="0"/>
              <w:rPr>
                <w:sz w:val="17"/>
                <w:szCs w:val="17"/>
                <w:color w:val="auto"/>
              </w:rPr>
            </w:pPr>
          </w:p>
        </w:tc>
        <w:tc>
          <w:tcPr>
            <w:tcW w:w="980" w:type="dxa"/>
            <w:vAlign w:val="bottom"/>
            <w:tcBorders>
              <w:top w:val="single" w:sz="8" w:color="DC202E"/>
              <w:bottom w:val="single" w:sz="8" w:color="DC202E"/>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DC202E"/>
              <w:bottom w:val="single" w:sz="8" w:color="DC202E"/>
            </w:tcBorders>
          </w:tcPr>
          <w:p>
            <w:pPr>
              <w:spacing w:after="0"/>
              <w:rPr>
                <w:sz w:val="17"/>
                <w:szCs w:val="17"/>
                <w:color w:val="auto"/>
              </w:rPr>
            </w:pPr>
          </w:p>
        </w:tc>
        <w:tc>
          <w:tcPr>
            <w:tcW w:w="300" w:type="dxa"/>
            <w:vAlign w:val="bottom"/>
            <w:tcBorders>
              <w:top w:val="single" w:sz="8" w:color="DC202E"/>
              <w:bottom w:val="single" w:sz="8" w:color="DC202E"/>
            </w:tcBorders>
          </w:tcPr>
          <w:p>
            <w:pPr>
              <w:spacing w:after="0"/>
              <w:rPr>
                <w:sz w:val="17"/>
                <w:szCs w:val="17"/>
                <w:color w:val="auto"/>
              </w:rPr>
            </w:pPr>
          </w:p>
        </w:tc>
        <w:tc>
          <w:tcPr>
            <w:tcW w:w="980" w:type="dxa"/>
            <w:vAlign w:val="bottom"/>
            <w:tcBorders>
              <w:top w:val="single" w:sz="8" w:color="DC202E"/>
              <w:bottom w:val="single" w:sz="8" w:color="DC202E"/>
            </w:tcBorders>
          </w:tcPr>
          <w:p>
            <w:pPr>
              <w:jc w:val="right"/>
              <w:ind w:right="39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DC202E"/>
            </w:tcBorders>
          </w:tcPr>
          <w:p>
            <w:pPr>
              <w:spacing w:after="0"/>
              <w:rPr>
                <w:sz w:val="17"/>
                <w:szCs w:val="17"/>
                <w:color w:val="auto"/>
              </w:rPr>
            </w:pPr>
          </w:p>
        </w:tc>
        <w:tc>
          <w:tcPr>
            <w:tcW w:w="140" w:type="dxa"/>
            <w:vAlign w:val="bottom"/>
            <w:tcBorders>
              <w:top w:val="single" w:sz="8" w:color="DC202E"/>
              <w:bottom w:val="single" w:sz="8" w:color="DC202E"/>
            </w:tcBorders>
          </w:tcPr>
          <w:p>
            <w:pPr>
              <w:spacing w:after="0"/>
              <w:rPr>
                <w:sz w:val="17"/>
                <w:szCs w:val="17"/>
                <w:color w:val="auto"/>
              </w:rPr>
            </w:pPr>
          </w:p>
        </w:tc>
        <w:tc>
          <w:tcPr>
            <w:tcW w:w="1140" w:type="dxa"/>
            <w:vAlign w:val="bottom"/>
            <w:tcBorders>
              <w:top w:val="single" w:sz="8" w:color="DC202E"/>
              <w:bottom w:val="single" w:sz="8" w:color="DC202E"/>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DC202E"/>
              <w:bottom w:val="single" w:sz="8" w:color="DC202E"/>
            </w:tcBorders>
          </w:tcPr>
          <w:p>
            <w:pPr>
              <w:spacing w:after="0"/>
              <w:rPr>
                <w:sz w:val="17"/>
                <w:szCs w:val="17"/>
                <w:color w:val="auto"/>
              </w:rPr>
            </w:pPr>
          </w:p>
        </w:tc>
        <w:tc>
          <w:tcPr>
            <w:tcW w:w="320" w:type="dxa"/>
            <w:vAlign w:val="bottom"/>
            <w:tcBorders>
              <w:top w:val="single" w:sz="8" w:color="DC202E"/>
              <w:bottom w:val="single" w:sz="8" w:color="DC202E"/>
            </w:tcBorders>
          </w:tcPr>
          <w:p>
            <w:pPr>
              <w:spacing w:after="0"/>
              <w:rPr>
                <w:sz w:val="17"/>
                <w:szCs w:val="17"/>
                <w:color w:val="auto"/>
              </w:rPr>
            </w:pPr>
          </w:p>
        </w:tc>
        <w:tc>
          <w:tcPr>
            <w:tcW w:w="960" w:type="dxa"/>
            <w:vAlign w:val="bottom"/>
            <w:tcBorders>
              <w:top w:val="single" w:sz="8" w:color="DC202E"/>
              <w:bottom w:val="single" w:sz="8" w:color="DC202E"/>
            </w:tcBorders>
          </w:tcPr>
          <w:p>
            <w:pPr>
              <w:jc w:val="right"/>
              <w:ind w:right="391"/>
              <w:spacing w:after="0"/>
              <w:rPr>
                <w:sz w:val="20"/>
                <w:szCs w:val="20"/>
                <w:color w:val="auto"/>
              </w:rPr>
            </w:pPr>
            <w:r>
              <w:rPr>
                <w:rFonts w:ascii="Arial" w:cs="Arial" w:eastAsia="Arial" w:hAnsi="Arial"/>
                <w:sz w:val="14"/>
                <w:szCs w:val="14"/>
                <w:b w:val="1"/>
                <w:bCs w:val="1"/>
                <w:color w:val="auto"/>
              </w:rPr>
              <w:t>2020</w:t>
            </w:r>
          </w:p>
        </w:tc>
      </w:tr>
      <w:tr>
        <w:trPr>
          <w:trHeight w:val="189"/>
        </w:trPr>
        <w:tc>
          <w:tcPr>
            <w:tcW w:w="5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180" w:type="dxa"/>
            <w:vAlign w:val="bottom"/>
            <w:gridSpan w:val="9"/>
          </w:tcPr>
          <w:p>
            <w:pPr>
              <w:jc w:val="right"/>
              <w:ind w:right="70"/>
              <w:spacing w:after="0"/>
              <w:rPr>
                <w:sz w:val="20"/>
                <w:szCs w:val="20"/>
                <w:color w:val="auto"/>
              </w:rPr>
            </w:pPr>
            <w:r>
              <w:rPr>
                <w:rFonts w:ascii="Arial" w:cs="Arial" w:eastAsia="Arial" w:hAnsi="Arial"/>
                <w:sz w:val="14"/>
                <w:szCs w:val="14"/>
                <w:b w:val="1"/>
                <w:bCs w:val="1"/>
                <w:color w:val="auto"/>
              </w:rPr>
              <w:t>(Dollars in millions, except per share amounts)</w:t>
            </w:r>
          </w:p>
        </w:tc>
        <w:tc>
          <w:tcPr>
            <w:tcW w:w="960" w:type="dxa"/>
            <w:vAlign w:val="bottom"/>
          </w:tcPr>
          <w:p>
            <w:pPr>
              <w:spacing w:after="0"/>
              <w:rPr>
                <w:sz w:val="16"/>
                <w:szCs w:val="16"/>
                <w:color w:val="auto"/>
              </w:rPr>
            </w:pPr>
          </w:p>
        </w:tc>
      </w:tr>
      <w:tr>
        <w:trPr>
          <w:trHeight w:val="229"/>
        </w:trPr>
        <w:tc>
          <w:tcPr>
            <w:tcW w:w="5820" w:type="dxa"/>
            <w:vAlign w:val="bottom"/>
            <w:shd w:val="clear" w:color="auto" w:fill="DBDBDB"/>
          </w:tcPr>
          <w:p>
            <w:pPr>
              <w:ind w:left="20"/>
              <w:spacing w:after="0"/>
              <w:rPr>
                <w:sz w:val="20"/>
                <w:szCs w:val="20"/>
                <w:color w:val="auto"/>
              </w:rPr>
            </w:pPr>
            <w:r>
              <w:rPr>
                <w:rFonts w:ascii="Arial" w:cs="Arial" w:eastAsia="Arial" w:hAnsi="Arial"/>
                <w:sz w:val="18"/>
                <w:szCs w:val="18"/>
                <w:color w:val="auto"/>
              </w:rPr>
              <w:t>Product sales</w:t>
            </w:r>
          </w:p>
        </w:tc>
        <w:tc>
          <w:tcPr>
            <w:tcW w:w="280" w:type="dxa"/>
            <w:vAlign w:val="bottom"/>
            <w:shd w:val="clear" w:color="auto" w:fill="DBDBDB"/>
          </w:tcPr>
          <w:p>
            <w:pPr>
              <w:jc w:val="right"/>
              <w:ind w:right="74"/>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6,233</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5,885</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19,281</w:t>
            </w:r>
          </w:p>
        </w:tc>
        <w:tc>
          <w:tcPr>
            <w:tcW w:w="120" w:type="dxa"/>
            <w:vAlign w:val="bottom"/>
            <w:shd w:val="clear" w:color="auto" w:fill="DBDBDB"/>
          </w:tcPr>
          <w:p>
            <w:pPr>
              <w:spacing w:after="0"/>
              <w:rPr>
                <w:sz w:val="19"/>
                <w:szCs w:val="19"/>
                <w:color w:val="auto"/>
              </w:rPr>
            </w:pP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17,933</w:t>
            </w:r>
          </w:p>
        </w:tc>
      </w:tr>
      <w:tr>
        <w:trPr>
          <w:trHeight w:val="229"/>
        </w:trPr>
        <w:tc>
          <w:tcPr>
            <w:tcW w:w="58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Service sales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2,240</w:t>
            </w:r>
          </w:p>
        </w:tc>
        <w:tc>
          <w:tcPr>
            <w:tcW w:w="10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1,912</w:t>
            </w:r>
          </w:p>
        </w:tc>
        <w:tc>
          <w:tcPr>
            <w:tcW w:w="10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6,454</w:t>
            </w:r>
          </w:p>
        </w:tc>
        <w:tc>
          <w:tcPr>
            <w:tcW w:w="120" w:type="dxa"/>
            <w:vAlign w:val="bottom"/>
            <w:tcBorders>
              <w:bottom w:val="single" w:sz="8" w:color="DBDBDB"/>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5,804</w:t>
            </w:r>
          </w:p>
        </w:tc>
      </w:tr>
      <w:tr>
        <w:trPr>
          <w:trHeight w:val="223"/>
        </w:trPr>
        <w:tc>
          <w:tcPr>
            <w:tcW w:w="58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8,473</w:t>
            </w:r>
          </w:p>
        </w:tc>
        <w:tc>
          <w:tcPr>
            <w:tcW w:w="100" w:type="dxa"/>
            <w:vAlign w:val="bottom"/>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7,797</w:t>
            </w:r>
          </w:p>
        </w:tc>
        <w:tc>
          <w:tcPr>
            <w:tcW w:w="100" w:type="dxa"/>
            <w:vAlign w:val="bottom"/>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spacing w:after="0"/>
              <w:rPr>
                <w:sz w:val="19"/>
                <w:szCs w:val="19"/>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25,735</w:t>
            </w:r>
          </w:p>
        </w:tc>
        <w:tc>
          <w:tcPr>
            <w:tcW w:w="120" w:type="dxa"/>
            <w:vAlign w:val="bottom"/>
            <w:shd w:val="clear" w:color="auto" w:fill="DBDBDB"/>
          </w:tcPr>
          <w:p>
            <w:pPr>
              <w:spacing w:after="0"/>
              <w:rPr>
                <w:sz w:val="19"/>
                <w:szCs w:val="19"/>
                <w:color w:val="auto"/>
              </w:rPr>
            </w:pPr>
          </w:p>
        </w:tc>
        <w:tc>
          <w:tcPr>
            <w:tcW w:w="32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23,737</w:t>
            </w:r>
          </w:p>
        </w:tc>
      </w:tr>
      <w:tr>
        <w:trPr>
          <w:trHeight w:val="209"/>
        </w:trPr>
        <w:tc>
          <w:tcPr>
            <w:tcW w:w="5820" w:type="dxa"/>
            <w:vAlign w:val="bottom"/>
          </w:tcPr>
          <w:p>
            <w:pPr>
              <w:ind w:left="20"/>
              <w:spacing w:after="0"/>
              <w:rPr>
                <w:sz w:val="20"/>
                <w:szCs w:val="20"/>
                <w:color w:val="auto"/>
              </w:rPr>
            </w:pPr>
            <w:r>
              <w:rPr>
                <w:rFonts w:ascii="Arial" w:cs="Arial" w:eastAsia="Arial" w:hAnsi="Arial"/>
                <w:sz w:val="18"/>
                <w:szCs w:val="18"/>
                <w:color w:val="auto"/>
              </w:rPr>
              <w:t>Costs, expenses and other</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5820" w:type="dxa"/>
            <w:vAlign w:val="bottom"/>
            <w:shd w:val="clear" w:color="auto" w:fill="DBDBDB"/>
          </w:tcPr>
          <w:p>
            <w:pPr>
              <w:ind w:left="220"/>
              <w:spacing w:after="0"/>
              <w:rPr>
                <w:sz w:val="20"/>
                <w:szCs w:val="20"/>
                <w:color w:val="auto"/>
              </w:rPr>
            </w:pPr>
            <w:r>
              <w:rPr>
                <w:rFonts w:ascii="Arial" w:cs="Arial" w:eastAsia="Arial" w:hAnsi="Arial"/>
                <w:sz w:val="18"/>
                <w:szCs w:val="18"/>
                <w:color w:val="auto"/>
              </w:rPr>
              <w:t>Cost of products sold</w:t>
            </w:r>
          </w:p>
        </w:tc>
        <w:tc>
          <w:tcPr>
            <w:tcW w:w="28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4,463</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4,315</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13,748</w:t>
            </w:r>
          </w:p>
        </w:tc>
        <w:tc>
          <w:tcPr>
            <w:tcW w:w="12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12,852</w:t>
            </w:r>
          </w:p>
        </w:tc>
      </w:tr>
      <w:tr>
        <w:trPr>
          <w:trHeight w:val="229"/>
        </w:trPr>
        <w:tc>
          <w:tcPr>
            <w:tcW w:w="5820" w:type="dxa"/>
            <w:vAlign w:val="bottom"/>
            <w:tcBorders>
              <w:bottom w:val="single" w:sz="8" w:color="DBDBDB"/>
            </w:tcBorders>
          </w:tcPr>
          <w:p>
            <w:pPr>
              <w:ind w:left="220"/>
              <w:spacing w:after="0"/>
              <w:rPr>
                <w:sz w:val="20"/>
                <w:szCs w:val="20"/>
                <w:color w:val="auto"/>
              </w:rPr>
            </w:pPr>
            <w:r>
              <w:rPr>
                <w:rFonts w:ascii="Arial" w:cs="Arial" w:eastAsia="Arial" w:hAnsi="Arial"/>
                <w:sz w:val="18"/>
                <w:szCs w:val="18"/>
                <w:color w:val="auto"/>
              </w:rPr>
              <w:t>Cost of services sold</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1,283</w:t>
            </w:r>
          </w:p>
        </w:tc>
        <w:tc>
          <w:tcPr>
            <w:tcW w:w="10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1,068</w:t>
            </w:r>
          </w:p>
        </w:tc>
        <w:tc>
          <w:tcPr>
            <w:tcW w:w="10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3,710</w:t>
            </w:r>
          </w:p>
        </w:tc>
        <w:tc>
          <w:tcPr>
            <w:tcW w:w="120" w:type="dxa"/>
            <w:vAlign w:val="bottom"/>
            <w:tcBorders>
              <w:bottom w:val="single" w:sz="8" w:color="DBDBDB"/>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3,341</w:t>
            </w:r>
          </w:p>
        </w:tc>
      </w:tr>
      <w:tr>
        <w:trPr>
          <w:trHeight w:val="223"/>
        </w:trPr>
        <w:tc>
          <w:tcPr>
            <w:tcW w:w="58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5,746</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5,383</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17,458</w:t>
            </w:r>
          </w:p>
        </w:tc>
        <w:tc>
          <w:tcPr>
            <w:tcW w:w="12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16,193</w:t>
            </w:r>
          </w:p>
        </w:tc>
      </w:tr>
      <w:tr>
        <w:trPr>
          <w:trHeight w:val="230"/>
        </w:trPr>
        <w:tc>
          <w:tcPr>
            <w:tcW w:w="5820" w:type="dxa"/>
            <w:vAlign w:val="bottom"/>
          </w:tcPr>
          <w:p>
            <w:pPr>
              <w:ind w:left="22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1,152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3,595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3,524</w:t>
            </w:r>
          </w:p>
        </w:tc>
      </w:tr>
      <w:tr>
        <w:trPr>
          <w:trHeight w:val="230"/>
        </w:trPr>
        <w:tc>
          <w:tcPr>
            <w:tcW w:w="5820" w:type="dxa"/>
            <w:vAlign w:val="bottom"/>
            <w:shd w:val="clear" w:color="auto" w:fill="DBDBDB"/>
          </w:tcPr>
          <w:p>
            <w:pPr>
              <w:ind w:left="220"/>
              <w:spacing w:after="0"/>
              <w:rPr>
                <w:sz w:val="20"/>
                <w:szCs w:val="20"/>
                <w:color w:val="auto"/>
              </w:rPr>
            </w:pPr>
            <w:r>
              <w:rPr>
                <w:rFonts w:ascii="Arial" w:cs="Arial" w:eastAsia="Arial" w:hAnsi="Arial"/>
                <w:sz w:val="18"/>
                <w:szCs w:val="18"/>
                <w:color w:val="auto"/>
              </w:rPr>
              <w:t>Other (income) expense</w:t>
            </w:r>
          </w:p>
        </w:tc>
        <w:tc>
          <w:tcPr>
            <w:tcW w:w="28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(1,023)</w:t>
            </w:r>
          </w:p>
        </w:tc>
        <w:tc>
          <w:tcPr>
            <w:tcW w:w="12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(546)</w:t>
            </w:r>
          </w:p>
        </w:tc>
      </w:tr>
      <w:tr>
        <w:trPr>
          <w:trHeight w:val="229"/>
        </w:trPr>
        <w:tc>
          <w:tcPr>
            <w:tcW w:w="5820" w:type="dxa"/>
            <w:vAlign w:val="bottom"/>
            <w:tcBorders>
              <w:bottom w:val="single" w:sz="8" w:color="DBDBDB"/>
            </w:tcBorders>
          </w:tcPr>
          <w:p>
            <w:pPr>
              <w:ind w:left="220"/>
              <w:spacing w:after="0"/>
              <w:rPr>
                <w:sz w:val="20"/>
                <w:szCs w:val="20"/>
                <w:color w:val="auto"/>
              </w:rPr>
            </w:pPr>
            <w:r>
              <w:rPr>
                <w:rFonts w:ascii="Arial" w:cs="Arial" w:eastAsia="Arial" w:hAnsi="Arial"/>
                <w:sz w:val="18"/>
                <w:szCs w:val="18"/>
                <w:color w:val="auto"/>
              </w:rPr>
              <w:t>Interest and other financial charges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120" w:type="dxa"/>
            <w:vAlign w:val="bottom"/>
            <w:tcBorders>
              <w:bottom w:val="single" w:sz="8" w:color="DBDBDB"/>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r>
      <w:tr>
        <w:trPr>
          <w:trHeight w:val="223"/>
        </w:trPr>
        <w:tc>
          <w:tcPr>
            <w:tcW w:w="582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6,773</w:t>
            </w:r>
          </w:p>
        </w:tc>
        <w:tc>
          <w:tcPr>
            <w:tcW w:w="100" w:type="dxa"/>
            <w:vAlign w:val="bottom"/>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6,649</w:t>
            </w:r>
          </w:p>
        </w:tc>
        <w:tc>
          <w:tcPr>
            <w:tcW w:w="100" w:type="dxa"/>
            <w:vAlign w:val="bottom"/>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spacing w:after="0"/>
              <w:rPr>
                <w:sz w:val="19"/>
                <w:szCs w:val="19"/>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20,293</w:t>
            </w:r>
          </w:p>
        </w:tc>
        <w:tc>
          <w:tcPr>
            <w:tcW w:w="120" w:type="dxa"/>
            <w:vAlign w:val="bottom"/>
            <w:shd w:val="clear" w:color="auto" w:fill="DBDBDB"/>
          </w:tcPr>
          <w:p>
            <w:pPr>
              <w:spacing w:after="0"/>
              <w:rPr>
                <w:sz w:val="19"/>
                <w:szCs w:val="19"/>
                <w:color w:val="auto"/>
              </w:rPr>
            </w:pPr>
          </w:p>
        </w:tc>
        <w:tc>
          <w:tcPr>
            <w:tcW w:w="32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19,435</w:t>
            </w:r>
          </w:p>
        </w:tc>
      </w:tr>
      <w:tr>
        <w:trPr>
          <w:trHeight w:val="223"/>
        </w:trPr>
        <w:tc>
          <w:tcPr>
            <w:tcW w:w="5820" w:type="dxa"/>
            <w:vAlign w:val="bottom"/>
          </w:tcPr>
          <w:p>
            <w:pPr>
              <w:ind w:left="20"/>
              <w:spacing w:after="0"/>
              <w:rPr>
                <w:sz w:val="20"/>
                <w:szCs w:val="20"/>
                <w:color w:val="auto"/>
              </w:rPr>
            </w:pPr>
            <w:r>
              <w:rPr>
                <w:rFonts w:ascii="Arial" w:cs="Arial" w:eastAsia="Arial" w:hAnsi="Arial"/>
                <w:sz w:val="18"/>
                <w:szCs w:val="18"/>
                <w:color w:val="auto"/>
              </w:rPr>
              <w:t>Income before taxes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5,442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4,302</w:t>
            </w:r>
          </w:p>
        </w:tc>
      </w:tr>
      <w:tr>
        <w:trPr>
          <w:trHeight w:val="230"/>
        </w:trPr>
        <w:tc>
          <w:tcPr>
            <w:tcW w:w="58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Tax expense</w:t>
            </w:r>
          </w:p>
        </w:tc>
        <w:tc>
          <w:tcPr>
            <w:tcW w:w="28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427</w:t>
            </w:r>
          </w:p>
        </w:tc>
        <w:tc>
          <w:tcPr>
            <w:tcW w:w="100" w:type="dxa"/>
            <w:vAlign w:val="bottom"/>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367</w:t>
            </w:r>
          </w:p>
        </w:tc>
        <w:tc>
          <w:tcPr>
            <w:tcW w:w="100" w:type="dxa"/>
            <w:vAlign w:val="bottom"/>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spacing w:after="0"/>
              <w:rPr>
                <w:sz w:val="19"/>
                <w:szCs w:val="19"/>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1,274</w:t>
            </w:r>
          </w:p>
        </w:tc>
        <w:tc>
          <w:tcPr>
            <w:tcW w:w="120" w:type="dxa"/>
            <w:vAlign w:val="bottom"/>
            <w:shd w:val="clear" w:color="auto" w:fill="DBDBDB"/>
          </w:tcPr>
          <w:p>
            <w:pPr>
              <w:spacing w:after="0"/>
              <w:rPr>
                <w:sz w:val="19"/>
                <w:szCs w:val="19"/>
                <w:color w:val="auto"/>
              </w:rPr>
            </w:pPr>
          </w:p>
        </w:tc>
        <w:tc>
          <w:tcPr>
            <w:tcW w:w="32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816</w:t>
            </w:r>
          </w:p>
        </w:tc>
      </w:tr>
      <w:tr>
        <w:trPr>
          <w:trHeight w:val="223"/>
        </w:trPr>
        <w:tc>
          <w:tcPr>
            <w:tcW w:w="58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1,273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4,168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3,486</w:t>
            </w:r>
          </w:p>
        </w:tc>
      </w:tr>
      <w:tr>
        <w:trPr>
          <w:trHeight w:val="229"/>
        </w:trPr>
        <w:tc>
          <w:tcPr>
            <w:tcW w:w="5820" w:type="dxa"/>
            <w:vAlign w:val="bottom"/>
            <w:shd w:val="clear" w:color="auto" w:fill="DBDBDB"/>
          </w:tcPr>
          <w:p>
            <w:pPr>
              <w:ind w:left="20"/>
              <w:spacing w:after="0"/>
              <w:rPr>
                <w:sz w:val="20"/>
                <w:szCs w:val="20"/>
                <w:color w:val="auto"/>
              </w:rPr>
            </w:pPr>
            <w:r>
              <w:rPr>
                <w:rFonts w:ascii="Arial" w:cs="Arial" w:eastAsia="Arial" w:hAnsi="Arial"/>
                <w:sz w:val="18"/>
                <w:szCs w:val="18"/>
                <w:color w:val="auto"/>
              </w:rPr>
              <w:t>Less: Net income attributable to the noncontrolling interest</w:t>
            </w:r>
          </w:p>
        </w:tc>
        <w:tc>
          <w:tcPr>
            <w:tcW w:w="28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spacing w:after="0"/>
              <w:rPr>
                <w:sz w:val="19"/>
                <w:szCs w:val="19"/>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DBDBDB"/>
          </w:tcPr>
          <w:p>
            <w:pPr>
              <w:spacing w:after="0"/>
              <w:rPr>
                <w:sz w:val="19"/>
                <w:szCs w:val="19"/>
                <w:color w:val="auto"/>
              </w:rPr>
            </w:pPr>
          </w:p>
        </w:tc>
        <w:tc>
          <w:tcPr>
            <w:tcW w:w="32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66</w:t>
            </w:r>
          </w:p>
        </w:tc>
      </w:tr>
      <w:tr>
        <w:trPr>
          <w:trHeight w:val="223"/>
        </w:trPr>
        <w:tc>
          <w:tcPr>
            <w:tcW w:w="5820" w:type="dxa"/>
            <w:vAlign w:val="bottom"/>
          </w:tcPr>
          <w:p>
            <w:pPr>
              <w:ind w:left="20"/>
              <w:spacing w:after="0"/>
              <w:rPr>
                <w:sz w:val="20"/>
                <w:szCs w:val="20"/>
                <w:color w:val="auto"/>
              </w:rPr>
            </w:pPr>
            <w:r>
              <w:rPr>
                <w:rFonts w:ascii="Arial" w:cs="Arial" w:eastAsia="Arial" w:hAnsi="Arial"/>
                <w:sz w:val="18"/>
                <w:szCs w:val="18"/>
                <w:color w:val="auto"/>
              </w:rPr>
              <w:t>Net income attributable to Honeywell</w:t>
            </w: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4,114</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3,420</w:t>
            </w:r>
          </w:p>
        </w:tc>
      </w:tr>
      <w:tr>
        <w:trPr>
          <w:trHeight w:val="20"/>
        </w:trPr>
        <w:tc>
          <w:tcPr>
            <w:tcW w:w="5820" w:type="dxa"/>
            <w:vAlign w:val="bottom"/>
            <w:tcBorders>
              <w:bottom w:val="single" w:sz="8" w:color="DBDBDB"/>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48"/>
        </w:trPr>
        <w:tc>
          <w:tcPr>
            <w:tcW w:w="58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Earnings per share of common stock - basic</w:t>
            </w:r>
          </w:p>
        </w:tc>
        <w:tc>
          <w:tcPr>
            <w:tcW w:w="280" w:type="dxa"/>
            <w:vAlign w:val="bottom"/>
            <w:tcBorders>
              <w:bottom w:val="single" w:sz="8" w:color="auto"/>
            </w:tcBorders>
            <w:shd w:val="clear" w:color="auto" w:fill="DBDBDB"/>
          </w:tcPr>
          <w:p>
            <w:pPr>
              <w:jc w:val="right"/>
              <w:ind w:right="74"/>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DBDBDB"/>
            </w:tcBorders>
            <w:shd w:val="clear" w:color="auto" w:fill="DBDBDB"/>
          </w:tcPr>
          <w:p>
            <w:pPr>
              <w:spacing w:after="0"/>
              <w:rPr>
                <w:sz w:val="21"/>
                <w:szCs w:val="21"/>
                <w:color w:val="auto"/>
              </w:rPr>
            </w:pPr>
          </w:p>
        </w:tc>
        <w:tc>
          <w:tcPr>
            <w:tcW w:w="300" w:type="dxa"/>
            <w:vAlign w:val="bottom"/>
            <w:tcBorders>
              <w:bottom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DBDBDB"/>
            </w:tcBorders>
            <w:shd w:val="clear" w:color="auto" w:fill="DBDBDB"/>
          </w:tcPr>
          <w:p>
            <w:pPr>
              <w:spacing w:after="0"/>
              <w:rPr>
                <w:sz w:val="21"/>
                <w:szCs w:val="21"/>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5.93</w:t>
            </w:r>
          </w:p>
        </w:tc>
        <w:tc>
          <w:tcPr>
            <w:tcW w:w="120" w:type="dxa"/>
            <w:vAlign w:val="bottom"/>
            <w:tcBorders>
              <w:bottom w:val="single" w:sz="8" w:color="DBDBDB"/>
            </w:tcBorders>
            <w:shd w:val="clear" w:color="auto" w:fill="DBDBDB"/>
          </w:tcPr>
          <w:p>
            <w:pPr>
              <w:spacing w:after="0"/>
              <w:rPr>
                <w:sz w:val="21"/>
                <w:szCs w:val="21"/>
                <w:color w:val="auto"/>
              </w:rPr>
            </w:pPr>
          </w:p>
        </w:tc>
        <w:tc>
          <w:tcPr>
            <w:tcW w:w="32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4.85</w:t>
            </w:r>
          </w:p>
        </w:tc>
      </w:tr>
      <w:tr>
        <w:trPr>
          <w:trHeight w:val="20"/>
        </w:trPr>
        <w:tc>
          <w:tcPr>
            <w:tcW w:w="58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9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14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960" w:type="dxa"/>
            <w:vAlign w:val="bottom"/>
            <w:tcBorders>
              <w:top w:val="single" w:sz="8" w:color="DBDBDB"/>
              <w:bottom w:val="single" w:sz="8" w:color="auto"/>
            </w:tcBorders>
          </w:tcPr>
          <w:p>
            <w:pPr>
              <w:spacing w:after="0" w:line="20" w:lineRule="exact"/>
              <w:rPr>
                <w:sz w:val="1"/>
                <w:szCs w:val="1"/>
                <w:color w:val="auto"/>
              </w:rPr>
            </w:pPr>
          </w:p>
        </w:tc>
      </w:tr>
      <w:tr>
        <w:trPr>
          <w:trHeight w:val="203"/>
        </w:trPr>
        <w:tc>
          <w:tcPr>
            <w:tcW w:w="5820" w:type="dxa"/>
            <w:vAlign w:val="bottom"/>
          </w:tcPr>
          <w:p>
            <w:pPr>
              <w:ind w:left="20"/>
              <w:spacing w:after="0" w:line="203" w:lineRule="exact"/>
              <w:rPr>
                <w:sz w:val="20"/>
                <w:szCs w:val="20"/>
                <w:color w:val="auto"/>
              </w:rPr>
            </w:pPr>
            <w:r>
              <w:rPr>
                <w:rFonts w:ascii="Arial" w:cs="Arial" w:eastAsia="Arial" w:hAnsi="Arial"/>
                <w:sz w:val="18"/>
                <w:szCs w:val="18"/>
                <w:color w:val="auto"/>
              </w:rPr>
              <w:t>Earnings per share of common stock - assuming dilution</w:t>
            </w:r>
          </w:p>
        </w:tc>
        <w:tc>
          <w:tcPr>
            <w:tcW w:w="280" w:type="dxa"/>
            <w:vAlign w:val="bottom"/>
            <w:tcBorders>
              <w:bottom w:val="single" w:sz="8" w:color="auto"/>
            </w:tcBorders>
          </w:tcPr>
          <w:p>
            <w:pPr>
              <w:jc w:val="right"/>
              <w:ind w:right="74"/>
              <w:spacing w:after="0" w:line="203" w:lineRule="exact"/>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1.80</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1.07</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5.86</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4.81</w:t>
            </w:r>
          </w:p>
        </w:tc>
      </w:tr>
      <w:tr>
        <w:trPr>
          <w:trHeight w:val="20"/>
        </w:trPr>
        <w:tc>
          <w:tcPr>
            <w:tcW w:w="5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Consolidated Financial Statements are an integral part of this statement.</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1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1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40" w:type="dxa"/>
            <w:vAlign w:val="bottom"/>
          </w:tcPr>
          <w:p>
            <w:pPr>
              <w:spacing w:after="0"/>
              <w:rPr>
                <w:sz w:val="17"/>
                <w:szCs w:val="17"/>
                <w:color w:val="auto"/>
              </w:rPr>
            </w:pPr>
          </w:p>
        </w:tc>
        <w:tc>
          <w:tcPr>
            <w:tcW w:w="276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7"/>
                <w:szCs w:val="17"/>
                <w:color w:val="auto"/>
              </w:rPr>
            </w:pPr>
          </w:p>
        </w:tc>
        <w:tc>
          <w:tcPr>
            <w:tcW w:w="2520" w:type="dxa"/>
            <w:vAlign w:val="bottom"/>
            <w:gridSpan w:val="4"/>
          </w:tcPr>
          <w:p>
            <w:pPr>
              <w:jc w:val="right"/>
              <w:ind w:right="51"/>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5840" w:type="dxa"/>
            <w:vAlign w:val="bottom"/>
          </w:tcPr>
          <w:p>
            <w:pPr>
              <w:spacing w:after="0"/>
              <w:rPr>
                <w:sz w:val="17"/>
                <w:szCs w:val="17"/>
                <w:color w:val="auto"/>
              </w:rPr>
            </w:pPr>
          </w:p>
        </w:tc>
        <w:tc>
          <w:tcPr>
            <w:tcW w:w="300" w:type="dxa"/>
            <w:vAlign w:val="bottom"/>
            <w:tcBorders>
              <w:top w:val="single" w:sz="8" w:color="DC202E"/>
              <w:bottom w:val="single" w:sz="8" w:color="DC202E"/>
            </w:tcBorders>
          </w:tcPr>
          <w:p>
            <w:pPr>
              <w:spacing w:after="0"/>
              <w:rPr>
                <w:sz w:val="17"/>
                <w:szCs w:val="17"/>
                <w:color w:val="auto"/>
              </w:rPr>
            </w:pPr>
          </w:p>
        </w:tc>
        <w:tc>
          <w:tcPr>
            <w:tcW w:w="960" w:type="dxa"/>
            <w:vAlign w:val="bottom"/>
            <w:tcBorders>
              <w:top w:val="single" w:sz="8" w:color="DC202E"/>
              <w:bottom w:val="single" w:sz="8" w:color="DC202E"/>
            </w:tcBorders>
          </w:tcPr>
          <w:p>
            <w:pPr>
              <w:jc w:val="right"/>
              <w:ind w:right="37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DC202E"/>
              <w:bottom w:val="single" w:sz="8" w:color="DC202E"/>
            </w:tcBorders>
          </w:tcPr>
          <w:p>
            <w:pPr>
              <w:spacing w:after="0"/>
              <w:rPr>
                <w:sz w:val="17"/>
                <w:szCs w:val="17"/>
                <w:color w:val="auto"/>
              </w:rPr>
            </w:pPr>
          </w:p>
        </w:tc>
        <w:tc>
          <w:tcPr>
            <w:tcW w:w="300" w:type="dxa"/>
            <w:vAlign w:val="bottom"/>
            <w:tcBorders>
              <w:top w:val="single" w:sz="8" w:color="DC202E"/>
              <w:bottom w:val="single" w:sz="8" w:color="DC202E"/>
            </w:tcBorders>
          </w:tcPr>
          <w:p>
            <w:pPr>
              <w:spacing w:after="0"/>
              <w:rPr>
                <w:sz w:val="17"/>
                <w:szCs w:val="17"/>
                <w:color w:val="auto"/>
              </w:rPr>
            </w:pPr>
          </w:p>
        </w:tc>
        <w:tc>
          <w:tcPr>
            <w:tcW w:w="960" w:type="dxa"/>
            <w:vAlign w:val="bottom"/>
            <w:tcBorders>
              <w:top w:val="single" w:sz="8" w:color="DC202E"/>
              <w:bottom w:val="single" w:sz="8" w:color="DC202E"/>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DC202E"/>
            </w:tcBorders>
          </w:tcPr>
          <w:p>
            <w:pPr>
              <w:spacing w:after="0"/>
              <w:rPr>
                <w:sz w:val="17"/>
                <w:szCs w:val="17"/>
                <w:color w:val="auto"/>
              </w:rPr>
            </w:pPr>
          </w:p>
        </w:tc>
        <w:tc>
          <w:tcPr>
            <w:tcW w:w="120" w:type="dxa"/>
            <w:vAlign w:val="bottom"/>
            <w:tcBorders>
              <w:top w:val="single" w:sz="8" w:color="DC202E"/>
              <w:bottom w:val="single" w:sz="8" w:color="DC202E"/>
            </w:tcBorders>
          </w:tcPr>
          <w:p>
            <w:pPr>
              <w:spacing w:after="0"/>
              <w:rPr>
                <w:sz w:val="17"/>
                <w:szCs w:val="17"/>
                <w:color w:val="auto"/>
              </w:rPr>
            </w:pPr>
          </w:p>
        </w:tc>
        <w:tc>
          <w:tcPr>
            <w:tcW w:w="1140" w:type="dxa"/>
            <w:vAlign w:val="bottom"/>
            <w:tcBorders>
              <w:top w:val="single" w:sz="8" w:color="DC202E"/>
              <w:bottom w:val="single" w:sz="8" w:color="DC202E"/>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DC202E"/>
              <w:bottom w:val="single" w:sz="8" w:color="DC202E"/>
            </w:tcBorders>
          </w:tcPr>
          <w:p>
            <w:pPr>
              <w:spacing w:after="0"/>
              <w:rPr>
                <w:sz w:val="17"/>
                <w:szCs w:val="17"/>
                <w:color w:val="auto"/>
              </w:rPr>
            </w:pPr>
          </w:p>
        </w:tc>
        <w:tc>
          <w:tcPr>
            <w:tcW w:w="280" w:type="dxa"/>
            <w:vAlign w:val="bottom"/>
            <w:tcBorders>
              <w:top w:val="single" w:sz="8" w:color="DC202E"/>
              <w:bottom w:val="single" w:sz="8" w:color="DC202E"/>
            </w:tcBorders>
          </w:tcPr>
          <w:p>
            <w:pPr>
              <w:spacing w:after="0"/>
              <w:rPr>
                <w:sz w:val="17"/>
                <w:szCs w:val="17"/>
                <w:color w:val="auto"/>
              </w:rPr>
            </w:pPr>
          </w:p>
        </w:tc>
        <w:tc>
          <w:tcPr>
            <w:tcW w:w="980" w:type="dxa"/>
            <w:vAlign w:val="bottom"/>
            <w:tcBorders>
              <w:top w:val="single" w:sz="8" w:color="DC202E"/>
              <w:bottom w:val="single" w:sz="8" w:color="DC202E"/>
            </w:tcBorders>
          </w:tcPr>
          <w:p>
            <w:pPr>
              <w:jc w:val="right"/>
              <w:ind w:right="391"/>
              <w:spacing w:after="0"/>
              <w:rPr>
                <w:sz w:val="20"/>
                <w:szCs w:val="20"/>
                <w:color w:val="auto"/>
              </w:rPr>
            </w:pPr>
            <w:r>
              <w:rPr>
                <w:rFonts w:ascii="Arial" w:cs="Arial" w:eastAsia="Arial" w:hAnsi="Arial"/>
                <w:sz w:val="14"/>
                <w:szCs w:val="14"/>
                <w:b w:val="1"/>
                <w:bCs w:val="1"/>
                <w:color w:val="auto"/>
              </w:rPr>
              <w:t>2020</w:t>
            </w:r>
          </w:p>
        </w:tc>
      </w:tr>
      <w:tr>
        <w:trPr>
          <w:trHeight w:val="189"/>
        </w:trPr>
        <w:tc>
          <w:tcPr>
            <w:tcW w:w="5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60" w:type="dxa"/>
            <w:vAlign w:val="bottom"/>
            <w:gridSpan w:val="5"/>
          </w:tcPr>
          <w:p>
            <w:pPr>
              <w:ind w:left="360"/>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29"/>
        </w:trPr>
        <w:tc>
          <w:tcPr>
            <w:tcW w:w="584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DBDBDB"/>
          </w:tcPr>
          <w:p>
            <w:pPr>
              <w:jc w:val="right"/>
              <w:ind w:right="96"/>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1,273</w:t>
            </w:r>
          </w:p>
        </w:tc>
        <w:tc>
          <w:tcPr>
            <w:tcW w:w="120" w:type="dxa"/>
            <w:vAlign w:val="bottom"/>
            <w:shd w:val="clear" w:color="auto" w:fill="DBDBDB"/>
          </w:tcPr>
          <w:p>
            <w:pPr>
              <w:spacing w:after="0"/>
              <w:rPr>
                <w:sz w:val="19"/>
                <w:szCs w:val="19"/>
                <w:color w:val="auto"/>
              </w:rPr>
            </w:pP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781</w:t>
            </w:r>
          </w:p>
        </w:tc>
        <w:tc>
          <w:tcPr>
            <w:tcW w:w="120" w:type="dxa"/>
            <w:vAlign w:val="bottom"/>
            <w:shd w:val="clear" w:color="auto" w:fill="DBDBDB"/>
          </w:tcPr>
          <w:p>
            <w:pPr>
              <w:spacing w:after="0"/>
              <w:rPr>
                <w:sz w:val="19"/>
                <w:szCs w:val="19"/>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4,168</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3,486</w:t>
            </w:r>
          </w:p>
        </w:tc>
      </w:tr>
      <w:tr>
        <w:trPr>
          <w:trHeight w:val="229"/>
        </w:trPr>
        <w:tc>
          <w:tcPr>
            <w:tcW w:w="5840" w:type="dxa"/>
            <w:vAlign w:val="bottom"/>
          </w:tcPr>
          <w:p>
            <w:pPr>
              <w:ind w:left="220"/>
              <w:spacing w:after="0"/>
              <w:rPr>
                <w:sz w:val="20"/>
                <w:szCs w:val="20"/>
                <w:color w:val="auto"/>
              </w:rPr>
            </w:pPr>
            <w:r>
              <w:rPr>
                <w:rFonts w:ascii="Arial" w:cs="Arial" w:eastAsia="Arial" w:hAnsi="Arial"/>
                <w:sz w:val="18"/>
                <w:szCs w:val="18"/>
                <w:color w:val="auto"/>
              </w:rPr>
              <w:t>Other comprehensive income (loss), net of tax</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5840" w:type="dxa"/>
            <w:vAlign w:val="bottom"/>
            <w:shd w:val="clear" w:color="auto" w:fill="DBDBDB"/>
          </w:tcPr>
          <w:p>
            <w:pPr>
              <w:ind w:left="440"/>
              <w:spacing w:after="0"/>
              <w:rPr>
                <w:sz w:val="20"/>
                <w:szCs w:val="20"/>
                <w:color w:val="auto"/>
              </w:rPr>
            </w:pPr>
            <w:r>
              <w:rPr>
                <w:rFonts w:ascii="Arial" w:cs="Arial" w:eastAsia="Arial" w:hAnsi="Arial"/>
                <w:sz w:val="18"/>
                <w:szCs w:val="18"/>
                <w:color w:val="auto"/>
              </w:rPr>
              <w:t>Foreign exchange translation adjustment</w:t>
            </w:r>
          </w:p>
        </w:tc>
        <w:tc>
          <w:tcPr>
            <w:tcW w:w="30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(93)</w:t>
            </w:r>
          </w:p>
        </w:tc>
        <w:tc>
          <w:tcPr>
            <w:tcW w:w="1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(237)</w:t>
            </w:r>
          </w:p>
        </w:tc>
      </w:tr>
      <w:tr>
        <w:trPr>
          <w:trHeight w:val="229"/>
        </w:trPr>
        <w:tc>
          <w:tcPr>
            <w:tcW w:w="5840" w:type="dxa"/>
            <w:vAlign w:val="bottom"/>
          </w:tcPr>
          <w:p>
            <w:pPr>
              <w:ind w:left="680"/>
              <w:spacing w:after="0"/>
              <w:rPr>
                <w:sz w:val="20"/>
                <w:szCs w:val="20"/>
                <w:color w:val="auto"/>
              </w:rPr>
            </w:pPr>
            <w:r>
              <w:rPr>
                <w:rFonts w:ascii="Arial" w:cs="Arial" w:eastAsia="Arial" w:hAnsi="Arial"/>
                <w:sz w:val="18"/>
                <w:szCs w:val="18"/>
                <w:color w:val="auto"/>
              </w:rPr>
              <w:t>Actuarial (gains) losses recognized during year</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840" w:type="dxa"/>
            <w:vAlign w:val="bottom"/>
            <w:shd w:val="clear" w:color="auto" w:fill="DBDBDB"/>
          </w:tcPr>
          <w:p>
            <w:pPr>
              <w:ind w:left="680"/>
              <w:spacing w:after="0"/>
              <w:rPr>
                <w:sz w:val="20"/>
                <w:szCs w:val="20"/>
                <w:color w:val="auto"/>
              </w:rPr>
            </w:pPr>
            <w:r>
              <w:rPr>
                <w:rFonts w:ascii="Arial" w:cs="Arial" w:eastAsia="Arial" w:hAnsi="Arial"/>
                <w:sz w:val="18"/>
                <w:szCs w:val="18"/>
                <w:color w:val="auto"/>
              </w:rPr>
              <w:t>Prior service (credit) cost recognized</w:t>
            </w:r>
          </w:p>
        </w:tc>
        <w:tc>
          <w:tcPr>
            <w:tcW w:w="30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DBDBDB"/>
          </w:tcPr>
          <w:p>
            <w:pPr>
              <w:spacing w:after="0"/>
              <w:rPr>
                <w:sz w:val="19"/>
                <w:szCs w:val="19"/>
                <w:color w:val="auto"/>
              </w:rPr>
            </w:pPr>
          </w:p>
        </w:tc>
        <w:tc>
          <w:tcPr>
            <w:tcW w:w="120" w:type="dxa"/>
            <w:vAlign w:val="bottom"/>
            <w:tcBorders>
              <w:bottom w:val="single" w:sz="8" w:color="auto"/>
            </w:tcBorders>
            <w:shd w:val="clear" w:color="auto" w:fill="DBDBDB"/>
          </w:tcPr>
          <w:p>
            <w:pPr>
              <w:spacing w:after="0"/>
              <w:rPr>
                <w:sz w:val="19"/>
                <w:szCs w:val="19"/>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(60)</w:t>
            </w:r>
          </w:p>
        </w:tc>
      </w:tr>
      <w:tr>
        <w:trPr>
          <w:trHeight w:val="223"/>
        </w:trPr>
        <w:tc>
          <w:tcPr>
            <w:tcW w:w="5840" w:type="dxa"/>
            <w:vAlign w:val="bottom"/>
          </w:tcPr>
          <w:p>
            <w:pPr>
              <w:ind w:left="440"/>
              <w:spacing w:after="0"/>
              <w:rPr>
                <w:sz w:val="20"/>
                <w:szCs w:val="20"/>
                <w:color w:val="auto"/>
              </w:rPr>
            </w:pPr>
            <w:r>
              <w:rPr>
                <w:rFonts w:ascii="Arial" w:cs="Arial" w:eastAsia="Arial" w:hAnsi="Arial"/>
                <w:sz w:val="18"/>
                <w:szCs w:val="18"/>
                <w:color w:val="auto"/>
              </w:rPr>
              <w:t>Pension and other postretirement benefit adjustments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29"/>
        </w:trPr>
        <w:tc>
          <w:tcPr>
            <w:tcW w:w="5840" w:type="dxa"/>
            <w:vAlign w:val="bottom"/>
            <w:shd w:val="clear" w:color="auto" w:fill="DBDBDB"/>
          </w:tcPr>
          <w:p>
            <w:pPr>
              <w:ind w:left="440"/>
              <w:spacing w:after="0"/>
              <w:rPr>
                <w:sz w:val="20"/>
                <w:szCs w:val="20"/>
                <w:color w:val="auto"/>
              </w:rPr>
            </w:pPr>
            <w:r>
              <w:rPr>
                <w:rFonts w:ascii="Arial" w:cs="Arial" w:eastAsia="Arial" w:hAnsi="Arial"/>
                <w:sz w:val="18"/>
                <w:szCs w:val="18"/>
                <w:color w:val="auto"/>
              </w:rPr>
              <w:t>Changes in fair value of available for sale investments</w:t>
            </w:r>
          </w:p>
        </w:tc>
        <w:tc>
          <w:tcPr>
            <w:tcW w:w="300" w:type="dxa"/>
            <w:vAlign w:val="bottom"/>
            <w:shd w:val="clear" w:color="auto" w:fill="DBDBDB"/>
          </w:tcPr>
          <w:p>
            <w:pPr>
              <w:spacing w:after="0"/>
              <w:rPr>
                <w:sz w:val="19"/>
                <w:szCs w:val="19"/>
                <w:color w:val="auto"/>
              </w:rPr>
            </w:pPr>
          </w:p>
        </w:tc>
        <w:tc>
          <w:tcPr>
            <w:tcW w:w="108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DBDBDB"/>
          </w:tcPr>
          <w:p>
            <w:pPr>
              <w:spacing w:after="0"/>
              <w:rPr>
                <w:sz w:val="19"/>
                <w:szCs w:val="19"/>
                <w:color w:val="auto"/>
              </w:rPr>
            </w:pPr>
          </w:p>
        </w:tc>
        <w:tc>
          <w:tcPr>
            <w:tcW w:w="1080" w:type="dxa"/>
            <w:vAlign w:val="bottom"/>
            <w:gridSpan w:val="2"/>
            <w:shd w:val="clear" w:color="auto" w:fill="DBDBDB"/>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188"/>
        </w:trPr>
        <w:tc>
          <w:tcPr>
            <w:tcW w:w="5840" w:type="dxa"/>
            <w:vAlign w:val="bottom"/>
          </w:tcPr>
          <w:p>
            <w:pPr>
              <w:ind w:left="720"/>
              <w:spacing w:after="0" w:line="189" w:lineRule="exact"/>
              <w:rPr>
                <w:sz w:val="20"/>
                <w:szCs w:val="20"/>
                <w:color w:val="auto"/>
              </w:rPr>
            </w:pPr>
            <w:r>
              <w:rPr>
                <w:rFonts w:ascii="Arial" w:cs="Arial" w:eastAsia="Arial" w:hAnsi="Arial"/>
                <w:sz w:val="18"/>
                <w:szCs w:val="18"/>
                <w:color w:val="auto"/>
              </w:rPr>
              <w:t>Cash flow hedges recognized in other comprehensive income</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7"/>
        </w:trPr>
        <w:tc>
          <w:tcPr>
            <w:tcW w:w="5840" w:type="dxa"/>
            <w:vAlign w:val="bottom"/>
          </w:tcPr>
          <w:p>
            <w:pPr>
              <w:ind w:left="720"/>
              <w:spacing w:after="0"/>
              <w:rPr>
                <w:sz w:val="20"/>
                <w:szCs w:val="20"/>
                <w:color w:val="auto"/>
              </w:rPr>
            </w:pPr>
            <w:r>
              <w:rPr>
                <w:rFonts w:ascii="Arial" w:cs="Arial" w:eastAsia="Arial" w:hAnsi="Arial"/>
                <w:sz w:val="18"/>
                <w:szCs w:val="18"/>
                <w:color w:val="auto"/>
              </w:rPr>
              <w:t>(loss)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188"/>
        </w:trPr>
        <w:tc>
          <w:tcPr>
            <w:tcW w:w="5840" w:type="dxa"/>
            <w:vAlign w:val="bottom"/>
            <w:shd w:val="clear" w:color="auto" w:fill="DBDBDB"/>
          </w:tcPr>
          <w:p>
            <w:pPr>
              <w:ind w:left="720"/>
              <w:spacing w:after="0" w:line="189" w:lineRule="exact"/>
              <w:rPr>
                <w:sz w:val="20"/>
                <w:szCs w:val="20"/>
                <w:color w:val="auto"/>
              </w:rPr>
            </w:pPr>
            <w:r>
              <w:rPr>
                <w:rFonts w:ascii="Arial" w:cs="Arial" w:eastAsia="Arial" w:hAnsi="Arial"/>
                <w:sz w:val="18"/>
                <w:szCs w:val="18"/>
                <w:color w:val="auto"/>
              </w:rPr>
              <w:t>Less: Reclassification adjustment for gains (losses) included in</w:t>
            </w:r>
          </w:p>
        </w:tc>
        <w:tc>
          <w:tcPr>
            <w:tcW w:w="300" w:type="dxa"/>
            <w:vAlign w:val="bottom"/>
            <w:shd w:val="clear" w:color="auto" w:fill="DBDBDB"/>
          </w:tcPr>
          <w:p>
            <w:pPr>
              <w:spacing w:after="0"/>
              <w:rPr>
                <w:sz w:val="16"/>
                <w:szCs w:val="16"/>
                <w:color w:val="auto"/>
              </w:rPr>
            </w:pPr>
          </w:p>
        </w:tc>
        <w:tc>
          <w:tcPr>
            <w:tcW w:w="96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96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14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980" w:type="dxa"/>
            <w:vAlign w:val="bottom"/>
            <w:shd w:val="clear" w:color="auto" w:fill="DBDBDB"/>
          </w:tcPr>
          <w:p>
            <w:pPr>
              <w:spacing w:after="0"/>
              <w:rPr>
                <w:sz w:val="16"/>
                <w:szCs w:val="16"/>
                <w:color w:val="auto"/>
              </w:rPr>
            </w:pPr>
          </w:p>
        </w:tc>
      </w:tr>
      <w:tr>
        <w:trPr>
          <w:trHeight w:val="217"/>
        </w:trPr>
        <w:tc>
          <w:tcPr>
            <w:tcW w:w="5840" w:type="dxa"/>
            <w:vAlign w:val="bottom"/>
            <w:shd w:val="clear" w:color="auto" w:fill="DBDBDB"/>
          </w:tcPr>
          <w:p>
            <w:pPr>
              <w:ind w:left="72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auto"/>
            </w:tcBorders>
            <w:shd w:val="clear" w:color="auto" w:fill="DBDBDB"/>
          </w:tcPr>
          <w:p>
            <w:pPr>
              <w:spacing w:after="0"/>
              <w:rPr>
                <w:sz w:val="18"/>
                <w:szCs w:val="18"/>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DBDBDB"/>
          </w:tcPr>
          <w:p>
            <w:pPr>
              <w:spacing w:after="0"/>
              <w:rPr>
                <w:sz w:val="18"/>
                <w:szCs w:val="18"/>
                <w:color w:val="auto"/>
              </w:rPr>
            </w:pPr>
          </w:p>
        </w:tc>
        <w:tc>
          <w:tcPr>
            <w:tcW w:w="300" w:type="dxa"/>
            <w:vAlign w:val="bottom"/>
            <w:tcBorders>
              <w:bottom w:val="single" w:sz="8" w:color="auto"/>
            </w:tcBorders>
            <w:shd w:val="clear" w:color="auto" w:fill="DBDBDB"/>
          </w:tcPr>
          <w:p>
            <w:pPr>
              <w:spacing w:after="0"/>
              <w:rPr>
                <w:sz w:val="18"/>
                <w:szCs w:val="18"/>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DBDBDB"/>
          </w:tcPr>
          <w:p>
            <w:pPr>
              <w:spacing w:after="0"/>
              <w:rPr>
                <w:sz w:val="18"/>
                <w:szCs w:val="18"/>
                <w:color w:val="auto"/>
              </w:rPr>
            </w:pPr>
          </w:p>
        </w:tc>
        <w:tc>
          <w:tcPr>
            <w:tcW w:w="120" w:type="dxa"/>
            <w:vAlign w:val="bottom"/>
            <w:tcBorders>
              <w:bottom w:val="single" w:sz="8" w:color="auto"/>
            </w:tcBorders>
            <w:shd w:val="clear" w:color="auto" w:fill="DBDBDB"/>
          </w:tcPr>
          <w:p>
            <w:pPr>
              <w:spacing w:after="0"/>
              <w:rPr>
                <w:sz w:val="18"/>
                <w:szCs w:val="18"/>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DBDBDB"/>
          </w:tcPr>
          <w:p>
            <w:pPr>
              <w:spacing w:after="0"/>
              <w:rPr>
                <w:sz w:val="18"/>
                <w:szCs w:val="18"/>
                <w:color w:val="auto"/>
              </w:rPr>
            </w:pPr>
          </w:p>
        </w:tc>
        <w:tc>
          <w:tcPr>
            <w:tcW w:w="280" w:type="dxa"/>
            <w:vAlign w:val="bottom"/>
            <w:tcBorders>
              <w:bottom w:val="single" w:sz="8" w:color="auto"/>
            </w:tcBorders>
            <w:shd w:val="clear" w:color="auto" w:fill="DBDBDB"/>
          </w:tcPr>
          <w:p>
            <w:pPr>
              <w:spacing w:after="0"/>
              <w:rPr>
                <w:sz w:val="18"/>
                <w:szCs w:val="18"/>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5840" w:type="dxa"/>
            <w:vAlign w:val="bottom"/>
            <w:tcBorders>
              <w:bottom w:val="single" w:sz="8" w:color="DBDBDB"/>
            </w:tcBorders>
          </w:tcPr>
          <w:p>
            <w:pPr>
              <w:ind w:left="440"/>
              <w:spacing w:after="0"/>
              <w:rPr>
                <w:sz w:val="20"/>
                <w:szCs w:val="20"/>
                <w:color w:val="auto"/>
              </w:rPr>
            </w:pPr>
            <w:r>
              <w:rPr>
                <w:rFonts w:ascii="Arial" w:cs="Arial" w:eastAsia="Arial" w:hAnsi="Arial"/>
                <w:sz w:val="18"/>
                <w:szCs w:val="18"/>
                <w:color w:val="auto"/>
              </w:rPr>
              <w:t>Changes in fair value of cash flow hedges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DBDBDB"/>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r>
      <w:tr>
        <w:trPr>
          <w:trHeight w:val="223"/>
        </w:trPr>
        <w:tc>
          <w:tcPr>
            <w:tcW w:w="5840" w:type="dxa"/>
            <w:vAlign w:val="bottom"/>
            <w:shd w:val="clear" w:color="auto" w:fill="DBDBDB"/>
          </w:tcPr>
          <w:p>
            <w:pPr>
              <w:ind w:left="220"/>
              <w:spacing w:after="0"/>
              <w:rPr>
                <w:sz w:val="20"/>
                <w:szCs w:val="20"/>
                <w:color w:val="auto"/>
              </w:rPr>
            </w:pPr>
            <w:r>
              <w:rPr>
                <w:rFonts w:ascii="Arial" w:cs="Arial" w:eastAsia="Arial" w:hAnsi="Arial"/>
                <w:sz w:val="18"/>
                <w:szCs w:val="18"/>
                <w:color w:val="auto"/>
              </w:rPr>
              <w:t>Other comprehensive income (loss), net of tax</w:t>
            </w:r>
          </w:p>
        </w:tc>
        <w:tc>
          <w:tcPr>
            <w:tcW w:w="30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DBDBDB"/>
          </w:tcPr>
          <w:p>
            <w:pPr>
              <w:spacing w:after="0"/>
              <w:rPr>
                <w:sz w:val="19"/>
                <w:szCs w:val="19"/>
                <w:color w:val="auto"/>
              </w:rPr>
            </w:pPr>
          </w:p>
        </w:tc>
        <w:tc>
          <w:tcPr>
            <w:tcW w:w="120" w:type="dxa"/>
            <w:vAlign w:val="bottom"/>
            <w:tcBorders>
              <w:bottom w:val="single" w:sz="8" w:color="auto"/>
            </w:tcBorders>
            <w:shd w:val="clear" w:color="auto" w:fill="DBDBDB"/>
          </w:tcPr>
          <w:p>
            <w:pPr>
              <w:spacing w:after="0"/>
              <w:rPr>
                <w:sz w:val="19"/>
                <w:szCs w:val="19"/>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(239)</w:t>
            </w:r>
          </w:p>
        </w:tc>
      </w:tr>
      <w:tr>
        <w:trPr>
          <w:trHeight w:val="223"/>
        </w:trPr>
        <w:tc>
          <w:tcPr>
            <w:tcW w:w="584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1,154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4,352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3,247</w:t>
            </w:r>
          </w:p>
        </w:tc>
      </w:tr>
      <w:tr>
        <w:trPr>
          <w:trHeight w:val="229"/>
        </w:trPr>
        <w:tc>
          <w:tcPr>
            <w:tcW w:w="5840" w:type="dxa"/>
            <w:vAlign w:val="bottom"/>
            <w:shd w:val="clear" w:color="auto" w:fill="DBDBDB"/>
          </w:tcPr>
          <w:p>
            <w:pPr>
              <w:ind w:left="20"/>
              <w:spacing w:after="0"/>
              <w:rPr>
                <w:sz w:val="20"/>
                <w:szCs w:val="20"/>
                <w:color w:val="auto"/>
              </w:rPr>
            </w:pPr>
            <w:r>
              <w:rPr>
                <w:rFonts w:ascii="Arial" w:cs="Arial" w:eastAsia="Arial" w:hAnsi="Arial"/>
                <w:sz w:val="18"/>
                <w:szCs w:val="18"/>
                <w:color w:val="auto"/>
              </w:rPr>
              <w:t>Less: Comprehensive income attributable to the noncontrolling interest</w:t>
            </w:r>
          </w:p>
        </w:tc>
        <w:tc>
          <w:tcPr>
            <w:tcW w:w="30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DBDBDB"/>
          </w:tcPr>
          <w:p>
            <w:pPr>
              <w:spacing w:after="0"/>
              <w:rPr>
                <w:sz w:val="19"/>
                <w:szCs w:val="19"/>
                <w:color w:val="auto"/>
              </w:rPr>
            </w:pPr>
          </w:p>
        </w:tc>
        <w:tc>
          <w:tcPr>
            <w:tcW w:w="120" w:type="dxa"/>
            <w:vAlign w:val="bottom"/>
            <w:tcBorders>
              <w:bottom w:val="single" w:sz="8" w:color="auto"/>
            </w:tcBorders>
            <w:shd w:val="clear" w:color="auto" w:fill="DBDBDB"/>
          </w:tcPr>
          <w:p>
            <w:pPr>
              <w:spacing w:after="0"/>
              <w:rPr>
                <w:sz w:val="19"/>
                <w:szCs w:val="19"/>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68</w:t>
            </w:r>
          </w:p>
        </w:tc>
      </w:tr>
      <w:tr>
        <w:trPr>
          <w:trHeight w:val="223"/>
        </w:trPr>
        <w:tc>
          <w:tcPr>
            <w:tcW w:w="5840" w:type="dxa"/>
            <w:vAlign w:val="bottom"/>
          </w:tcPr>
          <w:p>
            <w:pPr>
              <w:ind w:left="20"/>
              <w:spacing w:after="0"/>
              <w:rPr>
                <w:sz w:val="20"/>
                <w:szCs w:val="20"/>
                <w:color w:val="auto"/>
              </w:rPr>
            </w:pPr>
            <w:r>
              <w:rPr>
                <w:rFonts w:ascii="Arial" w:cs="Arial" w:eastAsia="Arial" w:hAnsi="Arial"/>
                <w:sz w:val="18"/>
                <w:szCs w:val="18"/>
                <w:color w:val="auto"/>
              </w:rPr>
              <w:t>Comprehensive income attributable to Honeywell</w:t>
            </w:r>
          </w:p>
        </w:tc>
        <w:tc>
          <w:tcPr>
            <w:tcW w:w="30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1,139</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4,298</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3,179</w:t>
            </w:r>
          </w:p>
        </w:tc>
      </w:tr>
      <w:tr>
        <w:trPr>
          <w:trHeight w:val="20"/>
        </w:trPr>
        <w:tc>
          <w:tcPr>
            <w:tcW w:w="5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Consolidated Financial Statements are an integral part of this statement.</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2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139" w:lineRule="exact"/>
        <w:rPr>
          <w:sz w:val="20"/>
          <w:szCs w:val="20"/>
          <w:color w:val="auto"/>
        </w:rPr>
      </w:pPr>
    </w:p>
    <w:p>
      <w:pPr>
        <w:ind w:left="4100"/>
        <w:spacing w:after="0"/>
        <w:rPr>
          <w:sz w:val="20"/>
          <w:szCs w:val="20"/>
          <w:color w:val="auto"/>
        </w:rPr>
      </w:pPr>
      <w:r>
        <w:rPr>
          <w:rFonts w:ascii="Arial" w:cs="Arial" w:eastAsia="Arial" w:hAnsi="Arial"/>
          <w:sz w:val="22"/>
          <w:szCs w:val="22"/>
          <w:b w:val="1"/>
          <w:bCs w:val="1"/>
          <w:color w:val="auto"/>
        </w:rPr>
        <w:t>HONEYWELL INTERNATIONAL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580" w:type="dxa"/>
            <w:vAlign w:val="bottom"/>
          </w:tcPr>
          <w:p>
            <w:pPr>
              <w:spacing w:after="0"/>
              <w:rPr>
                <w:sz w:val="17"/>
                <w:szCs w:val="17"/>
                <w:color w:val="auto"/>
              </w:rPr>
            </w:pPr>
          </w:p>
        </w:tc>
        <w:tc>
          <w:tcPr>
            <w:tcW w:w="160" w:type="dxa"/>
            <w:vAlign w:val="bottom"/>
            <w:tcBorders>
              <w:bottom w:val="single" w:sz="8" w:color="DC202E"/>
            </w:tcBorders>
          </w:tcPr>
          <w:p>
            <w:pPr>
              <w:spacing w:after="0"/>
              <w:rPr>
                <w:sz w:val="17"/>
                <w:szCs w:val="17"/>
                <w:color w:val="auto"/>
              </w:rPr>
            </w:pPr>
          </w:p>
        </w:tc>
        <w:tc>
          <w:tcPr>
            <w:tcW w:w="1720" w:type="dxa"/>
            <w:vAlign w:val="bottom"/>
            <w:tcBorders>
              <w:bottom w:val="single" w:sz="8" w:color="DC202E"/>
            </w:tcBorders>
            <w:gridSpan w:val="2"/>
          </w:tcPr>
          <w:p>
            <w:pPr>
              <w:ind w:left="60"/>
              <w:spacing w:after="0"/>
              <w:rPr>
                <w:sz w:val="20"/>
                <w:szCs w:val="20"/>
                <w:color w:val="auto"/>
              </w:rPr>
            </w:pPr>
            <w:r>
              <w:rPr>
                <w:rFonts w:ascii="Arial" w:cs="Arial" w:eastAsia="Arial" w:hAnsi="Arial"/>
                <w:sz w:val="14"/>
                <w:szCs w:val="14"/>
                <w:b w:val="1"/>
                <w:bCs w:val="1"/>
                <w:color w:val="auto"/>
              </w:rPr>
              <w:t>September 30, 2021</w:t>
            </w:r>
          </w:p>
        </w:tc>
        <w:tc>
          <w:tcPr>
            <w:tcW w:w="180" w:type="dxa"/>
            <w:vAlign w:val="bottom"/>
            <w:tcBorders>
              <w:bottom w:val="single" w:sz="8" w:color="DC202E"/>
            </w:tcBorders>
          </w:tcPr>
          <w:p>
            <w:pPr>
              <w:spacing w:after="0"/>
              <w:rPr>
                <w:sz w:val="17"/>
                <w:szCs w:val="17"/>
                <w:color w:val="auto"/>
              </w:rPr>
            </w:pPr>
          </w:p>
        </w:tc>
        <w:tc>
          <w:tcPr>
            <w:tcW w:w="1600" w:type="dxa"/>
            <w:vAlign w:val="bottom"/>
            <w:tcBorders>
              <w:bottom w:val="single" w:sz="8" w:color="DC202E"/>
            </w:tcBorders>
          </w:tcPr>
          <w:p>
            <w:pPr>
              <w:jc w:val="right"/>
              <w:ind w:right="151"/>
              <w:spacing w:after="0"/>
              <w:rPr>
                <w:sz w:val="20"/>
                <w:szCs w:val="20"/>
                <w:color w:val="auto"/>
              </w:rPr>
            </w:pPr>
            <w:r>
              <w:rPr>
                <w:rFonts w:ascii="Arial" w:cs="Arial" w:eastAsia="Arial" w:hAnsi="Arial"/>
                <w:sz w:val="14"/>
                <w:szCs w:val="14"/>
                <w:b w:val="1"/>
                <w:bCs w:val="1"/>
                <w:color w:val="auto"/>
              </w:rPr>
              <w:t>December 31, 2020</w:t>
            </w:r>
          </w:p>
        </w:tc>
      </w:tr>
      <w:tr>
        <w:trPr>
          <w:trHeight w:val="189"/>
        </w:trPr>
        <w:tc>
          <w:tcPr>
            <w:tcW w:w="7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500" w:type="dxa"/>
            <w:vAlign w:val="bottom"/>
            <w:gridSpan w:val="4"/>
          </w:tcPr>
          <w:p>
            <w:pPr>
              <w:jc w:val="right"/>
              <w:ind w:right="1071"/>
              <w:spacing w:after="0"/>
              <w:rPr>
                <w:sz w:val="20"/>
                <w:szCs w:val="20"/>
                <w:color w:val="auto"/>
              </w:rPr>
            </w:pPr>
            <w:r>
              <w:rPr>
                <w:rFonts w:ascii="Arial" w:cs="Arial" w:eastAsia="Arial" w:hAnsi="Arial"/>
                <w:sz w:val="14"/>
                <w:szCs w:val="14"/>
                <w:b w:val="1"/>
                <w:bCs w:val="1"/>
                <w:color w:val="auto"/>
              </w:rPr>
              <w:t>(Dollars in millions)</w:t>
            </w:r>
          </w:p>
        </w:tc>
      </w:tr>
      <w:tr>
        <w:trPr>
          <w:trHeight w:val="230"/>
        </w:trPr>
        <w:tc>
          <w:tcPr>
            <w:tcW w:w="758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DBDBDB"/>
          </w:tcPr>
          <w:p>
            <w:pPr>
              <w:spacing w:after="0"/>
              <w:rPr>
                <w:sz w:val="19"/>
                <w:szCs w:val="19"/>
                <w:color w:val="auto"/>
              </w:rPr>
            </w:pPr>
          </w:p>
        </w:tc>
        <w:tc>
          <w:tcPr>
            <w:tcW w:w="16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600" w:type="dxa"/>
            <w:vAlign w:val="bottom"/>
            <w:shd w:val="clear" w:color="auto" w:fill="DBDBDB"/>
          </w:tcPr>
          <w:p>
            <w:pPr>
              <w:spacing w:after="0"/>
              <w:rPr>
                <w:sz w:val="19"/>
                <w:szCs w:val="19"/>
                <w:color w:val="auto"/>
              </w:rPr>
            </w:pP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0"/>
        </w:trPr>
        <w:tc>
          <w:tcPr>
            <w:tcW w:w="7580" w:type="dxa"/>
            <w:vAlign w:val="bottom"/>
            <w:shd w:val="clear" w:color="auto" w:fill="DBDBDB"/>
          </w:tcPr>
          <w:p>
            <w:pPr>
              <w:ind w:left="22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11,087</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14,275</w:t>
            </w:r>
          </w:p>
        </w:tc>
      </w:tr>
      <w:tr>
        <w:trPr>
          <w:trHeight w:val="229"/>
        </w:trPr>
        <w:tc>
          <w:tcPr>
            <w:tcW w:w="7580" w:type="dxa"/>
            <w:vAlign w:val="bottom"/>
          </w:tcPr>
          <w:p>
            <w:pPr>
              <w:ind w:left="220"/>
              <w:spacing w:after="0"/>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1,049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945</w:t>
            </w:r>
          </w:p>
        </w:tc>
      </w:tr>
      <w:tr>
        <w:trPr>
          <w:trHeight w:val="229"/>
        </w:trPr>
        <w:tc>
          <w:tcPr>
            <w:tcW w:w="7580" w:type="dxa"/>
            <w:vAlign w:val="bottom"/>
            <w:shd w:val="clear" w:color="auto" w:fill="DBDBDB"/>
          </w:tcPr>
          <w:p>
            <w:pPr>
              <w:ind w:left="220"/>
              <w:spacing w:after="0"/>
              <w:rPr>
                <w:sz w:val="20"/>
                <w:szCs w:val="20"/>
                <w:color w:val="auto"/>
              </w:rPr>
            </w:pPr>
            <w:r>
              <w:rPr>
                <w:rFonts w:ascii="Arial" w:cs="Arial" w:eastAsia="Arial" w:hAnsi="Arial"/>
                <w:sz w:val="18"/>
                <w:szCs w:val="18"/>
                <w:color w:val="auto"/>
              </w:rPr>
              <w:t>Accounts receivable - net</w:t>
            </w:r>
          </w:p>
        </w:tc>
        <w:tc>
          <w:tcPr>
            <w:tcW w:w="160" w:type="dxa"/>
            <w:vAlign w:val="bottom"/>
            <w:shd w:val="clear" w:color="auto" w:fill="DBDBDB"/>
          </w:tcPr>
          <w:p>
            <w:pPr>
              <w:spacing w:after="0"/>
              <w:rPr>
                <w:sz w:val="19"/>
                <w:szCs w:val="19"/>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7,239</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6,827</w:t>
            </w:r>
          </w:p>
        </w:tc>
      </w:tr>
      <w:tr>
        <w:trPr>
          <w:trHeight w:val="230"/>
        </w:trPr>
        <w:tc>
          <w:tcPr>
            <w:tcW w:w="758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4,967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4,489</w:t>
            </w:r>
          </w:p>
        </w:tc>
      </w:tr>
      <w:tr>
        <w:trPr>
          <w:trHeight w:val="229"/>
        </w:trPr>
        <w:tc>
          <w:tcPr>
            <w:tcW w:w="7580" w:type="dxa"/>
            <w:vAlign w:val="bottom"/>
            <w:shd w:val="clear" w:color="auto" w:fill="DBDBDB"/>
          </w:tcPr>
          <w:p>
            <w:pPr>
              <w:ind w:left="220"/>
              <w:spacing w:after="0"/>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auto"/>
            </w:tcBorders>
            <w:shd w:val="clear" w:color="auto" w:fill="DBDBDB"/>
          </w:tcPr>
          <w:p>
            <w:pPr>
              <w:spacing w:after="0"/>
              <w:rPr>
                <w:sz w:val="19"/>
                <w:szCs w:val="19"/>
                <w:color w:val="auto"/>
              </w:rPr>
            </w:pPr>
          </w:p>
        </w:tc>
        <w:tc>
          <w:tcPr>
            <w:tcW w:w="1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1,691</w:t>
            </w:r>
          </w:p>
        </w:tc>
        <w:tc>
          <w:tcPr>
            <w:tcW w:w="12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1,639</w:t>
            </w:r>
          </w:p>
        </w:tc>
      </w:tr>
      <w:tr>
        <w:trPr>
          <w:trHeight w:val="223"/>
        </w:trPr>
        <w:tc>
          <w:tcPr>
            <w:tcW w:w="758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26,033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28,175</w:t>
            </w:r>
          </w:p>
        </w:tc>
      </w:tr>
      <w:tr>
        <w:trPr>
          <w:trHeight w:val="229"/>
        </w:trPr>
        <w:tc>
          <w:tcPr>
            <w:tcW w:w="7580" w:type="dxa"/>
            <w:vAlign w:val="bottom"/>
            <w:shd w:val="clear" w:color="auto" w:fill="DBDBDB"/>
          </w:tcPr>
          <w:p>
            <w:pPr>
              <w:ind w:left="20"/>
              <w:spacing w:after="0"/>
              <w:rPr>
                <w:sz w:val="20"/>
                <w:szCs w:val="20"/>
                <w:color w:val="auto"/>
              </w:rPr>
            </w:pPr>
            <w:r>
              <w:rPr>
                <w:rFonts w:ascii="Arial" w:cs="Arial" w:eastAsia="Arial" w:hAnsi="Arial"/>
                <w:sz w:val="18"/>
                <w:szCs w:val="18"/>
                <w:color w:val="auto"/>
              </w:rPr>
              <w:t>Investments and long-term receivables</w:t>
            </w:r>
          </w:p>
        </w:tc>
        <w:tc>
          <w:tcPr>
            <w:tcW w:w="160" w:type="dxa"/>
            <w:vAlign w:val="bottom"/>
            <w:shd w:val="clear" w:color="auto" w:fill="DBDBDB"/>
          </w:tcPr>
          <w:p>
            <w:pPr>
              <w:spacing w:after="0"/>
              <w:rPr>
                <w:sz w:val="19"/>
                <w:szCs w:val="19"/>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1,243</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685</w:t>
            </w: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Property, plant and equipment - net</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5,514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5,570</w:t>
            </w:r>
          </w:p>
        </w:tc>
      </w:tr>
      <w:tr>
        <w:trPr>
          <w:trHeight w:val="230"/>
        </w:trPr>
        <w:tc>
          <w:tcPr>
            <w:tcW w:w="75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DBDBDB"/>
          </w:tcPr>
          <w:p>
            <w:pPr>
              <w:spacing w:after="0"/>
              <w:rPr>
                <w:sz w:val="19"/>
                <w:szCs w:val="19"/>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16,963</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16,058</w:t>
            </w: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Other intangible assets - net</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3,637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3,560</w:t>
            </w:r>
          </w:p>
        </w:tc>
      </w:tr>
      <w:tr>
        <w:trPr>
          <w:trHeight w:val="230"/>
        </w:trPr>
        <w:tc>
          <w:tcPr>
            <w:tcW w:w="7580" w:type="dxa"/>
            <w:vAlign w:val="bottom"/>
            <w:shd w:val="clear" w:color="auto" w:fill="DBDBDB"/>
          </w:tcPr>
          <w:p>
            <w:pPr>
              <w:ind w:left="20"/>
              <w:spacing w:after="0"/>
              <w:rPr>
                <w:sz w:val="20"/>
                <w:szCs w:val="20"/>
                <w:color w:val="auto"/>
              </w:rPr>
            </w:pPr>
            <w:r>
              <w:rPr>
                <w:rFonts w:ascii="Arial" w:cs="Arial" w:eastAsia="Arial" w:hAnsi="Arial"/>
                <w:sz w:val="18"/>
                <w:szCs w:val="18"/>
                <w:color w:val="auto"/>
              </w:rPr>
              <w:t>Insurance recoveries for asbestos related liabilities</w:t>
            </w:r>
          </w:p>
        </w:tc>
        <w:tc>
          <w:tcPr>
            <w:tcW w:w="160" w:type="dxa"/>
            <w:vAlign w:val="bottom"/>
            <w:shd w:val="clear" w:color="auto" w:fill="DBDBDB"/>
          </w:tcPr>
          <w:p>
            <w:pPr>
              <w:spacing w:after="0"/>
              <w:rPr>
                <w:sz w:val="19"/>
                <w:szCs w:val="19"/>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330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366</w:t>
            </w: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760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760</w:t>
            </w:r>
          </w:p>
        </w:tc>
      </w:tr>
      <w:tr>
        <w:trPr>
          <w:trHeight w:val="229"/>
        </w:trPr>
        <w:tc>
          <w:tcPr>
            <w:tcW w:w="7580" w:type="dxa"/>
            <w:vAlign w:val="bottom"/>
            <w:shd w:val="clear" w:color="auto" w:fill="DBDBDB"/>
          </w:tcPr>
          <w:p>
            <w:pPr>
              <w:ind w:left="2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shd w:val="clear" w:color="auto" w:fill="DBDBDB"/>
          </w:tcPr>
          <w:p>
            <w:pPr>
              <w:spacing w:after="0"/>
              <w:rPr>
                <w:sz w:val="19"/>
                <w:szCs w:val="19"/>
                <w:color w:val="auto"/>
              </w:rPr>
            </w:pPr>
          </w:p>
        </w:tc>
        <w:tc>
          <w:tcPr>
            <w:tcW w:w="1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9,711</w:t>
            </w:r>
          </w:p>
        </w:tc>
        <w:tc>
          <w:tcPr>
            <w:tcW w:w="12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9,412</w:t>
            </w:r>
          </w:p>
        </w:tc>
      </w:tr>
      <w:tr>
        <w:trPr>
          <w:trHeight w:val="223"/>
        </w:trPr>
        <w:tc>
          <w:tcPr>
            <w:tcW w:w="7580" w:type="dxa"/>
            <w:vAlign w:val="bottom"/>
          </w:tcPr>
          <w:p>
            <w:pPr>
              <w:ind w:left="48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64,191</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64,586</w:t>
            </w:r>
          </w:p>
        </w:tc>
      </w:tr>
      <w:tr>
        <w:trPr>
          <w:trHeight w:val="20"/>
        </w:trPr>
        <w:tc>
          <w:tcPr>
            <w:tcW w:w="7580" w:type="dxa"/>
            <w:vAlign w:val="bottom"/>
            <w:tcBorders>
              <w:bottom w:val="single" w:sz="8" w:color="DBDBDB"/>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196"/>
        </w:trPr>
        <w:tc>
          <w:tcPr>
            <w:tcW w:w="7580" w:type="dxa"/>
            <w:vAlign w:val="bottom"/>
            <w:shd w:val="clear" w:color="auto" w:fill="DBDBDB"/>
          </w:tcPr>
          <w:p>
            <w:pPr>
              <w:ind w:left="20"/>
              <w:spacing w:after="0" w:line="196" w:lineRule="exact"/>
              <w:rPr>
                <w:sz w:val="20"/>
                <w:szCs w:val="20"/>
                <w:color w:val="auto"/>
              </w:rPr>
            </w:pPr>
            <w:r>
              <w:rPr>
                <w:rFonts w:ascii="Arial" w:cs="Arial" w:eastAsia="Arial" w:hAnsi="Arial"/>
                <w:sz w:val="18"/>
                <w:szCs w:val="18"/>
                <w:b w:val="1"/>
                <w:bCs w:val="1"/>
                <w:color w:val="auto"/>
              </w:rPr>
              <w:t>LIABILITIES</w:t>
            </w:r>
          </w:p>
        </w:tc>
        <w:tc>
          <w:tcPr>
            <w:tcW w:w="160" w:type="dxa"/>
            <w:vAlign w:val="bottom"/>
            <w:shd w:val="clear" w:color="auto" w:fill="DBDBDB"/>
          </w:tcPr>
          <w:p>
            <w:pPr>
              <w:spacing w:after="0"/>
              <w:rPr>
                <w:sz w:val="17"/>
                <w:szCs w:val="17"/>
                <w:color w:val="auto"/>
              </w:rPr>
            </w:pPr>
          </w:p>
        </w:tc>
        <w:tc>
          <w:tcPr>
            <w:tcW w:w="160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600" w:type="dxa"/>
            <w:vAlign w:val="bottom"/>
            <w:shd w:val="clear" w:color="auto" w:fill="DBDBDB"/>
          </w:tcPr>
          <w:p>
            <w:pPr>
              <w:spacing w:after="0"/>
              <w:rPr>
                <w:sz w:val="17"/>
                <w:szCs w:val="17"/>
                <w:color w:val="auto"/>
              </w:rPr>
            </w:pP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0"/>
        </w:trPr>
        <w:tc>
          <w:tcPr>
            <w:tcW w:w="7580" w:type="dxa"/>
            <w:vAlign w:val="bottom"/>
            <w:shd w:val="clear" w:color="auto" w:fill="DBDBDB"/>
          </w:tcPr>
          <w:p>
            <w:pPr>
              <w:ind w:left="22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6,116</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5,750</w:t>
            </w:r>
          </w:p>
        </w:tc>
      </w:tr>
      <w:tr>
        <w:trPr>
          <w:trHeight w:val="230"/>
        </w:trPr>
        <w:tc>
          <w:tcPr>
            <w:tcW w:w="7580" w:type="dxa"/>
            <w:vAlign w:val="bottom"/>
          </w:tcPr>
          <w:p>
            <w:pPr>
              <w:ind w:left="220"/>
              <w:spacing w:after="0"/>
              <w:rPr>
                <w:sz w:val="20"/>
                <w:szCs w:val="20"/>
                <w:color w:val="auto"/>
              </w:rPr>
            </w:pPr>
            <w:r>
              <w:rPr>
                <w:rFonts w:ascii="Arial" w:cs="Arial" w:eastAsia="Arial" w:hAnsi="Arial"/>
                <w:sz w:val="18"/>
                <w:szCs w:val="18"/>
                <w:color w:val="auto"/>
              </w:rPr>
              <w:t>Commercial paper and other short-term borrowings</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3,559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3,597</w:t>
            </w:r>
          </w:p>
        </w:tc>
      </w:tr>
      <w:tr>
        <w:trPr>
          <w:trHeight w:val="229"/>
        </w:trPr>
        <w:tc>
          <w:tcPr>
            <w:tcW w:w="7580" w:type="dxa"/>
            <w:vAlign w:val="bottom"/>
            <w:shd w:val="clear" w:color="auto" w:fill="DBDBDB"/>
          </w:tcPr>
          <w:p>
            <w:pPr>
              <w:ind w:left="220"/>
              <w:spacing w:after="0"/>
              <w:rPr>
                <w:sz w:val="20"/>
                <w:szCs w:val="20"/>
                <w:color w:val="auto"/>
              </w:rPr>
            </w:pPr>
            <w:r>
              <w:rPr>
                <w:rFonts w:ascii="Arial" w:cs="Arial" w:eastAsia="Arial" w:hAnsi="Arial"/>
                <w:sz w:val="18"/>
                <w:szCs w:val="18"/>
                <w:color w:val="auto"/>
              </w:rPr>
              <w:t>Current maturities of long-term debt</w:t>
            </w:r>
          </w:p>
        </w:tc>
        <w:tc>
          <w:tcPr>
            <w:tcW w:w="160" w:type="dxa"/>
            <w:vAlign w:val="bottom"/>
            <w:shd w:val="clear" w:color="auto" w:fill="DBDBDB"/>
          </w:tcPr>
          <w:p>
            <w:pPr>
              <w:spacing w:after="0"/>
              <w:rPr>
                <w:sz w:val="19"/>
                <w:szCs w:val="19"/>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3,344</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2,445</w:t>
            </w:r>
          </w:p>
        </w:tc>
      </w:tr>
      <w:tr>
        <w:trPr>
          <w:trHeight w:val="230"/>
        </w:trPr>
        <w:tc>
          <w:tcPr>
            <w:tcW w:w="7580" w:type="dxa"/>
            <w:vAlign w:val="bottom"/>
            <w:tcBorders>
              <w:bottom w:val="single" w:sz="8" w:color="DBDBDB"/>
            </w:tcBorders>
          </w:tcPr>
          <w:p>
            <w:pPr>
              <w:ind w:left="220"/>
              <w:spacing w:after="0"/>
              <w:rPr>
                <w:sz w:val="20"/>
                <w:szCs w:val="20"/>
                <w:color w:val="auto"/>
              </w:rPr>
            </w:pPr>
            <w:r>
              <w:rPr>
                <w:rFonts w:ascii="Arial" w:cs="Arial" w:eastAsia="Arial" w:hAnsi="Arial"/>
                <w:sz w:val="18"/>
                <w:szCs w:val="18"/>
                <w:color w:val="auto"/>
              </w:rPr>
              <w:t>Accrued liabilities</w:t>
            </w: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7,188</w:t>
            </w:r>
          </w:p>
        </w:tc>
        <w:tc>
          <w:tcPr>
            <w:tcW w:w="12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7,405</w:t>
            </w:r>
          </w:p>
        </w:tc>
      </w:tr>
      <w:tr>
        <w:trPr>
          <w:trHeight w:val="223"/>
        </w:trPr>
        <w:tc>
          <w:tcPr>
            <w:tcW w:w="7580" w:type="dxa"/>
            <w:vAlign w:val="bottom"/>
            <w:shd w:val="clear" w:color="auto" w:fill="DBDBDB"/>
          </w:tcPr>
          <w:p>
            <w:pPr>
              <w:ind w:left="48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DBDBDB"/>
          </w:tcPr>
          <w:p>
            <w:pPr>
              <w:spacing w:after="0"/>
              <w:rPr>
                <w:sz w:val="19"/>
                <w:szCs w:val="19"/>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20,207</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19,197</w:t>
            </w: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14,346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16,342</w:t>
            </w:r>
          </w:p>
        </w:tc>
      </w:tr>
      <w:tr>
        <w:trPr>
          <w:trHeight w:val="230"/>
        </w:trPr>
        <w:tc>
          <w:tcPr>
            <w:tcW w:w="7580" w:type="dxa"/>
            <w:vAlign w:val="bottom"/>
            <w:shd w:val="clear" w:color="auto" w:fill="DBDBDB"/>
          </w:tcPr>
          <w:p>
            <w:pPr>
              <w:ind w:left="20"/>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DBDBDB"/>
          </w:tcPr>
          <w:p>
            <w:pPr>
              <w:spacing w:after="0"/>
              <w:rPr>
                <w:sz w:val="19"/>
                <w:szCs w:val="19"/>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2,372</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2,113</w:t>
            </w: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Postretirement benefit obligations other than pensions</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242</w:t>
            </w:r>
          </w:p>
        </w:tc>
      </w:tr>
      <w:tr>
        <w:trPr>
          <w:trHeight w:val="229"/>
        </w:trPr>
        <w:tc>
          <w:tcPr>
            <w:tcW w:w="7580" w:type="dxa"/>
            <w:vAlign w:val="bottom"/>
            <w:shd w:val="clear" w:color="auto" w:fill="DBDBDB"/>
          </w:tcPr>
          <w:p>
            <w:pPr>
              <w:ind w:left="20"/>
              <w:spacing w:after="0"/>
              <w:rPr>
                <w:sz w:val="20"/>
                <w:szCs w:val="20"/>
                <w:color w:val="auto"/>
              </w:rPr>
            </w:pPr>
            <w:r>
              <w:rPr>
                <w:rFonts w:ascii="Arial" w:cs="Arial" w:eastAsia="Arial" w:hAnsi="Arial"/>
                <w:sz w:val="18"/>
                <w:szCs w:val="18"/>
                <w:color w:val="auto"/>
              </w:rPr>
              <w:t>Asbestos-related liabilities</w:t>
            </w:r>
          </w:p>
        </w:tc>
        <w:tc>
          <w:tcPr>
            <w:tcW w:w="160" w:type="dxa"/>
            <w:vAlign w:val="bottom"/>
            <w:shd w:val="clear" w:color="auto" w:fill="DBDBDB"/>
          </w:tcPr>
          <w:p>
            <w:pPr>
              <w:spacing w:after="0"/>
              <w:rPr>
                <w:sz w:val="19"/>
                <w:szCs w:val="19"/>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1,765</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1,920</w:t>
            </w: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7,155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6,975</w:t>
            </w:r>
          </w:p>
        </w:tc>
      </w:tr>
      <w:tr>
        <w:trPr>
          <w:trHeight w:val="230"/>
        </w:trPr>
        <w:tc>
          <w:tcPr>
            <w:tcW w:w="758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Redeemable noncontrolling interest</w:t>
            </w:r>
          </w:p>
        </w:tc>
        <w:tc>
          <w:tcPr>
            <w:tcW w:w="160" w:type="dxa"/>
            <w:vAlign w:val="bottom"/>
            <w:shd w:val="clear" w:color="auto" w:fill="DBDBDB"/>
          </w:tcPr>
          <w:p>
            <w:pPr>
              <w:spacing w:after="0"/>
              <w:rPr>
                <w:sz w:val="19"/>
                <w:szCs w:val="19"/>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b w:val="1"/>
                <w:bCs w:val="1"/>
                <w:color w:val="auto"/>
              </w:rPr>
              <w:t>SHAREOWNERS’ EQUITY</w:t>
            </w: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29"/>
        </w:trPr>
        <w:tc>
          <w:tcPr>
            <w:tcW w:w="75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Capital - common stock issued</w:t>
            </w:r>
          </w:p>
        </w:tc>
        <w:tc>
          <w:tcPr>
            <w:tcW w:w="160" w:type="dxa"/>
            <w:vAlign w:val="bottom"/>
            <w:shd w:val="clear" w:color="auto" w:fill="DBDBDB"/>
          </w:tcPr>
          <w:p>
            <w:pPr>
              <w:spacing w:after="0"/>
              <w:rPr>
                <w:sz w:val="19"/>
                <w:szCs w:val="19"/>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958</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958</w:t>
            </w:r>
          </w:p>
        </w:tc>
      </w:tr>
      <w:tr>
        <w:trPr>
          <w:trHeight w:val="230"/>
        </w:trPr>
        <w:tc>
          <w:tcPr>
            <w:tcW w:w="7580" w:type="dxa"/>
            <w:vAlign w:val="bottom"/>
          </w:tcPr>
          <w:p>
            <w:pPr>
              <w:ind w:left="640"/>
              <w:spacing w:after="0"/>
              <w:rPr>
                <w:sz w:val="20"/>
                <w:szCs w:val="20"/>
                <w:color w:val="auto"/>
              </w:rPr>
            </w:pPr>
            <w:r>
              <w:rPr>
                <w:rFonts w:ascii="Arial" w:cs="Arial" w:eastAsia="Arial" w:hAnsi="Arial"/>
                <w:sz w:val="18"/>
                <w:szCs w:val="18"/>
                <w:color w:val="auto"/>
              </w:rPr>
              <w:t>- additional paid-in capital</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7,612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7,292</w:t>
            </w:r>
          </w:p>
        </w:tc>
      </w:tr>
      <w:tr>
        <w:trPr>
          <w:trHeight w:val="230"/>
        </w:trPr>
        <w:tc>
          <w:tcPr>
            <w:tcW w:w="75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Common stock held in treasury, at cost</w:t>
            </w:r>
          </w:p>
        </w:tc>
        <w:tc>
          <w:tcPr>
            <w:tcW w:w="160" w:type="dxa"/>
            <w:vAlign w:val="bottom"/>
            <w:shd w:val="clear" w:color="auto" w:fill="DBDBDB"/>
          </w:tcPr>
          <w:p>
            <w:pPr>
              <w:spacing w:after="0"/>
              <w:rPr>
                <w:sz w:val="19"/>
                <w:szCs w:val="19"/>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(29,614)</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(27,229)</w:t>
            </w: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(3,193)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(3,377)</w:t>
            </w:r>
          </w:p>
        </w:tc>
      </w:tr>
      <w:tr>
        <w:trPr>
          <w:trHeight w:val="229"/>
        </w:trPr>
        <w:tc>
          <w:tcPr>
            <w:tcW w:w="758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Retained earnings</w:t>
            </w:r>
          </w:p>
        </w:tc>
        <w:tc>
          <w:tcPr>
            <w:tcW w:w="160" w:type="dxa"/>
            <w:vAlign w:val="bottom"/>
            <w:tcBorders>
              <w:bottom w:val="single" w:sz="8" w:color="auto"/>
            </w:tcBorders>
            <w:shd w:val="clear" w:color="auto" w:fill="DBDBDB"/>
          </w:tcPr>
          <w:p>
            <w:pPr>
              <w:spacing w:after="0"/>
              <w:rPr>
                <w:sz w:val="19"/>
                <w:szCs w:val="19"/>
                <w:color w:val="auto"/>
              </w:rPr>
            </w:pPr>
          </w:p>
        </w:tc>
        <w:tc>
          <w:tcPr>
            <w:tcW w:w="1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42,079</w:t>
            </w:r>
          </w:p>
        </w:tc>
        <w:tc>
          <w:tcPr>
            <w:tcW w:w="12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39,905</w:t>
            </w:r>
          </w:p>
        </w:tc>
      </w:tr>
      <w:tr>
        <w:trPr>
          <w:trHeight w:val="223"/>
        </w:trPr>
        <w:tc>
          <w:tcPr>
            <w:tcW w:w="7580" w:type="dxa"/>
            <w:vAlign w:val="bottom"/>
          </w:tcPr>
          <w:p>
            <w:pPr>
              <w:ind w:left="220"/>
              <w:spacing w:after="0"/>
              <w:rPr>
                <w:sz w:val="20"/>
                <w:szCs w:val="20"/>
                <w:color w:val="auto"/>
              </w:rPr>
            </w:pPr>
            <w:r>
              <w:rPr>
                <w:rFonts w:ascii="Arial" w:cs="Arial" w:eastAsia="Arial" w:hAnsi="Arial"/>
                <w:sz w:val="18"/>
                <w:szCs w:val="18"/>
                <w:color w:val="auto"/>
              </w:rPr>
              <w:t>Total Honeywell shareowners’ equity</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17,842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17,549</w:t>
            </w:r>
          </w:p>
        </w:tc>
      </w:tr>
      <w:tr>
        <w:trPr>
          <w:trHeight w:val="230"/>
        </w:trPr>
        <w:tc>
          <w:tcPr>
            <w:tcW w:w="758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Noncontrolling interest</w:t>
            </w:r>
          </w:p>
        </w:tc>
        <w:tc>
          <w:tcPr>
            <w:tcW w:w="160" w:type="dxa"/>
            <w:vAlign w:val="bottom"/>
            <w:tcBorders>
              <w:bottom w:val="single" w:sz="8" w:color="auto"/>
            </w:tcBorders>
            <w:shd w:val="clear" w:color="auto" w:fill="DBDBDB"/>
          </w:tcPr>
          <w:p>
            <w:pPr>
              <w:spacing w:after="0"/>
              <w:rPr>
                <w:sz w:val="19"/>
                <w:szCs w:val="19"/>
                <w:color w:val="auto"/>
              </w:rPr>
            </w:pPr>
          </w:p>
        </w:tc>
        <w:tc>
          <w:tcPr>
            <w:tcW w:w="1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272</w:t>
            </w:r>
          </w:p>
        </w:tc>
        <w:tc>
          <w:tcPr>
            <w:tcW w:w="12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241</w:t>
            </w:r>
          </w:p>
        </w:tc>
      </w:tr>
      <w:tr>
        <w:trPr>
          <w:trHeight w:val="223"/>
        </w:trPr>
        <w:tc>
          <w:tcPr>
            <w:tcW w:w="7580" w:type="dxa"/>
            <w:vAlign w:val="bottom"/>
            <w:tcBorders>
              <w:bottom w:val="single" w:sz="8" w:color="DBDBDB"/>
            </w:tcBorders>
          </w:tcPr>
          <w:p>
            <w:pPr>
              <w:ind w:left="220"/>
              <w:spacing w:after="0"/>
              <w:rPr>
                <w:sz w:val="20"/>
                <w:szCs w:val="20"/>
                <w:color w:val="auto"/>
              </w:rPr>
            </w:pPr>
            <w:r>
              <w:rPr>
                <w:rFonts w:ascii="Arial" w:cs="Arial" w:eastAsia="Arial" w:hAnsi="Arial"/>
                <w:sz w:val="18"/>
                <w:szCs w:val="18"/>
                <w:color w:val="auto"/>
              </w:rPr>
              <w:t>Total shareowners’ equity</w:t>
            </w: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18,114</w:t>
            </w:r>
          </w:p>
        </w:tc>
        <w:tc>
          <w:tcPr>
            <w:tcW w:w="12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17,790</w:t>
            </w:r>
          </w:p>
        </w:tc>
      </w:tr>
      <w:tr>
        <w:trPr>
          <w:trHeight w:val="248"/>
        </w:trPr>
        <w:tc>
          <w:tcPr>
            <w:tcW w:w="758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8"/>
                <w:szCs w:val="18"/>
                <w:color w:val="auto"/>
              </w:rPr>
              <w:t>Total liabilities, redeemable noncontrolling interest and shareowners’ equity</w:t>
            </w: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64,191</w:t>
            </w:r>
          </w:p>
        </w:tc>
        <w:tc>
          <w:tcPr>
            <w:tcW w:w="120" w:type="dxa"/>
            <w:vAlign w:val="bottom"/>
            <w:tcBorders>
              <w:bottom w:val="single" w:sz="8" w:color="DBDBDB"/>
            </w:tcBorders>
            <w:shd w:val="clear" w:color="auto" w:fill="DBDBDB"/>
          </w:tcPr>
          <w:p>
            <w:pPr>
              <w:spacing w:after="0"/>
              <w:rPr>
                <w:sz w:val="21"/>
                <w:szCs w:val="21"/>
                <w:color w:val="auto"/>
              </w:rPr>
            </w:pP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64,586</w:t>
            </w:r>
          </w:p>
        </w:tc>
      </w:tr>
      <w:tr>
        <w:trPr>
          <w:trHeight w:val="20"/>
        </w:trPr>
        <w:tc>
          <w:tcPr>
            <w:tcW w:w="758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6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600" w:type="dxa"/>
            <w:vAlign w:val="bottom"/>
            <w:tcBorders>
              <w:top w:val="single" w:sz="8" w:color="DBDBDB"/>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Consolidated Financial Statements are an integral part of this statement.</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3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1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060" w:type="dxa"/>
            <w:vAlign w:val="bottom"/>
          </w:tcPr>
          <w:p>
            <w:pPr>
              <w:spacing w:after="0"/>
              <w:rPr>
                <w:sz w:val="17"/>
                <w:szCs w:val="17"/>
                <w:color w:val="auto"/>
              </w:rPr>
            </w:pPr>
          </w:p>
        </w:tc>
        <w:tc>
          <w:tcPr>
            <w:tcW w:w="260" w:type="dxa"/>
            <w:vAlign w:val="bottom"/>
            <w:tcBorders>
              <w:bottom w:val="single" w:sz="8" w:color="DC202E"/>
            </w:tcBorders>
          </w:tcPr>
          <w:p>
            <w:pPr>
              <w:spacing w:after="0"/>
              <w:rPr>
                <w:sz w:val="17"/>
                <w:szCs w:val="17"/>
                <w:color w:val="auto"/>
              </w:rPr>
            </w:pPr>
          </w:p>
        </w:tc>
        <w:tc>
          <w:tcPr>
            <w:tcW w:w="2920" w:type="dxa"/>
            <w:vAlign w:val="bottom"/>
            <w:tcBorders>
              <w:bottom w:val="single" w:sz="8" w:color="DC202E"/>
            </w:tcBorders>
            <w:gridSpan w:val="4"/>
          </w:tcPr>
          <w:p>
            <w:pPr>
              <w:jc w:val="right"/>
              <w:ind w:right="310"/>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8060" w:type="dxa"/>
            <w:vAlign w:val="bottom"/>
          </w:tcPr>
          <w:p>
            <w:pPr>
              <w:spacing w:after="0"/>
              <w:rPr>
                <w:sz w:val="17"/>
                <w:szCs w:val="17"/>
                <w:color w:val="auto"/>
              </w:rPr>
            </w:pPr>
          </w:p>
        </w:tc>
        <w:tc>
          <w:tcPr>
            <w:tcW w:w="260" w:type="dxa"/>
            <w:vAlign w:val="bottom"/>
            <w:tcBorders>
              <w:bottom w:val="single" w:sz="8" w:color="DC202E"/>
            </w:tcBorders>
          </w:tcPr>
          <w:p>
            <w:pPr>
              <w:spacing w:after="0"/>
              <w:rPr>
                <w:sz w:val="17"/>
                <w:szCs w:val="17"/>
                <w:color w:val="auto"/>
              </w:rPr>
            </w:pPr>
          </w:p>
        </w:tc>
        <w:tc>
          <w:tcPr>
            <w:tcW w:w="1280" w:type="dxa"/>
            <w:vAlign w:val="bottom"/>
            <w:tcBorders>
              <w:bottom w:val="single" w:sz="8" w:color="DC202E"/>
            </w:tcBorders>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DC202E"/>
            </w:tcBorders>
          </w:tcPr>
          <w:p>
            <w:pPr>
              <w:spacing w:after="0"/>
              <w:rPr>
                <w:sz w:val="17"/>
                <w:szCs w:val="17"/>
                <w:color w:val="auto"/>
              </w:rPr>
            </w:pPr>
          </w:p>
        </w:tc>
        <w:tc>
          <w:tcPr>
            <w:tcW w:w="360" w:type="dxa"/>
            <w:vAlign w:val="bottom"/>
            <w:tcBorders>
              <w:bottom w:val="single" w:sz="8" w:color="DC202E"/>
            </w:tcBorders>
          </w:tcPr>
          <w:p>
            <w:pPr>
              <w:spacing w:after="0"/>
              <w:rPr>
                <w:sz w:val="17"/>
                <w:szCs w:val="17"/>
                <w:color w:val="auto"/>
              </w:rPr>
            </w:pPr>
          </w:p>
        </w:tc>
        <w:tc>
          <w:tcPr>
            <w:tcW w:w="1180" w:type="dxa"/>
            <w:vAlign w:val="bottom"/>
            <w:tcBorders>
              <w:bottom w:val="single" w:sz="8" w:color="DC202E"/>
            </w:tcBorders>
          </w:tcPr>
          <w:p>
            <w:pPr>
              <w:jc w:val="right"/>
              <w:ind w:right="510"/>
              <w:spacing w:after="0"/>
              <w:rPr>
                <w:sz w:val="20"/>
                <w:szCs w:val="20"/>
                <w:color w:val="auto"/>
              </w:rPr>
            </w:pPr>
            <w:r>
              <w:rPr>
                <w:rFonts w:ascii="Arial" w:cs="Arial" w:eastAsia="Arial" w:hAnsi="Arial"/>
                <w:sz w:val="14"/>
                <w:szCs w:val="14"/>
                <w:b w:val="1"/>
                <w:bCs w:val="1"/>
                <w:color w:val="auto"/>
              </w:rPr>
              <w:t>2020</w:t>
            </w:r>
          </w:p>
        </w:tc>
      </w:tr>
      <w:tr>
        <w:trPr>
          <w:trHeight w:val="189"/>
        </w:trPr>
        <w:tc>
          <w:tcPr>
            <w:tcW w:w="8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20" w:type="dxa"/>
            <w:vAlign w:val="bottom"/>
            <w:gridSpan w:val="4"/>
          </w:tcPr>
          <w:p>
            <w:pPr>
              <w:jc w:val="right"/>
              <w:ind w:right="830"/>
              <w:spacing w:after="0"/>
              <w:rPr>
                <w:sz w:val="20"/>
                <w:szCs w:val="20"/>
                <w:color w:val="auto"/>
              </w:rPr>
            </w:pPr>
            <w:r>
              <w:rPr>
                <w:rFonts w:ascii="Arial" w:cs="Arial" w:eastAsia="Arial" w:hAnsi="Arial"/>
                <w:sz w:val="14"/>
                <w:szCs w:val="14"/>
                <w:b w:val="1"/>
                <w:bCs w:val="1"/>
                <w:color w:val="auto"/>
              </w:rPr>
              <w:t>(Dollars in millions)</w:t>
            </w:r>
          </w:p>
        </w:tc>
      </w:tr>
      <w:tr>
        <w:trPr>
          <w:trHeight w:val="229"/>
        </w:trPr>
        <w:tc>
          <w:tcPr>
            <w:tcW w:w="806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shd w:val="clear" w:color="auto" w:fill="DBDBDB"/>
          </w:tcPr>
          <w:p>
            <w:pPr>
              <w:spacing w:after="0"/>
              <w:rPr>
                <w:sz w:val="19"/>
                <w:szCs w:val="19"/>
                <w:color w:val="auto"/>
              </w:rPr>
            </w:pPr>
          </w:p>
        </w:tc>
        <w:tc>
          <w:tcPr>
            <w:tcW w:w="12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r>
      <w:tr>
        <w:trPr>
          <w:trHeight w:val="229"/>
        </w:trPr>
        <w:tc>
          <w:tcPr>
            <w:tcW w:w="806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4,168</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3,486</w:t>
            </w:r>
          </w:p>
        </w:tc>
      </w:tr>
      <w:tr>
        <w:trPr>
          <w:trHeight w:val="230"/>
        </w:trPr>
        <w:tc>
          <w:tcPr>
            <w:tcW w:w="8060" w:type="dxa"/>
            <w:vAlign w:val="bottom"/>
            <w:shd w:val="clear" w:color="auto" w:fill="DBDBDB"/>
          </w:tcPr>
          <w:p>
            <w:pPr>
              <w:ind w:left="220"/>
              <w:spacing w:after="0"/>
              <w:rPr>
                <w:sz w:val="20"/>
                <w:szCs w:val="20"/>
                <w:color w:val="auto"/>
              </w:rPr>
            </w:pPr>
            <w:r>
              <w:rPr>
                <w:rFonts w:ascii="Arial" w:cs="Arial" w:eastAsia="Arial" w:hAnsi="Arial"/>
                <w:sz w:val="18"/>
                <w:szCs w:val="18"/>
                <w:color w:val="auto"/>
              </w:rPr>
              <w:t>Less: Net income attributable to the noncontrolling interest</w:t>
            </w:r>
          </w:p>
        </w:tc>
        <w:tc>
          <w:tcPr>
            <w:tcW w:w="260" w:type="dxa"/>
            <w:vAlign w:val="bottom"/>
            <w:tcBorders>
              <w:bottom w:val="single" w:sz="8" w:color="auto"/>
            </w:tcBorders>
            <w:shd w:val="clear" w:color="auto" w:fill="DBDBDB"/>
          </w:tcPr>
          <w:p>
            <w:pPr>
              <w:spacing w:after="0"/>
              <w:rPr>
                <w:sz w:val="19"/>
                <w:szCs w:val="19"/>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DBDBDB"/>
          </w:tcPr>
          <w:p>
            <w:pPr>
              <w:spacing w:after="0"/>
              <w:rPr>
                <w:sz w:val="19"/>
                <w:szCs w:val="19"/>
                <w:color w:val="auto"/>
              </w:rPr>
            </w:pPr>
          </w:p>
        </w:tc>
        <w:tc>
          <w:tcPr>
            <w:tcW w:w="36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66</w:t>
            </w:r>
          </w:p>
        </w:tc>
      </w:tr>
      <w:tr>
        <w:trPr>
          <w:trHeight w:val="223"/>
        </w:trPr>
        <w:tc>
          <w:tcPr>
            <w:tcW w:w="8060" w:type="dxa"/>
            <w:vAlign w:val="bottom"/>
          </w:tcPr>
          <w:p>
            <w:pPr>
              <w:ind w:left="220"/>
              <w:spacing w:after="0"/>
              <w:rPr>
                <w:sz w:val="20"/>
                <w:szCs w:val="20"/>
                <w:color w:val="auto"/>
              </w:rPr>
            </w:pPr>
            <w:r>
              <w:rPr>
                <w:rFonts w:ascii="Arial" w:cs="Arial" w:eastAsia="Arial" w:hAnsi="Arial"/>
                <w:sz w:val="18"/>
                <w:szCs w:val="18"/>
                <w:color w:val="auto"/>
              </w:rPr>
              <w:t>Net income attributable to Honeywell</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3,420</w:t>
            </w:r>
          </w:p>
        </w:tc>
      </w:tr>
      <w:tr>
        <w:trPr>
          <w:trHeight w:val="188"/>
        </w:trPr>
        <w:tc>
          <w:tcPr>
            <w:tcW w:w="8060" w:type="dxa"/>
            <w:vAlign w:val="bottom"/>
            <w:shd w:val="clear" w:color="auto" w:fill="DBDBDB"/>
          </w:tcPr>
          <w:p>
            <w:pPr>
              <w:ind w:left="180"/>
              <w:spacing w:after="0" w:line="189" w:lineRule="exact"/>
              <w:rPr>
                <w:sz w:val="20"/>
                <w:szCs w:val="20"/>
                <w:color w:val="auto"/>
              </w:rPr>
            </w:pPr>
            <w:r>
              <w:rPr>
                <w:rFonts w:ascii="Arial" w:cs="Arial" w:eastAsia="Arial" w:hAnsi="Arial"/>
                <w:sz w:val="18"/>
                <w:szCs w:val="18"/>
                <w:color w:val="auto"/>
              </w:rPr>
              <w:t>Adjustments to reconcile net income attributable to Honeywell to net cash provided by operating</w:t>
            </w:r>
          </w:p>
        </w:tc>
        <w:tc>
          <w:tcPr>
            <w:tcW w:w="260" w:type="dxa"/>
            <w:vAlign w:val="bottom"/>
            <w:shd w:val="clear" w:color="auto" w:fill="DBDBDB"/>
          </w:tcPr>
          <w:p>
            <w:pPr>
              <w:spacing w:after="0"/>
              <w:rPr>
                <w:sz w:val="16"/>
                <w:szCs w:val="16"/>
                <w:color w:val="auto"/>
              </w:rPr>
            </w:pPr>
          </w:p>
        </w:tc>
        <w:tc>
          <w:tcPr>
            <w:tcW w:w="128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360" w:type="dxa"/>
            <w:vAlign w:val="bottom"/>
            <w:shd w:val="clear" w:color="auto" w:fill="DBDBDB"/>
          </w:tcPr>
          <w:p>
            <w:pPr>
              <w:spacing w:after="0"/>
              <w:rPr>
                <w:sz w:val="16"/>
                <w:szCs w:val="16"/>
                <w:color w:val="auto"/>
              </w:rPr>
            </w:pPr>
          </w:p>
        </w:tc>
        <w:tc>
          <w:tcPr>
            <w:tcW w:w="1180" w:type="dxa"/>
            <w:vAlign w:val="bottom"/>
            <w:shd w:val="clear" w:color="auto" w:fill="DBDBDB"/>
          </w:tcPr>
          <w:p>
            <w:pPr>
              <w:spacing w:after="0"/>
              <w:rPr>
                <w:sz w:val="16"/>
                <w:szCs w:val="16"/>
                <w:color w:val="auto"/>
              </w:rPr>
            </w:pPr>
          </w:p>
        </w:tc>
      </w:tr>
      <w:tr>
        <w:trPr>
          <w:trHeight w:val="217"/>
        </w:trPr>
        <w:tc>
          <w:tcPr>
            <w:tcW w:w="8060" w:type="dxa"/>
            <w:vAlign w:val="bottom"/>
            <w:shd w:val="clear" w:color="auto" w:fill="DBDBDB"/>
          </w:tcPr>
          <w:p>
            <w:pPr>
              <w:ind w:left="180"/>
              <w:spacing w:after="0"/>
              <w:rPr>
                <w:sz w:val="20"/>
                <w:szCs w:val="20"/>
                <w:color w:val="auto"/>
              </w:rPr>
            </w:pPr>
            <w:r>
              <w:rPr>
                <w:rFonts w:ascii="Arial" w:cs="Arial" w:eastAsia="Arial" w:hAnsi="Arial"/>
                <w:sz w:val="18"/>
                <w:szCs w:val="18"/>
                <w:color w:val="auto"/>
              </w:rPr>
              <w:t>activities:</w:t>
            </w:r>
          </w:p>
        </w:tc>
        <w:tc>
          <w:tcPr>
            <w:tcW w:w="26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r>
      <w:tr>
        <w:trPr>
          <w:trHeight w:val="230"/>
        </w:trPr>
        <w:tc>
          <w:tcPr>
            <w:tcW w:w="8060" w:type="dxa"/>
            <w:vAlign w:val="bottom"/>
          </w:tcPr>
          <w:p>
            <w:pPr>
              <w:ind w:left="440"/>
              <w:spacing w:after="0"/>
              <w:rPr>
                <w:sz w:val="20"/>
                <w:szCs w:val="20"/>
                <w:color w:val="auto"/>
              </w:rPr>
            </w:pPr>
            <w:r>
              <w:rPr>
                <w:rFonts w:ascii="Arial" w:cs="Arial" w:eastAsia="Arial" w:hAnsi="Arial"/>
                <w:sz w:val="18"/>
                <w:szCs w:val="18"/>
                <w:color w:val="auto"/>
              </w:rPr>
              <w:t>Depreciation</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480</w:t>
            </w:r>
          </w:p>
        </w:tc>
      </w:tr>
      <w:tr>
        <w:trPr>
          <w:trHeight w:val="229"/>
        </w:trPr>
        <w:tc>
          <w:tcPr>
            <w:tcW w:w="8060" w:type="dxa"/>
            <w:vAlign w:val="bottom"/>
            <w:shd w:val="clear" w:color="auto" w:fill="DBDBDB"/>
          </w:tcPr>
          <w:p>
            <w:pPr>
              <w:ind w:left="440"/>
              <w:spacing w:after="0"/>
              <w:rPr>
                <w:sz w:val="20"/>
                <w:szCs w:val="20"/>
                <w:color w:val="auto"/>
              </w:rPr>
            </w:pPr>
            <w:r>
              <w:rPr>
                <w:rFonts w:ascii="Arial" w:cs="Arial" w:eastAsia="Arial" w:hAnsi="Arial"/>
                <w:sz w:val="18"/>
                <w:szCs w:val="18"/>
                <w:color w:val="auto"/>
              </w:rPr>
              <w:t>Amortization</w:t>
            </w:r>
          </w:p>
        </w:tc>
        <w:tc>
          <w:tcPr>
            <w:tcW w:w="26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427</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268</w:t>
            </w:r>
          </w:p>
        </w:tc>
      </w:tr>
      <w:tr>
        <w:trPr>
          <w:trHeight w:val="229"/>
        </w:trPr>
        <w:tc>
          <w:tcPr>
            <w:tcW w:w="8060" w:type="dxa"/>
            <w:vAlign w:val="bottom"/>
          </w:tcPr>
          <w:p>
            <w:pPr>
              <w:ind w:left="440"/>
              <w:spacing w:after="0"/>
              <w:rPr>
                <w:sz w:val="20"/>
                <w:szCs w:val="20"/>
                <w:color w:val="auto"/>
              </w:rPr>
            </w:pPr>
            <w:r>
              <w:rPr>
                <w:rFonts w:ascii="Arial" w:cs="Arial" w:eastAsia="Arial" w:hAnsi="Arial"/>
                <w:sz w:val="18"/>
                <w:szCs w:val="18"/>
                <w:color w:val="auto"/>
              </w:rPr>
              <w:t>Gain on sale of non-strategic businesses and assets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60" w:type="dxa"/>
            <w:vAlign w:val="bottom"/>
            <w:shd w:val="clear" w:color="auto" w:fill="DBDBDB"/>
          </w:tcPr>
          <w:p>
            <w:pPr>
              <w:ind w:left="440"/>
              <w:spacing w:after="0"/>
              <w:rPr>
                <w:sz w:val="20"/>
                <w:szCs w:val="20"/>
                <w:color w:val="auto"/>
              </w:rPr>
            </w:pPr>
            <w:r>
              <w:rPr>
                <w:rFonts w:ascii="Arial" w:cs="Arial" w:eastAsia="Arial" w:hAnsi="Arial"/>
                <w:sz w:val="18"/>
                <w:szCs w:val="18"/>
                <w:color w:val="auto"/>
              </w:rPr>
              <w:t>Repositioning and other charges</w:t>
            </w:r>
          </w:p>
        </w:tc>
        <w:tc>
          <w:tcPr>
            <w:tcW w:w="26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338</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486</w:t>
            </w:r>
          </w:p>
        </w:tc>
      </w:tr>
      <w:tr>
        <w:trPr>
          <w:trHeight w:val="229"/>
        </w:trPr>
        <w:tc>
          <w:tcPr>
            <w:tcW w:w="8060" w:type="dxa"/>
            <w:vAlign w:val="bottom"/>
          </w:tcPr>
          <w:p>
            <w:pPr>
              <w:ind w:left="440"/>
              <w:spacing w:after="0"/>
              <w:rPr>
                <w:sz w:val="20"/>
                <w:szCs w:val="20"/>
                <w:color w:val="auto"/>
              </w:rPr>
            </w:pPr>
            <w:r>
              <w:rPr>
                <w:rFonts w:ascii="Arial" w:cs="Arial" w:eastAsia="Arial" w:hAnsi="Arial"/>
                <w:sz w:val="18"/>
                <w:szCs w:val="18"/>
                <w:color w:val="auto"/>
              </w:rPr>
              <w:t>Net payments for repositioning and other charges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(652)</w:t>
            </w:r>
          </w:p>
        </w:tc>
      </w:tr>
      <w:tr>
        <w:trPr>
          <w:trHeight w:val="230"/>
        </w:trPr>
        <w:tc>
          <w:tcPr>
            <w:tcW w:w="8060" w:type="dxa"/>
            <w:vAlign w:val="bottom"/>
            <w:shd w:val="clear" w:color="auto" w:fill="DBDBDB"/>
          </w:tcPr>
          <w:p>
            <w:pPr>
              <w:ind w:left="440"/>
              <w:spacing w:after="0"/>
              <w:rPr>
                <w:sz w:val="20"/>
                <w:szCs w:val="20"/>
                <w:color w:val="auto"/>
              </w:rPr>
            </w:pPr>
            <w:r>
              <w:rPr>
                <w:rFonts w:ascii="Arial" w:cs="Arial" w:eastAsia="Arial" w:hAnsi="Arial"/>
                <w:sz w:val="18"/>
                <w:szCs w:val="18"/>
                <w:color w:val="auto"/>
              </w:rPr>
              <w:t>Pension and other postretirement income</w:t>
            </w:r>
          </w:p>
        </w:tc>
        <w:tc>
          <w:tcPr>
            <w:tcW w:w="26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(862)</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(633)</w:t>
            </w:r>
          </w:p>
        </w:tc>
      </w:tr>
      <w:tr>
        <w:trPr>
          <w:trHeight w:val="229"/>
        </w:trPr>
        <w:tc>
          <w:tcPr>
            <w:tcW w:w="8060" w:type="dxa"/>
            <w:vAlign w:val="bottom"/>
          </w:tcPr>
          <w:p>
            <w:pPr>
              <w:ind w:left="440"/>
              <w:spacing w:after="0"/>
              <w:rPr>
                <w:sz w:val="20"/>
                <w:szCs w:val="20"/>
                <w:color w:val="auto"/>
              </w:rPr>
            </w:pPr>
            <w:r>
              <w:rPr>
                <w:rFonts w:ascii="Arial" w:cs="Arial" w:eastAsia="Arial" w:hAnsi="Arial"/>
                <w:sz w:val="18"/>
                <w:szCs w:val="18"/>
                <w:color w:val="auto"/>
              </w:rPr>
              <w:t>Pension and other postretirement benefit payments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29"/>
        </w:trPr>
        <w:tc>
          <w:tcPr>
            <w:tcW w:w="8060" w:type="dxa"/>
            <w:vAlign w:val="bottom"/>
            <w:shd w:val="clear" w:color="auto" w:fill="DBDBDB"/>
          </w:tcPr>
          <w:p>
            <w:pPr>
              <w:ind w:left="440"/>
              <w:spacing w:after="0"/>
              <w:rPr>
                <w:sz w:val="20"/>
                <w:szCs w:val="20"/>
                <w:color w:val="auto"/>
              </w:rPr>
            </w:pPr>
            <w:r>
              <w:rPr>
                <w:rFonts w:ascii="Arial" w:cs="Arial" w:eastAsia="Arial" w:hAnsi="Arial"/>
                <w:sz w:val="18"/>
                <w:szCs w:val="18"/>
                <w:color w:val="auto"/>
              </w:rPr>
              <w:t>Stock compensation expense</w:t>
            </w:r>
          </w:p>
        </w:tc>
        <w:tc>
          <w:tcPr>
            <w:tcW w:w="26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118</w:t>
            </w:r>
          </w:p>
        </w:tc>
      </w:tr>
      <w:tr>
        <w:trPr>
          <w:trHeight w:val="230"/>
        </w:trPr>
        <w:tc>
          <w:tcPr>
            <w:tcW w:w="8060" w:type="dxa"/>
            <w:vAlign w:val="bottom"/>
          </w:tcPr>
          <w:p>
            <w:pPr>
              <w:ind w:left="44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(289)</w:t>
            </w:r>
          </w:p>
        </w:tc>
      </w:tr>
      <w:tr>
        <w:trPr>
          <w:trHeight w:val="229"/>
        </w:trPr>
        <w:tc>
          <w:tcPr>
            <w:tcW w:w="8060" w:type="dxa"/>
            <w:vAlign w:val="bottom"/>
            <w:shd w:val="clear" w:color="auto" w:fill="DBDBDB"/>
          </w:tcPr>
          <w:p>
            <w:pPr>
              <w:ind w:left="440"/>
              <w:spacing w:after="0"/>
              <w:rPr>
                <w:sz w:val="20"/>
                <w:szCs w:val="20"/>
                <w:color w:val="auto"/>
              </w:rPr>
            </w:pPr>
            <w:r>
              <w:rPr>
                <w:rFonts w:ascii="Arial" w:cs="Arial" w:eastAsia="Arial" w:hAnsi="Arial"/>
                <w:sz w:val="18"/>
                <w:szCs w:val="18"/>
                <w:color w:val="auto"/>
              </w:rPr>
              <w:t>Reimbursement receivables charge</w:t>
            </w:r>
          </w:p>
        </w:tc>
        <w:tc>
          <w:tcPr>
            <w:tcW w:w="260" w:type="dxa"/>
            <w:vAlign w:val="bottom"/>
            <w:shd w:val="clear" w:color="auto" w:fill="DBDBDB"/>
          </w:tcPr>
          <w:p>
            <w:pPr>
              <w:spacing w:after="0"/>
              <w:rPr>
                <w:sz w:val="19"/>
                <w:szCs w:val="19"/>
                <w:color w:val="auto"/>
              </w:rPr>
            </w:pPr>
          </w:p>
        </w:tc>
        <w:tc>
          <w:tcPr>
            <w:tcW w:w="138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350</w:t>
            </w:r>
          </w:p>
        </w:tc>
      </w:tr>
      <w:tr>
        <w:trPr>
          <w:trHeight w:val="230"/>
        </w:trPr>
        <w:tc>
          <w:tcPr>
            <w:tcW w:w="8060" w:type="dxa"/>
            <w:vAlign w:val="bottom"/>
          </w:tcPr>
          <w:p>
            <w:pPr>
              <w:ind w:left="4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(369)</w:t>
            </w:r>
          </w:p>
        </w:tc>
      </w:tr>
      <w:tr>
        <w:trPr>
          <w:trHeight w:val="230"/>
        </w:trPr>
        <w:tc>
          <w:tcPr>
            <w:tcW w:w="8060" w:type="dxa"/>
            <w:vAlign w:val="bottom"/>
            <w:shd w:val="clear" w:color="auto" w:fill="DBDBDB"/>
          </w:tcPr>
          <w:p>
            <w:pPr>
              <w:ind w:left="440"/>
              <w:spacing w:after="0"/>
              <w:rPr>
                <w:sz w:val="20"/>
                <w:szCs w:val="20"/>
                <w:color w:val="auto"/>
              </w:rPr>
            </w:pPr>
            <w:r>
              <w:rPr>
                <w:rFonts w:ascii="Arial" w:cs="Arial" w:eastAsia="Arial" w:hAnsi="Arial"/>
                <w:sz w:val="18"/>
                <w:szCs w:val="18"/>
                <w:color w:val="auto"/>
              </w:rPr>
              <w:t>Changes in assets and liabilities, net of the effects of acquisitions and divestitures:</w:t>
            </w:r>
          </w:p>
        </w:tc>
        <w:tc>
          <w:tcPr>
            <w:tcW w:w="260" w:type="dxa"/>
            <w:vAlign w:val="bottom"/>
            <w:shd w:val="clear" w:color="auto" w:fill="DBDBDB"/>
          </w:tcPr>
          <w:p>
            <w:pPr>
              <w:spacing w:after="0"/>
              <w:rPr>
                <w:sz w:val="19"/>
                <w:szCs w:val="19"/>
                <w:color w:val="auto"/>
              </w:rPr>
            </w:pPr>
          </w:p>
        </w:tc>
        <w:tc>
          <w:tcPr>
            <w:tcW w:w="12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r>
      <w:tr>
        <w:trPr>
          <w:trHeight w:val="229"/>
        </w:trPr>
        <w:tc>
          <w:tcPr>
            <w:tcW w:w="8060" w:type="dxa"/>
            <w:vAlign w:val="bottom"/>
          </w:tcPr>
          <w:p>
            <w:pPr>
              <w:ind w:left="680"/>
              <w:spacing w:after="0"/>
              <w:rPr>
                <w:sz w:val="20"/>
                <w:szCs w:val="20"/>
                <w:color w:val="auto"/>
              </w:rPr>
            </w:pPr>
            <w:r>
              <w:rPr>
                <w:rFonts w:ascii="Arial" w:cs="Arial" w:eastAsia="Arial" w:hAnsi="Arial"/>
                <w:sz w:val="18"/>
                <w:szCs w:val="18"/>
                <w:color w:val="auto"/>
              </w:rPr>
              <w:t>Accounts receivable</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615</w:t>
            </w:r>
          </w:p>
        </w:tc>
      </w:tr>
      <w:tr>
        <w:trPr>
          <w:trHeight w:val="230"/>
        </w:trPr>
        <w:tc>
          <w:tcPr>
            <w:tcW w:w="8060" w:type="dxa"/>
            <w:vAlign w:val="bottom"/>
            <w:shd w:val="clear" w:color="auto" w:fill="DBDBDB"/>
          </w:tcPr>
          <w:p>
            <w:pPr>
              <w:ind w:left="680"/>
              <w:spacing w:after="0"/>
              <w:rPr>
                <w:sz w:val="20"/>
                <w:szCs w:val="20"/>
                <w:color w:val="auto"/>
              </w:rPr>
            </w:pPr>
            <w:r>
              <w:rPr>
                <w:rFonts w:ascii="Arial" w:cs="Arial" w:eastAsia="Arial" w:hAnsi="Arial"/>
                <w:sz w:val="18"/>
                <w:szCs w:val="18"/>
                <w:color w:val="auto"/>
              </w:rPr>
              <w:t>Inventories</w:t>
            </w:r>
          </w:p>
        </w:tc>
        <w:tc>
          <w:tcPr>
            <w:tcW w:w="26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(516)</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(284)</w:t>
            </w:r>
          </w:p>
        </w:tc>
      </w:tr>
      <w:tr>
        <w:trPr>
          <w:trHeight w:val="230"/>
        </w:trPr>
        <w:tc>
          <w:tcPr>
            <w:tcW w:w="8060" w:type="dxa"/>
            <w:vAlign w:val="bottom"/>
          </w:tcPr>
          <w:p>
            <w:pPr>
              <w:ind w:left="680"/>
              <w:spacing w:after="0"/>
              <w:rPr>
                <w:sz w:val="20"/>
                <w:szCs w:val="20"/>
                <w:color w:val="auto"/>
              </w:rPr>
            </w:pPr>
            <w:r>
              <w:rPr>
                <w:rFonts w:ascii="Arial" w:cs="Arial" w:eastAsia="Arial" w:hAnsi="Arial"/>
                <w:sz w:val="18"/>
                <w:szCs w:val="18"/>
                <w:color w:val="auto"/>
              </w:rPr>
              <w:t>Other current assets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246</w:t>
            </w:r>
          </w:p>
        </w:tc>
      </w:tr>
      <w:tr>
        <w:trPr>
          <w:trHeight w:val="230"/>
        </w:trPr>
        <w:tc>
          <w:tcPr>
            <w:tcW w:w="8060" w:type="dxa"/>
            <w:vAlign w:val="bottom"/>
            <w:shd w:val="clear" w:color="auto" w:fill="DBDBDB"/>
          </w:tcPr>
          <w:p>
            <w:pPr>
              <w:ind w:left="68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379</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(460)</w:t>
            </w:r>
          </w:p>
        </w:tc>
      </w:tr>
      <w:tr>
        <w:trPr>
          <w:trHeight w:val="229"/>
        </w:trPr>
        <w:tc>
          <w:tcPr>
            <w:tcW w:w="8060" w:type="dxa"/>
            <w:vAlign w:val="bottom"/>
            <w:tcBorders>
              <w:bottom w:val="single" w:sz="8" w:color="DBDBDB"/>
            </w:tcBorders>
          </w:tcPr>
          <w:p>
            <w:pPr>
              <w:ind w:left="680"/>
              <w:spacing w:after="0"/>
              <w:rPr>
                <w:sz w:val="20"/>
                <w:szCs w:val="20"/>
                <w:color w:val="auto"/>
              </w:rPr>
            </w:pPr>
            <w:r>
              <w:rPr>
                <w:rFonts w:ascii="Arial" w:cs="Arial" w:eastAsia="Arial" w:hAnsi="Arial"/>
                <w:sz w:val="18"/>
                <w:szCs w:val="18"/>
                <w:color w:val="auto"/>
              </w:rPr>
              <w:t>Accrued liabilities</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DBDBDB"/>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r>
      <w:tr>
        <w:trPr>
          <w:trHeight w:val="223"/>
        </w:trPr>
        <w:tc>
          <w:tcPr>
            <w:tcW w:w="8060" w:type="dxa"/>
            <w:vAlign w:val="bottom"/>
            <w:shd w:val="clear" w:color="auto" w:fill="DBDBDB"/>
          </w:tcPr>
          <w:p>
            <w:pPr>
              <w:ind w:left="88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bottom w:val="single" w:sz="8" w:color="auto"/>
            </w:tcBorders>
            <w:shd w:val="clear" w:color="auto" w:fill="DBDBDB"/>
          </w:tcPr>
          <w:p>
            <w:pPr>
              <w:spacing w:after="0"/>
              <w:rPr>
                <w:sz w:val="19"/>
                <w:szCs w:val="19"/>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3,375</w:t>
            </w:r>
          </w:p>
        </w:tc>
        <w:tc>
          <w:tcPr>
            <w:tcW w:w="100" w:type="dxa"/>
            <w:vAlign w:val="bottom"/>
            <w:shd w:val="clear" w:color="auto" w:fill="DBDBDB"/>
          </w:tcPr>
          <w:p>
            <w:pPr>
              <w:spacing w:after="0"/>
              <w:rPr>
                <w:sz w:val="19"/>
                <w:szCs w:val="19"/>
                <w:color w:val="auto"/>
              </w:rPr>
            </w:pPr>
          </w:p>
        </w:tc>
        <w:tc>
          <w:tcPr>
            <w:tcW w:w="36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3,426</w:t>
            </w:r>
          </w:p>
        </w:tc>
      </w:tr>
      <w:tr>
        <w:trPr>
          <w:trHeight w:val="209"/>
        </w:trPr>
        <w:tc>
          <w:tcPr>
            <w:tcW w:w="806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8060" w:type="dxa"/>
            <w:vAlign w:val="bottom"/>
            <w:shd w:val="clear" w:color="auto" w:fill="DBDBDB"/>
          </w:tcPr>
          <w:p>
            <w:pPr>
              <w:ind w:left="220"/>
              <w:spacing w:after="0"/>
              <w:rPr>
                <w:sz w:val="20"/>
                <w:szCs w:val="20"/>
                <w:color w:val="auto"/>
              </w:rPr>
            </w:pPr>
            <w:r>
              <w:rPr>
                <w:rFonts w:ascii="Arial" w:cs="Arial" w:eastAsia="Arial" w:hAnsi="Arial"/>
                <w:sz w:val="18"/>
                <w:szCs w:val="18"/>
                <w:color w:val="auto"/>
              </w:rPr>
              <w:t>Expenditures for property, plant and equipment</w:t>
            </w:r>
          </w:p>
        </w:tc>
        <w:tc>
          <w:tcPr>
            <w:tcW w:w="26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(614)</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(615)</w:t>
            </w:r>
          </w:p>
        </w:tc>
      </w:tr>
      <w:tr>
        <w:trPr>
          <w:trHeight w:val="230"/>
        </w:trPr>
        <w:tc>
          <w:tcPr>
            <w:tcW w:w="8060" w:type="dxa"/>
            <w:vAlign w:val="bottom"/>
          </w:tcPr>
          <w:p>
            <w:pPr>
              <w:ind w:left="220"/>
              <w:spacing w:after="0"/>
              <w:rPr>
                <w:sz w:val="20"/>
                <w:szCs w:val="20"/>
                <w:color w:val="auto"/>
              </w:rPr>
            </w:pPr>
            <w:r>
              <w:rPr>
                <w:rFonts w:ascii="Arial" w:cs="Arial" w:eastAsia="Arial" w:hAnsi="Arial"/>
                <w:sz w:val="18"/>
                <w:szCs w:val="18"/>
                <w:color w:val="auto"/>
              </w:rPr>
              <w:t>Proceeds from disposals of property, plant and equipment</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8060" w:type="dxa"/>
            <w:vAlign w:val="bottom"/>
            <w:shd w:val="clear" w:color="auto" w:fill="DBDBDB"/>
          </w:tcPr>
          <w:p>
            <w:pPr>
              <w:ind w:left="220"/>
              <w:spacing w:after="0"/>
              <w:rPr>
                <w:sz w:val="20"/>
                <w:szCs w:val="20"/>
                <w:color w:val="auto"/>
              </w:rPr>
            </w:pPr>
            <w:r>
              <w:rPr>
                <w:rFonts w:ascii="Arial" w:cs="Arial" w:eastAsia="Arial" w:hAnsi="Arial"/>
                <w:sz w:val="18"/>
                <w:szCs w:val="18"/>
                <w:color w:val="auto"/>
              </w:rPr>
              <w:t>Increase in investments</w:t>
            </w:r>
          </w:p>
        </w:tc>
        <w:tc>
          <w:tcPr>
            <w:tcW w:w="26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(1,989)</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(2,371)</w:t>
            </w:r>
          </w:p>
        </w:tc>
      </w:tr>
      <w:tr>
        <w:trPr>
          <w:trHeight w:val="229"/>
        </w:trPr>
        <w:tc>
          <w:tcPr>
            <w:tcW w:w="8060" w:type="dxa"/>
            <w:vAlign w:val="bottom"/>
          </w:tcPr>
          <w:p>
            <w:pPr>
              <w:ind w:left="220"/>
              <w:spacing w:after="0"/>
              <w:rPr>
                <w:sz w:val="20"/>
                <w:szCs w:val="20"/>
                <w:color w:val="auto"/>
              </w:rPr>
            </w:pPr>
            <w:r>
              <w:rPr>
                <w:rFonts w:ascii="Arial" w:cs="Arial" w:eastAsia="Arial" w:hAnsi="Arial"/>
                <w:sz w:val="18"/>
                <w:szCs w:val="18"/>
                <w:color w:val="auto"/>
              </w:rPr>
              <w:t>Decrease in investments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1,906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2,634</w:t>
            </w:r>
          </w:p>
        </w:tc>
      </w:tr>
      <w:tr>
        <w:trPr>
          <w:trHeight w:val="230"/>
        </w:trPr>
        <w:tc>
          <w:tcPr>
            <w:tcW w:w="8060" w:type="dxa"/>
            <w:vAlign w:val="bottom"/>
            <w:shd w:val="clear" w:color="auto" w:fill="DBDBDB"/>
          </w:tcPr>
          <w:p>
            <w:pPr>
              <w:ind w:left="220"/>
              <w:spacing w:after="0"/>
              <w:rPr>
                <w:sz w:val="20"/>
                <w:szCs w:val="20"/>
                <w:color w:val="auto"/>
              </w:rPr>
            </w:pPr>
            <w:r>
              <w:rPr>
                <w:rFonts w:ascii="Arial" w:cs="Arial" w:eastAsia="Arial" w:hAnsi="Arial"/>
                <w:sz w:val="18"/>
                <w:szCs w:val="18"/>
                <w:color w:val="auto"/>
              </w:rPr>
              <w:t>Receipts from Garrett Motion Inc.</w:t>
            </w:r>
          </w:p>
        </w:tc>
        <w:tc>
          <w:tcPr>
            <w:tcW w:w="26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375</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60" w:type="dxa"/>
            <w:vAlign w:val="bottom"/>
          </w:tcPr>
          <w:p>
            <w:pPr>
              <w:ind w:left="220"/>
              <w:spacing w:after="0"/>
              <w:rPr>
                <w:sz w:val="20"/>
                <w:szCs w:val="20"/>
                <w:color w:val="auto"/>
              </w:rPr>
            </w:pPr>
            <w:r>
              <w:rPr>
                <w:rFonts w:ascii="Arial" w:cs="Arial" w:eastAsia="Arial" w:hAnsi="Arial"/>
                <w:sz w:val="18"/>
                <w:szCs w:val="18"/>
                <w:color w:val="auto"/>
              </w:rPr>
              <w:t>Receipts (payments) from settlements of derivative contracts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8060" w:type="dxa"/>
            <w:vAlign w:val="bottom"/>
            <w:shd w:val="clear" w:color="auto" w:fill="DBDBDB"/>
          </w:tcPr>
          <w:p>
            <w:pPr>
              <w:ind w:left="220"/>
              <w:spacing w:after="0"/>
              <w:rPr>
                <w:sz w:val="20"/>
                <w:szCs w:val="20"/>
                <w:color w:val="auto"/>
              </w:rPr>
            </w:pPr>
            <w:r>
              <w:rPr>
                <w:rFonts w:ascii="Arial" w:cs="Arial" w:eastAsia="Arial" w:hAnsi="Arial"/>
                <w:sz w:val="18"/>
                <w:szCs w:val="18"/>
                <w:color w:val="auto"/>
              </w:rPr>
              <w:t>Cash paid for acquisitions, net of cash acquired</w:t>
            </w:r>
          </w:p>
        </w:tc>
        <w:tc>
          <w:tcPr>
            <w:tcW w:w="26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(1,334)</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60" w:type="dxa"/>
            <w:vAlign w:val="bottom"/>
            <w:tcBorders>
              <w:bottom w:val="single" w:sz="8" w:color="DBDBDB"/>
            </w:tcBorders>
          </w:tcPr>
          <w:p>
            <w:pPr>
              <w:ind w:left="220"/>
              <w:spacing w:after="0"/>
              <w:rPr>
                <w:sz w:val="20"/>
                <w:szCs w:val="20"/>
                <w:color w:val="auto"/>
              </w:rPr>
            </w:pPr>
            <w:r>
              <w:rPr>
                <w:rFonts w:ascii="Arial" w:cs="Arial" w:eastAsia="Arial" w:hAnsi="Arial"/>
                <w:sz w:val="18"/>
                <w:szCs w:val="18"/>
                <w:color w:val="auto"/>
              </w:rPr>
              <w:t>Proceeds from sales of businesses, net of fees paid</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DBDBDB"/>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060" w:type="dxa"/>
            <w:vAlign w:val="bottom"/>
            <w:shd w:val="clear" w:color="auto" w:fill="DBDBDB"/>
          </w:tcPr>
          <w:p>
            <w:pPr>
              <w:ind w:left="880"/>
              <w:spacing w:after="0"/>
              <w:rPr>
                <w:sz w:val="20"/>
                <w:szCs w:val="20"/>
                <w:color w:val="auto"/>
              </w:rPr>
            </w:pPr>
            <w:r>
              <w:rPr>
                <w:rFonts w:ascii="Arial" w:cs="Arial" w:eastAsia="Arial" w:hAnsi="Arial"/>
                <w:sz w:val="18"/>
                <w:szCs w:val="18"/>
                <w:color w:val="auto"/>
              </w:rPr>
              <w:t>Net cash used for investing activities</w:t>
            </w:r>
          </w:p>
        </w:tc>
        <w:tc>
          <w:tcPr>
            <w:tcW w:w="260" w:type="dxa"/>
            <w:vAlign w:val="bottom"/>
            <w:tcBorders>
              <w:bottom w:val="single" w:sz="8" w:color="auto"/>
            </w:tcBorders>
            <w:shd w:val="clear" w:color="auto" w:fill="DBDBDB"/>
          </w:tcPr>
          <w:p>
            <w:pPr>
              <w:spacing w:after="0"/>
              <w:rPr>
                <w:sz w:val="19"/>
                <w:szCs w:val="19"/>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(1,347)</w:t>
            </w:r>
          </w:p>
        </w:tc>
        <w:tc>
          <w:tcPr>
            <w:tcW w:w="100" w:type="dxa"/>
            <w:vAlign w:val="bottom"/>
            <w:shd w:val="clear" w:color="auto" w:fill="DBDBDB"/>
          </w:tcPr>
          <w:p>
            <w:pPr>
              <w:spacing w:after="0"/>
              <w:rPr>
                <w:sz w:val="19"/>
                <w:szCs w:val="19"/>
                <w:color w:val="auto"/>
              </w:rPr>
            </w:pPr>
          </w:p>
        </w:tc>
        <w:tc>
          <w:tcPr>
            <w:tcW w:w="36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(410)</w:t>
            </w:r>
          </w:p>
        </w:tc>
      </w:tr>
      <w:tr>
        <w:trPr>
          <w:trHeight w:val="209"/>
        </w:trPr>
        <w:tc>
          <w:tcPr>
            <w:tcW w:w="806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8060" w:type="dxa"/>
            <w:vAlign w:val="bottom"/>
            <w:shd w:val="clear" w:color="auto" w:fill="DBDBDB"/>
          </w:tcPr>
          <w:p>
            <w:pPr>
              <w:ind w:left="220"/>
              <w:spacing w:after="0"/>
              <w:rPr>
                <w:sz w:val="20"/>
                <w:szCs w:val="20"/>
                <w:color w:val="auto"/>
              </w:rPr>
            </w:pPr>
            <w:r>
              <w:rPr>
                <w:rFonts w:ascii="Arial" w:cs="Arial" w:eastAsia="Arial" w:hAnsi="Arial"/>
                <w:sz w:val="18"/>
                <w:szCs w:val="18"/>
                <w:color w:val="auto"/>
              </w:rPr>
              <w:t>Proceeds from issuance of commercial paper and other short-term borrowings</w:t>
            </w:r>
          </w:p>
        </w:tc>
        <w:tc>
          <w:tcPr>
            <w:tcW w:w="26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3,640</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8,577</w:t>
            </w:r>
          </w:p>
        </w:tc>
      </w:tr>
      <w:tr>
        <w:trPr>
          <w:trHeight w:val="230"/>
        </w:trPr>
        <w:tc>
          <w:tcPr>
            <w:tcW w:w="8060" w:type="dxa"/>
            <w:vAlign w:val="bottom"/>
          </w:tcPr>
          <w:p>
            <w:pPr>
              <w:ind w:left="220"/>
              <w:spacing w:after="0"/>
              <w:rPr>
                <w:sz w:val="20"/>
                <w:szCs w:val="20"/>
                <w:color w:val="auto"/>
              </w:rPr>
            </w:pPr>
            <w:r>
              <w:rPr>
                <w:rFonts w:ascii="Arial" w:cs="Arial" w:eastAsia="Arial" w:hAnsi="Arial"/>
                <w:sz w:val="18"/>
                <w:szCs w:val="18"/>
                <w:color w:val="auto"/>
              </w:rPr>
              <w:t>Payments of commercial paper and other short-term borrowings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(3,637)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(8,512)</w:t>
            </w:r>
          </w:p>
        </w:tc>
      </w:tr>
      <w:tr>
        <w:trPr>
          <w:trHeight w:val="230"/>
        </w:trPr>
        <w:tc>
          <w:tcPr>
            <w:tcW w:w="8060" w:type="dxa"/>
            <w:vAlign w:val="bottom"/>
            <w:shd w:val="clear" w:color="auto" w:fill="DBDBDB"/>
          </w:tcPr>
          <w:p>
            <w:pPr>
              <w:ind w:left="220"/>
              <w:spacing w:after="0"/>
              <w:rPr>
                <w:sz w:val="20"/>
                <w:szCs w:val="20"/>
                <w:color w:val="auto"/>
              </w:rPr>
            </w:pPr>
            <w:r>
              <w:rPr>
                <w:rFonts w:ascii="Arial" w:cs="Arial" w:eastAsia="Arial" w:hAnsi="Arial"/>
                <w:sz w:val="18"/>
                <w:szCs w:val="18"/>
                <w:color w:val="auto"/>
              </w:rPr>
              <w:t>Proceeds from issuance of common stock</w:t>
            </w:r>
          </w:p>
        </w:tc>
        <w:tc>
          <w:tcPr>
            <w:tcW w:w="26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163</w:t>
            </w:r>
          </w:p>
        </w:tc>
      </w:tr>
      <w:tr>
        <w:trPr>
          <w:trHeight w:val="229"/>
        </w:trPr>
        <w:tc>
          <w:tcPr>
            <w:tcW w:w="8060" w:type="dxa"/>
            <w:vAlign w:val="bottom"/>
          </w:tcPr>
          <w:p>
            <w:pPr>
              <w:ind w:left="220"/>
              <w:spacing w:after="0"/>
              <w:rPr>
                <w:sz w:val="20"/>
                <w:szCs w:val="20"/>
                <w:color w:val="auto"/>
              </w:rPr>
            </w:pPr>
            <w:r>
              <w:rPr>
                <w:rFonts w:ascii="Arial" w:cs="Arial" w:eastAsia="Arial" w:hAnsi="Arial"/>
                <w:sz w:val="18"/>
                <w:szCs w:val="18"/>
                <w:color w:val="auto"/>
              </w:rPr>
              <w:t>Proceeds from issuance of long-term debt</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2,509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10,105</w:t>
            </w:r>
          </w:p>
        </w:tc>
      </w:tr>
      <w:tr>
        <w:trPr>
          <w:trHeight w:val="229"/>
        </w:trPr>
        <w:tc>
          <w:tcPr>
            <w:tcW w:w="8060" w:type="dxa"/>
            <w:vAlign w:val="bottom"/>
            <w:shd w:val="clear" w:color="auto" w:fill="DBDBDB"/>
          </w:tcPr>
          <w:p>
            <w:pPr>
              <w:ind w:left="220"/>
              <w:spacing w:after="0"/>
              <w:rPr>
                <w:sz w:val="20"/>
                <w:szCs w:val="20"/>
                <w:color w:val="auto"/>
              </w:rPr>
            </w:pPr>
            <w:r>
              <w:rPr>
                <w:rFonts w:ascii="Arial" w:cs="Arial" w:eastAsia="Arial" w:hAnsi="Arial"/>
                <w:sz w:val="18"/>
                <w:szCs w:val="18"/>
                <w:color w:val="auto"/>
              </w:rPr>
              <w:t>Payments of long-term debt</w:t>
            </w:r>
          </w:p>
        </w:tc>
        <w:tc>
          <w:tcPr>
            <w:tcW w:w="26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(3,355)</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(4,237)</w:t>
            </w:r>
          </w:p>
        </w:tc>
      </w:tr>
      <w:tr>
        <w:trPr>
          <w:trHeight w:val="230"/>
        </w:trPr>
        <w:tc>
          <w:tcPr>
            <w:tcW w:w="8060" w:type="dxa"/>
            <w:vAlign w:val="bottom"/>
          </w:tcPr>
          <w:p>
            <w:pPr>
              <w:ind w:left="220"/>
              <w:spacing w:after="0"/>
              <w:rPr>
                <w:sz w:val="20"/>
                <w:szCs w:val="20"/>
                <w:color w:val="auto"/>
              </w:rPr>
            </w:pPr>
            <w:r>
              <w:rPr>
                <w:rFonts w:ascii="Arial" w:cs="Arial" w:eastAsia="Arial" w:hAnsi="Arial"/>
                <w:sz w:val="18"/>
                <w:szCs w:val="18"/>
                <w:color w:val="auto"/>
              </w:rPr>
              <w:t>Repurchases of common stock</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(2,499)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(2,149)</w:t>
            </w:r>
          </w:p>
        </w:tc>
      </w:tr>
      <w:tr>
        <w:trPr>
          <w:trHeight w:val="229"/>
        </w:trPr>
        <w:tc>
          <w:tcPr>
            <w:tcW w:w="8060" w:type="dxa"/>
            <w:vAlign w:val="bottom"/>
            <w:shd w:val="clear" w:color="auto" w:fill="DBDBDB"/>
          </w:tcPr>
          <w:p>
            <w:pPr>
              <w:ind w:left="220"/>
              <w:spacing w:after="0"/>
              <w:rPr>
                <w:sz w:val="20"/>
                <w:szCs w:val="20"/>
                <w:color w:val="auto"/>
              </w:rPr>
            </w:pPr>
            <w:r>
              <w:rPr>
                <w:rFonts w:ascii="Arial" w:cs="Arial" w:eastAsia="Arial" w:hAnsi="Arial"/>
                <w:sz w:val="18"/>
                <w:szCs w:val="18"/>
                <w:color w:val="auto"/>
              </w:rPr>
              <w:t>Cash dividends paid</w:t>
            </w:r>
          </w:p>
        </w:tc>
        <w:tc>
          <w:tcPr>
            <w:tcW w:w="26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(1,950)</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(1,921)</w:t>
            </w:r>
          </w:p>
        </w:tc>
      </w:tr>
      <w:tr>
        <w:trPr>
          <w:trHeight w:val="230"/>
        </w:trPr>
        <w:tc>
          <w:tcPr>
            <w:tcW w:w="8060" w:type="dxa"/>
            <w:vAlign w:val="bottom"/>
            <w:tcBorders>
              <w:bottom w:val="single" w:sz="8" w:color="DBDBDB"/>
            </w:tcBorders>
          </w:tcPr>
          <w:p>
            <w:pPr>
              <w:ind w:left="2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DBDBDB"/>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r>
      <w:tr>
        <w:trPr>
          <w:trHeight w:val="223"/>
        </w:trPr>
        <w:tc>
          <w:tcPr>
            <w:tcW w:w="8060" w:type="dxa"/>
            <w:vAlign w:val="bottom"/>
            <w:shd w:val="clear" w:color="auto" w:fill="DBDBDB"/>
          </w:tcPr>
          <w:p>
            <w:pPr>
              <w:ind w:left="880"/>
              <w:spacing w:after="0"/>
              <w:rPr>
                <w:sz w:val="20"/>
                <w:szCs w:val="20"/>
                <w:color w:val="auto"/>
              </w:rPr>
            </w:pPr>
            <w:r>
              <w:rPr>
                <w:rFonts w:ascii="Arial" w:cs="Arial" w:eastAsia="Arial" w:hAnsi="Arial"/>
                <w:sz w:val="18"/>
                <w:szCs w:val="18"/>
                <w:color w:val="auto"/>
              </w:rPr>
              <w:t>Net cash provided by (used for) financing activities</w:t>
            </w:r>
          </w:p>
        </w:tc>
        <w:tc>
          <w:tcPr>
            <w:tcW w:w="260" w:type="dxa"/>
            <w:vAlign w:val="bottom"/>
            <w:tcBorders>
              <w:bottom w:val="single" w:sz="8" w:color="auto"/>
            </w:tcBorders>
            <w:shd w:val="clear" w:color="auto" w:fill="DBDBDB"/>
          </w:tcPr>
          <w:p>
            <w:pPr>
              <w:spacing w:after="0"/>
              <w:rPr>
                <w:sz w:val="19"/>
                <w:szCs w:val="19"/>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(5,195)</w:t>
            </w:r>
          </w:p>
        </w:tc>
        <w:tc>
          <w:tcPr>
            <w:tcW w:w="100" w:type="dxa"/>
            <w:vAlign w:val="bottom"/>
            <w:shd w:val="clear" w:color="auto" w:fill="DBDBDB"/>
          </w:tcPr>
          <w:p>
            <w:pPr>
              <w:spacing w:after="0"/>
              <w:rPr>
                <w:sz w:val="19"/>
                <w:szCs w:val="19"/>
                <w:color w:val="auto"/>
              </w:rPr>
            </w:pPr>
          </w:p>
        </w:tc>
        <w:tc>
          <w:tcPr>
            <w:tcW w:w="36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1,972</w:t>
            </w:r>
          </w:p>
        </w:tc>
      </w:tr>
      <w:tr>
        <w:trPr>
          <w:trHeight w:val="223"/>
        </w:trPr>
        <w:tc>
          <w:tcPr>
            <w:tcW w:w="80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DBDBDB"/>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23"/>
        </w:trPr>
        <w:tc>
          <w:tcPr>
            <w:tcW w:w="806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26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(3,188)</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4,969</w:t>
            </w:r>
          </w:p>
        </w:tc>
      </w:tr>
      <w:tr>
        <w:trPr>
          <w:trHeight w:val="229"/>
        </w:trPr>
        <w:tc>
          <w:tcPr>
            <w:tcW w:w="80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14,275</w:t>
            </w:r>
          </w:p>
        </w:tc>
        <w:tc>
          <w:tcPr>
            <w:tcW w:w="100" w:type="dxa"/>
            <w:vAlign w:val="bottom"/>
            <w:tcBorders>
              <w:bottom w:val="single" w:sz="8" w:color="DBDBDB"/>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9,067</w:t>
            </w:r>
          </w:p>
        </w:tc>
      </w:tr>
      <w:tr>
        <w:trPr>
          <w:trHeight w:val="248"/>
        </w:trPr>
        <w:tc>
          <w:tcPr>
            <w:tcW w:w="80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260" w:type="dxa"/>
            <w:vAlign w:val="bottom"/>
            <w:tcBorders>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11,087</w:t>
            </w:r>
          </w:p>
        </w:tc>
        <w:tc>
          <w:tcPr>
            <w:tcW w:w="10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14,036</w:t>
            </w:r>
          </w:p>
        </w:tc>
      </w:tr>
      <w:tr>
        <w:trPr>
          <w:trHeight w:val="20"/>
        </w:trPr>
        <w:tc>
          <w:tcPr>
            <w:tcW w:w="806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12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180" w:type="dxa"/>
            <w:vAlign w:val="bottom"/>
            <w:tcBorders>
              <w:top w:val="single" w:sz="8" w:color="DBDBDB"/>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The Notes to Consolidated Financial Statements are an integral part of this statement.</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4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1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SHAREOWNERS'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140" w:type="dxa"/>
            <w:vAlign w:val="bottom"/>
          </w:tcPr>
          <w:p>
            <w:pPr>
              <w:spacing w:after="0"/>
              <w:rPr>
                <w:sz w:val="17"/>
                <w:szCs w:val="17"/>
                <w:color w:val="auto"/>
              </w:rPr>
            </w:pPr>
          </w:p>
        </w:tc>
        <w:tc>
          <w:tcPr>
            <w:tcW w:w="3280" w:type="dxa"/>
            <w:vAlign w:val="bottom"/>
            <w:tcBorders>
              <w:bottom w:val="single" w:sz="8" w:color="DC202E"/>
            </w:tcBorders>
            <w:gridSpan w:val="8"/>
          </w:tcPr>
          <w:p>
            <w:pPr>
              <w:jc w:val="right"/>
              <w:ind w:right="80"/>
              <w:spacing w:after="0"/>
              <w:rPr>
                <w:sz w:val="20"/>
                <w:szCs w:val="20"/>
                <w:color w:val="auto"/>
              </w:rPr>
            </w:pPr>
            <w:r>
              <w:rPr>
                <w:rFonts w:ascii="Arial" w:cs="Arial" w:eastAsia="Arial" w:hAnsi="Arial"/>
                <w:sz w:val="14"/>
                <w:szCs w:val="14"/>
                <w:b w:val="1"/>
                <w:bCs w:val="1"/>
                <w:color w:val="auto"/>
              </w:rPr>
              <w:t>Three Months Ended September 30,</w:t>
            </w:r>
          </w:p>
        </w:tc>
        <w:tc>
          <w:tcPr>
            <w:tcW w:w="680" w:type="dxa"/>
            <w:vAlign w:val="bottom"/>
            <w:tcBorders>
              <w:bottom w:val="single" w:sz="8" w:color="DC202E"/>
            </w:tcBorders>
          </w:tcPr>
          <w:p>
            <w:pPr>
              <w:spacing w:after="0"/>
              <w:rPr>
                <w:sz w:val="17"/>
                <w:szCs w:val="17"/>
                <w:color w:val="auto"/>
              </w:rPr>
            </w:pPr>
          </w:p>
        </w:tc>
        <w:tc>
          <w:tcPr>
            <w:tcW w:w="180" w:type="dxa"/>
            <w:vAlign w:val="bottom"/>
          </w:tcPr>
          <w:p>
            <w:pPr>
              <w:spacing w:after="0"/>
              <w:rPr>
                <w:sz w:val="17"/>
                <w:szCs w:val="17"/>
                <w:color w:val="auto"/>
              </w:rPr>
            </w:pPr>
          </w:p>
        </w:tc>
        <w:tc>
          <w:tcPr>
            <w:tcW w:w="3260" w:type="dxa"/>
            <w:vAlign w:val="bottom"/>
            <w:tcBorders>
              <w:bottom w:val="single" w:sz="8" w:color="DC202E"/>
            </w:tcBorders>
            <w:gridSpan w:val="8"/>
          </w:tcPr>
          <w:p>
            <w:pPr>
              <w:jc w:val="right"/>
              <w:ind w:right="100"/>
              <w:spacing w:after="0"/>
              <w:rPr>
                <w:sz w:val="20"/>
                <w:szCs w:val="20"/>
                <w:color w:val="auto"/>
              </w:rPr>
            </w:pPr>
            <w:r>
              <w:rPr>
                <w:rFonts w:ascii="Arial" w:cs="Arial" w:eastAsia="Arial" w:hAnsi="Arial"/>
                <w:sz w:val="14"/>
                <w:szCs w:val="14"/>
                <w:b w:val="1"/>
                <w:bCs w:val="1"/>
                <w:color w:val="auto"/>
              </w:rPr>
              <w:t>Nine Months Ended September 30,</w:t>
            </w:r>
          </w:p>
        </w:tc>
        <w:tc>
          <w:tcPr>
            <w:tcW w:w="700" w:type="dxa"/>
            <w:vAlign w:val="bottom"/>
            <w:tcBorders>
              <w:bottom w:val="single" w:sz="8" w:color="DC202E"/>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40" w:type="dxa"/>
            <w:vAlign w:val="bottom"/>
          </w:tcPr>
          <w:p>
            <w:pPr>
              <w:spacing w:after="0"/>
              <w:rPr>
                <w:sz w:val="17"/>
                <w:szCs w:val="17"/>
                <w:color w:val="auto"/>
              </w:rPr>
            </w:pPr>
          </w:p>
        </w:tc>
        <w:tc>
          <w:tcPr>
            <w:tcW w:w="120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2021</w:t>
            </w:r>
          </w:p>
        </w:tc>
        <w:tc>
          <w:tcPr>
            <w:tcW w:w="700" w:type="dxa"/>
            <w:vAlign w:val="bottom"/>
          </w:tcPr>
          <w:p>
            <w:pPr>
              <w:spacing w:after="0"/>
              <w:rPr>
                <w:sz w:val="17"/>
                <w:szCs w:val="17"/>
                <w:color w:val="auto"/>
              </w:rPr>
            </w:pPr>
          </w:p>
        </w:tc>
        <w:tc>
          <w:tcPr>
            <w:tcW w:w="138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2020</w:t>
            </w:r>
          </w:p>
        </w:tc>
        <w:tc>
          <w:tcPr>
            <w:tcW w:w="680" w:type="dxa"/>
            <w:vAlign w:val="bottom"/>
          </w:tcPr>
          <w:p>
            <w:pPr>
              <w:spacing w:after="0"/>
              <w:rPr>
                <w:sz w:val="17"/>
                <w:szCs w:val="17"/>
                <w:color w:val="auto"/>
              </w:rPr>
            </w:pPr>
          </w:p>
        </w:tc>
        <w:tc>
          <w:tcPr>
            <w:tcW w:w="144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2021</w:t>
            </w:r>
          </w:p>
        </w:tc>
        <w:tc>
          <w:tcPr>
            <w:tcW w:w="640" w:type="dxa"/>
            <w:vAlign w:val="bottom"/>
          </w:tcPr>
          <w:p>
            <w:pPr>
              <w:spacing w:after="0"/>
              <w:rPr>
                <w:sz w:val="17"/>
                <w:szCs w:val="17"/>
                <w:color w:val="auto"/>
              </w:rPr>
            </w:pPr>
          </w:p>
        </w:tc>
        <w:tc>
          <w:tcPr>
            <w:tcW w:w="136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2020</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40" w:type="dxa"/>
            <w:vAlign w:val="bottom"/>
          </w:tcPr>
          <w:p>
            <w:pPr>
              <w:spacing w:after="0"/>
              <w:rPr>
                <w:sz w:val="17"/>
                <w:szCs w:val="17"/>
                <w:color w:val="auto"/>
              </w:rPr>
            </w:pPr>
          </w:p>
        </w:tc>
        <w:tc>
          <w:tcPr>
            <w:tcW w:w="1200" w:type="dxa"/>
            <w:vAlign w:val="bottom"/>
            <w:tcBorders>
              <w:top w:val="single" w:sz="8" w:color="DC202E"/>
              <w:bottom w:val="single" w:sz="8" w:color="DC202E"/>
            </w:tcBorders>
            <w:gridSpan w:val="3"/>
          </w:tcPr>
          <w:p>
            <w:pPr>
              <w:jc w:val="right"/>
              <w:ind w:right="520"/>
              <w:spacing w:after="0"/>
              <w:rPr>
                <w:sz w:val="20"/>
                <w:szCs w:val="20"/>
                <w:color w:val="auto"/>
              </w:rPr>
            </w:pPr>
            <w:r>
              <w:rPr>
                <w:rFonts w:ascii="Arial" w:cs="Arial" w:eastAsia="Arial" w:hAnsi="Arial"/>
                <w:sz w:val="14"/>
                <w:szCs w:val="14"/>
                <w:b w:val="1"/>
                <w:bCs w:val="1"/>
                <w:color w:val="auto"/>
              </w:rPr>
              <w:t>Shares</w:t>
            </w:r>
          </w:p>
        </w:tc>
        <w:tc>
          <w:tcPr>
            <w:tcW w:w="700" w:type="dxa"/>
            <w:vAlign w:val="bottom"/>
            <w:tcBorders>
              <w:top w:val="single" w:sz="8" w:color="DC202E"/>
              <w:bottom w:val="single" w:sz="8" w:color="DC202E"/>
            </w:tcBorders>
          </w:tcPr>
          <w:p>
            <w:pPr>
              <w:jc w:val="right"/>
              <w:ind w:right="319"/>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DC202E"/>
            </w:tcBorders>
          </w:tcPr>
          <w:p>
            <w:pPr>
              <w:spacing w:after="0"/>
              <w:rPr>
                <w:sz w:val="17"/>
                <w:szCs w:val="17"/>
                <w:color w:val="auto"/>
              </w:rPr>
            </w:pPr>
          </w:p>
        </w:tc>
        <w:tc>
          <w:tcPr>
            <w:tcW w:w="1220" w:type="dxa"/>
            <w:vAlign w:val="bottom"/>
            <w:tcBorders>
              <w:top w:val="single" w:sz="8" w:color="DC202E"/>
              <w:bottom w:val="single" w:sz="8" w:color="DC202E"/>
            </w:tcBorders>
            <w:gridSpan w:val="3"/>
          </w:tcPr>
          <w:p>
            <w:pPr>
              <w:jc w:val="right"/>
              <w:ind w:right="540"/>
              <w:spacing w:after="0"/>
              <w:rPr>
                <w:sz w:val="20"/>
                <w:szCs w:val="20"/>
                <w:color w:val="auto"/>
              </w:rPr>
            </w:pPr>
            <w:r>
              <w:rPr>
                <w:rFonts w:ascii="Arial" w:cs="Arial" w:eastAsia="Arial" w:hAnsi="Arial"/>
                <w:sz w:val="14"/>
                <w:szCs w:val="14"/>
                <w:b w:val="1"/>
                <w:bCs w:val="1"/>
                <w:color w:val="auto"/>
              </w:rPr>
              <w:t>Shares</w:t>
            </w:r>
          </w:p>
        </w:tc>
        <w:tc>
          <w:tcPr>
            <w:tcW w:w="680" w:type="dxa"/>
            <w:vAlign w:val="bottom"/>
            <w:tcBorders>
              <w:top w:val="single" w:sz="8" w:color="DC202E"/>
              <w:bottom w:val="single" w:sz="8" w:color="DC202E"/>
            </w:tcBorders>
          </w:tcPr>
          <w:p>
            <w:pPr>
              <w:jc w:val="right"/>
              <w:ind w:right="299"/>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DC202E"/>
            </w:tcBorders>
          </w:tcPr>
          <w:p>
            <w:pPr>
              <w:spacing w:after="0"/>
              <w:rPr>
                <w:sz w:val="17"/>
                <w:szCs w:val="17"/>
                <w:color w:val="auto"/>
              </w:rPr>
            </w:pPr>
          </w:p>
        </w:tc>
        <w:tc>
          <w:tcPr>
            <w:tcW w:w="1260" w:type="dxa"/>
            <w:vAlign w:val="bottom"/>
            <w:tcBorders>
              <w:top w:val="single" w:sz="8" w:color="DC202E"/>
              <w:bottom w:val="single" w:sz="8" w:color="DC202E"/>
            </w:tcBorders>
            <w:gridSpan w:val="3"/>
          </w:tcPr>
          <w:p>
            <w:pPr>
              <w:jc w:val="right"/>
              <w:ind w:right="600"/>
              <w:spacing w:after="0"/>
              <w:rPr>
                <w:sz w:val="20"/>
                <w:szCs w:val="20"/>
                <w:color w:val="auto"/>
              </w:rPr>
            </w:pPr>
            <w:r>
              <w:rPr>
                <w:rFonts w:ascii="Arial" w:cs="Arial" w:eastAsia="Arial" w:hAnsi="Arial"/>
                <w:sz w:val="14"/>
                <w:szCs w:val="14"/>
                <w:b w:val="1"/>
                <w:bCs w:val="1"/>
                <w:color w:val="auto"/>
              </w:rPr>
              <w:t>Shares</w:t>
            </w:r>
          </w:p>
        </w:tc>
        <w:tc>
          <w:tcPr>
            <w:tcW w:w="640" w:type="dxa"/>
            <w:vAlign w:val="bottom"/>
            <w:tcBorders>
              <w:top w:val="single" w:sz="8" w:color="DC202E"/>
              <w:bottom w:val="single" w:sz="8" w:color="DC202E"/>
            </w:tcBorders>
          </w:tcPr>
          <w:p>
            <w:pPr>
              <w:jc w:val="right"/>
              <w:ind w:right="319"/>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DC202E"/>
            </w:tcBorders>
          </w:tcPr>
          <w:p>
            <w:pPr>
              <w:spacing w:after="0"/>
              <w:rPr>
                <w:sz w:val="17"/>
                <w:szCs w:val="17"/>
                <w:color w:val="auto"/>
              </w:rPr>
            </w:pPr>
          </w:p>
        </w:tc>
        <w:tc>
          <w:tcPr>
            <w:tcW w:w="1200" w:type="dxa"/>
            <w:vAlign w:val="bottom"/>
            <w:tcBorders>
              <w:top w:val="single" w:sz="8" w:color="DC202E"/>
              <w:bottom w:val="single" w:sz="8" w:color="DC202E"/>
            </w:tcBorders>
            <w:gridSpan w:val="3"/>
          </w:tcPr>
          <w:p>
            <w:pPr>
              <w:jc w:val="right"/>
              <w:ind w:right="540"/>
              <w:spacing w:after="0"/>
              <w:rPr>
                <w:sz w:val="20"/>
                <w:szCs w:val="20"/>
                <w:color w:val="auto"/>
              </w:rPr>
            </w:pPr>
            <w:r>
              <w:rPr>
                <w:rFonts w:ascii="Arial" w:cs="Arial" w:eastAsia="Arial" w:hAnsi="Arial"/>
                <w:sz w:val="14"/>
                <w:szCs w:val="14"/>
                <w:b w:val="1"/>
                <w:bCs w:val="1"/>
                <w:color w:val="auto"/>
              </w:rPr>
              <w:t>Shares</w:t>
            </w:r>
          </w:p>
        </w:tc>
        <w:tc>
          <w:tcPr>
            <w:tcW w:w="700" w:type="dxa"/>
            <w:vAlign w:val="bottom"/>
            <w:tcBorders>
              <w:top w:val="single" w:sz="8" w:color="DC202E"/>
              <w:bottom w:val="single" w:sz="8" w:color="DC202E"/>
            </w:tcBorders>
          </w:tcPr>
          <w:p>
            <w:pPr>
              <w:jc w:val="right"/>
              <w:ind w:right="31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40" w:type="dxa"/>
            <w:vAlign w:val="bottom"/>
            <w:gridSpan w:val="8"/>
          </w:tcPr>
          <w:p>
            <w:pPr>
              <w:jc w:val="right"/>
              <w:ind w:right="20"/>
              <w:spacing w:after="0"/>
              <w:rPr>
                <w:sz w:val="20"/>
                <w:szCs w:val="20"/>
                <w:color w:val="auto"/>
              </w:rPr>
            </w:pPr>
            <w:r>
              <w:rPr>
                <w:rFonts w:ascii="Arial" w:cs="Arial" w:eastAsia="Arial" w:hAnsi="Arial"/>
                <w:sz w:val="14"/>
                <w:szCs w:val="14"/>
                <w:b w:val="1"/>
                <w:bCs w:val="1"/>
                <w:color w:val="auto"/>
              </w:rPr>
              <w:t>(In millions, except per share amounts)</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Common stock, par value</w:t>
            </w:r>
          </w:p>
        </w:tc>
        <w:tc>
          <w:tcPr>
            <w:tcW w:w="8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957.6</w:t>
            </w:r>
          </w:p>
        </w:tc>
        <w:tc>
          <w:tcPr>
            <w:tcW w:w="16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958</w:t>
            </w:r>
          </w:p>
        </w:tc>
        <w:tc>
          <w:tcPr>
            <w:tcW w:w="102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957.6</w:t>
            </w:r>
          </w:p>
        </w:tc>
        <w:tc>
          <w:tcPr>
            <w:tcW w:w="1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958</w:t>
            </w:r>
          </w:p>
        </w:tc>
        <w:tc>
          <w:tcPr>
            <w:tcW w:w="180" w:type="dxa"/>
            <w:vAlign w:val="bottom"/>
            <w:shd w:val="clear" w:color="auto" w:fill="D0D0CE"/>
          </w:tcPr>
          <w:p>
            <w:pPr>
              <w:spacing w:after="0"/>
              <w:rPr>
                <w:sz w:val="18"/>
                <w:szCs w:val="18"/>
                <w:color w:val="auto"/>
              </w:rPr>
            </w:pPr>
          </w:p>
        </w:tc>
        <w:tc>
          <w:tcPr>
            <w:tcW w:w="860" w:type="dxa"/>
            <w:vAlign w:val="bottom"/>
            <w:shd w:val="clear" w:color="auto" w:fill="DBDBDB"/>
          </w:tcPr>
          <w:p>
            <w:pPr>
              <w:jc w:val="right"/>
              <w:ind w:right="4"/>
              <w:spacing w:after="0"/>
              <w:rPr>
                <w:sz w:val="20"/>
                <w:szCs w:val="20"/>
                <w:color w:val="auto"/>
              </w:rPr>
            </w:pPr>
            <w:r>
              <w:rPr>
                <w:rFonts w:ascii="Arial" w:cs="Arial" w:eastAsia="Arial" w:hAnsi="Arial"/>
                <w:sz w:val="16"/>
                <w:szCs w:val="16"/>
                <w:color w:val="auto"/>
              </w:rPr>
              <w:t>957.6</w:t>
            </w:r>
          </w:p>
        </w:tc>
        <w:tc>
          <w:tcPr>
            <w:tcW w:w="16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958</w:t>
            </w:r>
          </w:p>
        </w:tc>
        <w:tc>
          <w:tcPr>
            <w:tcW w:w="1020" w:type="dxa"/>
            <w:vAlign w:val="bottom"/>
            <w:gridSpan w:val="2"/>
            <w:shd w:val="clear" w:color="auto" w:fill="DBDBDB"/>
          </w:tcPr>
          <w:p>
            <w:pPr>
              <w:jc w:val="right"/>
              <w:ind w:right="4"/>
              <w:spacing w:after="0"/>
              <w:rPr>
                <w:sz w:val="20"/>
                <w:szCs w:val="20"/>
                <w:color w:val="auto"/>
              </w:rPr>
            </w:pPr>
            <w:r>
              <w:rPr>
                <w:rFonts w:ascii="Arial" w:cs="Arial" w:eastAsia="Arial" w:hAnsi="Arial"/>
                <w:sz w:val="16"/>
                <w:szCs w:val="16"/>
                <w:color w:val="auto"/>
              </w:rPr>
              <w:t>957.6</w:t>
            </w:r>
          </w:p>
        </w:tc>
        <w:tc>
          <w:tcPr>
            <w:tcW w:w="16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958</w:t>
            </w:r>
          </w:p>
        </w:tc>
        <w:tc>
          <w:tcPr>
            <w:tcW w:w="0" w:type="dxa"/>
            <w:vAlign w:val="bottom"/>
          </w:tcPr>
          <w:p>
            <w:pPr>
              <w:spacing w:after="0"/>
              <w:rPr>
                <w:sz w:val="1"/>
                <w:szCs w:val="1"/>
                <w:color w:val="auto"/>
              </w:rPr>
            </w:pPr>
          </w:p>
        </w:tc>
      </w:tr>
      <w:tr>
        <w:trPr>
          <w:trHeight w:val="195"/>
        </w:trPr>
        <w:tc>
          <w:tcPr>
            <w:tcW w:w="3140" w:type="dxa"/>
            <w:vAlign w:val="bottom"/>
          </w:tcPr>
          <w:p>
            <w:pPr>
              <w:ind w:left="20"/>
              <w:spacing w:after="0"/>
              <w:rPr>
                <w:sz w:val="20"/>
                <w:szCs w:val="20"/>
                <w:color w:val="auto"/>
              </w:rPr>
            </w:pPr>
            <w:r>
              <w:rPr>
                <w:rFonts w:ascii="Arial" w:cs="Arial" w:eastAsia="Arial" w:hAnsi="Arial"/>
                <w:sz w:val="16"/>
                <w:szCs w:val="16"/>
                <w:b w:val="1"/>
                <w:bCs w:val="1"/>
                <w:color w:val="auto"/>
              </w:rPr>
              <w:t>Additional paid-in capital</w:t>
            </w:r>
          </w:p>
        </w:tc>
        <w:tc>
          <w:tcPr>
            <w:tcW w:w="8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140" w:type="dxa"/>
            <w:vAlign w:val="bottom"/>
            <w:shd w:val="clear" w:color="auto" w:fill="DBDBDB"/>
          </w:tcPr>
          <w:p>
            <w:pPr>
              <w:ind w:left="20"/>
              <w:spacing w:after="0"/>
              <w:rPr>
                <w:sz w:val="20"/>
                <w:szCs w:val="20"/>
                <w:color w:val="auto"/>
              </w:rPr>
            </w:pPr>
            <w:r>
              <w:rPr>
                <w:rFonts w:ascii="Arial" w:cs="Arial" w:eastAsia="Arial" w:hAnsi="Arial"/>
                <w:sz w:val="16"/>
                <w:szCs w:val="16"/>
                <w:color w:val="auto"/>
              </w:rPr>
              <w:t>Beginning balance</w:t>
            </w:r>
          </w:p>
        </w:tc>
        <w:tc>
          <w:tcPr>
            <w:tcW w:w="86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7,566</w:t>
            </w:r>
          </w:p>
        </w:tc>
        <w:tc>
          <w:tcPr>
            <w:tcW w:w="160" w:type="dxa"/>
            <w:vAlign w:val="bottom"/>
            <w:shd w:val="clear" w:color="auto" w:fill="DBDBDB"/>
          </w:tcPr>
          <w:p>
            <w:pPr>
              <w:spacing w:after="0"/>
              <w:rPr>
                <w:sz w:val="18"/>
                <w:szCs w:val="18"/>
                <w:color w:val="auto"/>
              </w:rPr>
            </w:pPr>
          </w:p>
        </w:tc>
        <w:tc>
          <w:tcPr>
            <w:tcW w:w="86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7,104</w:t>
            </w:r>
          </w:p>
        </w:tc>
        <w:tc>
          <w:tcPr>
            <w:tcW w:w="180" w:type="dxa"/>
            <w:vAlign w:val="bottom"/>
            <w:shd w:val="clear" w:color="auto" w:fill="DBDBDB"/>
          </w:tcPr>
          <w:p>
            <w:pPr>
              <w:spacing w:after="0"/>
              <w:rPr>
                <w:sz w:val="18"/>
                <w:szCs w:val="18"/>
                <w:color w:val="auto"/>
              </w:rPr>
            </w:pPr>
          </w:p>
        </w:tc>
        <w:tc>
          <w:tcPr>
            <w:tcW w:w="86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7,292</w:t>
            </w:r>
          </w:p>
        </w:tc>
        <w:tc>
          <w:tcPr>
            <w:tcW w:w="160" w:type="dxa"/>
            <w:vAlign w:val="bottom"/>
            <w:shd w:val="clear" w:color="auto" w:fill="DBDBDB"/>
          </w:tcPr>
          <w:p>
            <w:pPr>
              <w:spacing w:after="0"/>
              <w:rPr>
                <w:sz w:val="18"/>
                <w:szCs w:val="18"/>
                <w:color w:val="auto"/>
              </w:rPr>
            </w:pPr>
          </w:p>
        </w:tc>
        <w:tc>
          <w:tcPr>
            <w:tcW w:w="86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6,876</w:t>
            </w:r>
          </w:p>
        </w:tc>
        <w:tc>
          <w:tcPr>
            <w:tcW w:w="0" w:type="dxa"/>
            <w:vAlign w:val="bottom"/>
          </w:tcPr>
          <w:p>
            <w:pPr>
              <w:spacing w:after="0"/>
              <w:rPr>
                <w:sz w:val="1"/>
                <w:szCs w:val="1"/>
                <w:color w:val="auto"/>
              </w:rPr>
            </w:pPr>
          </w:p>
        </w:tc>
      </w:tr>
      <w:tr>
        <w:trPr>
          <w:trHeight w:val="177"/>
        </w:trPr>
        <w:tc>
          <w:tcPr>
            <w:tcW w:w="3140" w:type="dxa"/>
            <w:vAlign w:val="bottom"/>
          </w:tcPr>
          <w:p>
            <w:pPr>
              <w:ind w:left="140"/>
              <w:spacing w:after="0" w:line="178" w:lineRule="exact"/>
              <w:rPr>
                <w:sz w:val="20"/>
                <w:szCs w:val="20"/>
                <w:color w:val="auto"/>
              </w:rPr>
            </w:pPr>
            <w:r>
              <w:rPr>
                <w:rFonts w:ascii="Arial" w:cs="Arial" w:eastAsia="Arial" w:hAnsi="Arial"/>
                <w:sz w:val="16"/>
                <w:szCs w:val="16"/>
                <w:color w:val="auto"/>
              </w:rPr>
              <w:t>Issued for employee savings and option</w:t>
            </w: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140" w:type="dxa"/>
            <w:vAlign w:val="bottom"/>
          </w:tcPr>
          <w:p>
            <w:pPr>
              <w:ind w:left="140"/>
              <w:spacing w:after="0"/>
              <w:rPr>
                <w:sz w:val="20"/>
                <w:szCs w:val="20"/>
                <w:color w:val="auto"/>
              </w:rPr>
            </w:pPr>
            <w:r>
              <w:rPr>
                <w:rFonts w:ascii="Arial" w:cs="Arial" w:eastAsia="Arial" w:hAnsi="Arial"/>
                <w:sz w:val="16"/>
                <w:szCs w:val="16"/>
                <w:color w:val="auto"/>
              </w:rPr>
              <w:t>plans</w:t>
            </w: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148</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216"/>
        </w:trPr>
        <w:tc>
          <w:tcPr>
            <w:tcW w:w="3140" w:type="dxa"/>
            <w:vAlign w:val="bottom"/>
            <w:shd w:val="clear" w:color="auto" w:fill="DBDBDB"/>
          </w:tcPr>
          <w:p>
            <w:pPr>
              <w:ind w:left="140"/>
              <w:spacing w:after="0"/>
              <w:rPr>
                <w:sz w:val="20"/>
                <w:szCs w:val="20"/>
                <w:color w:val="auto"/>
              </w:rPr>
            </w:pPr>
            <w:r>
              <w:rPr>
                <w:rFonts w:ascii="Arial" w:cs="Arial" w:eastAsia="Arial" w:hAnsi="Arial"/>
                <w:sz w:val="16"/>
                <w:szCs w:val="16"/>
                <w:color w:val="auto"/>
              </w:rPr>
              <w:t>Stock-based compensation expense</w:t>
            </w:r>
          </w:p>
        </w:tc>
        <w:tc>
          <w:tcPr>
            <w:tcW w:w="86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80" w:type="dxa"/>
            <w:vAlign w:val="bottom"/>
            <w:tcBorders>
              <w:bottom w:val="single" w:sz="8" w:color="auto"/>
            </w:tcBorders>
            <w:shd w:val="clear" w:color="auto" w:fill="DBDBDB"/>
          </w:tcPr>
          <w:p>
            <w:pPr>
              <w:spacing w:after="0"/>
              <w:rPr>
                <w:sz w:val="18"/>
                <w:szCs w:val="18"/>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56</w:t>
            </w:r>
          </w:p>
        </w:tc>
        <w:tc>
          <w:tcPr>
            <w:tcW w:w="160" w:type="dxa"/>
            <w:vAlign w:val="bottom"/>
            <w:shd w:val="clear" w:color="auto" w:fill="DBDBDB"/>
          </w:tcPr>
          <w:p>
            <w:pPr>
              <w:spacing w:after="0"/>
              <w:rPr>
                <w:sz w:val="18"/>
                <w:szCs w:val="18"/>
                <w:color w:val="auto"/>
              </w:rPr>
            </w:pPr>
          </w:p>
        </w:tc>
        <w:tc>
          <w:tcPr>
            <w:tcW w:w="86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80" w:type="dxa"/>
            <w:vAlign w:val="bottom"/>
            <w:tcBorders>
              <w:bottom w:val="single" w:sz="8" w:color="auto"/>
            </w:tcBorders>
            <w:shd w:val="clear" w:color="auto" w:fill="DBDBDB"/>
          </w:tcPr>
          <w:p>
            <w:pPr>
              <w:spacing w:after="0"/>
              <w:rPr>
                <w:sz w:val="18"/>
                <w:szCs w:val="18"/>
                <w:color w:val="auto"/>
              </w:rPr>
            </w:pP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40</w:t>
            </w:r>
          </w:p>
        </w:tc>
        <w:tc>
          <w:tcPr>
            <w:tcW w:w="180" w:type="dxa"/>
            <w:vAlign w:val="bottom"/>
            <w:shd w:val="clear" w:color="auto" w:fill="DBDBDB"/>
          </w:tcPr>
          <w:p>
            <w:pPr>
              <w:spacing w:after="0"/>
              <w:rPr>
                <w:sz w:val="18"/>
                <w:szCs w:val="18"/>
                <w:color w:val="auto"/>
              </w:rPr>
            </w:pPr>
          </w:p>
        </w:tc>
        <w:tc>
          <w:tcPr>
            <w:tcW w:w="86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240" w:type="dxa"/>
            <w:vAlign w:val="bottom"/>
            <w:tcBorders>
              <w:bottom w:val="single" w:sz="8" w:color="auto"/>
            </w:tcBorders>
            <w:shd w:val="clear" w:color="auto" w:fill="DBDBDB"/>
          </w:tcPr>
          <w:p>
            <w:pPr>
              <w:spacing w:after="0"/>
              <w:rPr>
                <w:sz w:val="18"/>
                <w:szCs w:val="18"/>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172</w:t>
            </w:r>
          </w:p>
        </w:tc>
        <w:tc>
          <w:tcPr>
            <w:tcW w:w="160" w:type="dxa"/>
            <w:vAlign w:val="bottom"/>
            <w:shd w:val="clear" w:color="auto" w:fill="DBDBDB"/>
          </w:tcPr>
          <w:p>
            <w:pPr>
              <w:spacing w:after="0"/>
              <w:rPr>
                <w:sz w:val="18"/>
                <w:szCs w:val="18"/>
                <w:color w:val="auto"/>
              </w:rPr>
            </w:pPr>
          </w:p>
        </w:tc>
        <w:tc>
          <w:tcPr>
            <w:tcW w:w="86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80" w:type="dxa"/>
            <w:vAlign w:val="bottom"/>
            <w:tcBorders>
              <w:bottom w:val="single" w:sz="8" w:color="auto"/>
            </w:tcBorders>
            <w:shd w:val="clear" w:color="auto" w:fill="DBDBDB"/>
          </w:tcPr>
          <w:p>
            <w:pPr>
              <w:spacing w:after="0"/>
              <w:rPr>
                <w:sz w:val="18"/>
                <w:szCs w:val="18"/>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209"/>
        </w:trPr>
        <w:tc>
          <w:tcPr>
            <w:tcW w:w="314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Ending balance</w:t>
            </w:r>
          </w:p>
        </w:tc>
        <w:tc>
          <w:tcPr>
            <w:tcW w:w="860" w:type="dxa"/>
            <w:vAlign w:val="bottom"/>
            <w:tcBorders>
              <w:bottom w:val="single" w:sz="8" w:color="DBDBDB"/>
            </w:tcBorders>
          </w:tcPr>
          <w:p>
            <w:pPr>
              <w:spacing w:after="0"/>
              <w:rPr>
                <w:sz w:val="18"/>
                <w:szCs w:val="18"/>
                <w:color w:val="auto"/>
              </w:rPr>
            </w:pPr>
          </w:p>
        </w:tc>
        <w:tc>
          <w:tcPr>
            <w:tcW w:w="160" w:type="dxa"/>
            <w:vAlign w:val="bottom"/>
            <w:tcBorders>
              <w:bottom w:val="single" w:sz="8" w:color="DBDBDB"/>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7,612</w:t>
            </w:r>
          </w:p>
        </w:tc>
        <w:tc>
          <w:tcPr>
            <w:tcW w:w="160" w:type="dxa"/>
            <w:vAlign w:val="bottom"/>
            <w:tcBorders>
              <w:bottom w:val="single" w:sz="8" w:color="DBDBDB"/>
            </w:tcBorders>
          </w:tcPr>
          <w:p>
            <w:pPr>
              <w:spacing w:after="0"/>
              <w:rPr>
                <w:sz w:val="18"/>
                <w:szCs w:val="18"/>
                <w:color w:val="auto"/>
              </w:rPr>
            </w:pPr>
          </w:p>
        </w:tc>
        <w:tc>
          <w:tcPr>
            <w:tcW w:w="860" w:type="dxa"/>
            <w:vAlign w:val="bottom"/>
            <w:tcBorders>
              <w:bottom w:val="single" w:sz="8" w:color="DBDBDB"/>
            </w:tcBorders>
          </w:tcPr>
          <w:p>
            <w:pPr>
              <w:spacing w:after="0"/>
              <w:rPr>
                <w:sz w:val="18"/>
                <w:szCs w:val="18"/>
                <w:color w:val="auto"/>
              </w:rPr>
            </w:pPr>
          </w:p>
        </w:tc>
        <w:tc>
          <w:tcPr>
            <w:tcW w:w="180" w:type="dxa"/>
            <w:vAlign w:val="bottom"/>
            <w:tcBorders>
              <w:bottom w:val="single" w:sz="8" w:color="DBDBDB"/>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7,155</w:t>
            </w:r>
          </w:p>
        </w:tc>
        <w:tc>
          <w:tcPr>
            <w:tcW w:w="180" w:type="dxa"/>
            <w:vAlign w:val="bottom"/>
            <w:tcBorders>
              <w:bottom w:val="single" w:sz="8" w:color="DBDBDB"/>
            </w:tcBorders>
          </w:tcPr>
          <w:p>
            <w:pPr>
              <w:spacing w:after="0"/>
              <w:rPr>
                <w:sz w:val="18"/>
                <w:szCs w:val="18"/>
                <w:color w:val="auto"/>
              </w:rPr>
            </w:pPr>
          </w:p>
        </w:tc>
        <w:tc>
          <w:tcPr>
            <w:tcW w:w="860" w:type="dxa"/>
            <w:vAlign w:val="bottom"/>
            <w:tcBorders>
              <w:bottom w:val="single" w:sz="8" w:color="DBDBDB"/>
            </w:tcBorders>
          </w:tcPr>
          <w:p>
            <w:pPr>
              <w:spacing w:after="0"/>
              <w:rPr>
                <w:sz w:val="18"/>
                <w:szCs w:val="18"/>
                <w:color w:val="auto"/>
              </w:rPr>
            </w:pPr>
          </w:p>
        </w:tc>
        <w:tc>
          <w:tcPr>
            <w:tcW w:w="160" w:type="dxa"/>
            <w:vAlign w:val="bottom"/>
            <w:tcBorders>
              <w:bottom w:val="single" w:sz="8" w:color="DBDBDB"/>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7,612</w:t>
            </w:r>
          </w:p>
        </w:tc>
        <w:tc>
          <w:tcPr>
            <w:tcW w:w="160" w:type="dxa"/>
            <w:vAlign w:val="bottom"/>
            <w:tcBorders>
              <w:bottom w:val="single" w:sz="8" w:color="DBDBDB"/>
            </w:tcBorders>
          </w:tcPr>
          <w:p>
            <w:pPr>
              <w:spacing w:after="0"/>
              <w:rPr>
                <w:sz w:val="18"/>
                <w:szCs w:val="18"/>
                <w:color w:val="auto"/>
              </w:rPr>
            </w:pPr>
          </w:p>
        </w:tc>
        <w:tc>
          <w:tcPr>
            <w:tcW w:w="860" w:type="dxa"/>
            <w:vAlign w:val="bottom"/>
            <w:tcBorders>
              <w:bottom w:val="single" w:sz="8" w:color="DBDBDB"/>
            </w:tcBorders>
          </w:tcPr>
          <w:p>
            <w:pPr>
              <w:spacing w:after="0"/>
              <w:rPr>
                <w:sz w:val="18"/>
                <w:szCs w:val="18"/>
                <w:color w:val="auto"/>
              </w:rPr>
            </w:pPr>
          </w:p>
        </w:tc>
        <w:tc>
          <w:tcPr>
            <w:tcW w:w="160" w:type="dxa"/>
            <w:vAlign w:val="bottom"/>
            <w:tcBorders>
              <w:bottom w:val="single" w:sz="8" w:color="DBDBDB"/>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7,155</w:t>
            </w:r>
          </w:p>
        </w:tc>
        <w:tc>
          <w:tcPr>
            <w:tcW w:w="0" w:type="dxa"/>
            <w:vAlign w:val="bottom"/>
          </w:tcPr>
          <w:p>
            <w:pPr>
              <w:spacing w:after="0"/>
              <w:rPr>
                <w:sz w:val="1"/>
                <w:szCs w:val="1"/>
                <w:color w:val="auto"/>
              </w:rPr>
            </w:pPr>
          </w:p>
        </w:tc>
      </w:tr>
      <w:tr>
        <w:trPr>
          <w:trHeight w:val="199"/>
        </w:trPr>
        <w:tc>
          <w:tcPr>
            <w:tcW w:w="314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Treasury stock</w:t>
            </w:r>
          </w:p>
        </w:tc>
        <w:tc>
          <w:tcPr>
            <w:tcW w:w="86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70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86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6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86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64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86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70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140" w:type="dxa"/>
            <w:vAlign w:val="bottom"/>
          </w:tcPr>
          <w:p>
            <w:pPr>
              <w:ind w:left="20"/>
              <w:spacing w:after="0"/>
              <w:rPr>
                <w:sz w:val="20"/>
                <w:szCs w:val="20"/>
                <w:color w:val="auto"/>
              </w:rPr>
            </w:pPr>
            <w:r>
              <w:rPr>
                <w:rFonts w:ascii="Arial" w:cs="Arial" w:eastAsia="Arial" w:hAnsi="Arial"/>
                <w:sz w:val="16"/>
                <w:szCs w:val="16"/>
                <w:color w:val="auto"/>
              </w:rPr>
              <w:t>Beginning balance</w:t>
            </w:r>
          </w:p>
        </w:tc>
        <w:tc>
          <w:tcPr>
            <w:tcW w:w="860" w:type="dxa"/>
            <w:vAlign w:val="bottom"/>
          </w:tcPr>
          <w:p>
            <w:pPr>
              <w:jc w:val="right"/>
              <w:spacing w:after="0"/>
              <w:rPr>
                <w:sz w:val="20"/>
                <w:szCs w:val="20"/>
                <w:color w:val="auto"/>
              </w:rPr>
            </w:pPr>
            <w:r>
              <w:rPr>
                <w:rFonts w:ascii="Arial" w:cs="Arial" w:eastAsia="Arial" w:hAnsi="Arial"/>
                <w:sz w:val="16"/>
                <w:szCs w:val="16"/>
                <w:color w:val="auto"/>
              </w:rPr>
              <w:t>(267.2)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(28,978)</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(255.8)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(25,685)</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(260.8)</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97"/>
              </w:rPr>
              <w:t>(27,229)</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(246.5)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(23,836)</w:t>
            </w:r>
          </w:p>
        </w:tc>
        <w:tc>
          <w:tcPr>
            <w:tcW w:w="0" w:type="dxa"/>
            <w:vAlign w:val="bottom"/>
          </w:tcPr>
          <w:p>
            <w:pPr>
              <w:spacing w:after="0"/>
              <w:rPr>
                <w:sz w:val="1"/>
                <w:szCs w:val="1"/>
                <w:color w:val="auto"/>
              </w:rPr>
            </w:pPr>
          </w:p>
        </w:tc>
      </w:tr>
      <w:tr>
        <w:trPr>
          <w:trHeight w:val="180"/>
        </w:trPr>
        <w:tc>
          <w:tcPr>
            <w:tcW w:w="3140" w:type="dxa"/>
            <w:vAlign w:val="bottom"/>
            <w:shd w:val="clear" w:color="auto" w:fill="DBDBDB"/>
          </w:tcPr>
          <w:p>
            <w:pPr>
              <w:ind w:left="140"/>
              <w:spacing w:after="0" w:line="181" w:lineRule="exact"/>
              <w:rPr>
                <w:sz w:val="20"/>
                <w:szCs w:val="20"/>
                <w:color w:val="auto"/>
              </w:rPr>
            </w:pPr>
            <w:r>
              <w:rPr>
                <w:rFonts w:ascii="Arial" w:cs="Arial" w:eastAsia="Arial" w:hAnsi="Arial"/>
                <w:sz w:val="16"/>
                <w:szCs w:val="16"/>
                <w:color w:val="auto"/>
              </w:rPr>
              <w:t>Reacquired stock or repurchases of</w:t>
            </w:r>
          </w:p>
        </w:tc>
        <w:tc>
          <w:tcPr>
            <w:tcW w:w="86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70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86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68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86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64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86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70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140" w:type="dxa"/>
            <w:vAlign w:val="bottom"/>
            <w:shd w:val="clear" w:color="auto" w:fill="DBDBDB"/>
          </w:tcPr>
          <w:p>
            <w:pPr>
              <w:ind w:left="140"/>
              <w:spacing w:after="0"/>
              <w:rPr>
                <w:sz w:val="20"/>
                <w:szCs w:val="20"/>
                <w:color w:val="auto"/>
              </w:rPr>
            </w:pPr>
            <w:r>
              <w:rPr>
                <w:rFonts w:ascii="Arial" w:cs="Arial" w:eastAsia="Arial" w:hAnsi="Arial"/>
                <w:sz w:val="16"/>
                <w:szCs w:val="16"/>
                <w:color w:val="auto"/>
              </w:rPr>
              <w:t>common stock</w:t>
            </w:r>
          </w:p>
        </w:tc>
        <w:tc>
          <w:tcPr>
            <w:tcW w:w="8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(2.9)</w:t>
            </w:r>
          </w:p>
        </w:tc>
        <w:tc>
          <w:tcPr>
            <w:tcW w:w="16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(650)</w:t>
            </w:r>
          </w:p>
        </w:tc>
        <w:tc>
          <w:tcPr>
            <w:tcW w:w="102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(1.0)</w:t>
            </w:r>
          </w:p>
        </w:tc>
        <w:tc>
          <w:tcPr>
            <w:tcW w:w="1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(164)</w:t>
            </w:r>
          </w:p>
        </w:tc>
        <w:tc>
          <w:tcPr>
            <w:tcW w:w="104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(11.5)</w:t>
            </w:r>
          </w:p>
        </w:tc>
        <w:tc>
          <w:tcPr>
            <w:tcW w:w="16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(2,499)</w:t>
            </w:r>
          </w:p>
        </w:tc>
        <w:tc>
          <w:tcPr>
            <w:tcW w:w="102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(13.1)</w:t>
            </w:r>
          </w:p>
        </w:tc>
        <w:tc>
          <w:tcPr>
            <w:tcW w:w="16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(2,149)</w:t>
            </w:r>
          </w:p>
        </w:tc>
        <w:tc>
          <w:tcPr>
            <w:tcW w:w="0" w:type="dxa"/>
            <w:vAlign w:val="bottom"/>
          </w:tcPr>
          <w:p>
            <w:pPr>
              <w:spacing w:after="0"/>
              <w:rPr>
                <w:sz w:val="1"/>
                <w:szCs w:val="1"/>
                <w:color w:val="auto"/>
              </w:rPr>
            </w:pPr>
          </w:p>
        </w:tc>
      </w:tr>
      <w:tr>
        <w:trPr>
          <w:trHeight w:val="177"/>
        </w:trPr>
        <w:tc>
          <w:tcPr>
            <w:tcW w:w="3140" w:type="dxa"/>
            <w:vAlign w:val="bottom"/>
          </w:tcPr>
          <w:p>
            <w:pPr>
              <w:ind w:left="140"/>
              <w:spacing w:after="0" w:line="178" w:lineRule="exact"/>
              <w:rPr>
                <w:sz w:val="20"/>
                <w:szCs w:val="20"/>
                <w:color w:val="auto"/>
              </w:rPr>
            </w:pPr>
            <w:r>
              <w:rPr>
                <w:rFonts w:ascii="Arial" w:cs="Arial" w:eastAsia="Arial" w:hAnsi="Arial"/>
                <w:sz w:val="16"/>
                <w:szCs w:val="16"/>
                <w:color w:val="auto"/>
              </w:rPr>
              <w:t>Issued for employee savings and option</w:t>
            </w: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14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plans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w:t>
            </w:r>
          </w:p>
        </w:tc>
        <w:tc>
          <w:tcPr>
            <w:tcW w:w="160" w:type="dxa"/>
            <w:vAlign w:val="bottom"/>
            <w:tcBorders>
              <w:bottom w:val="single" w:sz="8" w:color="DBDBDB"/>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60" w:type="dxa"/>
            <w:vAlign w:val="bottom"/>
            <w:tcBorders>
              <w:bottom w:val="single" w:sz="8" w:color="DBDBDB"/>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w:t>
            </w:r>
          </w:p>
        </w:tc>
        <w:tc>
          <w:tcPr>
            <w:tcW w:w="180" w:type="dxa"/>
            <w:vAlign w:val="bottom"/>
            <w:tcBorders>
              <w:bottom w:val="single" w:sz="8" w:color="DBDBDB"/>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80" w:type="dxa"/>
            <w:vAlign w:val="bottom"/>
            <w:tcBorders>
              <w:bottom w:val="single" w:sz="8" w:color="DBDBDB"/>
            </w:tcBorders>
          </w:tcPr>
          <w:p>
            <w:pPr>
              <w:spacing w:after="0"/>
              <w:rPr>
                <w:sz w:val="17"/>
                <w:szCs w:val="17"/>
                <w:color w:val="auto"/>
              </w:rPr>
            </w:pP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3.1</w:t>
            </w:r>
          </w:p>
        </w:tc>
        <w:tc>
          <w:tcPr>
            <w:tcW w:w="160" w:type="dxa"/>
            <w:vAlign w:val="bottom"/>
            <w:tcBorders>
              <w:bottom w:val="single" w:sz="8" w:color="DBDBDB"/>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w:t>
            </w:r>
          </w:p>
        </w:tc>
        <w:tc>
          <w:tcPr>
            <w:tcW w:w="160" w:type="dxa"/>
            <w:vAlign w:val="bottom"/>
            <w:tcBorders>
              <w:bottom w:val="single" w:sz="8" w:color="DBDBDB"/>
            </w:tcBorders>
          </w:tcPr>
          <w:p>
            <w:pPr>
              <w:spacing w:after="0"/>
              <w:rPr>
                <w:sz w:val="17"/>
                <w:szCs w:val="17"/>
                <w:color w:val="auto"/>
              </w:rPr>
            </w:pP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3.7</w:t>
            </w:r>
          </w:p>
        </w:tc>
        <w:tc>
          <w:tcPr>
            <w:tcW w:w="160" w:type="dxa"/>
            <w:vAlign w:val="bottom"/>
            <w:tcBorders>
              <w:bottom w:val="single" w:sz="8" w:color="DBDBDB"/>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213"/>
        </w:trPr>
        <w:tc>
          <w:tcPr>
            <w:tcW w:w="3140" w:type="dxa"/>
            <w:vAlign w:val="bottom"/>
            <w:shd w:val="clear" w:color="auto" w:fill="DBDBDB"/>
          </w:tcPr>
          <w:p>
            <w:pPr>
              <w:ind w:left="20"/>
              <w:spacing w:after="0"/>
              <w:rPr>
                <w:sz w:val="20"/>
                <w:szCs w:val="20"/>
                <w:color w:val="auto"/>
              </w:rPr>
            </w:pPr>
            <w:r>
              <w:rPr>
                <w:rFonts w:ascii="Arial" w:cs="Arial" w:eastAsia="Arial" w:hAnsi="Arial"/>
                <w:sz w:val="16"/>
                <w:szCs w:val="16"/>
                <w:color w:val="auto"/>
              </w:rPr>
              <w:t>Ending balance</w:t>
            </w:r>
          </w:p>
        </w:tc>
        <w:tc>
          <w:tcPr>
            <w:tcW w:w="8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(269.2)</w:t>
            </w:r>
          </w:p>
        </w:tc>
        <w:tc>
          <w:tcPr>
            <w:tcW w:w="16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(29,614)</w:t>
            </w:r>
          </w:p>
        </w:tc>
        <w:tc>
          <w:tcPr>
            <w:tcW w:w="102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(255.9)</w:t>
            </w:r>
          </w:p>
        </w:tc>
        <w:tc>
          <w:tcPr>
            <w:tcW w:w="1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(25,806)</w:t>
            </w:r>
          </w:p>
        </w:tc>
        <w:tc>
          <w:tcPr>
            <w:tcW w:w="104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(269.2)</w:t>
            </w:r>
          </w:p>
        </w:tc>
        <w:tc>
          <w:tcPr>
            <w:tcW w:w="16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97"/>
              </w:rPr>
              <w:t>(29,614)</w:t>
            </w:r>
          </w:p>
        </w:tc>
        <w:tc>
          <w:tcPr>
            <w:tcW w:w="102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(255.9)</w:t>
            </w:r>
          </w:p>
        </w:tc>
        <w:tc>
          <w:tcPr>
            <w:tcW w:w="16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(25,806)</w:t>
            </w:r>
          </w:p>
        </w:tc>
        <w:tc>
          <w:tcPr>
            <w:tcW w:w="0" w:type="dxa"/>
            <w:vAlign w:val="bottom"/>
          </w:tcPr>
          <w:p>
            <w:pPr>
              <w:spacing w:after="0"/>
              <w:rPr>
                <w:sz w:val="1"/>
                <w:szCs w:val="1"/>
                <w:color w:val="auto"/>
              </w:rPr>
            </w:pPr>
          </w:p>
        </w:tc>
      </w:tr>
      <w:tr>
        <w:trPr>
          <w:trHeight w:val="195"/>
        </w:trPr>
        <w:tc>
          <w:tcPr>
            <w:tcW w:w="3140" w:type="dxa"/>
            <w:vAlign w:val="bottom"/>
          </w:tcPr>
          <w:p>
            <w:pPr>
              <w:ind w:left="20"/>
              <w:spacing w:after="0"/>
              <w:rPr>
                <w:sz w:val="20"/>
                <w:szCs w:val="20"/>
                <w:color w:val="auto"/>
              </w:rPr>
            </w:pPr>
            <w:r>
              <w:rPr>
                <w:rFonts w:ascii="Arial" w:cs="Arial" w:eastAsia="Arial" w:hAnsi="Arial"/>
                <w:sz w:val="16"/>
                <w:szCs w:val="16"/>
                <w:b w:val="1"/>
                <w:bCs w:val="1"/>
                <w:color w:val="auto"/>
              </w:rPr>
              <w:t>Retained earnings</w:t>
            </w:r>
          </w:p>
        </w:tc>
        <w:tc>
          <w:tcPr>
            <w:tcW w:w="8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140" w:type="dxa"/>
            <w:vAlign w:val="bottom"/>
            <w:shd w:val="clear" w:color="auto" w:fill="DBDBDB"/>
          </w:tcPr>
          <w:p>
            <w:pPr>
              <w:ind w:left="20"/>
              <w:spacing w:after="0"/>
              <w:rPr>
                <w:sz w:val="20"/>
                <w:szCs w:val="20"/>
                <w:color w:val="auto"/>
              </w:rPr>
            </w:pPr>
            <w:r>
              <w:rPr>
                <w:rFonts w:ascii="Arial" w:cs="Arial" w:eastAsia="Arial" w:hAnsi="Arial"/>
                <w:sz w:val="16"/>
                <w:szCs w:val="16"/>
                <w:color w:val="auto"/>
              </w:rPr>
              <w:t>Beginning balance</w:t>
            </w:r>
          </w:p>
        </w:tc>
        <w:tc>
          <w:tcPr>
            <w:tcW w:w="86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41,467</w:t>
            </w:r>
          </w:p>
        </w:tc>
        <w:tc>
          <w:tcPr>
            <w:tcW w:w="160" w:type="dxa"/>
            <w:vAlign w:val="bottom"/>
            <w:shd w:val="clear" w:color="auto" w:fill="DBDBDB"/>
          </w:tcPr>
          <w:p>
            <w:pPr>
              <w:spacing w:after="0"/>
              <w:rPr>
                <w:sz w:val="18"/>
                <w:szCs w:val="18"/>
                <w:color w:val="auto"/>
              </w:rPr>
            </w:pPr>
          </w:p>
        </w:tc>
        <w:tc>
          <w:tcPr>
            <w:tcW w:w="86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39,080</w:t>
            </w:r>
          </w:p>
        </w:tc>
        <w:tc>
          <w:tcPr>
            <w:tcW w:w="180" w:type="dxa"/>
            <w:vAlign w:val="bottom"/>
            <w:shd w:val="clear" w:color="auto" w:fill="DBDBDB"/>
          </w:tcPr>
          <w:p>
            <w:pPr>
              <w:spacing w:after="0"/>
              <w:rPr>
                <w:sz w:val="18"/>
                <w:szCs w:val="18"/>
                <w:color w:val="auto"/>
              </w:rPr>
            </w:pPr>
          </w:p>
        </w:tc>
        <w:tc>
          <w:tcPr>
            <w:tcW w:w="86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39,905</w:t>
            </w:r>
          </w:p>
        </w:tc>
        <w:tc>
          <w:tcPr>
            <w:tcW w:w="160" w:type="dxa"/>
            <w:vAlign w:val="bottom"/>
            <w:shd w:val="clear" w:color="auto" w:fill="DBDBDB"/>
          </w:tcPr>
          <w:p>
            <w:pPr>
              <w:spacing w:after="0"/>
              <w:rPr>
                <w:sz w:val="18"/>
                <w:szCs w:val="18"/>
                <w:color w:val="auto"/>
              </w:rPr>
            </w:pPr>
          </w:p>
        </w:tc>
        <w:tc>
          <w:tcPr>
            <w:tcW w:w="86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37,693</w:t>
            </w:r>
          </w:p>
        </w:tc>
        <w:tc>
          <w:tcPr>
            <w:tcW w:w="0" w:type="dxa"/>
            <w:vAlign w:val="bottom"/>
          </w:tcPr>
          <w:p>
            <w:pPr>
              <w:spacing w:after="0"/>
              <w:rPr>
                <w:sz w:val="1"/>
                <w:szCs w:val="1"/>
                <w:color w:val="auto"/>
              </w:rPr>
            </w:pPr>
          </w:p>
        </w:tc>
      </w:tr>
      <w:tr>
        <w:trPr>
          <w:trHeight w:val="213"/>
        </w:trPr>
        <w:tc>
          <w:tcPr>
            <w:tcW w:w="3140" w:type="dxa"/>
            <w:vAlign w:val="bottom"/>
          </w:tcPr>
          <w:p>
            <w:pPr>
              <w:ind w:left="140"/>
              <w:spacing w:after="0"/>
              <w:rPr>
                <w:sz w:val="20"/>
                <w:szCs w:val="20"/>
                <w:color w:val="auto"/>
              </w:rPr>
            </w:pPr>
            <w:r>
              <w:rPr>
                <w:rFonts w:ascii="Arial" w:cs="Arial" w:eastAsia="Arial" w:hAnsi="Arial"/>
                <w:sz w:val="16"/>
                <w:szCs w:val="16"/>
                <w:color w:val="auto"/>
              </w:rPr>
              <w:t>Net income attributable to Honeywell</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1,257</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758</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4,114</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3,420</w:t>
            </w:r>
          </w:p>
        </w:tc>
        <w:tc>
          <w:tcPr>
            <w:tcW w:w="0" w:type="dxa"/>
            <w:vAlign w:val="bottom"/>
          </w:tcPr>
          <w:p>
            <w:pPr>
              <w:spacing w:after="0"/>
              <w:rPr>
                <w:sz w:val="1"/>
                <w:szCs w:val="1"/>
                <w:color w:val="auto"/>
              </w:rPr>
            </w:pPr>
          </w:p>
        </w:tc>
      </w:tr>
      <w:tr>
        <w:trPr>
          <w:trHeight w:val="216"/>
        </w:trPr>
        <w:tc>
          <w:tcPr>
            <w:tcW w:w="3140" w:type="dxa"/>
            <w:vAlign w:val="bottom"/>
            <w:shd w:val="clear" w:color="auto" w:fill="DBDBDB"/>
          </w:tcPr>
          <w:p>
            <w:pPr>
              <w:ind w:left="140"/>
              <w:spacing w:after="0"/>
              <w:rPr>
                <w:sz w:val="20"/>
                <w:szCs w:val="20"/>
                <w:color w:val="auto"/>
              </w:rPr>
            </w:pPr>
            <w:r>
              <w:rPr>
                <w:rFonts w:ascii="Arial" w:cs="Arial" w:eastAsia="Arial" w:hAnsi="Arial"/>
                <w:sz w:val="16"/>
                <w:szCs w:val="16"/>
                <w:color w:val="auto"/>
              </w:rPr>
              <w:t>Dividends on common stock</w:t>
            </w:r>
          </w:p>
        </w:tc>
        <w:tc>
          <w:tcPr>
            <w:tcW w:w="86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80" w:type="dxa"/>
            <w:vAlign w:val="bottom"/>
            <w:tcBorders>
              <w:bottom w:val="single" w:sz="8" w:color="auto"/>
            </w:tcBorders>
            <w:shd w:val="clear" w:color="auto" w:fill="DBDBDB"/>
          </w:tcPr>
          <w:p>
            <w:pPr>
              <w:spacing w:after="0"/>
              <w:rPr>
                <w:sz w:val="18"/>
                <w:szCs w:val="18"/>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(645)</w:t>
            </w:r>
          </w:p>
        </w:tc>
        <w:tc>
          <w:tcPr>
            <w:tcW w:w="160" w:type="dxa"/>
            <w:vAlign w:val="bottom"/>
            <w:shd w:val="clear" w:color="auto" w:fill="DBDBDB"/>
          </w:tcPr>
          <w:p>
            <w:pPr>
              <w:spacing w:after="0"/>
              <w:rPr>
                <w:sz w:val="18"/>
                <w:szCs w:val="18"/>
                <w:color w:val="auto"/>
              </w:rPr>
            </w:pPr>
          </w:p>
        </w:tc>
        <w:tc>
          <w:tcPr>
            <w:tcW w:w="86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80" w:type="dxa"/>
            <w:vAlign w:val="bottom"/>
            <w:tcBorders>
              <w:bottom w:val="single" w:sz="8" w:color="auto"/>
            </w:tcBorders>
            <w:shd w:val="clear" w:color="auto" w:fill="DBDBDB"/>
          </w:tcPr>
          <w:p>
            <w:pPr>
              <w:spacing w:after="0"/>
              <w:rPr>
                <w:sz w:val="18"/>
                <w:szCs w:val="18"/>
                <w:color w:val="auto"/>
              </w:rPr>
            </w:pP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(635)</w:t>
            </w:r>
          </w:p>
        </w:tc>
        <w:tc>
          <w:tcPr>
            <w:tcW w:w="180" w:type="dxa"/>
            <w:vAlign w:val="bottom"/>
            <w:shd w:val="clear" w:color="auto" w:fill="DBDBDB"/>
          </w:tcPr>
          <w:p>
            <w:pPr>
              <w:spacing w:after="0"/>
              <w:rPr>
                <w:sz w:val="18"/>
                <w:szCs w:val="18"/>
                <w:color w:val="auto"/>
              </w:rPr>
            </w:pPr>
          </w:p>
        </w:tc>
        <w:tc>
          <w:tcPr>
            <w:tcW w:w="86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240" w:type="dxa"/>
            <w:vAlign w:val="bottom"/>
            <w:tcBorders>
              <w:bottom w:val="single" w:sz="8" w:color="auto"/>
            </w:tcBorders>
            <w:shd w:val="clear" w:color="auto" w:fill="DBDBDB"/>
          </w:tcPr>
          <w:p>
            <w:pPr>
              <w:spacing w:after="0"/>
              <w:rPr>
                <w:sz w:val="18"/>
                <w:szCs w:val="18"/>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(1,940)</w:t>
            </w:r>
          </w:p>
        </w:tc>
        <w:tc>
          <w:tcPr>
            <w:tcW w:w="160" w:type="dxa"/>
            <w:vAlign w:val="bottom"/>
            <w:shd w:val="clear" w:color="auto" w:fill="DBDBDB"/>
          </w:tcPr>
          <w:p>
            <w:pPr>
              <w:spacing w:after="0"/>
              <w:rPr>
                <w:sz w:val="18"/>
                <w:szCs w:val="18"/>
                <w:color w:val="auto"/>
              </w:rPr>
            </w:pPr>
          </w:p>
        </w:tc>
        <w:tc>
          <w:tcPr>
            <w:tcW w:w="86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80" w:type="dxa"/>
            <w:vAlign w:val="bottom"/>
            <w:tcBorders>
              <w:bottom w:val="single" w:sz="8" w:color="auto"/>
            </w:tcBorders>
            <w:shd w:val="clear" w:color="auto" w:fill="DBDBDB"/>
          </w:tcPr>
          <w:p>
            <w:pPr>
              <w:spacing w:after="0"/>
              <w:rPr>
                <w:sz w:val="18"/>
                <w:szCs w:val="18"/>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(1,910)</w:t>
            </w:r>
          </w:p>
        </w:tc>
        <w:tc>
          <w:tcPr>
            <w:tcW w:w="0" w:type="dxa"/>
            <w:vAlign w:val="bottom"/>
          </w:tcPr>
          <w:p>
            <w:pPr>
              <w:spacing w:after="0"/>
              <w:rPr>
                <w:sz w:val="1"/>
                <w:szCs w:val="1"/>
                <w:color w:val="auto"/>
              </w:rPr>
            </w:pPr>
          </w:p>
        </w:tc>
      </w:tr>
      <w:tr>
        <w:trPr>
          <w:trHeight w:val="209"/>
        </w:trPr>
        <w:tc>
          <w:tcPr>
            <w:tcW w:w="314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Ending balance</w:t>
            </w:r>
          </w:p>
        </w:tc>
        <w:tc>
          <w:tcPr>
            <w:tcW w:w="860" w:type="dxa"/>
            <w:vAlign w:val="bottom"/>
            <w:tcBorders>
              <w:bottom w:val="single" w:sz="8" w:color="DBDBDB"/>
            </w:tcBorders>
          </w:tcPr>
          <w:p>
            <w:pPr>
              <w:spacing w:after="0"/>
              <w:rPr>
                <w:sz w:val="18"/>
                <w:szCs w:val="18"/>
                <w:color w:val="auto"/>
              </w:rPr>
            </w:pPr>
          </w:p>
        </w:tc>
        <w:tc>
          <w:tcPr>
            <w:tcW w:w="160" w:type="dxa"/>
            <w:vAlign w:val="bottom"/>
            <w:tcBorders>
              <w:bottom w:val="single" w:sz="8" w:color="DBDBDB"/>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42,079</w:t>
            </w:r>
          </w:p>
        </w:tc>
        <w:tc>
          <w:tcPr>
            <w:tcW w:w="160" w:type="dxa"/>
            <w:vAlign w:val="bottom"/>
            <w:tcBorders>
              <w:bottom w:val="single" w:sz="8" w:color="DBDBDB"/>
            </w:tcBorders>
          </w:tcPr>
          <w:p>
            <w:pPr>
              <w:spacing w:after="0"/>
              <w:rPr>
                <w:sz w:val="18"/>
                <w:szCs w:val="18"/>
                <w:color w:val="auto"/>
              </w:rPr>
            </w:pPr>
          </w:p>
        </w:tc>
        <w:tc>
          <w:tcPr>
            <w:tcW w:w="860" w:type="dxa"/>
            <w:vAlign w:val="bottom"/>
            <w:tcBorders>
              <w:bottom w:val="single" w:sz="8" w:color="DBDBDB"/>
            </w:tcBorders>
          </w:tcPr>
          <w:p>
            <w:pPr>
              <w:spacing w:after="0"/>
              <w:rPr>
                <w:sz w:val="18"/>
                <w:szCs w:val="18"/>
                <w:color w:val="auto"/>
              </w:rPr>
            </w:pPr>
          </w:p>
        </w:tc>
        <w:tc>
          <w:tcPr>
            <w:tcW w:w="180" w:type="dxa"/>
            <w:vAlign w:val="bottom"/>
            <w:tcBorders>
              <w:bottom w:val="single" w:sz="8" w:color="DBDBDB"/>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39,203</w:t>
            </w:r>
          </w:p>
        </w:tc>
        <w:tc>
          <w:tcPr>
            <w:tcW w:w="180" w:type="dxa"/>
            <w:vAlign w:val="bottom"/>
            <w:tcBorders>
              <w:bottom w:val="single" w:sz="8" w:color="DBDBDB"/>
            </w:tcBorders>
          </w:tcPr>
          <w:p>
            <w:pPr>
              <w:spacing w:after="0"/>
              <w:rPr>
                <w:sz w:val="18"/>
                <w:szCs w:val="18"/>
                <w:color w:val="auto"/>
              </w:rPr>
            </w:pPr>
          </w:p>
        </w:tc>
        <w:tc>
          <w:tcPr>
            <w:tcW w:w="860" w:type="dxa"/>
            <w:vAlign w:val="bottom"/>
            <w:tcBorders>
              <w:bottom w:val="single" w:sz="8" w:color="DBDBDB"/>
            </w:tcBorders>
          </w:tcPr>
          <w:p>
            <w:pPr>
              <w:spacing w:after="0"/>
              <w:rPr>
                <w:sz w:val="18"/>
                <w:szCs w:val="18"/>
                <w:color w:val="auto"/>
              </w:rPr>
            </w:pPr>
          </w:p>
        </w:tc>
        <w:tc>
          <w:tcPr>
            <w:tcW w:w="160" w:type="dxa"/>
            <w:vAlign w:val="bottom"/>
            <w:tcBorders>
              <w:bottom w:val="single" w:sz="8" w:color="DBDBDB"/>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42,079</w:t>
            </w:r>
          </w:p>
        </w:tc>
        <w:tc>
          <w:tcPr>
            <w:tcW w:w="160" w:type="dxa"/>
            <w:vAlign w:val="bottom"/>
            <w:tcBorders>
              <w:bottom w:val="single" w:sz="8" w:color="DBDBDB"/>
            </w:tcBorders>
          </w:tcPr>
          <w:p>
            <w:pPr>
              <w:spacing w:after="0"/>
              <w:rPr>
                <w:sz w:val="18"/>
                <w:szCs w:val="18"/>
                <w:color w:val="auto"/>
              </w:rPr>
            </w:pPr>
          </w:p>
        </w:tc>
        <w:tc>
          <w:tcPr>
            <w:tcW w:w="860" w:type="dxa"/>
            <w:vAlign w:val="bottom"/>
            <w:tcBorders>
              <w:bottom w:val="single" w:sz="8" w:color="DBDBDB"/>
            </w:tcBorders>
          </w:tcPr>
          <w:p>
            <w:pPr>
              <w:spacing w:after="0"/>
              <w:rPr>
                <w:sz w:val="18"/>
                <w:szCs w:val="18"/>
                <w:color w:val="auto"/>
              </w:rPr>
            </w:pPr>
          </w:p>
        </w:tc>
        <w:tc>
          <w:tcPr>
            <w:tcW w:w="160" w:type="dxa"/>
            <w:vAlign w:val="bottom"/>
            <w:tcBorders>
              <w:bottom w:val="single" w:sz="8" w:color="DBDBDB"/>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39,203</w:t>
            </w:r>
          </w:p>
        </w:tc>
        <w:tc>
          <w:tcPr>
            <w:tcW w:w="0" w:type="dxa"/>
            <w:vAlign w:val="bottom"/>
          </w:tcPr>
          <w:p>
            <w:pPr>
              <w:spacing w:after="0"/>
              <w:rPr>
                <w:sz w:val="1"/>
                <w:szCs w:val="1"/>
                <w:color w:val="auto"/>
              </w:rPr>
            </w:pPr>
          </w:p>
        </w:tc>
      </w:tr>
      <w:tr>
        <w:trPr>
          <w:trHeight w:val="145"/>
        </w:trPr>
        <w:tc>
          <w:tcPr>
            <w:tcW w:w="3140" w:type="dxa"/>
            <w:vAlign w:val="bottom"/>
            <w:shd w:val="clear" w:color="auto" w:fill="DBDBDB"/>
          </w:tcPr>
          <w:p>
            <w:pPr>
              <w:ind w:left="20"/>
              <w:spacing w:after="0" w:line="145" w:lineRule="exact"/>
              <w:rPr>
                <w:sz w:val="20"/>
                <w:szCs w:val="20"/>
                <w:color w:val="auto"/>
              </w:rPr>
            </w:pPr>
            <w:r>
              <w:rPr>
                <w:rFonts w:ascii="Arial" w:cs="Arial" w:eastAsia="Arial" w:hAnsi="Arial"/>
                <w:sz w:val="16"/>
                <w:szCs w:val="16"/>
                <w:b w:val="1"/>
                <w:bCs w:val="1"/>
                <w:color w:val="auto"/>
              </w:rPr>
              <w:t>Accumulated other comprehensive</w:t>
            </w:r>
          </w:p>
        </w:tc>
        <w:tc>
          <w:tcPr>
            <w:tcW w:w="860" w:type="dxa"/>
            <w:vAlign w:val="bottom"/>
            <w:shd w:val="clear" w:color="auto" w:fill="DBDBDB"/>
          </w:tcPr>
          <w:p>
            <w:pPr>
              <w:spacing w:after="0"/>
              <w:rPr>
                <w:sz w:val="12"/>
                <w:szCs w:val="12"/>
                <w:color w:val="auto"/>
              </w:rPr>
            </w:pPr>
          </w:p>
        </w:tc>
        <w:tc>
          <w:tcPr>
            <w:tcW w:w="160" w:type="dxa"/>
            <w:vAlign w:val="bottom"/>
            <w:shd w:val="clear" w:color="auto" w:fill="DBDBDB"/>
          </w:tcPr>
          <w:p>
            <w:pPr>
              <w:spacing w:after="0"/>
              <w:rPr>
                <w:sz w:val="12"/>
                <w:szCs w:val="12"/>
                <w:color w:val="auto"/>
              </w:rPr>
            </w:pPr>
          </w:p>
        </w:tc>
        <w:tc>
          <w:tcPr>
            <w:tcW w:w="180" w:type="dxa"/>
            <w:vAlign w:val="bottom"/>
            <w:shd w:val="clear" w:color="auto" w:fill="DBDBDB"/>
          </w:tcPr>
          <w:p>
            <w:pPr>
              <w:spacing w:after="0"/>
              <w:rPr>
                <w:sz w:val="12"/>
                <w:szCs w:val="12"/>
                <w:color w:val="auto"/>
              </w:rPr>
            </w:pPr>
          </w:p>
        </w:tc>
        <w:tc>
          <w:tcPr>
            <w:tcW w:w="700" w:type="dxa"/>
            <w:vAlign w:val="bottom"/>
            <w:shd w:val="clear" w:color="auto" w:fill="DBDBDB"/>
          </w:tcPr>
          <w:p>
            <w:pPr>
              <w:spacing w:after="0"/>
              <w:rPr>
                <w:sz w:val="12"/>
                <w:szCs w:val="12"/>
                <w:color w:val="auto"/>
              </w:rPr>
            </w:pPr>
          </w:p>
        </w:tc>
        <w:tc>
          <w:tcPr>
            <w:tcW w:w="160" w:type="dxa"/>
            <w:vAlign w:val="bottom"/>
            <w:shd w:val="clear" w:color="auto" w:fill="DBDBDB"/>
          </w:tcPr>
          <w:p>
            <w:pPr>
              <w:spacing w:after="0"/>
              <w:rPr>
                <w:sz w:val="12"/>
                <w:szCs w:val="12"/>
                <w:color w:val="auto"/>
              </w:rPr>
            </w:pPr>
          </w:p>
        </w:tc>
        <w:tc>
          <w:tcPr>
            <w:tcW w:w="860" w:type="dxa"/>
            <w:vAlign w:val="bottom"/>
            <w:shd w:val="clear" w:color="auto" w:fill="DBDBDB"/>
          </w:tcPr>
          <w:p>
            <w:pPr>
              <w:spacing w:after="0"/>
              <w:rPr>
                <w:sz w:val="12"/>
                <w:szCs w:val="12"/>
                <w:color w:val="auto"/>
              </w:rPr>
            </w:pPr>
          </w:p>
        </w:tc>
        <w:tc>
          <w:tcPr>
            <w:tcW w:w="180" w:type="dxa"/>
            <w:vAlign w:val="bottom"/>
            <w:shd w:val="clear" w:color="auto" w:fill="DBDBDB"/>
          </w:tcPr>
          <w:p>
            <w:pPr>
              <w:spacing w:after="0"/>
              <w:rPr>
                <w:sz w:val="12"/>
                <w:szCs w:val="12"/>
                <w:color w:val="auto"/>
              </w:rPr>
            </w:pPr>
          </w:p>
        </w:tc>
        <w:tc>
          <w:tcPr>
            <w:tcW w:w="180" w:type="dxa"/>
            <w:vAlign w:val="bottom"/>
            <w:shd w:val="clear" w:color="auto" w:fill="DBDBDB"/>
          </w:tcPr>
          <w:p>
            <w:pPr>
              <w:spacing w:after="0"/>
              <w:rPr>
                <w:sz w:val="12"/>
                <w:szCs w:val="12"/>
                <w:color w:val="auto"/>
              </w:rPr>
            </w:pPr>
          </w:p>
        </w:tc>
        <w:tc>
          <w:tcPr>
            <w:tcW w:w="680" w:type="dxa"/>
            <w:vAlign w:val="bottom"/>
            <w:shd w:val="clear" w:color="auto" w:fill="DBDBDB"/>
          </w:tcPr>
          <w:p>
            <w:pPr>
              <w:spacing w:after="0"/>
              <w:rPr>
                <w:sz w:val="12"/>
                <w:szCs w:val="12"/>
                <w:color w:val="auto"/>
              </w:rPr>
            </w:pPr>
          </w:p>
        </w:tc>
        <w:tc>
          <w:tcPr>
            <w:tcW w:w="180" w:type="dxa"/>
            <w:vAlign w:val="bottom"/>
            <w:shd w:val="clear" w:color="auto" w:fill="DBDBDB"/>
          </w:tcPr>
          <w:p>
            <w:pPr>
              <w:spacing w:after="0"/>
              <w:rPr>
                <w:sz w:val="12"/>
                <w:szCs w:val="12"/>
                <w:color w:val="auto"/>
              </w:rPr>
            </w:pPr>
          </w:p>
        </w:tc>
        <w:tc>
          <w:tcPr>
            <w:tcW w:w="860" w:type="dxa"/>
            <w:vAlign w:val="bottom"/>
            <w:shd w:val="clear" w:color="auto" w:fill="DBDBDB"/>
          </w:tcPr>
          <w:p>
            <w:pPr>
              <w:spacing w:after="0"/>
              <w:rPr>
                <w:sz w:val="12"/>
                <w:szCs w:val="12"/>
                <w:color w:val="auto"/>
              </w:rPr>
            </w:pPr>
          </w:p>
        </w:tc>
        <w:tc>
          <w:tcPr>
            <w:tcW w:w="160" w:type="dxa"/>
            <w:vAlign w:val="bottom"/>
            <w:shd w:val="clear" w:color="auto" w:fill="DBDBDB"/>
          </w:tcPr>
          <w:p>
            <w:pPr>
              <w:spacing w:after="0"/>
              <w:rPr>
                <w:sz w:val="12"/>
                <w:szCs w:val="12"/>
                <w:color w:val="auto"/>
              </w:rPr>
            </w:pPr>
          </w:p>
        </w:tc>
        <w:tc>
          <w:tcPr>
            <w:tcW w:w="240" w:type="dxa"/>
            <w:vAlign w:val="bottom"/>
            <w:shd w:val="clear" w:color="auto" w:fill="DBDBDB"/>
          </w:tcPr>
          <w:p>
            <w:pPr>
              <w:spacing w:after="0"/>
              <w:rPr>
                <w:sz w:val="12"/>
                <w:szCs w:val="12"/>
                <w:color w:val="auto"/>
              </w:rPr>
            </w:pPr>
          </w:p>
        </w:tc>
        <w:tc>
          <w:tcPr>
            <w:tcW w:w="640" w:type="dxa"/>
            <w:vAlign w:val="bottom"/>
            <w:shd w:val="clear" w:color="auto" w:fill="DBDBDB"/>
          </w:tcPr>
          <w:p>
            <w:pPr>
              <w:spacing w:after="0"/>
              <w:rPr>
                <w:sz w:val="12"/>
                <w:szCs w:val="12"/>
                <w:color w:val="auto"/>
              </w:rPr>
            </w:pPr>
          </w:p>
        </w:tc>
        <w:tc>
          <w:tcPr>
            <w:tcW w:w="160" w:type="dxa"/>
            <w:vAlign w:val="bottom"/>
            <w:shd w:val="clear" w:color="auto" w:fill="DBDBDB"/>
          </w:tcPr>
          <w:p>
            <w:pPr>
              <w:spacing w:after="0"/>
              <w:rPr>
                <w:sz w:val="12"/>
                <w:szCs w:val="12"/>
                <w:color w:val="auto"/>
              </w:rPr>
            </w:pPr>
          </w:p>
        </w:tc>
        <w:tc>
          <w:tcPr>
            <w:tcW w:w="860" w:type="dxa"/>
            <w:vAlign w:val="bottom"/>
            <w:shd w:val="clear" w:color="auto" w:fill="DBDBDB"/>
          </w:tcPr>
          <w:p>
            <w:pPr>
              <w:spacing w:after="0"/>
              <w:rPr>
                <w:sz w:val="12"/>
                <w:szCs w:val="12"/>
                <w:color w:val="auto"/>
              </w:rPr>
            </w:pPr>
          </w:p>
        </w:tc>
        <w:tc>
          <w:tcPr>
            <w:tcW w:w="160" w:type="dxa"/>
            <w:vAlign w:val="bottom"/>
            <w:shd w:val="clear" w:color="auto" w:fill="DBDBDB"/>
          </w:tcPr>
          <w:p>
            <w:pPr>
              <w:spacing w:after="0"/>
              <w:rPr>
                <w:sz w:val="12"/>
                <w:szCs w:val="12"/>
                <w:color w:val="auto"/>
              </w:rPr>
            </w:pPr>
          </w:p>
        </w:tc>
        <w:tc>
          <w:tcPr>
            <w:tcW w:w="180" w:type="dxa"/>
            <w:vAlign w:val="bottom"/>
            <w:shd w:val="clear" w:color="auto" w:fill="DBDBDB"/>
          </w:tcPr>
          <w:p>
            <w:pPr>
              <w:spacing w:after="0"/>
              <w:rPr>
                <w:sz w:val="12"/>
                <w:szCs w:val="12"/>
                <w:color w:val="auto"/>
              </w:rPr>
            </w:pPr>
          </w:p>
        </w:tc>
        <w:tc>
          <w:tcPr>
            <w:tcW w:w="70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income (loss)</w:t>
            </w:r>
          </w:p>
        </w:tc>
        <w:tc>
          <w:tcPr>
            <w:tcW w:w="86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70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86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6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86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64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86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7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40" w:type="dxa"/>
            <w:vAlign w:val="bottom"/>
          </w:tcPr>
          <w:p>
            <w:pPr>
              <w:ind w:left="20"/>
              <w:spacing w:after="0"/>
              <w:rPr>
                <w:sz w:val="20"/>
                <w:szCs w:val="20"/>
                <w:color w:val="auto"/>
              </w:rPr>
            </w:pPr>
            <w:r>
              <w:rPr>
                <w:rFonts w:ascii="Arial" w:cs="Arial" w:eastAsia="Arial" w:hAnsi="Arial"/>
                <w:sz w:val="16"/>
                <w:szCs w:val="16"/>
                <w:color w:val="auto"/>
              </w:rPr>
              <w:t>Beginning balance</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(3,075)</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(3,310)</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(3,377)</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(3,197)</w:t>
            </w:r>
          </w:p>
        </w:tc>
        <w:tc>
          <w:tcPr>
            <w:tcW w:w="0" w:type="dxa"/>
            <w:vAlign w:val="bottom"/>
          </w:tcPr>
          <w:p>
            <w:pPr>
              <w:spacing w:after="0"/>
              <w:rPr>
                <w:sz w:val="1"/>
                <w:szCs w:val="1"/>
                <w:color w:val="auto"/>
              </w:rPr>
            </w:pPr>
          </w:p>
        </w:tc>
      </w:tr>
      <w:tr>
        <w:trPr>
          <w:trHeight w:val="219"/>
        </w:trPr>
        <w:tc>
          <w:tcPr>
            <w:tcW w:w="3140" w:type="dxa"/>
            <w:vAlign w:val="bottom"/>
            <w:shd w:val="clear" w:color="auto" w:fill="DBDBDB"/>
          </w:tcPr>
          <w:p>
            <w:pPr>
              <w:ind w:left="140"/>
              <w:spacing w:after="0"/>
              <w:rPr>
                <w:sz w:val="20"/>
                <w:szCs w:val="20"/>
                <w:color w:val="auto"/>
              </w:rPr>
            </w:pPr>
            <w:r>
              <w:rPr>
                <w:rFonts w:ascii="Arial" w:cs="Arial" w:eastAsia="Arial" w:hAnsi="Arial"/>
                <w:sz w:val="16"/>
                <w:szCs w:val="16"/>
                <w:color w:val="auto"/>
              </w:rPr>
              <w:t>Foreign exchange translation adjustment</w:t>
            </w:r>
          </w:p>
        </w:tc>
        <w:tc>
          <w:tcPr>
            <w:tcW w:w="86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(92)</w:t>
            </w:r>
          </w:p>
        </w:tc>
        <w:tc>
          <w:tcPr>
            <w:tcW w:w="16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(82)</w:t>
            </w:r>
          </w:p>
        </w:tc>
        <w:tc>
          <w:tcPr>
            <w:tcW w:w="18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250</w:t>
            </w:r>
          </w:p>
        </w:tc>
        <w:tc>
          <w:tcPr>
            <w:tcW w:w="16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(237)</w:t>
            </w:r>
          </w:p>
        </w:tc>
        <w:tc>
          <w:tcPr>
            <w:tcW w:w="0" w:type="dxa"/>
            <w:vAlign w:val="bottom"/>
          </w:tcPr>
          <w:p>
            <w:pPr>
              <w:spacing w:after="0"/>
              <w:rPr>
                <w:sz w:val="1"/>
                <w:szCs w:val="1"/>
                <w:color w:val="auto"/>
              </w:rPr>
            </w:pPr>
          </w:p>
        </w:tc>
      </w:tr>
      <w:tr>
        <w:trPr>
          <w:trHeight w:val="177"/>
        </w:trPr>
        <w:tc>
          <w:tcPr>
            <w:tcW w:w="3140" w:type="dxa"/>
            <w:vAlign w:val="bottom"/>
          </w:tcPr>
          <w:p>
            <w:pPr>
              <w:ind w:left="140"/>
              <w:spacing w:after="0" w:line="178" w:lineRule="exact"/>
              <w:rPr>
                <w:sz w:val="20"/>
                <w:szCs w:val="20"/>
                <w:color w:val="auto"/>
              </w:rPr>
            </w:pPr>
            <w:r>
              <w:rPr>
                <w:rFonts w:ascii="Arial" w:cs="Arial" w:eastAsia="Arial" w:hAnsi="Arial"/>
                <w:sz w:val="16"/>
                <w:szCs w:val="16"/>
                <w:color w:val="auto"/>
              </w:rPr>
              <w:t>Pension and other postretirement benefit</w:t>
            </w: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140" w:type="dxa"/>
            <w:vAlign w:val="bottom"/>
          </w:tcPr>
          <w:p>
            <w:pPr>
              <w:ind w:left="140"/>
              <w:spacing w:after="0"/>
              <w:rPr>
                <w:sz w:val="20"/>
                <w:szCs w:val="20"/>
                <w:color w:val="auto"/>
              </w:rPr>
            </w:pPr>
            <w:r>
              <w:rPr>
                <w:rFonts w:ascii="Arial" w:cs="Arial" w:eastAsia="Arial" w:hAnsi="Arial"/>
                <w:sz w:val="16"/>
                <w:szCs w:val="16"/>
                <w:color w:val="auto"/>
              </w:rPr>
              <w:t>adjustments</w:t>
            </w: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(22)</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(20)</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(65)</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180"/>
        </w:trPr>
        <w:tc>
          <w:tcPr>
            <w:tcW w:w="3140" w:type="dxa"/>
            <w:vAlign w:val="bottom"/>
            <w:shd w:val="clear" w:color="auto" w:fill="DBDBDB"/>
          </w:tcPr>
          <w:p>
            <w:pPr>
              <w:ind w:left="140"/>
              <w:spacing w:after="0" w:line="181" w:lineRule="exact"/>
              <w:rPr>
                <w:sz w:val="20"/>
                <w:szCs w:val="20"/>
                <w:color w:val="auto"/>
              </w:rPr>
            </w:pPr>
            <w:r>
              <w:rPr>
                <w:rFonts w:ascii="Arial" w:cs="Arial" w:eastAsia="Arial" w:hAnsi="Arial"/>
                <w:sz w:val="16"/>
                <w:szCs w:val="16"/>
                <w:color w:val="auto"/>
              </w:rPr>
              <w:t>Changes in fair value of available for sale</w:t>
            </w:r>
          </w:p>
        </w:tc>
        <w:tc>
          <w:tcPr>
            <w:tcW w:w="86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70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86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68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86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64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86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70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140" w:type="dxa"/>
            <w:vAlign w:val="bottom"/>
            <w:shd w:val="clear" w:color="auto" w:fill="DBDBDB"/>
          </w:tcPr>
          <w:p>
            <w:pPr>
              <w:ind w:left="140"/>
              <w:spacing w:after="0"/>
              <w:rPr>
                <w:sz w:val="20"/>
                <w:szCs w:val="20"/>
                <w:color w:val="auto"/>
              </w:rPr>
            </w:pPr>
            <w:r>
              <w:rPr>
                <w:rFonts w:ascii="Arial" w:cs="Arial" w:eastAsia="Arial" w:hAnsi="Arial"/>
                <w:sz w:val="16"/>
                <w:szCs w:val="16"/>
                <w:color w:val="auto"/>
              </w:rPr>
              <w:t>investments</w:t>
            </w:r>
          </w:p>
        </w:tc>
        <w:tc>
          <w:tcPr>
            <w:tcW w:w="86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DBDBDB"/>
          </w:tcPr>
          <w:p>
            <w:pPr>
              <w:spacing w:after="0"/>
              <w:rPr>
                <w:sz w:val="17"/>
                <w:szCs w:val="17"/>
                <w:color w:val="auto"/>
              </w:rPr>
            </w:pPr>
          </w:p>
        </w:tc>
        <w:tc>
          <w:tcPr>
            <w:tcW w:w="86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DBDBDB"/>
          </w:tcPr>
          <w:p>
            <w:pPr>
              <w:spacing w:after="0"/>
              <w:rPr>
                <w:sz w:val="17"/>
                <w:szCs w:val="17"/>
                <w:color w:val="auto"/>
              </w:rPr>
            </w:pPr>
          </w:p>
        </w:tc>
        <w:tc>
          <w:tcPr>
            <w:tcW w:w="86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w:t>
            </w:r>
          </w:p>
        </w:tc>
        <w:tc>
          <w:tcPr>
            <w:tcW w:w="160" w:type="dxa"/>
            <w:vAlign w:val="bottom"/>
            <w:shd w:val="clear" w:color="auto" w:fill="DBDBDB"/>
          </w:tcPr>
          <w:p>
            <w:pPr>
              <w:spacing w:after="0"/>
              <w:rPr>
                <w:sz w:val="17"/>
                <w:szCs w:val="17"/>
                <w:color w:val="auto"/>
              </w:rPr>
            </w:pPr>
          </w:p>
        </w:tc>
        <w:tc>
          <w:tcPr>
            <w:tcW w:w="86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7"/>
        </w:trPr>
        <w:tc>
          <w:tcPr>
            <w:tcW w:w="3140" w:type="dxa"/>
            <w:vAlign w:val="bottom"/>
          </w:tcPr>
          <w:p>
            <w:pPr>
              <w:ind w:left="140"/>
              <w:spacing w:after="0" w:line="178" w:lineRule="exact"/>
              <w:rPr>
                <w:sz w:val="20"/>
                <w:szCs w:val="20"/>
                <w:color w:val="auto"/>
              </w:rPr>
            </w:pPr>
            <w:r>
              <w:rPr>
                <w:rFonts w:ascii="Arial" w:cs="Arial" w:eastAsia="Arial" w:hAnsi="Arial"/>
                <w:sz w:val="16"/>
                <w:szCs w:val="16"/>
                <w:color w:val="auto"/>
              </w:rPr>
              <w:t>Changes in fair value of cash flow</w:t>
            </w: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14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hedges</w:t>
            </w:r>
          </w:p>
        </w:tc>
        <w:tc>
          <w:tcPr>
            <w:tcW w:w="860" w:type="dxa"/>
            <w:vAlign w:val="bottom"/>
            <w:tcBorders>
              <w:bottom w:val="single" w:sz="8" w:color="DBDBDB"/>
            </w:tcBorders>
          </w:tcPr>
          <w:p>
            <w:pPr>
              <w:spacing w:after="0"/>
              <w:rPr>
                <w:sz w:val="17"/>
                <w:szCs w:val="17"/>
                <w:color w:val="auto"/>
              </w:rPr>
            </w:pPr>
          </w:p>
        </w:tc>
        <w:tc>
          <w:tcPr>
            <w:tcW w:w="160" w:type="dxa"/>
            <w:vAlign w:val="bottom"/>
            <w:tcBorders>
              <w:bottom w:val="single" w:sz="8" w:color="DBDBDB"/>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60" w:type="dxa"/>
            <w:vAlign w:val="bottom"/>
            <w:tcBorders>
              <w:bottom w:val="single" w:sz="8" w:color="DBDBDB"/>
            </w:tcBorders>
          </w:tcPr>
          <w:p>
            <w:pPr>
              <w:spacing w:after="0"/>
              <w:rPr>
                <w:sz w:val="17"/>
                <w:szCs w:val="17"/>
                <w:color w:val="auto"/>
              </w:rPr>
            </w:pPr>
          </w:p>
        </w:tc>
        <w:tc>
          <w:tcPr>
            <w:tcW w:w="860" w:type="dxa"/>
            <w:vAlign w:val="bottom"/>
            <w:tcBorders>
              <w:bottom w:val="single" w:sz="8" w:color="DBDBDB"/>
            </w:tcBorders>
          </w:tcPr>
          <w:p>
            <w:pPr>
              <w:spacing w:after="0"/>
              <w:rPr>
                <w:sz w:val="17"/>
                <w:szCs w:val="17"/>
                <w:color w:val="auto"/>
              </w:rPr>
            </w:pPr>
          </w:p>
        </w:tc>
        <w:tc>
          <w:tcPr>
            <w:tcW w:w="180" w:type="dxa"/>
            <w:vAlign w:val="bottom"/>
            <w:tcBorders>
              <w:bottom w:val="single" w:sz="8" w:color="DBDBDB"/>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80" w:type="dxa"/>
            <w:vAlign w:val="bottom"/>
            <w:tcBorders>
              <w:bottom w:val="single" w:sz="8" w:color="DBDBDB"/>
            </w:tcBorders>
          </w:tcPr>
          <w:p>
            <w:pPr>
              <w:spacing w:after="0"/>
              <w:rPr>
                <w:sz w:val="17"/>
                <w:szCs w:val="17"/>
                <w:color w:val="auto"/>
              </w:rPr>
            </w:pPr>
          </w:p>
        </w:tc>
        <w:tc>
          <w:tcPr>
            <w:tcW w:w="860" w:type="dxa"/>
            <w:vAlign w:val="bottom"/>
            <w:tcBorders>
              <w:bottom w:val="single" w:sz="8" w:color="DBDBDB"/>
            </w:tcBorders>
          </w:tcPr>
          <w:p>
            <w:pPr>
              <w:spacing w:after="0"/>
              <w:rPr>
                <w:sz w:val="17"/>
                <w:szCs w:val="17"/>
                <w:color w:val="auto"/>
              </w:rPr>
            </w:pPr>
          </w:p>
        </w:tc>
        <w:tc>
          <w:tcPr>
            <w:tcW w:w="160" w:type="dxa"/>
            <w:vAlign w:val="bottom"/>
            <w:tcBorders>
              <w:bottom w:val="single" w:sz="8" w:color="DBDBDB"/>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60" w:type="dxa"/>
            <w:vAlign w:val="bottom"/>
            <w:tcBorders>
              <w:bottom w:val="single" w:sz="8" w:color="DBDBDB"/>
            </w:tcBorders>
          </w:tcPr>
          <w:p>
            <w:pPr>
              <w:spacing w:after="0"/>
              <w:rPr>
                <w:sz w:val="17"/>
                <w:szCs w:val="17"/>
                <w:color w:val="auto"/>
              </w:rPr>
            </w:pPr>
          </w:p>
        </w:tc>
        <w:tc>
          <w:tcPr>
            <w:tcW w:w="860" w:type="dxa"/>
            <w:vAlign w:val="bottom"/>
            <w:tcBorders>
              <w:bottom w:val="single" w:sz="8" w:color="DBDBDB"/>
            </w:tcBorders>
          </w:tcPr>
          <w:p>
            <w:pPr>
              <w:spacing w:after="0"/>
              <w:rPr>
                <w:sz w:val="17"/>
                <w:szCs w:val="17"/>
                <w:color w:val="auto"/>
              </w:rPr>
            </w:pPr>
          </w:p>
        </w:tc>
        <w:tc>
          <w:tcPr>
            <w:tcW w:w="160" w:type="dxa"/>
            <w:vAlign w:val="bottom"/>
            <w:tcBorders>
              <w:bottom w:val="single" w:sz="8" w:color="DBDBDB"/>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13"/>
        </w:trPr>
        <w:tc>
          <w:tcPr>
            <w:tcW w:w="3140" w:type="dxa"/>
            <w:vAlign w:val="bottom"/>
            <w:shd w:val="clear" w:color="auto" w:fill="DBDBDB"/>
          </w:tcPr>
          <w:p>
            <w:pPr>
              <w:ind w:left="20"/>
              <w:spacing w:after="0"/>
              <w:rPr>
                <w:sz w:val="20"/>
                <w:szCs w:val="20"/>
                <w:color w:val="auto"/>
              </w:rPr>
            </w:pPr>
            <w:r>
              <w:rPr>
                <w:rFonts w:ascii="Arial" w:cs="Arial" w:eastAsia="Arial" w:hAnsi="Arial"/>
                <w:sz w:val="16"/>
                <w:szCs w:val="16"/>
                <w:color w:val="auto"/>
              </w:rPr>
              <w:t>Ending balance</w:t>
            </w:r>
          </w:p>
        </w:tc>
        <w:tc>
          <w:tcPr>
            <w:tcW w:w="86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80" w:type="dxa"/>
            <w:vAlign w:val="bottom"/>
            <w:tcBorders>
              <w:bottom w:val="single" w:sz="8" w:color="auto"/>
            </w:tcBorders>
            <w:shd w:val="clear" w:color="auto" w:fill="DBDBDB"/>
          </w:tcPr>
          <w:p>
            <w:pPr>
              <w:spacing w:after="0"/>
              <w:rPr>
                <w:sz w:val="18"/>
                <w:szCs w:val="18"/>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(3,193)</w:t>
            </w:r>
          </w:p>
        </w:tc>
        <w:tc>
          <w:tcPr>
            <w:tcW w:w="160" w:type="dxa"/>
            <w:vAlign w:val="bottom"/>
            <w:shd w:val="clear" w:color="auto" w:fill="DBDBDB"/>
          </w:tcPr>
          <w:p>
            <w:pPr>
              <w:spacing w:after="0"/>
              <w:rPr>
                <w:sz w:val="18"/>
                <w:szCs w:val="18"/>
                <w:color w:val="auto"/>
              </w:rPr>
            </w:pPr>
          </w:p>
        </w:tc>
        <w:tc>
          <w:tcPr>
            <w:tcW w:w="86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80" w:type="dxa"/>
            <w:vAlign w:val="bottom"/>
            <w:tcBorders>
              <w:bottom w:val="single" w:sz="8" w:color="auto"/>
            </w:tcBorders>
            <w:shd w:val="clear" w:color="auto" w:fill="DBDBDB"/>
          </w:tcPr>
          <w:p>
            <w:pPr>
              <w:spacing w:after="0"/>
              <w:rPr>
                <w:sz w:val="18"/>
                <w:szCs w:val="18"/>
                <w:color w:val="auto"/>
              </w:rPr>
            </w:pP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(3,436)</w:t>
            </w:r>
          </w:p>
        </w:tc>
        <w:tc>
          <w:tcPr>
            <w:tcW w:w="180" w:type="dxa"/>
            <w:vAlign w:val="bottom"/>
            <w:shd w:val="clear" w:color="auto" w:fill="DBDBDB"/>
          </w:tcPr>
          <w:p>
            <w:pPr>
              <w:spacing w:after="0"/>
              <w:rPr>
                <w:sz w:val="18"/>
                <w:szCs w:val="18"/>
                <w:color w:val="auto"/>
              </w:rPr>
            </w:pPr>
          </w:p>
        </w:tc>
        <w:tc>
          <w:tcPr>
            <w:tcW w:w="86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240" w:type="dxa"/>
            <w:vAlign w:val="bottom"/>
            <w:tcBorders>
              <w:bottom w:val="single" w:sz="8" w:color="auto"/>
            </w:tcBorders>
            <w:shd w:val="clear" w:color="auto" w:fill="DBDBDB"/>
          </w:tcPr>
          <w:p>
            <w:pPr>
              <w:spacing w:after="0"/>
              <w:rPr>
                <w:sz w:val="18"/>
                <w:szCs w:val="18"/>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(3,193)</w:t>
            </w:r>
          </w:p>
        </w:tc>
        <w:tc>
          <w:tcPr>
            <w:tcW w:w="160" w:type="dxa"/>
            <w:vAlign w:val="bottom"/>
            <w:shd w:val="clear" w:color="auto" w:fill="DBDBDB"/>
          </w:tcPr>
          <w:p>
            <w:pPr>
              <w:spacing w:after="0"/>
              <w:rPr>
                <w:sz w:val="18"/>
                <w:szCs w:val="18"/>
                <w:color w:val="auto"/>
              </w:rPr>
            </w:pPr>
          </w:p>
        </w:tc>
        <w:tc>
          <w:tcPr>
            <w:tcW w:w="86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80" w:type="dxa"/>
            <w:vAlign w:val="bottom"/>
            <w:tcBorders>
              <w:bottom w:val="single" w:sz="8" w:color="auto"/>
            </w:tcBorders>
            <w:shd w:val="clear" w:color="auto" w:fill="DBDBDB"/>
          </w:tcPr>
          <w:p>
            <w:pPr>
              <w:spacing w:after="0"/>
              <w:rPr>
                <w:sz w:val="18"/>
                <w:szCs w:val="18"/>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(3,436)</w:t>
            </w:r>
          </w:p>
        </w:tc>
        <w:tc>
          <w:tcPr>
            <w:tcW w:w="0" w:type="dxa"/>
            <w:vAlign w:val="bottom"/>
          </w:tcPr>
          <w:p>
            <w:pPr>
              <w:spacing w:after="0"/>
              <w:rPr>
                <w:sz w:val="1"/>
                <w:szCs w:val="1"/>
                <w:color w:val="auto"/>
              </w:rPr>
            </w:pPr>
          </w:p>
        </w:tc>
      </w:tr>
      <w:tr>
        <w:trPr>
          <w:trHeight w:val="195"/>
        </w:trPr>
        <w:tc>
          <w:tcPr>
            <w:tcW w:w="3140" w:type="dxa"/>
            <w:vAlign w:val="bottom"/>
          </w:tcPr>
          <w:p>
            <w:pPr>
              <w:ind w:left="20"/>
              <w:spacing w:after="0"/>
              <w:rPr>
                <w:sz w:val="20"/>
                <w:szCs w:val="20"/>
                <w:color w:val="auto"/>
              </w:rPr>
            </w:pPr>
            <w:r>
              <w:rPr>
                <w:rFonts w:ascii="Arial" w:cs="Arial" w:eastAsia="Arial" w:hAnsi="Arial"/>
                <w:sz w:val="16"/>
                <w:szCs w:val="16"/>
                <w:b w:val="1"/>
                <w:bCs w:val="1"/>
                <w:color w:val="auto"/>
              </w:rPr>
              <w:t>Noncontrolling interest</w:t>
            </w: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140" w:type="dxa"/>
            <w:vAlign w:val="bottom"/>
            <w:shd w:val="clear" w:color="auto" w:fill="DBDBDB"/>
          </w:tcPr>
          <w:p>
            <w:pPr>
              <w:ind w:left="20"/>
              <w:spacing w:after="0"/>
              <w:rPr>
                <w:sz w:val="20"/>
                <w:szCs w:val="20"/>
                <w:color w:val="auto"/>
              </w:rPr>
            </w:pPr>
            <w:r>
              <w:rPr>
                <w:rFonts w:ascii="Arial" w:cs="Arial" w:eastAsia="Arial" w:hAnsi="Arial"/>
                <w:sz w:val="16"/>
                <w:szCs w:val="16"/>
                <w:color w:val="auto"/>
              </w:rPr>
              <w:t>Beginning balance</w:t>
            </w:r>
          </w:p>
        </w:tc>
        <w:tc>
          <w:tcPr>
            <w:tcW w:w="86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264</w:t>
            </w:r>
          </w:p>
        </w:tc>
        <w:tc>
          <w:tcPr>
            <w:tcW w:w="160" w:type="dxa"/>
            <w:vAlign w:val="bottom"/>
            <w:shd w:val="clear" w:color="auto" w:fill="DBDBDB"/>
          </w:tcPr>
          <w:p>
            <w:pPr>
              <w:spacing w:after="0"/>
              <w:rPr>
                <w:sz w:val="18"/>
                <w:szCs w:val="18"/>
                <w:color w:val="auto"/>
              </w:rPr>
            </w:pPr>
          </w:p>
        </w:tc>
        <w:tc>
          <w:tcPr>
            <w:tcW w:w="86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219</w:t>
            </w:r>
          </w:p>
        </w:tc>
        <w:tc>
          <w:tcPr>
            <w:tcW w:w="180" w:type="dxa"/>
            <w:vAlign w:val="bottom"/>
            <w:shd w:val="clear" w:color="auto" w:fill="DBDBDB"/>
          </w:tcPr>
          <w:p>
            <w:pPr>
              <w:spacing w:after="0"/>
              <w:rPr>
                <w:sz w:val="18"/>
                <w:szCs w:val="18"/>
                <w:color w:val="auto"/>
              </w:rPr>
            </w:pPr>
          </w:p>
        </w:tc>
        <w:tc>
          <w:tcPr>
            <w:tcW w:w="86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241</w:t>
            </w:r>
          </w:p>
        </w:tc>
        <w:tc>
          <w:tcPr>
            <w:tcW w:w="160" w:type="dxa"/>
            <w:vAlign w:val="bottom"/>
            <w:shd w:val="clear" w:color="auto" w:fill="DBDBDB"/>
          </w:tcPr>
          <w:p>
            <w:pPr>
              <w:spacing w:after="0"/>
              <w:rPr>
                <w:sz w:val="18"/>
                <w:szCs w:val="18"/>
                <w:color w:val="auto"/>
              </w:rPr>
            </w:pPr>
          </w:p>
        </w:tc>
        <w:tc>
          <w:tcPr>
            <w:tcW w:w="86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212</w:t>
            </w:r>
          </w:p>
        </w:tc>
        <w:tc>
          <w:tcPr>
            <w:tcW w:w="0" w:type="dxa"/>
            <w:vAlign w:val="bottom"/>
          </w:tcPr>
          <w:p>
            <w:pPr>
              <w:spacing w:after="0"/>
              <w:rPr>
                <w:sz w:val="1"/>
                <w:szCs w:val="1"/>
                <w:color w:val="auto"/>
              </w:rPr>
            </w:pPr>
          </w:p>
        </w:tc>
      </w:tr>
      <w:tr>
        <w:trPr>
          <w:trHeight w:val="213"/>
        </w:trPr>
        <w:tc>
          <w:tcPr>
            <w:tcW w:w="3140" w:type="dxa"/>
            <w:vAlign w:val="bottom"/>
          </w:tcPr>
          <w:p>
            <w:pPr>
              <w:ind w:left="140"/>
              <w:spacing w:after="0"/>
              <w:rPr>
                <w:sz w:val="20"/>
                <w:szCs w:val="20"/>
                <w:color w:val="auto"/>
              </w:rPr>
            </w:pPr>
            <w:r>
              <w:rPr>
                <w:rFonts w:ascii="Arial" w:cs="Arial" w:eastAsia="Arial" w:hAnsi="Arial"/>
                <w:sz w:val="16"/>
                <w:szCs w:val="16"/>
                <w:color w:val="auto"/>
              </w:rPr>
              <w:t>Acquisitions, divestitures, and other</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80"/>
        </w:trPr>
        <w:tc>
          <w:tcPr>
            <w:tcW w:w="3140" w:type="dxa"/>
            <w:vAlign w:val="bottom"/>
            <w:shd w:val="clear" w:color="auto" w:fill="DBDBDB"/>
          </w:tcPr>
          <w:p>
            <w:pPr>
              <w:ind w:left="140"/>
              <w:spacing w:after="0" w:line="181" w:lineRule="exact"/>
              <w:rPr>
                <w:sz w:val="20"/>
                <w:szCs w:val="20"/>
                <w:color w:val="auto"/>
              </w:rPr>
            </w:pPr>
            <w:r>
              <w:rPr>
                <w:rFonts w:ascii="Arial" w:cs="Arial" w:eastAsia="Arial" w:hAnsi="Arial"/>
                <w:sz w:val="16"/>
                <w:szCs w:val="16"/>
                <w:color w:val="auto"/>
              </w:rPr>
              <w:t>Net income attributable to noncontrolling</w:t>
            </w:r>
          </w:p>
        </w:tc>
        <w:tc>
          <w:tcPr>
            <w:tcW w:w="86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70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86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68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86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64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86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70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140" w:type="dxa"/>
            <w:vAlign w:val="bottom"/>
            <w:shd w:val="clear" w:color="auto" w:fill="DBDBDB"/>
          </w:tcPr>
          <w:p>
            <w:pPr>
              <w:ind w:left="140"/>
              <w:spacing w:after="0"/>
              <w:rPr>
                <w:sz w:val="20"/>
                <w:szCs w:val="20"/>
                <w:color w:val="auto"/>
              </w:rPr>
            </w:pPr>
            <w:r>
              <w:rPr>
                <w:rFonts w:ascii="Arial" w:cs="Arial" w:eastAsia="Arial" w:hAnsi="Arial"/>
                <w:sz w:val="16"/>
                <w:szCs w:val="16"/>
                <w:color w:val="auto"/>
              </w:rPr>
              <w:t>interest</w:t>
            </w:r>
          </w:p>
        </w:tc>
        <w:tc>
          <w:tcPr>
            <w:tcW w:w="86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w:t>
            </w:r>
          </w:p>
        </w:tc>
        <w:tc>
          <w:tcPr>
            <w:tcW w:w="160" w:type="dxa"/>
            <w:vAlign w:val="bottom"/>
            <w:shd w:val="clear" w:color="auto" w:fill="DBDBDB"/>
          </w:tcPr>
          <w:p>
            <w:pPr>
              <w:spacing w:after="0"/>
              <w:rPr>
                <w:sz w:val="17"/>
                <w:szCs w:val="17"/>
                <w:color w:val="auto"/>
              </w:rPr>
            </w:pPr>
          </w:p>
        </w:tc>
        <w:tc>
          <w:tcPr>
            <w:tcW w:w="86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23</w:t>
            </w:r>
          </w:p>
        </w:tc>
        <w:tc>
          <w:tcPr>
            <w:tcW w:w="180" w:type="dxa"/>
            <w:vAlign w:val="bottom"/>
            <w:shd w:val="clear" w:color="auto" w:fill="DBDBDB"/>
          </w:tcPr>
          <w:p>
            <w:pPr>
              <w:spacing w:after="0"/>
              <w:rPr>
                <w:sz w:val="17"/>
                <w:szCs w:val="17"/>
                <w:color w:val="auto"/>
              </w:rPr>
            </w:pPr>
          </w:p>
        </w:tc>
        <w:tc>
          <w:tcPr>
            <w:tcW w:w="86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54</w:t>
            </w:r>
          </w:p>
        </w:tc>
        <w:tc>
          <w:tcPr>
            <w:tcW w:w="160" w:type="dxa"/>
            <w:vAlign w:val="bottom"/>
            <w:shd w:val="clear" w:color="auto" w:fill="DBDBDB"/>
          </w:tcPr>
          <w:p>
            <w:pPr>
              <w:spacing w:after="0"/>
              <w:rPr>
                <w:sz w:val="17"/>
                <w:szCs w:val="17"/>
                <w:color w:val="auto"/>
              </w:rPr>
            </w:pPr>
          </w:p>
        </w:tc>
        <w:tc>
          <w:tcPr>
            <w:tcW w:w="86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13"/>
        </w:trPr>
        <w:tc>
          <w:tcPr>
            <w:tcW w:w="3140" w:type="dxa"/>
            <w:vAlign w:val="bottom"/>
          </w:tcPr>
          <w:p>
            <w:pPr>
              <w:ind w:left="140"/>
              <w:spacing w:after="0"/>
              <w:rPr>
                <w:sz w:val="20"/>
                <w:szCs w:val="20"/>
                <w:color w:val="auto"/>
              </w:rPr>
            </w:pPr>
            <w:r>
              <w:rPr>
                <w:rFonts w:ascii="Arial" w:cs="Arial" w:eastAsia="Arial" w:hAnsi="Arial"/>
                <w:sz w:val="16"/>
                <w:szCs w:val="16"/>
                <w:color w:val="auto"/>
              </w:rPr>
              <w:t>Foreign exchange translation adjustment</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9"/>
        </w:trPr>
        <w:tc>
          <w:tcPr>
            <w:tcW w:w="3140" w:type="dxa"/>
            <w:vAlign w:val="bottom"/>
            <w:shd w:val="clear" w:color="auto" w:fill="DBDBDB"/>
          </w:tcPr>
          <w:p>
            <w:pPr>
              <w:ind w:left="140"/>
              <w:spacing w:after="0"/>
              <w:rPr>
                <w:sz w:val="20"/>
                <w:szCs w:val="20"/>
                <w:color w:val="auto"/>
              </w:rPr>
            </w:pPr>
            <w:r>
              <w:rPr>
                <w:rFonts w:ascii="Arial" w:cs="Arial" w:eastAsia="Arial" w:hAnsi="Arial"/>
                <w:sz w:val="16"/>
                <w:szCs w:val="16"/>
                <w:color w:val="auto"/>
              </w:rPr>
              <w:t>Dividends paid</w:t>
            </w:r>
          </w:p>
        </w:tc>
        <w:tc>
          <w:tcPr>
            <w:tcW w:w="86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w:t>
            </w:r>
          </w:p>
        </w:tc>
        <w:tc>
          <w:tcPr>
            <w:tcW w:w="16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w:t>
            </w:r>
          </w:p>
        </w:tc>
        <w:tc>
          <w:tcPr>
            <w:tcW w:w="18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(32)</w:t>
            </w:r>
          </w:p>
        </w:tc>
        <w:tc>
          <w:tcPr>
            <w:tcW w:w="16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177"/>
        </w:trPr>
        <w:tc>
          <w:tcPr>
            <w:tcW w:w="3140" w:type="dxa"/>
            <w:vAlign w:val="bottom"/>
          </w:tcPr>
          <w:p>
            <w:pPr>
              <w:ind w:left="140"/>
              <w:spacing w:after="0" w:line="178" w:lineRule="exact"/>
              <w:rPr>
                <w:sz w:val="20"/>
                <w:szCs w:val="20"/>
                <w:color w:val="auto"/>
              </w:rPr>
            </w:pPr>
            <w:r>
              <w:rPr>
                <w:rFonts w:ascii="Arial" w:cs="Arial" w:eastAsia="Arial" w:hAnsi="Arial"/>
                <w:sz w:val="16"/>
                <w:szCs w:val="16"/>
                <w:color w:val="auto"/>
              </w:rPr>
              <w:t>Contributions from noncontrolling interest</w:t>
            </w: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14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holders</w:t>
            </w:r>
          </w:p>
        </w:tc>
        <w:tc>
          <w:tcPr>
            <w:tcW w:w="860" w:type="dxa"/>
            <w:vAlign w:val="bottom"/>
            <w:tcBorders>
              <w:bottom w:val="single" w:sz="8" w:color="DBDBDB"/>
            </w:tcBorders>
          </w:tcPr>
          <w:p>
            <w:pPr>
              <w:spacing w:after="0"/>
              <w:rPr>
                <w:sz w:val="17"/>
                <w:szCs w:val="17"/>
                <w:color w:val="auto"/>
              </w:rPr>
            </w:pPr>
          </w:p>
        </w:tc>
        <w:tc>
          <w:tcPr>
            <w:tcW w:w="160" w:type="dxa"/>
            <w:vAlign w:val="bottom"/>
            <w:tcBorders>
              <w:bottom w:val="single" w:sz="8" w:color="DBDBDB"/>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DBDBDB"/>
            </w:tcBorders>
          </w:tcPr>
          <w:p>
            <w:pPr>
              <w:spacing w:after="0"/>
              <w:rPr>
                <w:sz w:val="17"/>
                <w:szCs w:val="17"/>
                <w:color w:val="auto"/>
              </w:rPr>
            </w:pPr>
          </w:p>
        </w:tc>
        <w:tc>
          <w:tcPr>
            <w:tcW w:w="860" w:type="dxa"/>
            <w:vAlign w:val="bottom"/>
            <w:tcBorders>
              <w:bottom w:val="single" w:sz="8" w:color="DBDBDB"/>
            </w:tcBorders>
          </w:tcPr>
          <w:p>
            <w:pPr>
              <w:spacing w:after="0"/>
              <w:rPr>
                <w:sz w:val="17"/>
                <w:szCs w:val="17"/>
                <w:color w:val="auto"/>
              </w:rPr>
            </w:pPr>
          </w:p>
        </w:tc>
        <w:tc>
          <w:tcPr>
            <w:tcW w:w="180" w:type="dxa"/>
            <w:vAlign w:val="bottom"/>
            <w:tcBorders>
              <w:bottom w:val="single" w:sz="8" w:color="DBDBDB"/>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DBDBDB"/>
            </w:tcBorders>
          </w:tcPr>
          <w:p>
            <w:pPr>
              <w:spacing w:after="0"/>
              <w:rPr>
                <w:sz w:val="17"/>
                <w:szCs w:val="17"/>
                <w:color w:val="auto"/>
              </w:rPr>
            </w:pPr>
          </w:p>
        </w:tc>
        <w:tc>
          <w:tcPr>
            <w:tcW w:w="860" w:type="dxa"/>
            <w:vAlign w:val="bottom"/>
            <w:tcBorders>
              <w:bottom w:val="single" w:sz="8" w:color="DBDBDB"/>
            </w:tcBorders>
          </w:tcPr>
          <w:p>
            <w:pPr>
              <w:spacing w:after="0"/>
              <w:rPr>
                <w:sz w:val="17"/>
                <w:szCs w:val="17"/>
                <w:color w:val="auto"/>
              </w:rPr>
            </w:pPr>
          </w:p>
        </w:tc>
        <w:tc>
          <w:tcPr>
            <w:tcW w:w="160" w:type="dxa"/>
            <w:vAlign w:val="bottom"/>
            <w:tcBorders>
              <w:bottom w:val="single" w:sz="8" w:color="DBDBDB"/>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60" w:type="dxa"/>
            <w:vAlign w:val="bottom"/>
            <w:tcBorders>
              <w:bottom w:val="single" w:sz="8" w:color="DBDBDB"/>
            </w:tcBorders>
          </w:tcPr>
          <w:p>
            <w:pPr>
              <w:spacing w:after="0"/>
              <w:rPr>
                <w:sz w:val="17"/>
                <w:szCs w:val="17"/>
                <w:color w:val="auto"/>
              </w:rPr>
            </w:pPr>
          </w:p>
        </w:tc>
        <w:tc>
          <w:tcPr>
            <w:tcW w:w="860" w:type="dxa"/>
            <w:vAlign w:val="bottom"/>
            <w:tcBorders>
              <w:bottom w:val="single" w:sz="8" w:color="DBDBDB"/>
            </w:tcBorders>
          </w:tcPr>
          <w:p>
            <w:pPr>
              <w:spacing w:after="0"/>
              <w:rPr>
                <w:sz w:val="17"/>
                <w:szCs w:val="17"/>
                <w:color w:val="auto"/>
              </w:rPr>
            </w:pPr>
          </w:p>
        </w:tc>
        <w:tc>
          <w:tcPr>
            <w:tcW w:w="160" w:type="dxa"/>
            <w:vAlign w:val="bottom"/>
            <w:tcBorders>
              <w:bottom w:val="single" w:sz="8" w:color="DBDBDB"/>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140" w:type="dxa"/>
            <w:vAlign w:val="bottom"/>
            <w:shd w:val="clear" w:color="auto" w:fill="DBDBDB"/>
          </w:tcPr>
          <w:p>
            <w:pPr>
              <w:ind w:left="20"/>
              <w:spacing w:after="0"/>
              <w:rPr>
                <w:sz w:val="20"/>
                <w:szCs w:val="20"/>
                <w:color w:val="auto"/>
              </w:rPr>
            </w:pPr>
            <w:r>
              <w:rPr>
                <w:rFonts w:ascii="Arial" w:cs="Arial" w:eastAsia="Arial" w:hAnsi="Arial"/>
                <w:sz w:val="16"/>
                <w:szCs w:val="16"/>
                <w:color w:val="auto"/>
              </w:rPr>
              <w:t>Ending balance</w:t>
            </w:r>
          </w:p>
        </w:tc>
        <w:tc>
          <w:tcPr>
            <w:tcW w:w="860" w:type="dxa"/>
            <w:vAlign w:val="bottom"/>
            <w:tcBorders>
              <w:bottom w:val="single" w:sz="8" w:color="auto"/>
            </w:tcBorders>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80" w:type="dxa"/>
            <w:vAlign w:val="bottom"/>
            <w:tcBorders>
              <w:bottom w:val="single" w:sz="8" w:color="auto"/>
            </w:tcBorders>
            <w:shd w:val="clear" w:color="auto" w:fill="DBDBDB"/>
          </w:tcPr>
          <w:p>
            <w:pPr>
              <w:spacing w:after="0"/>
              <w:rPr>
                <w:sz w:val="18"/>
                <w:szCs w:val="18"/>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272</w:t>
            </w:r>
          </w:p>
        </w:tc>
        <w:tc>
          <w:tcPr>
            <w:tcW w:w="160" w:type="dxa"/>
            <w:vAlign w:val="bottom"/>
            <w:shd w:val="clear" w:color="auto" w:fill="DBDBDB"/>
          </w:tcPr>
          <w:p>
            <w:pPr>
              <w:spacing w:after="0"/>
              <w:rPr>
                <w:sz w:val="18"/>
                <w:szCs w:val="18"/>
                <w:color w:val="auto"/>
              </w:rPr>
            </w:pPr>
          </w:p>
        </w:tc>
        <w:tc>
          <w:tcPr>
            <w:tcW w:w="860" w:type="dxa"/>
            <w:vAlign w:val="bottom"/>
            <w:tcBorders>
              <w:bottom w:val="single" w:sz="8" w:color="auto"/>
            </w:tcBorders>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80" w:type="dxa"/>
            <w:vAlign w:val="bottom"/>
            <w:tcBorders>
              <w:bottom w:val="single" w:sz="8" w:color="auto"/>
            </w:tcBorders>
            <w:shd w:val="clear" w:color="auto" w:fill="DBDBDB"/>
          </w:tcPr>
          <w:p>
            <w:pPr>
              <w:spacing w:after="0"/>
              <w:rPr>
                <w:sz w:val="18"/>
                <w:szCs w:val="18"/>
                <w:color w:val="auto"/>
              </w:rPr>
            </w:pP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239</w:t>
            </w:r>
          </w:p>
        </w:tc>
        <w:tc>
          <w:tcPr>
            <w:tcW w:w="180" w:type="dxa"/>
            <w:vAlign w:val="bottom"/>
            <w:shd w:val="clear" w:color="auto" w:fill="DBDBDB"/>
          </w:tcPr>
          <w:p>
            <w:pPr>
              <w:spacing w:after="0"/>
              <w:rPr>
                <w:sz w:val="18"/>
                <w:szCs w:val="18"/>
                <w:color w:val="auto"/>
              </w:rPr>
            </w:pPr>
          </w:p>
        </w:tc>
        <w:tc>
          <w:tcPr>
            <w:tcW w:w="860" w:type="dxa"/>
            <w:vAlign w:val="bottom"/>
            <w:tcBorders>
              <w:bottom w:val="single" w:sz="8" w:color="auto"/>
            </w:tcBorders>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240" w:type="dxa"/>
            <w:vAlign w:val="bottom"/>
            <w:tcBorders>
              <w:bottom w:val="single" w:sz="8" w:color="auto"/>
            </w:tcBorders>
            <w:shd w:val="clear" w:color="auto" w:fill="DBDBDB"/>
          </w:tcPr>
          <w:p>
            <w:pPr>
              <w:spacing w:after="0"/>
              <w:rPr>
                <w:sz w:val="18"/>
                <w:szCs w:val="18"/>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272</w:t>
            </w:r>
          </w:p>
        </w:tc>
        <w:tc>
          <w:tcPr>
            <w:tcW w:w="160" w:type="dxa"/>
            <w:vAlign w:val="bottom"/>
            <w:shd w:val="clear" w:color="auto" w:fill="DBDBDB"/>
          </w:tcPr>
          <w:p>
            <w:pPr>
              <w:spacing w:after="0"/>
              <w:rPr>
                <w:sz w:val="18"/>
                <w:szCs w:val="18"/>
                <w:color w:val="auto"/>
              </w:rPr>
            </w:pPr>
          </w:p>
        </w:tc>
        <w:tc>
          <w:tcPr>
            <w:tcW w:w="860" w:type="dxa"/>
            <w:vAlign w:val="bottom"/>
            <w:tcBorders>
              <w:bottom w:val="single" w:sz="8" w:color="auto"/>
            </w:tcBorders>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80" w:type="dxa"/>
            <w:vAlign w:val="bottom"/>
            <w:tcBorders>
              <w:bottom w:val="single" w:sz="8" w:color="auto"/>
            </w:tcBorders>
            <w:shd w:val="clear" w:color="auto" w:fill="DBDBDB"/>
          </w:tcPr>
          <w:p>
            <w:pPr>
              <w:spacing w:after="0"/>
              <w:rPr>
                <w:sz w:val="18"/>
                <w:szCs w:val="18"/>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239</w:t>
            </w:r>
          </w:p>
        </w:tc>
        <w:tc>
          <w:tcPr>
            <w:tcW w:w="0" w:type="dxa"/>
            <w:vAlign w:val="bottom"/>
          </w:tcPr>
          <w:p>
            <w:pPr>
              <w:spacing w:after="0"/>
              <w:rPr>
                <w:sz w:val="1"/>
                <w:szCs w:val="1"/>
                <w:color w:val="auto"/>
              </w:rPr>
            </w:pPr>
          </w:p>
        </w:tc>
      </w:tr>
      <w:tr>
        <w:trPr>
          <w:trHeight w:val="212"/>
        </w:trPr>
        <w:tc>
          <w:tcPr>
            <w:tcW w:w="3140" w:type="dxa"/>
            <w:vAlign w:val="bottom"/>
          </w:tcPr>
          <w:p>
            <w:pPr>
              <w:ind w:left="20"/>
              <w:spacing w:after="0"/>
              <w:rPr>
                <w:sz w:val="20"/>
                <w:szCs w:val="20"/>
                <w:color w:val="auto"/>
              </w:rPr>
            </w:pPr>
            <w:r>
              <w:rPr>
                <w:rFonts w:ascii="Arial" w:cs="Arial" w:eastAsia="Arial" w:hAnsi="Arial"/>
                <w:sz w:val="16"/>
                <w:szCs w:val="16"/>
                <w:b w:val="1"/>
                <w:bCs w:val="1"/>
                <w:color w:val="auto"/>
              </w:rPr>
              <w:t>Total shareowners' equity</w:t>
            </w:r>
          </w:p>
        </w:tc>
        <w:tc>
          <w:tcPr>
            <w:tcW w:w="860" w:type="dxa"/>
            <w:vAlign w:val="bottom"/>
          </w:tcPr>
          <w:p>
            <w:pPr>
              <w:jc w:val="right"/>
              <w:spacing w:after="0"/>
              <w:rPr>
                <w:sz w:val="20"/>
                <w:szCs w:val="20"/>
                <w:color w:val="auto"/>
              </w:rPr>
            </w:pPr>
            <w:r>
              <w:rPr>
                <w:rFonts w:ascii="Arial" w:cs="Arial" w:eastAsia="Arial" w:hAnsi="Arial"/>
                <w:sz w:val="16"/>
                <w:szCs w:val="16"/>
                <w:color w:val="auto"/>
              </w:rPr>
              <w:t>688.4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18,114</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701.7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18,313</w:t>
            </w:r>
          </w:p>
        </w:tc>
        <w:tc>
          <w:tcPr>
            <w:tcW w:w="1040" w:type="dxa"/>
            <w:vAlign w:val="bottom"/>
            <w:gridSpan w:val="2"/>
          </w:tcPr>
          <w:p>
            <w:pPr>
              <w:jc w:val="right"/>
              <w:ind w:right="4"/>
              <w:spacing w:after="0"/>
              <w:rPr>
                <w:sz w:val="20"/>
                <w:szCs w:val="20"/>
                <w:color w:val="auto"/>
              </w:rPr>
            </w:pPr>
            <w:r>
              <w:rPr>
                <w:rFonts w:ascii="Arial" w:cs="Arial" w:eastAsia="Arial" w:hAnsi="Arial"/>
                <w:sz w:val="16"/>
                <w:szCs w:val="16"/>
                <w:color w:val="auto"/>
              </w:rPr>
              <w:t>688.4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18,114</w:t>
            </w:r>
          </w:p>
        </w:tc>
        <w:tc>
          <w:tcPr>
            <w:tcW w:w="1020" w:type="dxa"/>
            <w:vAlign w:val="bottom"/>
            <w:gridSpan w:val="2"/>
          </w:tcPr>
          <w:p>
            <w:pPr>
              <w:jc w:val="right"/>
              <w:ind w:right="4"/>
              <w:spacing w:after="0"/>
              <w:rPr>
                <w:sz w:val="20"/>
                <w:szCs w:val="20"/>
                <w:color w:val="auto"/>
              </w:rPr>
            </w:pPr>
            <w:r>
              <w:rPr>
                <w:rFonts w:ascii="Arial" w:cs="Arial" w:eastAsia="Arial" w:hAnsi="Arial"/>
                <w:sz w:val="16"/>
                <w:szCs w:val="16"/>
                <w:color w:val="auto"/>
              </w:rPr>
              <w:t>701.7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18,313</w:t>
            </w:r>
          </w:p>
        </w:tc>
        <w:tc>
          <w:tcPr>
            <w:tcW w:w="0" w:type="dxa"/>
            <w:vAlign w:val="bottom"/>
          </w:tcPr>
          <w:p>
            <w:pPr>
              <w:spacing w:after="0"/>
              <w:rPr>
                <w:sz w:val="1"/>
                <w:szCs w:val="1"/>
                <w:color w:val="auto"/>
              </w:rPr>
            </w:pPr>
          </w:p>
        </w:tc>
      </w:tr>
      <w:tr>
        <w:trPr>
          <w:trHeight w:val="20"/>
        </w:trPr>
        <w:tc>
          <w:tcPr>
            <w:tcW w:w="3140" w:type="dxa"/>
            <w:vAlign w:val="bottom"/>
            <w:tcBorders>
              <w:bottom w:val="single" w:sz="8" w:color="DBDBDB"/>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DBDBDB"/>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DBDBDB"/>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DBDBDB"/>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DBDBDB"/>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DBDBDB"/>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DBDBDB"/>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DBDBDB"/>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140" w:type="dxa"/>
            <w:vAlign w:val="bottom"/>
            <w:shd w:val="clear" w:color="auto" w:fill="DBDBDB"/>
          </w:tcPr>
          <w:p>
            <w:pPr>
              <w:ind w:left="20"/>
              <w:spacing w:after="0" w:line="145" w:lineRule="exact"/>
              <w:rPr>
                <w:sz w:val="20"/>
                <w:szCs w:val="20"/>
                <w:color w:val="auto"/>
              </w:rPr>
            </w:pPr>
            <w:r>
              <w:rPr>
                <w:rFonts w:ascii="Arial" w:cs="Arial" w:eastAsia="Arial" w:hAnsi="Arial"/>
                <w:sz w:val="16"/>
                <w:szCs w:val="16"/>
                <w:color w:val="auto"/>
              </w:rPr>
              <w:t>Cash dividends per share of common</w:t>
            </w:r>
          </w:p>
        </w:tc>
        <w:tc>
          <w:tcPr>
            <w:tcW w:w="1200" w:type="dxa"/>
            <w:vAlign w:val="bottom"/>
            <w:gridSpan w:val="3"/>
            <w:vMerge w:val="restart"/>
            <w:shd w:val="clear" w:color="auto" w:fill="DBDBDB"/>
          </w:tcPr>
          <w:p>
            <w:pPr>
              <w:jc w:val="right"/>
              <w:ind w:right="60"/>
              <w:spacing w:after="0"/>
              <w:rPr>
                <w:sz w:val="20"/>
                <w:szCs w:val="20"/>
                <w:color w:val="auto"/>
              </w:rPr>
            </w:pPr>
            <w:r>
              <w:rPr>
                <w:rFonts w:ascii="Arial" w:cs="Arial" w:eastAsia="Arial" w:hAnsi="Arial"/>
                <w:sz w:val="16"/>
                <w:szCs w:val="16"/>
                <w:color w:val="auto"/>
              </w:rPr>
              <w:t>$</w:t>
            </w:r>
          </w:p>
        </w:tc>
        <w:tc>
          <w:tcPr>
            <w:tcW w:w="70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0.930</w:t>
            </w:r>
          </w:p>
        </w:tc>
        <w:tc>
          <w:tcPr>
            <w:tcW w:w="1380" w:type="dxa"/>
            <w:vAlign w:val="bottom"/>
            <w:gridSpan w:val="4"/>
            <w:vMerge w:val="restart"/>
            <w:shd w:val="clear" w:color="auto" w:fill="DBDBDB"/>
          </w:tcPr>
          <w:p>
            <w:pPr>
              <w:jc w:val="right"/>
              <w:ind w:right="80"/>
              <w:spacing w:after="0"/>
              <w:rPr>
                <w:sz w:val="20"/>
                <w:szCs w:val="20"/>
                <w:color w:val="auto"/>
              </w:rPr>
            </w:pPr>
            <w:r>
              <w:rPr>
                <w:rFonts w:ascii="Arial" w:cs="Arial" w:eastAsia="Arial" w:hAnsi="Arial"/>
                <w:sz w:val="16"/>
                <w:szCs w:val="16"/>
                <w:color w:val="auto"/>
              </w:rPr>
              <w:t>$</w:t>
            </w:r>
          </w:p>
        </w:tc>
        <w:tc>
          <w:tcPr>
            <w:tcW w:w="68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0.900</w:t>
            </w:r>
          </w:p>
        </w:tc>
        <w:tc>
          <w:tcPr>
            <w:tcW w:w="1440" w:type="dxa"/>
            <w:vAlign w:val="bottom"/>
            <w:gridSpan w:val="4"/>
            <w:vMerge w:val="restart"/>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64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2.790</w:t>
            </w:r>
          </w:p>
        </w:tc>
        <w:tc>
          <w:tcPr>
            <w:tcW w:w="1360" w:type="dxa"/>
            <w:vAlign w:val="bottom"/>
            <w:gridSpan w:val="4"/>
            <w:vMerge w:val="restart"/>
            <w:shd w:val="clear" w:color="auto" w:fill="DBDBDB"/>
          </w:tcPr>
          <w:p>
            <w:pPr>
              <w:jc w:val="right"/>
              <w:ind w:right="60"/>
              <w:spacing w:after="0"/>
              <w:rPr>
                <w:sz w:val="20"/>
                <w:szCs w:val="20"/>
                <w:color w:val="auto"/>
              </w:rPr>
            </w:pPr>
            <w:r>
              <w:rPr>
                <w:rFonts w:ascii="Arial" w:cs="Arial" w:eastAsia="Arial" w:hAnsi="Arial"/>
                <w:sz w:val="16"/>
                <w:szCs w:val="16"/>
                <w:color w:val="auto"/>
              </w:rPr>
              <w:t>$</w:t>
            </w:r>
          </w:p>
        </w:tc>
        <w:tc>
          <w:tcPr>
            <w:tcW w:w="70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2.700</w:t>
            </w:r>
          </w:p>
        </w:tc>
        <w:tc>
          <w:tcPr>
            <w:tcW w:w="0" w:type="dxa"/>
            <w:vAlign w:val="bottom"/>
          </w:tcPr>
          <w:p>
            <w:pPr>
              <w:spacing w:after="0"/>
              <w:rPr>
                <w:sz w:val="1"/>
                <w:szCs w:val="1"/>
                <w:color w:val="auto"/>
              </w:rPr>
            </w:pPr>
          </w:p>
        </w:tc>
      </w:tr>
      <w:tr>
        <w:trPr>
          <w:trHeight w:val="194"/>
        </w:trPr>
        <w:tc>
          <w:tcPr>
            <w:tcW w:w="3140" w:type="dxa"/>
            <w:vAlign w:val="bottom"/>
            <w:shd w:val="clear" w:color="auto" w:fill="DBDBDB"/>
          </w:tcPr>
          <w:p>
            <w:pPr>
              <w:ind w:left="20"/>
              <w:spacing w:after="0" w:line="174" w:lineRule="exact"/>
              <w:rPr>
                <w:sz w:val="20"/>
                <w:szCs w:val="20"/>
                <w:color w:val="auto"/>
              </w:rPr>
            </w:pPr>
            <w:r>
              <w:rPr>
                <w:rFonts w:ascii="Arial" w:cs="Arial" w:eastAsia="Arial" w:hAnsi="Arial"/>
                <w:sz w:val="16"/>
                <w:szCs w:val="16"/>
                <w:color w:val="auto"/>
              </w:rPr>
              <w:t>stock</w:t>
            </w:r>
          </w:p>
        </w:tc>
        <w:tc>
          <w:tcPr>
            <w:tcW w:w="1200" w:type="dxa"/>
            <w:vAlign w:val="bottom"/>
            <w:gridSpan w:val="3"/>
            <w:vMerge w:val="continue"/>
            <w:shd w:val="clear" w:color="auto" w:fill="DBDBDB"/>
          </w:tcPr>
          <w:p>
            <w:pPr>
              <w:spacing w:after="0"/>
              <w:rPr>
                <w:sz w:val="16"/>
                <w:szCs w:val="16"/>
                <w:color w:val="auto"/>
              </w:rPr>
            </w:pPr>
          </w:p>
        </w:tc>
        <w:tc>
          <w:tcPr>
            <w:tcW w:w="700" w:type="dxa"/>
            <w:vAlign w:val="bottom"/>
            <w:vMerge w:val="continue"/>
            <w:shd w:val="clear" w:color="auto" w:fill="DBDBDB"/>
          </w:tcPr>
          <w:p>
            <w:pPr>
              <w:spacing w:after="0"/>
              <w:rPr>
                <w:sz w:val="16"/>
                <w:szCs w:val="16"/>
                <w:color w:val="auto"/>
              </w:rPr>
            </w:pPr>
          </w:p>
        </w:tc>
        <w:tc>
          <w:tcPr>
            <w:tcW w:w="1380" w:type="dxa"/>
            <w:vAlign w:val="bottom"/>
            <w:gridSpan w:val="4"/>
            <w:vMerge w:val="continue"/>
            <w:shd w:val="clear" w:color="auto" w:fill="DBDBDB"/>
          </w:tcPr>
          <w:p>
            <w:pPr>
              <w:spacing w:after="0"/>
              <w:rPr>
                <w:sz w:val="16"/>
                <w:szCs w:val="16"/>
                <w:color w:val="auto"/>
              </w:rPr>
            </w:pPr>
          </w:p>
        </w:tc>
        <w:tc>
          <w:tcPr>
            <w:tcW w:w="680" w:type="dxa"/>
            <w:vAlign w:val="bottom"/>
            <w:vMerge w:val="continue"/>
            <w:shd w:val="clear" w:color="auto" w:fill="DBDBDB"/>
          </w:tcPr>
          <w:p>
            <w:pPr>
              <w:spacing w:after="0"/>
              <w:rPr>
                <w:sz w:val="16"/>
                <w:szCs w:val="16"/>
                <w:color w:val="auto"/>
              </w:rPr>
            </w:pPr>
          </w:p>
        </w:tc>
        <w:tc>
          <w:tcPr>
            <w:tcW w:w="1440" w:type="dxa"/>
            <w:vAlign w:val="bottom"/>
            <w:gridSpan w:val="4"/>
            <w:vMerge w:val="continue"/>
            <w:shd w:val="clear" w:color="auto" w:fill="DBDBDB"/>
          </w:tcPr>
          <w:p>
            <w:pPr>
              <w:spacing w:after="0"/>
              <w:rPr>
                <w:sz w:val="16"/>
                <w:szCs w:val="16"/>
                <w:color w:val="auto"/>
              </w:rPr>
            </w:pPr>
          </w:p>
        </w:tc>
        <w:tc>
          <w:tcPr>
            <w:tcW w:w="640" w:type="dxa"/>
            <w:vAlign w:val="bottom"/>
            <w:vMerge w:val="continue"/>
            <w:shd w:val="clear" w:color="auto" w:fill="DBDBDB"/>
          </w:tcPr>
          <w:p>
            <w:pPr>
              <w:spacing w:after="0"/>
              <w:rPr>
                <w:sz w:val="16"/>
                <w:szCs w:val="16"/>
                <w:color w:val="auto"/>
              </w:rPr>
            </w:pPr>
          </w:p>
        </w:tc>
        <w:tc>
          <w:tcPr>
            <w:tcW w:w="1360" w:type="dxa"/>
            <w:vAlign w:val="bottom"/>
            <w:gridSpan w:val="4"/>
            <w:vMerge w:val="continue"/>
            <w:shd w:val="clear" w:color="auto" w:fill="DBDBDB"/>
          </w:tcPr>
          <w:p>
            <w:pPr>
              <w:spacing w:after="0"/>
              <w:rPr>
                <w:sz w:val="16"/>
                <w:szCs w:val="16"/>
                <w:color w:val="auto"/>
              </w:rPr>
            </w:pPr>
          </w:p>
        </w:tc>
        <w:tc>
          <w:tcPr>
            <w:tcW w:w="700" w:type="dxa"/>
            <w:vAlign w:val="bottom"/>
            <w:vMerge w:val="continue"/>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140" w:type="dxa"/>
            <w:vAlign w:val="bottom"/>
            <w:tcBorders>
              <w:top w:val="single" w:sz="8" w:color="DBDBDB"/>
            </w:tcBorders>
          </w:tcPr>
          <w:p>
            <w:pPr>
              <w:spacing w:after="0" w:line="20" w:lineRule="exact"/>
              <w:rPr>
                <w:sz w:val="1"/>
                <w:szCs w:val="1"/>
                <w:color w:val="auto"/>
              </w:rPr>
            </w:pPr>
          </w:p>
        </w:tc>
        <w:tc>
          <w:tcPr>
            <w:tcW w:w="86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DBDBDB"/>
            </w:tcBorders>
          </w:tcPr>
          <w:p>
            <w:pPr>
              <w:spacing w:after="0" w:line="20" w:lineRule="exact"/>
              <w:rPr>
                <w:sz w:val="1"/>
                <w:szCs w:val="1"/>
                <w:color w:val="auto"/>
              </w:rPr>
            </w:pPr>
          </w:p>
        </w:tc>
        <w:tc>
          <w:tcPr>
            <w:tcW w:w="86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DBDBDB"/>
            </w:tcBorders>
          </w:tcPr>
          <w:p>
            <w:pPr>
              <w:spacing w:after="0" w:line="20" w:lineRule="exact"/>
              <w:rPr>
                <w:sz w:val="1"/>
                <w:szCs w:val="1"/>
                <w:color w:val="auto"/>
              </w:rPr>
            </w:pPr>
          </w:p>
        </w:tc>
        <w:tc>
          <w:tcPr>
            <w:tcW w:w="86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DBDBDB"/>
            </w:tcBorders>
          </w:tcPr>
          <w:p>
            <w:pPr>
              <w:spacing w:after="0" w:line="20" w:lineRule="exact"/>
              <w:rPr>
                <w:sz w:val="1"/>
                <w:szCs w:val="1"/>
                <w:color w:val="auto"/>
              </w:rPr>
            </w:pPr>
          </w:p>
        </w:tc>
        <w:tc>
          <w:tcPr>
            <w:tcW w:w="86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Consolidated Financial Statements are an integral part of this statement.</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5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9"/>
          <w:szCs w:val="29"/>
          <w:b w:val="1"/>
          <w:bCs w:val="1"/>
          <w:color w:val="DC202E"/>
        </w:rPr>
        <w:t>NOTE 1. BASIS OF PRESENTATION</w:t>
      </w:r>
    </w:p>
    <w:p>
      <w:pPr>
        <w:spacing w:after="0" w:line="15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opinion of management, the accompanying unaudited Consolidated Financial Statements reflect all adjustments, consisting only of normal recurring adjustments, necessary to present fairly the financial position, results of operations, cash flows and shareowners' equity of Honeywell International Inc. and its consolidated subsidiaries (Honeywell or the Company) for the periods presented. The interim results of operations and cash flows should not necessarily be taken as indicative of the entire year.</w:t>
      </w:r>
    </w:p>
    <w:p>
      <w:pPr>
        <w:spacing w:after="0" w:line="9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Honeywell reports its quarterly financial information using a calendar convention; the first, second and third quarters are consistently reported as ending on March 31, June 30 and September 30. It has been Honeywell's practice to establish actual quarterly closing dates using a predetermined fiscal calendar, which requires Honeywell's businesses to close their books on a Saturday in order to minimize the potentially disruptive effects of quarterly closing on our business processes. The effects of this practice are generally not significant to reported results for any quarter and only exist within a reporting year. In the event that differences in actual closing dates are material to year-over-year comparisons of quarterly or year-to-date results, Honeywell will provide appropriate disclosures. Honeywell's actual closing dates for the three and nine months ended September 30, 2021, and September 30, 2020, were October 2, 2021, and September 26, 2020,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29"/>
          <w:szCs w:val="29"/>
          <w:b w:val="1"/>
          <w:bCs w:val="1"/>
          <w:color w:val="DC202E"/>
        </w:rPr>
        <w:t>NOTE 2. SUMMARY OF SIGNIFICANT ACCOUNTING POLICIES</w:t>
      </w:r>
    </w:p>
    <w:p>
      <w:pPr>
        <w:spacing w:after="0" w:line="15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accounting policies of the Company are set forth in Note 1 to the Company's Consolidated Financial Statements contained in the Company’s 2020 Annual Report on Form 10-K. The Company includes herein certain updates to those policies.</w:t>
      </w: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b w:val="1"/>
          <w:bCs w:val="1"/>
          <w:color w:val="212529"/>
        </w:rPr>
        <w:t>RECLASSIFICATIONS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212529"/>
        </w:rPr>
        <w:t>Certain prior year amounts have been reclassified to conform to the current year presentation.</w:t>
      </w:r>
    </w:p>
    <w:p>
      <w:pPr>
        <w:spacing w:after="0" w:line="3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ACCOUNTING PRONOUNCEMENTS</w:t>
      </w:r>
    </w:p>
    <w:p>
      <w:pPr>
        <w:spacing w:after="0" w:line="13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considers the applicability and impact of all Accounting Standards Updates (ASUs) issued by the Financial Accounting Standards Board (FASB). ASUs not listed below were assessed and determined to be either not applicable or are expected to have minimal impact on our Consolidated Financial Statements.</w:t>
      </w:r>
    </w:p>
    <w:p>
      <w:pPr>
        <w:spacing w:after="0" w:line="9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December 2019, the FASB issued an ASU to simplify the accounting for income taxes. The standard’s amendments include changes in various subtopics of accounting for income taxes including, but not limited to, accounting for “hybrid” tax regimes, tax basis step-up in goodwill obtained in a transaction that is not a business combination, intraperiod tax allocation exception to incremental approach, ownership changes in investments, interim-period accounting for enacted changes in tax law, and year-to-date loss limitation in interim-period tax accounting. Effective January 1, 2021, the Company adopted this standard. The adoption of this standard did not have a material impact on the Company's Consolidated Financial Statements.</w:t>
      </w:r>
    </w:p>
    <w:p>
      <w:pPr>
        <w:spacing w:after="0" w:line="10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March 2020, the FASB issued guidance that provides optional expedients and exceptions for applying generally accepted accounting principles to contracts, hedging relationships, and other transactions affected by the transition away from reference rates expected to be discontinued to alternative reference rates. The guidance was effective upon issuance and may be applied prospectively to contract modifications made and hedging relationships entered into on or before December 31, 2022. The Company is currently evaluating the impacts of this guidance on the Company’s Consolidated Financial Statements. The Company does not expect the adoption of this standard to have a material impact on the Company’s Consolidated Financial Statements.</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6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9"/>
          <w:szCs w:val="29"/>
          <w:b w:val="1"/>
          <w:bCs w:val="1"/>
          <w:color w:val="DC202E"/>
        </w:rPr>
        <w:t>NOTE 3. ACQUISITIONS AND DIVESTITURES</w:t>
      </w:r>
    </w:p>
    <w:p>
      <w:pPr>
        <w:spacing w:after="0" w:line="15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February 12, 2021, the Company acquired 100% of the shares outstanding of Sparta Systems, a leading provider of enterprise quality management software for the life sciences industry, for $ 1,303 million. Sparta Systems is expected to further strengthen the Company's leadership in industrial automation, digital transformation solutions, and enterprise performance management software. The business is included within the Performance Materials and Technologies segment. The assets and liabilities acquired with Sparta Systems are included in the Consolidated Balance Sheet as of September 30, 2021, including $383 million of intangible assets and $1,029 million allocated to goodwill, which is non-deductible for tax purposes. The purchase accounting is subject to final adjustment, primarily for the valuation of intangible assets, amounts allocated to goodwill, tax balances, and certain pre-acquisition contingencies.</w:t>
      </w:r>
    </w:p>
    <w:p>
      <w:pPr>
        <w:spacing w:after="0" w:line="9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March 15, 2021, the Company completed the sale of its retail footwear business in exchange for gross cash consideration of $230 million. The Company recognized a pre-tax gain of $ 95 million for the nine months ended September 30, 2021, which was recorded in Other (income) expense. The retail footwear business was previously included in the Safety and Productivity Solutions segment.</w:t>
      </w:r>
    </w:p>
    <w:p>
      <w:pPr>
        <w:spacing w:after="0" w:line="270" w:lineRule="exact"/>
        <w:rPr>
          <w:sz w:val="20"/>
          <w:szCs w:val="20"/>
          <w:color w:val="auto"/>
        </w:rPr>
      </w:pPr>
    </w:p>
    <w:p>
      <w:pPr>
        <w:spacing w:after="0"/>
        <w:rPr>
          <w:sz w:val="20"/>
          <w:szCs w:val="20"/>
          <w:color w:val="auto"/>
        </w:rPr>
      </w:pPr>
      <w:r>
        <w:rPr>
          <w:rFonts w:ascii="Arial" w:cs="Arial" w:eastAsia="Arial" w:hAnsi="Arial"/>
          <w:sz w:val="29"/>
          <w:szCs w:val="29"/>
          <w:b w:val="1"/>
          <w:bCs w:val="1"/>
          <w:color w:val="DC202E"/>
        </w:rPr>
        <w:t>NOTE 4. REVENUE RECOGNITION AND CONTRACTS WITH CUSTOMERS</w:t>
      </w:r>
    </w:p>
    <w:p>
      <w:pPr>
        <w:spacing w:after="0" w:line="15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Honeywell generates revenue from a comprehensive offering of products and services, including software and technologies, that are sold to a variety of customers in multiple end markets. See the following table and related discussions by operating segment for details.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4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7"/>
                <w:szCs w:val="17"/>
                <w:color w:val="auto"/>
              </w:rPr>
            </w:pPr>
          </w:p>
        </w:tc>
        <w:tc>
          <w:tcPr>
            <w:tcW w:w="2540" w:type="dxa"/>
            <w:vAlign w:val="bottom"/>
            <w:gridSpan w:val="4"/>
          </w:tcPr>
          <w:p>
            <w:pPr>
              <w:jc w:val="right"/>
              <w:ind w:right="71"/>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20" w:type="dxa"/>
            <w:vAlign w:val="bottom"/>
            <w:tcBorders>
              <w:bottom w:val="single" w:sz="8" w:color="DBDBDB"/>
            </w:tcBorders>
          </w:tcPr>
          <w:p>
            <w:pPr>
              <w:spacing w:after="0"/>
              <w:rPr>
                <w:sz w:val="17"/>
                <w:szCs w:val="17"/>
                <w:color w:val="auto"/>
              </w:rPr>
            </w:pPr>
          </w:p>
        </w:tc>
        <w:tc>
          <w:tcPr>
            <w:tcW w:w="860" w:type="dxa"/>
            <w:vAlign w:val="bottom"/>
            <w:tcBorders>
              <w:bottom w:val="single" w:sz="8" w:color="DBDBDB"/>
            </w:tcBorders>
          </w:tcPr>
          <w:p>
            <w:pPr>
              <w:spacing w:after="0"/>
              <w:rPr>
                <w:sz w:val="17"/>
                <w:szCs w:val="17"/>
                <w:color w:val="auto"/>
              </w:rPr>
            </w:pPr>
          </w:p>
        </w:tc>
        <w:tc>
          <w:tcPr>
            <w:tcW w:w="1760" w:type="dxa"/>
            <w:vAlign w:val="bottom"/>
            <w:tcBorders>
              <w:bottom w:val="single" w:sz="8" w:color="DBDBDB"/>
            </w:tcBorders>
          </w:tcPr>
          <w:p>
            <w:pPr>
              <w:spacing w:after="0"/>
              <w:rPr>
                <w:sz w:val="17"/>
                <w:szCs w:val="17"/>
                <w:color w:val="auto"/>
              </w:rPr>
            </w:pPr>
          </w:p>
        </w:tc>
        <w:tc>
          <w:tcPr>
            <w:tcW w:w="20" w:type="dxa"/>
            <w:vAlign w:val="bottom"/>
            <w:tcBorders>
              <w:bottom w:val="single" w:sz="8" w:color="DBDBDB"/>
            </w:tcBorders>
          </w:tcPr>
          <w:p>
            <w:pPr>
              <w:spacing w:after="0"/>
              <w:rPr>
                <w:sz w:val="17"/>
                <w:szCs w:val="17"/>
                <w:color w:val="auto"/>
              </w:rPr>
            </w:pPr>
          </w:p>
        </w:tc>
        <w:tc>
          <w:tcPr>
            <w:tcW w:w="620" w:type="dxa"/>
            <w:vAlign w:val="bottom"/>
            <w:tcBorders>
              <w:bottom w:val="single" w:sz="8" w:color="DBDBDB"/>
            </w:tcBorders>
          </w:tcPr>
          <w:p>
            <w:pPr>
              <w:spacing w:after="0"/>
              <w:rPr>
                <w:sz w:val="17"/>
                <w:szCs w:val="17"/>
                <w:color w:val="auto"/>
              </w:rPr>
            </w:pPr>
          </w:p>
        </w:tc>
        <w:tc>
          <w:tcPr>
            <w:tcW w:w="2400" w:type="dxa"/>
            <w:vAlign w:val="bottom"/>
            <w:tcBorders>
              <w:bottom w:val="single" w:sz="8" w:color="DBDBDB"/>
            </w:tcBorders>
          </w:tcPr>
          <w:p>
            <w:pPr>
              <w:spacing w:after="0"/>
              <w:rPr>
                <w:sz w:val="17"/>
                <w:szCs w:val="17"/>
                <w:color w:val="auto"/>
              </w:rPr>
            </w:pPr>
          </w:p>
        </w:tc>
        <w:tc>
          <w:tcPr>
            <w:tcW w:w="140" w:type="dxa"/>
            <w:vAlign w:val="bottom"/>
            <w:tcBorders>
              <w:top w:val="single" w:sz="8" w:color="DC202E"/>
              <w:bottom w:val="single" w:sz="8" w:color="DC202E"/>
            </w:tcBorders>
          </w:tcPr>
          <w:p>
            <w:pPr>
              <w:spacing w:after="0"/>
              <w:rPr>
                <w:sz w:val="17"/>
                <w:szCs w:val="17"/>
                <w:color w:val="auto"/>
              </w:rPr>
            </w:pPr>
          </w:p>
        </w:tc>
        <w:tc>
          <w:tcPr>
            <w:tcW w:w="1200" w:type="dxa"/>
            <w:vAlign w:val="bottom"/>
            <w:tcBorders>
              <w:top w:val="single" w:sz="8" w:color="DC202E"/>
              <w:bottom w:val="single" w:sz="8" w:color="DC202E"/>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DC202E"/>
              <w:bottom w:val="single" w:sz="8" w:color="DBDBDB"/>
            </w:tcBorders>
          </w:tcPr>
          <w:p>
            <w:pPr>
              <w:spacing w:after="0"/>
              <w:rPr>
                <w:sz w:val="17"/>
                <w:szCs w:val="17"/>
                <w:color w:val="auto"/>
              </w:rPr>
            </w:pPr>
          </w:p>
        </w:tc>
        <w:tc>
          <w:tcPr>
            <w:tcW w:w="320" w:type="dxa"/>
            <w:vAlign w:val="bottom"/>
            <w:tcBorders>
              <w:top w:val="single" w:sz="8" w:color="DC202E"/>
              <w:bottom w:val="single" w:sz="8" w:color="DC202E"/>
            </w:tcBorders>
          </w:tcPr>
          <w:p>
            <w:pPr>
              <w:spacing w:after="0"/>
              <w:rPr>
                <w:sz w:val="17"/>
                <w:szCs w:val="17"/>
                <w:color w:val="auto"/>
              </w:rPr>
            </w:pPr>
          </w:p>
        </w:tc>
        <w:tc>
          <w:tcPr>
            <w:tcW w:w="1020" w:type="dxa"/>
            <w:vAlign w:val="bottom"/>
            <w:tcBorders>
              <w:top w:val="single" w:sz="8" w:color="DC202E"/>
              <w:bottom w:val="single" w:sz="8" w:color="DC202E"/>
            </w:tcBorders>
          </w:tcPr>
          <w:p>
            <w:pPr>
              <w:jc w:val="right"/>
              <w:ind w:right="41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DBDBDB"/>
            </w:tcBorders>
          </w:tcPr>
          <w:p>
            <w:pPr>
              <w:spacing w:after="0"/>
              <w:rPr>
                <w:sz w:val="17"/>
                <w:szCs w:val="17"/>
                <w:color w:val="auto"/>
              </w:rPr>
            </w:pPr>
          </w:p>
        </w:tc>
        <w:tc>
          <w:tcPr>
            <w:tcW w:w="140" w:type="dxa"/>
            <w:vAlign w:val="bottom"/>
            <w:tcBorders>
              <w:top w:val="single" w:sz="8" w:color="DC202E"/>
              <w:bottom w:val="single" w:sz="8" w:color="DC202E"/>
            </w:tcBorders>
          </w:tcPr>
          <w:p>
            <w:pPr>
              <w:spacing w:after="0"/>
              <w:rPr>
                <w:sz w:val="17"/>
                <w:szCs w:val="17"/>
                <w:color w:val="auto"/>
              </w:rPr>
            </w:pPr>
          </w:p>
        </w:tc>
        <w:tc>
          <w:tcPr>
            <w:tcW w:w="1140" w:type="dxa"/>
            <w:vAlign w:val="bottom"/>
            <w:tcBorders>
              <w:top w:val="single" w:sz="8" w:color="DC202E"/>
              <w:bottom w:val="single" w:sz="8" w:color="DC202E"/>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DC202E"/>
              <w:bottom w:val="single" w:sz="8" w:color="DBDBDB"/>
            </w:tcBorders>
          </w:tcPr>
          <w:p>
            <w:pPr>
              <w:spacing w:after="0"/>
              <w:rPr>
                <w:sz w:val="17"/>
                <w:szCs w:val="17"/>
                <w:color w:val="auto"/>
              </w:rPr>
            </w:pPr>
          </w:p>
        </w:tc>
        <w:tc>
          <w:tcPr>
            <w:tcW w:w="300" w:type="dxa"/>
            <w:vAlign w:val="bottom"/>
            <w:tcBorders>
              <w:top w:val="single" w:sz="8" w:color="DC202E"/>
              <w:bottom w:val="single" w:sz="8" w:color="DC202E"/>
            </w:tcBorders>
          </w:tcPr>
          <w:p>
            <w:pPr>
              <w:spacing w:after="0"/>
              <w:rPr>
                <w:sz w:val="17"/>
                <w:szCs w:val="17"/>
                <w:color w:val="auto"/>
              </w:rPr>
            </w:pPr>
          </w:p>
        </w:tc>
        <w:tc>
          <w:tcPr>
            <w:tcW w:w="980" w:type="dxa"/>
            <w:vAlign w:val="bottom"/>
            <w:tcBorders>
              <w:top w:val="single" w:sz="8" w:color="DC202E"/>
              <w:bottom w:val="single" w:sz="8" w:color="DC202E"/>
            </w:tcBorders>
          </w:tcPr>
          <w:p>
            <w:pPr>
              <w:jc w:val="right"/>
              <w:ind w:right="391"/>
              <w:spacing w:after="0"/>
              <w:rPr>
                <w:sz w:val="20"/>
                <w:szCs w:val="20"/>
                <w:color w:val="auto"/>
              </w:rPr>
            </w:pPr>
            <w:r>
              <w:rPr>
                <w:rFonts w:ascii="Arial" w:cs="Arial" w:eastAsia="Arial" w:hAnsi="Arial"/>
                <w:sz w:val="14"/>
                <w:szCs w:val="14"/>
                <w:b w:val="1"/>
                <w:bCs w:val="1"/>
                <w:color w:val="auto"/>
              </w:rPr>
              <w:t>2020</w:t>
            </w:r>
          </w:p>
        </w:tc>
      </w:tr>
      <w:tr>
        <w:trPr>
          <w:trHeight w:val="176"/>
        </w:trPr>
        <w:tc>
          <w:tcPr>
            <w:tcW w:w="20" w:type="dxa"/>
            <w:vAlign w:val="bottom"/>
            <w:shd w:val="clear" w:color="auto" w:fill="DBDBDB"/>
          </w:tcPr>
          <w:p>
            <w:pPr>
              <w:spacing w:after="0"/>
              <w:rPr>
                <w:sz w:val="15"/>
                <w:szCs w:val="15"/>
                <w:color w:val="auto"/>
              </w:rPr>
            </w:pPr>
          </w:p>
        </w:tc>
        <w:tc>
          <w:tcPr>
            <w:tcW w:w="5660" w:type="dxa"/>
            <w:vAlign w:val="bottom"/>
            <w:gridSpan w:val="5"/>
            <w:shd w:val="clear" w:color="auto" w:fill="DBDBDB"/>
          </w:tcPr>
          <w:p>
            <w:pPr>
              <w:spacing w:after="0" w:line="176" w:lineRule="exact"/>
              <w:rPr>
                <w:sz w:val="20"/>
                <w:szCs w:val="20"/>
                <w:color w:val="auto"/>
              </w:rPr>
            </w:pPr>
            <w:r>
              <w:rPr>
                <w:rFonts w:ascii="Arial" w:cs="Arial" w:eastAsia="Arial" w:hAnsi="Arial"/>
                <w:sz w:val="18"/>
                <w:szCs w:val="18"/>
                <w:color w:val="auto"/>
              </w:rPr>
              <w:t>Aerospace</w:t>
            </w:r>
          </w:p>
        </w:tc>
        <w:tc>
          <w:tcPr>
            <w:tcW w:w="140" w:type="dxa"/>
            <w:vAlign w:val="bottom"/>
            <w:shd w:val="clear" w:color="auto" w:fill="DBDBDB"/>
          </w:tcPr>
          <w:p>
            <w:pPr>
              <w:spacing w:after="0"/>
              <w:rPr>
                <w:sz w:val="15"/>
                <w:szCs w:val="15"/>
                <w:color w:val="auto"/>
              </w:rPr>
            </w:pPr>
          </w:p>
        </w:tc>
        <w:tc>
          <w:tcPr>
            <w:tcW w:w="120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320" w:type="dxa"/>
            <w:vAlign w:val="bottom"/>
            <w:shd w:val="clear" w:color="auto" w:fill="DBDBDB"/>
          </w:tcPr>
          <w:p>
            <w:pPr>
              <w:spacing w:after="0"/>
              <w:rPr>
                <w:sz w:val="15"/>
                <w:szCs w:val="15"/>
                <w:color w:val="auto"/>
              </w:rPr>
            </w:pPr>
          </w:p>
        </w:tc>
        <w:tc>
          <w:tcPr>
            <w:tcW w:w="102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14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300" w:type="dxa"/>
            <w:vAlign w:val="bottom"/>
            <w:shd w:val="clear" w:color="auto" w:fill="DBDBDB"/>
          </w:tcPr>
          <w:p>
            <w:pPr>
              <w:spacing w:after="0"/>
              <w:rPr>
                <w:sz w:val="15"/>
                <w:szCs w:val="15"/>
                <w:color w:val="auto"/>
              </w:rPr>
            </w:pPr>
          </w:p>
        </w:tc>
        <w:tc>
          <w:tcPr>
            <w:tcW w:w="980" w:type="dxa"/>
            <w:vAlign w:val="bottom"/>
            <w:shd w:val="clear" w:color="auto" w:fill="DBDBDB"/>
          </w:tcPr>
          <w:p>
            <w:pPr>
              <w:spacing w:after="0"/>
              <w:rPr>
                <w:sz w:val="15"/>
                <w:szCs w:val="15"/>
                <w:color w:val="auto"/>
              </w:rPr>
            </w:pPr>
          </w:p>
        </w:tc>
      </w:tr>
      <w:tr>
        <w:trPr>
          <w:trHeight w:val="20"/>
        </w:trPr>
        <w:tc>
          <w:tcPr>
            <w:tcW w:w="20" w:type="dxa"/>
            <w:vAlign w:val="bottom"/>
            <w:tcBorders>
              <w:top w:val="single" w:sz="8" w:color="DBDBDB"/>
            </w:tcBorders>
            <w:shd w:val="clear" w:color="auto" w:fill="DBDBDB"/>
          </w:tcPr>
          <w:p>
            <w:pPr>
              <w:spacing w:after="0" w:line="20" w:lineRule="exact"/>
              <w:rPr>
                <w:sz w:val="1"/>
                <w:szCs w:val="1"/>
                <w:color w:val="auto"/>
              </w:rPr>
            </w:pPr>
          </w:p>
        </w:tc>
        <w:tc>
          <w:tcPr>
            <w:tcW w:w="860" w:type="dxa"/>
            <w:vAlign w:val="bottom"/>
            <w:tcBorders>
              <w:top w:val="single" w:sz="8" w:color="auto"/>
            </w:tcBorders>
            <w:shd w:val="clear" w:color="auto" w:fill="DBDBDB"/>
          </w:tcPr>
          <w:p>
            <w:pPr>
              <w:spacing w:after="0" w:line="20" w:lineRule="exact"/>
              <w:rPr>
                <w:sz w:val="1"/>
                <w:szCs w:val="1"/>
                <w:color w:val="auto"/>
              </w:rPr>
            </w:pPr>
          </w:p>
        </w:tc>
        <w:tc>
          <w:tcPr>
            <w:tcW w:w="176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620" w:type="dxa"/>
            <w:vAlign w:val="bottom"/>
            <w:tcBorders>
              <w:top w:val="single" w:sz="8" w:color="DBDBDB"/>
            </w:tcBorders>
            <w:shd w:val="clear" w:color="auto" w:fill="DBDBDB"/>
          </w:tcPr>
          <w:p>
            <w:pPr>
              <w:spacing w:after="0" w:line="20" w:lineRule="exact"/>
              <w:rPr>
                <w:sz w:val="1"/>
                <w:szCs w:val="1"/>
                <w:color w:val="auto"/>
              </w:rPr>
            </w:pPr>
          </w:p>
        </w:tc>
        <w:tc>
          <w:tcPr>
            <w:tcW w:w="2400" w:type="dxa"/>
            <w:vAlign w:val="bottom"/>
            <w:tcBorders>
              <w:top w:val="single" w:sz="8" w:color="DBDBDB"/>
            </w:tcBorders>
            <w:shd w:val="clear" w:color="auto" w:fill="DBDBDB"/>
          </w:tcPr>
          <w:p>
            <w:pPr>
              <w:spacing w:after="0" w:line="20" w:lineRule="exact"/>
              <w:rPr>
                <w:sz w:val="1"/>
                <w:szCs w:val="1"/>
                <w:color w:val="auto"/>
              </w:rPr>
            </w:pPr>
          </w:p>
        </w:tc>
        <w:tc>
          <w:tcPr>
            <w:tcW w:w="140" w:type="dxa"/>
            <w:vAlign w:val="bottom"/>
            <w:tcBorders>
              <w:top w:val="single" w:sz="8" w:color="DBDBDB"/>
            </w:tcBorders>
            <w:shd w:val="clear" w:color="auto" w:fill="DBDBDB"/>
          </w:tcPr>
          <w:p>
            <w:pPr>
              <w:spacing w:after="0" w:line="20" w:lineRule="exact"/>
              <w:rPr>
                <w:sz w:val="1"/>
                <w:szCs w:val="1"/>
                <w:color w:val="auto"/>
              </w:rPr>
            </w:pPr>
          </w:p>
        </w:tc>
        <w:tc>
          <w:tcPr>
            <w:tcW w:w="120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320" w:type="dxa"/>
            <w:vAlign w:val="bottom"/>
            <w:tcBorders>
              <w:top w:val="single" w:sz="8" w:color="DBDBDB"/>
            </w:tcBorders>
            <w:shd w:val="clear" w:color="auto" w:fill="DBDBDB"/>
          </w:tcPr>
          <w:p>
            <w:pPr>
              <w:spacing w:after="0" w:line="20" w:lineRule="exact"/>
              <w:rPr>
                <w:sz w:val="1"/>
                <w:szCs w:val="1"/>
                <w:color w:val="auto"/>
              </w:rPr>
            </w:pPr>
          </w:p>
        </w:tc>
        <w:tc>
          <w:tcPr>
            <w:tcW w:w="102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140" w:type="dxa"/>
            <w:vAlign w:val="bottom"/>
            <w:tcBorders>
              <w:top w:val="single" w:sz="8" w:color="DBDBDB"/>
            </w:tcBorders>
            <w:shd w:val="clear" w:color="auto" w:fill="DBDBDB"/>
          </w:tcPr>
          <w:p>
            <w:pPr>
              <w:spacing w:after="0" w:line="20" w:lineRule="exact"/>
              <w:rPr>
                <w:sz w:val="1"/>
                <w:szCs w:val="1"/>
                <w:color w:val="auto"/>
              </w:rPr>
            </w:pPr>
          </w:p>
        </w:tc>
        <w:tc>
          <w:tcPr>
            <w:tcW w:w="114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300" w:type="dxa"/>
            <w:vAlign w:val="bottom"/>
            <w:tcBorders>
              <w:top w:val="single" w:sz="8" w:color="DBDBDB"/>
            </w:tcBorders>
            <w:shd w:val="clear" w:color="auto" w:fill="DBDBDB"/>
          </w:tcPr>
          <w:p>
            <w:pPr>
              <w:spacing w:after="0" w:line="20" w:lineRule="exact"/>
              <w:rPr>
                <w:sz w:val="1"/>
                <w:szCs w:val="1"/>
                <w:color w:val="auto"/>
              </w:rPr>
            </w:pPr>
          </w:p>
        </w:tc>
        <w:tc>
          <w:tcPr>
            <w:tcW w:w="980" w:type="dxa"/>
            <w:vAlign w:val="bottom"/>
            <w:tcBorders>
              <w:top w:val="single" w:sz="8" w:color="DBDBDB"/>
            </w:tcBorders>
            <w:shd w:val="clear" w:color="auto" w:fill="DBDBDB"/>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660" w:type="dxa"/>
            <w:vAlign w:val="bottom"/>
            <w:gridSpan w:val="5"/>
          </w:tcPr>
          <w:p>
            <w:pPr>
              <w:spacing w:after="0"/>
              <w:rPr>
                <w:sz w:val="20"/>
                <w:szCs w:val="20"/>
                <w:color w:val="auto"/>
              </w:rPr>
            </w:pPr>
            <w:r>
              <w:rPr>
                <w:rFonts w:ascii="Arial" w:cs="Arial" w:eastAsia="Arial" w:hAnsi="Arial"/>
                <w:sz w:val="18"/>
                <w:szCs w:val="18"/>
                <w:color w:val="auto"/>
              </w:rPr>
              <w:t>Commercial Aviation Original Equipment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1,282</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1,532</w:t>
            </w:r>
          </w:p>
        </w:tc>
      </w:tr>
      <w:tr>
        <w:trPr>
          <w:trHeight w:val="229"/>
        </w:trPr>
        <w:tc>
          <w:tcPr>
            <w:tcW w:w="20" w:type="dxa"/>
            <w:vAlign w:val="bottom"/>
            <w:shd w:val="clear" w:color="auto" w:fill="DBDBDB"/>
          </w:tcPr>
          <w:p>
            <w:pPr>
              <w:spacing w:after="0"/>
              <w:rPr>
                <w:sz w:val="19"/>
                <w:szCs w:val="19"/>
                <w:color w:val="auto"/>
              </w:rPr>
            </w:pPr>
          </w:p>
        </w:tc>
        <w:tc>
          <w:tcPr>
            <w:tcW w:w="5660" w:type="dxa"/>
            <w:vAlign w:val="bottom"/>
            <w:gridSpan w:val="5"/>
            <w:shd w:val="clear" w:color="auto" w:fill="DBDBDB"/>
          </w:tcPr>
          <w:p>
            <w:pPr>
              <w:spacing w:after="0"/>
              <w:rPr>
                <w:sz w:val="20"/>
                <w:szCs w:val="20"/>
                <w:color w:val="auto"/>
              </w:rPr>
            </w:pPr>
            <w:r>
              <w:rPr>
                <w:rFonts w:ascii="Arial" w:cs="Arial" w:eastAsia="Arial" w:hAnsi="Arial"/>
                <w:sz w:val="18"/>
                <w:szCs w:val="18"/>
                <w:color w:val="auto"/>
              </w:rPr>
              <w:t>Commercial Aviation Aftermarket</w:t>
            </w:r>
          </w:p>
        </w:tc>
        <w:tc>
          <w:tcPr>
            <w:tcW w:w="14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1,083</w:t>
            </w: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779</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3,008</w:t>
            </w:r>
          </w:p>
        </w:tc>
        <w:tc>
          <w:tcPr>
            <w:tcW w:w="1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2,825</w:t>
            </w:r>
          </w:p>
        </w:tc>
      </w:tr>
      <w:tr>
        <w:trPr>
          <w:trHeight w:val="230"/>
        </w:trPr>
        <w:tc>
          <w:tcPr>
            <w:tcW w:w="20" w:type="dxa"/>
            <w:vAlign w:val="bottom"/>
            <w:tcBorders>
              <w:bottom w:val="single" w:sz="8" w:color="DBDBDB"/>
            </w:tcBorders>
          </w:tcPr>
          <w:p>
            <w:pPr>
              <w:spacing w:after="0"/>
              <w:rPr>
                <w:sz w:val="19"/>
                <w:szCs w:val="19"/>
                <w:color w:val="auto"/>
              </w:rPr>
            </w:pPr>
          </w:p>
        </w:tc>
        <w:tc>
          <w:tcPr>
            <w:tcW w:w="5660" w:type="dxa"/>
            <w:vAlign w:val="bottom"/>
            <w:tcBorders>
              <w:bottom w:val="single" w:sz="8" w:color="DBDBDB"/>
            </w:tcBorders>
            <w:gridSpan w:val="5"/>
          </w:tcPr>
          <w:p>
            <w:pPr>
              <w:spacing w:after="0"/>
              <w:rPr>
                <w:sz w:val="20"/>
                <w:szCs w:val="20"/>
                <w:color w:val="auto"/>
              </w:rPr>
            </w:pPr>
            <w:r>
              <w:rPr>
                <w:rFonts w:ascii="Arial" w:cs="Arial" w:eastAsia="Arial" w:hAnsi="Arial"/>
                <w:sz w:val="18"/>
                <w:szCs w:val="18"/>
                <w:color w:val="auto"/>
              </w:rPr>
              <w:t>Defense and Space</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1,234</w:t>
            </w:r>
          </w:p>
        </w:tc>
        <w:tc>
          <w:tcPr>
            <w:tcW w:w="100" w:type="dxa"/>
            <w:vAlign w:val="bottom"/>
            <w:tcBorders>
              <w:bottom w:val="single" w:sz="8" w:color="DBDBDB"/>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1,472</w:t>
            </w:r>
          </w:p>
        </w:tc>
        <w:tc>
          <w:tcPr>
            <w:tcW w:w="10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3,840</w:t>
            </w:r>
          </w:p>
        </w:tc>
        <w:tc>
          <w:tcPr>
            <w:tcW w:w="12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4,209</w:t>
            </w:r>
          </w:p>
        </w:tc>
      </w:tr>
      <w:tr>
        <w:trPr>
          <w:trHeight w:val="223"/>
        </w:trPr>
        <w:tc>
          <w:tcPr>
            <w:tcW w:w="2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176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620" w:type="dxa"/>
            <w:vAlign w:val="bottom"/>
            <w:shd w:val="clear" w:color="auto" w:fill="DBDBDB"/>
          </w:tcPr>
          <w:p>
            <w:pPr>
              <w:spacing w:after="0"/>
              <w:rPr>
                <w:sz w:val="19"/>
                <w:szCs w:val="19"/>
                <w:color w:val="auto"/>
              </w:rPr>
            </w:pPr>
          </w:p>
        </w:tc>
        <w:tc>
          <w:tcPr>
            <w:tcW w:w="2400" w:type="dxa"/>
            <w:vAlign w:val="bottom"/>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2,732</w:t>
            </w:r>
          </w:p>
        </w:tc>
        <w:tc>
          <w:tcPr>
            <w:tcW w:w="100" w:type="dxa"/>
            <w:vAlign w:val="bottom"/>
            <w:shd w:val="clear" w:color="auto" w:fill="DBDBDB"/>
          </w:tcPr>
          <w:p>
            <w:pPr>
              <w:spacing w:after="0"/>
              <w:rPr>
                <w:sz w:val="19"/>
                <w:szCs w:val="19"/>
                <w:color w:val="auto"/>
              </w:rPr>
            </w:pPr>
          </w:p>
        </w:tc>
        <w:tc>
          <w:tcPr>
            <w:tcW w:w="320" w:type="dxa"/>
            <w:vAlign w:val="bottom"/>
            <w:tcBorders>
              <w:bottom w:val="single" w:sz="8" w:color="auto"/>
            </w:tcBorders>
            <w:shd w:val="clear" w:color="auto" w:fill="DBDBDB"/>
          </w:tcPr>
          <w:p>
            <w:pPr>
              <w:spacing w:after="0"/>
              <w:rPr>
                <w:sz w:val="19"/>
                <w:szCs w:val="19"/>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2,662</w:t>
            </w:r>
          </w:p>
        </w:tc>
        <w:tc>
          <w:tcPr>
            <w:tcW w:w="100" w:type="dxa"/>
            <w:vAlign w:val="bottom"/>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spacing w:after="0"/>
              <w:rPr>
                <w:sz w:val="19"/>
                <w:szCs w:val="19"/>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8,130</w:t>
            </w:r>
          </w:p>
        </w:tc>
        <w:tc>
          <w:tcPr>
            <w:tcW w:w="120" w:type="dxa"/>
            <w:vAlign w:val="bottom"/>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8,566</w:t>
            </w:r>
          </w:p>
        </w:tc>
      </w:tr>
      <w:tr>
        <w:trPr>
          <w:trHeight w:val="169"/>
        </w:trPr>
        <w:tc>
          <w:tcPr>
            <w:tcW w:w="20" w:type="dxa"/>
            <w:vAlign w:val="bottom"/>
          </w:tcPr>
          <w:p>
            <w:pPr>
              <w:spacing w:after="0"/>
              <w:rPr>
                <w:sz w:val="14"/>
                <w:szCs w:val="14"/>
                <w:color w:val="auto"/>
              </w:rPr>
            </w:pPr>
          </w:p>
        </w:tc>
        <w:tc>
          <w:tcPr>
            <w:tcW w:w="5660" w:type="dxa"/>
            <w:vAlign w:val="bottom"/>
            <w:gridSpan w:val="5"/>
          </w:tcPr>
          <w:p>
            <w:pPr>
              <w:spacing w:after="0" w:line="169" w:lineRule="exact"/>
              <w:rPr>
                <w:sz w:val="20"/>
                <w:szCs w:val="20"/>
                <w:color w:val="auto"/>
              </w:rPr>
            </w:pPr>
            <w:r>
              <w:rPr>
                <w:rFonts w:ascii="Arial" w:cs="Arial" w:eastAsia="Arial" w:hAnsi="Arial"/>
                <w:sz w:val="18"/>
                <w:szCs w:val="18"/>
                <w:color w:val="auto"/>
              </w:rPr>
              <w:t>Honeywell Building Technologies</w:t>
            </w: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17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29"/>
        </w:trPr>
        <w:tc>
          <w:tcPr>
            <w:tcW w:w="20" w:type="dxa"/>
            <w:vAlign w:val="bottom"/>
            <w:shd w:val="clear" w:color="auto" w:fill="DBDBDB"/>
          </w:tcPr>
          <w:p>
            <w:pPr>
              <w:spacing w:after="0"/>
              <w:rPr>
                <w:sz w:val="19"/>
                <w:szCs w:val="19"/>
                <w:color w:val="auto"/>
              </w:rPr>
            </w:pPr>
          </w:p>
        </w:tc>
        <w:tc>
          <w:tcPr>
            <w:tcW w:w="5660" w:type="dxa"/>
            <w:vAlign w:val="bottom"/>
            <w:gridSpan w:val="5"/>
            <w:shd w:val="clear" w:color="auto" w:fill="DBDBDB"/>
          </w:tcPr>
          <w:p>
            <w:pPr>
              <w:spacing w:after="0"/>
              <w:rPr>
                <w:sz w:val="20"/>
                <w:szCs w:val="20"/>
                <w:color w:val="auto"/>
              </w:rPr>
            </w:pPr>
            <w:r>
              <w:rPr>
                <w:rFonts w:ascii="Arial" w:cs="Arial" w:eastAsia="Arial" w:hAnsi="Arial"/>
                <w:sz w:val="18"/>
                <w:szCs w:val="18"/>
                <w:color w:val="auto"/>
              </w:rPr>
              <w:t>Products</w:t>
            </w:r>
          </w:p>
        </w:tc>
        <w:tc>
          <w:tcPr>
            <w:tcW w:w="14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805</w:t>
            </w: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745</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2,432</w:t>
            </w:r>
          </w:p>
        </w:tc>
        <w:tc>
          <w:tcPr>
            <w:tcW w:w="1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2,145</w:t>
            </w:r>
          </w:p>
        </w:tc>
      </w:tr>
      <w:tr>
        <w:trPr>
          <w:trHeight w:val="230"/>
        </w:trPr>
        <w:tc>
          <w:tcPr>
            <w:tcW w:w="20" w:type="dxa"/>
            <w:vAlign w:val="bottom"/>
            <w:tcBorders>
              <w:bottom w:val="single" w:sz="8" w:color="DBDBDB"/>
            </w:tcBorders>
          </w:tcPr>
          <w:p>
            <w:pPr>
              <w:spacing w:after="0"/>
              <w:rPr>
                <w:sz w:val="19"/>
                <w:szCs w:val="19"/>
                <w:color w:val="auto"/>
              </w:rPr>
            </w:pPr>
          </w:p>
        </w:tc>
        <w:tc>
          <w:tcPr>
            <w:tcW w:w="5660" w:type="dxa"/>
            <w:vAlign w:val="bottom"/>
            <w:tcBorders>
              <w:bottom w:val="single" w:sz="8" w:color="DBDBDB"/>
            </w:tcBorders>
            <w:gridSpan w:val="5"/>
          </w:tcPr>
          <w:p>
            <w:pPr>
              <w:spacing w:after="0"/>
              <w:rPr>
                <w:sz w:val="20"/>
                <w:szCs w:val="20"/>
                <w:color w:val="auto"/>
              </w:rPr>
            </w:pPr>
            <w:r>
              <w:rPr>
                <w:rFonts w:ascii="Arial" w:cs="Arial" w:eastAsia="Arial" w:hAnsi="Arial"/>
                <w:sz w:val="18"/>
                <w:szCs w:val="18"/>
                <w:color w:val="auto"/>
              </w:rPr>
              <w:t>Building Solutions</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w:t>
            </w:r>
          </w:p>
        </w:tc>
        <w:tc>
          <w:tcPr>
            <w:tcW w:w="100" w:type="dxa"/>
            <w:vAlign w:val="bottom"/>
            <w:tcBorders>
              <w:bottom w:val="single" w:sz="8" w:color="DBDBDB"/>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w:t>
            </w:r>
          </w:p>
        </w:tc>
        <w:tc>
          <w:tcPr>
            <w:tcW w:w="10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1,703</w:t>
            </w:r>
          </w:p>
        </w:tc>
        <w:tc>
          <w:tcPr>
            <w:tcW w:w="12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1,618</w:t>
            </w:r>
          </w:p>
        </w:tc>
      </w:tr>
      <w:tr>
        <w:trPr>
          <w:trHeight w:val="223"/>
        </w:trPr>
        <w:tc>
          <w:tcPr>
            <w:tcW w:w="2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176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620" w:type="dxa"/>
            <w:vAlign w:val="bottom"/>
            <w:shd w:val="clear" w:color="auto" w:fill="DBDBDB"/>
          </w:tcPr>
          <w:p>
            <w:pPr>
              <w:spacing w:after="0"/>
              <w:rPr>
                <w:sz w:val="19"/>
                <w:szCs w:val="19"/>
                <w:color w:val="auto"/>
              </w:rPr>
            </w:pPr>
          </w:p>
        </w:tc>
        <w:tc>
          <w:tcPr>
            <w:tcW w:w="2400" w:type="dxa"/>
            <w:vAlign w:val="bottom"/>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1,370</w:t>
            </w:r>
          </w:p>
        </w:tc>
        <w:tc>
          <w:tcPr>
            <w:tcW w:w="100" w:type="dxa"/>
            <w:vAlign w:val="bottom"/>
            <w:shd w:val="clear" w:color="auto" w:fill="DBDBDB"/>
          </w:tcPr>
          <w:p>
            <w:pPr>
              <w:spacing w:after="0"/>
              <w:rPr>
                <w:sz w:val="19"/>
                <w:szCs w:val="19"/>
                <w:color w:val="auto"/>
              </w:rPr>
            </w:pPr>
          </w:p>
        </w:tc>
        <w:tc>
          <w:tcPr>
            <w:tcW w:w="320" w:type="dxa"/>
            <w:vAlign w:val="bottom"/>
            <w:tcBorders>
              <w:bottom w:val="single" w:sz="8" w:color="auto"/>
            </w:tcBorders>
            <w:shd w:val="clear" w:color="auto" w:fill="DBDBDB"/>
          </w:tcPr>
          <w:p>
            <w:pPr>
              <w:spacing w:after="0"/>
              <w:rPr>
                <w:sz w:val="19"/>
                <w:szCs w:val="19"/>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1,305</w:t>
            </w:r>
          </w:p>
        </w:tc>
        <w:tc>
          <w:tcPr>
            <w:tcW w:w="100" w:type="dxa"/>
            <w:vAlign w:val="bottom"/>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spacing w:after="0"/>
              <w:rPr>
                <w:sz w:val="19"/>
                <w:szCs w:val="19"/>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4,135</w:t>
            </w:r>
          </w:p>
        </w:tc>
        <w:tc>
          <w:tcPr>
            <w:tcW w:w="120" w:type="dxa"/>
            <w:vAlign w:val="bottom"/>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3,763</w:t>
            </w:r>
          </w:p>
        </w:tc>
      </w:tr>
      <w:tr>
        <w:trPr>
          <w:trHeight w:val="169"/>
        </w:trPr>
        <w:tc>
          <w:tcPr>
            <w:tcW w:w="20" w:type="dxa"/>
            <w:vAlign w:val="bottom"/>
          </w:tcPr>
          <w:p>
            <w:pPr>
              <w:spacing w:after="0"/>
              <w:rPr>
                <w:sz w:val="14"/>
                <w:szCs w:val="14"/>
                <w:color w:val="auto"/>
              </w:rPr>
            </w:pPr>
          </w:p>
        </w:tc>
        <w:tc>
          <w:tcPr>
            <w:tcW w:w="5660" w:type="dxa"/>
            <w:vAlign w:val="bottom"/>
            <w:gridSpan w:val="5"/>
          </w:tcPr>
          <w:p>
            <w:pPr>
              <w:spacing w:after="0" w:line="169" w:lineRule="exact"/>
              <w:rPr>
                <w:sz w:val="20"/>
                <w:szCs w:val="20"/>
                <w:color w:val="auto"/>
              </w:rPr>
            </w:pPr>
            <w:r>
              <w:rPr>
                <w:rFonts w:ascii="Arial" w:cs="Arial" w:eastAsia="Arial" w:hAnsi="Arial"/>
                <w:sz w:val="18"/>
                <w:szCs w:val="18"/>
                <w:color w:val="auto"/>
              </w:rPr>
              <w:t>Performance Materials and Technologies</w:t>
            </w: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17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30"/>
        </w:trPr>
        <w:tc>
          <w:tcPr>
            <w:tcW w:w="20" w:type="dxa"/>
            <w:vAlign w:val="bottom"/>
            <w:shd w:val="clear" w:color="auto" w:fill="DBDBDB"/>
          </w:tcPr>
          <w:p>
            <w:pPr>
              <w:spacing w:after="0"/>
              <w:rPr>
                <w:sz w:val="19"/>
                <w:szCs w:val="19"/>
                <w:color w:val="auto"/>
              </w:rPr>
            </w:pPr>
          </w:p>
        </w:tc>
        <w:tc>
          <w:tcPr>
            <w:tcW w:w="5660" w:type="dxa"/>
            <w:vAlign w:val="bottom"/>
            <w:gridSpan w:val="5"/>
            <w:shd w:val="clear" w:color="auto" w:fill="DBDBDB"/>
          </w:tcPr>
          <w:p>
            <w:pPr>
              <w:spacing w:after="0"/>
              <w:rPr>
                <w:sz w:val="20"/>
                <w:szCs w:val="20"/>
                <w:color w:val="auto"/>
              </w:rPr>
            </w:pPr>
            <w:r>
              <w:rPr>
                <w:rFonts w:ascii="Arial" w:cs="Arial" w:eastAsia="Arial" w:hAnsi="Arial"/>
                <w:sz w:val="18"/>
                <w:szCs w:val="18"/>
                <w:color w:val="auto"/>
              </w:rPr>
              <w:t>UOP</w:t>
            </w:r>
          </w:p>
        </w:tc>
        <w:tc>
          <w:tcPr>
            <w:tcW w:w="14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461</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1,698</w:t>
            </w:r>
          </w:p>
        </w:tc>
        <w:tc>
          <w:tcPr>
            <w:tcW w:w="1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1,572</w:t>
            </w:r>
          </w:p>
        </w:tc>
      </w:tr>
      <w:tr>
        <w:trPr>
          <w:trHeight w:val="230"/>
        </w:trPr>
        <w:tc>
          <w:tcPr>
            <w:tcW w:w="20" w:type="dxa"/>
            <w:vAlign w:val="bottom"/>
          </w:tcPr>
          <w:p>
            <w:pPr>
              <w:spacing w:after="0"/>
              <w:rPr>
                <w:sz w:val="19"/>
                <w:szCs w:val="19"/>
                <w:color w:val="auto"/>
              </w:rPr>
            </w:pPr>
          </w:p>
        </w:tc>
        <w:tc>
          <w:tcPr>
            <w:tcW w:w="5660" w:type="dxa"/>
            <w:vAlign w:val="bottom"/>
            <w:gridSpan w:val="5"/>
          </w:tcPr>
          <w:p>
            <w:pPr>
              <w:spacing w:after="0"/>
              <w:rPr>
                <w:sz w:val="20"/>
                <w:szCs w:val="20"/>
                <w:color w:val="auto"/>
              </w:rPr>
            </w:pPr>
            <w:r>
              <w:rPr>
                <w:rFonts w:ascii="Arial" w:cs="Arial" w:eastAsia="Arial" w:hAnsi="Arial"/>
                <w:sz w:val="18"/>
                <w:szCs w:val="18"/>
                <w:color w:val="auto"/>
              </w:rPr>
              <w:t>Process Solutions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3,422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3,379</w:t>
            </w:r>
          </w:p>
        </w:tc>
      </w:tr>
      <w:tr>
        <w:trPr>
          <w:trHeight w:val="229"/>
        </w:trPr>
        <w:tc>
          <w:tcPr>
            <w:tcW w:w="20" w:type="dxa"/>
            <w:vAlign w:val="bottom"/>
            <w:shd w:val="clear" w:color="auto" w:fill="DBDBDB"/>
          </w:tcPr>
          <w:p>
            <w:pPr>
              <w:spacing w:after="0"/>
              <w:rPr>
                <w:sz w:val="19"/>
                <w:szCs w:val="19"/>
                <w:color w:val="auto"/>
              </w:rPr>
            </w:pPr>
          </w:p>
        </w:tc>
        <w:tc>
          <w:tcPr>
            <w:tcW w:w="5660" w:type="dxa"/>
            <w:vAlign w:val="bottom"/>
            <w:gridSpan w:val="5"/>
            <w:shd w:val="clear" w:color="auto" w:fill="DBDBDB"/>
          </w:tcPr>
          <w:p>
            <w:pPr>
              <w:spacing w:after="0"/>
              <w:rPr>
                <w:sz w:val="20"/>
                <w:szCs w:val="20"/>
                <w:color w:val="auto"/>
              </w:rPr>
            </w:pPr>
            <w:r>
              <w:rPr>
                <w:rFonts w:ascii="Arial" w:cs="Arial" w:eastAsia="Arial" w:hAnsi="Arial"/>
                <w:sz w:val="18"/>
                <w:szCs w:val="18"/>
                <w:color w:val="auto"/>
              </w:rPr>
              <w:t>Advanced Materials</w:t>
            </w:r>
          </w:p>
        </w:tc>
        <w:tc>
          <w:tcPr>
            <w:tcW w:w="14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DBDBDB"/>
          </w:tcPr>
          <w:p>
            <w:pPr>
              <w:spacing w:after="0"/>
              <w:rPr>
                <w:sz w:val="19"/>
                <w:szCs w:val="19"/>
                <w:color w:val="auto"/>
              </w:rPr>
            </w:pPr>
          </w:p>
        </w:tc>
        <w:tc>
          <w:tcPr>
            <w:tcW w:w="320" w:type="dxa"/>
            <w:vAlign w:val="bottom"/>
            <w:tcBorders>
              <w:bottom w:val="single" w:sz="8" w:color="auto"/>
            </w:tcBorders>
            <w:shd w:val="clear" w:color="auto" w:fill="DBDBDB"/>
          </w:tcPr>
          <w:p>
            <w:pPr>
              <w:spacing w:after="0"/>
              <w:rPr>
                <w:sz w:val="19"/>
                <w:szCs w:val="19"/>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656</w:t>
            </w:r>
          </w:p>
        </w:tc>
        <w:tc>
          <w:tcPr>
            <w:tcW w:w="100" w:type="dxa"/>
            <w:vAlign w:val="bottom"/>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spacing w:after="0"/>
              <w:rPr>
                <w:sz w:val="19"/>
                <w:szCs w:val="19"/>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2,288</w:t>
            </w:r>
          </w:p>
        </w:tc>
        <w:tc>
          <w:tcPr>
            <w:tcW w:w="120" w:type="dxa"/>
            <w:vAlign w:val="bottom"/>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1,916</w:t>
            </w:r>
          </w:p>
        </w:tc>
      </w:tr>
      <w:tr>
        <w:trPr>
          <w:trHeight w:val="223"/>
        </w:trPr>
        <w:tc>
          <w:tcPr>
            <w:tcW w:w="20" w:type="dxa"/>
            <w:vAlign w:val="bottom"/>
            <w:tcBorders>
              <w:bottom w:val="single" w:sz="8" w:color="DBDBDB"/>
            </w:tcBorders>
          </w:tcPr>
          <w:p>
            <w:pPr>
              <w:spacing w:after="0"/>
              <w:rPr>
                <w:sz w:val="19"/>
                <w:szCs w:val="19"/>
                <w:color w:val="auto"/>
              </w:rPr>
            </w:pPr>
          </w:p>
        </w:tc>
        <w:tc>
          <w:tcPr>
            <w:tcW w:w="860" w:type="dxa"/>
            <w:vAlign w:val="bottom"/>
            <w:tcBorders>
              <w:bottom w:val="single" w:sz="8" w:color="DBDBDB"/>
            </w:tcBorders>
          </w:tcPr>
          <w:p>
            <w:pPr>
              <w:spacing w:after="0"/>
              <w:rPr>
                <w:sz w:val="19"/>
                <w:szCs w:val="19"/>
                <w:color w:val="auto"/>
              </w:rPr>
            </w:pPr>
          </w:p>
        </w:tc>
        <w:tc>
          <w:tcPr>
            <w:tcW w:w="1760" w:type="dxa"/>
            <w:vAlign w:val="bottom"/>
            <w:tcBorders>
              <w:bottom w:val="single" w:sz="8" w:color="DBDBDB"/>
            </w:tcBorders>
          </w:tcPr>
          <w:p>
            <w:pPr>
              <w:spacing w:after="0"/>
              <w:rPr>
                <w:sz w:val="19"/>
                <w:szCs w:val="19"/>
                <w:color w:val="auto"/>
              </w:rPr>
            </w:pPr>
          </w:p>
        </w:tc>
        <w:tc>
          <w:tcPr>
            <w:tcW w:w="20" w:type="dxa"/>
            <w:vAlign w:val="bottom"/>
            <w:tcBorders>
              <w:bottom w:val="single" w:sz="8" w:color="DBDBDB"/>
            </w:tcBorders>
          </w:tcPr>
          <w:p>
            <w:pPr>
              <w:spacing w:after="0"/>
              <w:rPr>
                <w:sz w:val="19"/>
                <w:szCs w:val="19"/>
                <w:color w:val="auto"/>
              </w:rPr>
            </w:pPr>
          </w:p>
        </w:tc>
        <w:tc>
          <w:tcPr>
            <w:tcW w:w="620" w:type="dxa"/>
            <w:vAlign w:val="bottom"/>
            <w:tcBorders>
              <w:bottom w:val="single" w:sz="8" w:color="DBDBDB"/>
            </w:tcBorders>
          </w:tcPr>
          <w:p>
            <w:pPr>
              <w:spacing w:after="0"/>
              <w:rPr>
                <w:sz w:val="19"/>
                <w:szCs w:val="19"/>
                <w:color w:val="auto"/>
              </w:rPr>
            </w:pPr>
          </w:p>
        </w:tc>
        <w:tc>
          <w:tcPr>
            <w:tcW w:w="240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2,510</w:t>
            </w:r>
          </w:p>
        </w:tc>
        <w:tc>
          <w:tcPr>
            <w:tcW w:w="100" w:type="dxa"/>
            <w:vAlign w:val="bottom"/>
            <w:tcBorders>
              <w:bottom w:val="single" w:sz="8" w:color="DBDBDB"/>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2,252</w:t>
            </w:r>
          </w:p>
        </w:tc>
        <w:tc>
          <w:tcPr>
            <w:tcW w:w="10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7,408</w:t>
            </w:r>
          </w:p>
        </w:tc>
        <w:tc>
          <w:tcPr>
            <w:tcW w:w="12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6,867</w:t>
            </w:r>
          </w:p>
        </w:tc>
      </w:tr>
      <w:tr>
        <w:trPr>
          <w:trHeight w:val="190"/>
        </w:trPr>
        <w:tc>
          <w:tcPr>
            <w:tcW w:w="20" w:type="dxa"/>
            <w:vAlign w:val="bottom"/>
            <w:tcBorders>
              <w:bottom w:val="single" w:sz="8" w:color="DBDBDB"/>
            </w:tcBorders>
            <w:shd w:val="clear" w:color="auto" w:fill="DBDBDB"/>
          </w:tcPr>
          <w:p>
            <w:pPr>
              <w:spacing w:after="0"/>
              <w:rPr>
                <w:sz w:val="16"/>
                <w:szCs w:val="16"/>
                <w:color w:val="auto"/>
              </w:rPr>
            </w:pPr>
          </w:p>
        </w:tc>
        <w:tc>
          <w:tcPr>
            <w:tcW w:w="2640" w:type="dxa"/>
            <w:vAlign w:val="bottom"/>
            <w:tcBorders>
              <w:bottom w:val="single" w:sz="8" w:color="auto"/>
            </w:tcBorders>
            <w:gridSpan w:val="3"/>
            <w:shd w:val="clear" w:color="auto" w:fill="DBDBDB"/>
          </w:tcPr>
          <w:p>
            <w:pPr>
              <w:spacing w:after="0" w:line="169" w:lineRule="exact"/>
              <w:rPr>
                <w:sz w:val="20"/>
                <w:szCs w:val="20"/>
                <w:color w:val="auto"/>
              </w:rPr>
            </w:pPr>
            <w:r>
              <w:rPr>
                <w:rFonts w:ascii="Arial" w:cs="Arial" w:eastAsia="Arial" w:hAnsi="Arial"/>
                <w:sz w:val="18"/>
                <w:szCs w:val="18"/>
                <w:color w:val="auto"/>
                <w:w w:val="99"/>
              </w:rPr>
              <w:t>Safety and Productivity Solutions</w:t>
            </w:r>
          </w:p>
        </w:tc>
        <w:tc>
          <w:tcPr>
            <w:tcW w:w="3020" w:type="dxa"/>
            <w:vAlign w:val="bottom"/>
            <w:tcBorders>
              <w:bottom w:val="single" w:sz="8" w:color="DBDBDB"/>
            </w:tcBorders>
            <w:gridSpan w:val="2"/>
            <w:shd w:val="clear" w:color="auto" w:fill="DBDBDB"/>
          </w:tcPr>
          <w:p>
            <w:pPr>
              <w:spacing w:after="0"/>
              <w:rPr>
                <w:sz w:val="16"/>
                <w:szCs w:val="16"/>
                <w:color w:val="auto"/>
              </w:rPr>
            </w:pPr>
          </w:p>
        </w:tc>
        <w:tc>
          <w:tcPr>
            <w:tcW w:w="140" w:type="dxa"/>
            <w:vAlign w:val="bottom"/>
            <w:tcBorders>
              <w:bottom w:val="single" w:sz="8" w:color="DBDBDB"/>
            </w:tcBorders>
            <w:shd w:val="clear" w:color="auto" w:fill="DBDBDB"/>
          </w:tcPr>
          <w:p>
            <w:pPr>
              <w:spacing w:after="0"/>
              <w:rPr>
                <w:sz w:val="16"/>
                <w:szCs w:val="16"/>
                <w:color w:val="auto"/>
              </w:rPr>
            </w:pPr>
          </w:p>
        </w:tc>
        <w:tc>
          <w:tcPr>
            <w:tcW w:w="1200" w:type="dxa"/>
            <w:vAlign w:val="bottom"/>
            <w:tcBorders>
              <w:bottom w:val="single" w:sz="8" w:color="DBDBDB"/>
            </w:tcBorders>
            <w:shd w:val="clear" w:color="auto" w:fill="DBDBDB"/>
          </w:tcPr>
          <w:p>
            <w:pPr>
              <w:spacing w:after="0"/>
              <w:rPr>
                <w:sz w:val="16"/>
                <w:szCs w:val="16"/>
                <w:color w:val="auto"/>
              </w:rPr>
            </w:pPr>
          </w:p>
        </w:tc>
        <w:tc>
          <w:tcPr>
            <w:tcW w:w="100" w:type="dxa"/>
            <w:vAlign w:val="bottom"/>
            <w:tcBorders>
              <w:bottom w:val="single" w:sz="8" w:color="DBDBDB"/>
            </w:tcBorders>
            <w:shd w:val="clear" w:color="auto" w:fill="DBDBDB"/>
          </w:tcPr>
          <w:p>
            <w:pPr>
              <w:spacing w:after="0"/>
              <w:rPr>
                <w:sz w:val="16"/>
                <w:szCs w:val="16"/>
                <w:color w:val="auto"/>
              </w:rPr>
            </w:pPr>
          </w:p>
        </w:tc>
        <w:tc>
          <w:tcPr>
            <w:tcW w:w="320" w:type="dxa"/>
            <w:vAlign w:val="bottom"/>
            <w:tcBorders>
              <w:bottom w:val="single" w:sz="8" w:color="DBDBDB"/>
            </w:tcBorders>
            <w:shd w:val="clear" w:color="auto" w:fill="DBDBDB"/>
          </w:tcPr>
          <w:p>
            <w:pPr>
              <w:spacing w:after="0"/>
              <w:rPr>
                <w:sz w:val="16"/>
                <w:szCs w:val="16"/>
                <w:color w:val="auto"/>
              </w:rPr>
            </w:pPr>
          </w:p>
        </w:tc>
        <w:tc>
          <w:tcPr>
            <w:tcW w:w="1020" w:type="dxa"/>
            <w:vAlign w:val="bottom"/>
            <w:tcBorders>
              <w:bottom w:val="single" w:sz="8" w:color="DBDBDB"/>
            </w:tcBorders>
            <w:shd w:val="clear" w:color="auto" w:fill="DBDBDB"/>
          </w:tcPr>
          <w:p>
            <w:pPr>
              <w:spacing w:after="0"/>
              <w:rPr>
                <w:sz w:val="16"/>
                <w:szCs w:val="16"/>
                <w:color w:val="auto"/>
              </w:rPr>
            </w:pPr>
          </w:p>
        </w:tc>
        <w:tc>
          <w:tcPr>
            <w:tcW w:w="100" w:type="dxa"/>
            <w:vAlign w:val="bottom"/>
            <w:tcBorders>
              <w:bottom w:val="single" w:sz="8" w:color="DBDBDB"/>
            </w:tcBorders>
            <w:shd w:val="clear" w:color="auto" w:fill="DBDBDB"/>
          </w:tcPr>
          <w:p>
            <w:pPr>
              <w:spacing w:after="0"/>
              <w:rPr>
                <w:sz w:val="16"/>
                <w:szCs w:val="16"/>
                <w:color w:val="auto"/>
              </w:rPr>
            </w:pPr>
          </w:p>
        </w:tc>
        <w:tc>
          <w:tcPr>
            <w:tcW w:w="140" w:type="dxa"/>
            <w:vAlign w:val="bottom"/>
            <w:tcBorders>
              <w:bottom w:val="single" w:sz="8" w:color="DBDBDB"/>
            </w:tcBorders>
            <w:shd w:val="clear" w:color="auto" w:fill="DBDBDB"/>
          </w:tcPr>
          <w:p>
            <w:pPr>
              <w:spacing w:after="0"/>
              <w:rPr>
                <w:sz w:val="16"/>
                <w:szCs w:val="16"/>
                <w:color w:val="auto"/>
              </w:rPr>
            </w:pPr>
          </w:p>
        </w:tc>
        <w:tc>
          <w:tcPr>
            <w:tcW w:w="1140" w:type="dxa"/>
            <w:vAlign w:val="bottom"/>
            <w:tcBorders>
              <w:bottom w:val="single" w:sz="8" w:color="DBDBDB"/>
            </w:tcBorders>
            <w:shd w:val="clear" w:color="auto" w:fill="DBDBDB"/>
          </w:tcPr>
          <w:p>
            <w:pPr>
              <w:spacing w:after="0"/>
              <w:rPr>
                <w:sz w:val="16"/>
                <w:szCs w:val="16"/>
                <w:color w:val="auto"/>
              </w:rPr>
            </w:pPr>
          </w:p>
        </w:tc>
        <w:tc>
          <w:tcPr>
            <w:tcW w:w="120" w:type="dxa"/>
            <w:vAlign w:val="bottom"/>
            <w:tcBorders>
              <w:bottom w:val="single" w:sz="8" w:color="DBDBDB"/>
            </w:tcBorders>
            <w:shd w:val="clear" w:color="auto" w:fill="DBDBDB"/>
          </w:tcPr>
          <w:p>
            <w:pPr>
              <w:spacing w:after="0"/>
              <w:rPr>
                <w:sz w:val="16"/>
                <w:szCs w:val="16"/>
                <w:color w:val="auto"/>
              </w:rPr>
            </w:pPr>
          </w:p>
        </w:tc>
        <w:tc>
          <w:tcPr>
            <w:tcW w:w="300" w:type="dxa"/>
            <w:vAlign w:val="bottom"/>
            <w:tcBorders>
              <w:bottom w:val="single" w:sz="8" w:color="DBDBDB"/>
            </w:tcBorders>
            <w:shd w:val="clear" w:color="auto" w:fill="DBDBDB"/>
          </w:tcPr>
          <w:p>
            <w:pPr>
              <w:spacing w:after="0"/>
              <w:rPr>
                <w:sz w:val="16"/>
                <w:szCs w:val="16"/>
                <w:color w:val="auto"/>
              </w:rPr>
            </w:pPr>
          </w:p>
        </w:tc>
        <w:tc>
          <w:tcPr>
            <w:tcW w:w="980" w:type="dxa"/>
            <w:vAlign w:val="bottom"/>
            <w:tcBorders>
              <w:bottom w:val="single" w:sz="8" w:color="DBDBDB"/>
            </w:tcBorders>
            <w:shd w:val="clear" w:color="auto" w:fill="DBDBDB"/>
          </w:tcPr>
          <w:p>
            <w:pPr>
              <w:spacing w:after="0"/>
              <w:rPr>
                <w:sz w:val="16"/>
                <w:szCs w:val="16"/>
                <w:color w:val="auto"/>
              </w:rPr>
            </w:pPr>
          </w:p>
        </w:tc>
      </w:tr>
      <w:tr>
        <w:trPr>
          <w:trHeight w:val="230"/>
        </w:trPr>
        <w:tc>
          <w:tcPr>
            <w:tcW w:w="20" w:type="dxa"/>
            <w:vAlign w:val="bottom"/>
          </w:tcPr>
          <w:p>
            <w:pPr>
              <w:spacing w:after="0"/>
              <w:rPr>
                <w:sz w:val="19"/>
                <w:szCs w:val="19"/>
                <w:color w:val="auto"/>
              </w:rPr>
            </w:pPr>
          </w:p>
        </w:tc>
        <w:tc>
          <w:tcPr>
            <w:tcW w:w="5660" w:type="dxa"/>
            <w:vAlign w:val="bottom"/>
            <w:gridSpan w:val="5"/>
          </w:tcPr>
          <w:p>
            <w:pPr>
              <w:spacing w:after="0"/>
              <w:rPr>
                <w:sz w:val="20"/>
                <w:szCs w:val="20"/>
                <w:color w:val="auto"/>
              </w:rPr>
            </w:pPr>
            <w:r>
              <w:rPr>
                <w:rFonts w:ascii="Arial" w:cs="Arial" w:eastAsia="Arial" w:hAnsi="Arial"/>
                <w:sz w:val="18"/>
                <w:szCs w:val="18"/>
                <w:color w:val="auto"/>
              </w:rPr>
              <w:t>Safety and Retail</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1,884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1,612</w:t>
            </w:r>
          </w:p>
        </w:tc>
      </w:tr>
      <w:tr>
        <w:trPr>
          <w:trHeight w:val="230"/>
        </w:trPr>
        <w:tc>
          <w:tcPr>
            <w:tcW w:w="20" w:type="dxa"/>
            <w:vAlign w:val="bottom"/>
            <w:shd w:val="clear" w:color="auto" w:fill="DBDBDB"/>
          </w:tcPr>
          <w:p>
            <w:pPr>
              <w:spacing w:after="0"/>
              <w:rPr>
                <w:sz w:val="19"/>
                <w:szCs w:val="19"/>
                <w:color w:val="auto"/>
              </w:rPr>
            </w:pPr>
          </w:p>
        </w:tc>
        <w:tc>
          <w:tcPr>
            <w:tcW w:w="5660" w:type="dxa"/>
            <w:vAlign w:val="bottom"/>
            <w:gridSpan w:val="5"/>
            <w:shd w:val="clear" w:color="auto" w:fill="DBDBDB"/>
          </w:tcPr>
          <w:p>
            <w:pPr>
              <w:spacing w:after="0"/>
              <w:rPr>
                <w:sz w:val="20"/>
                <w:szCs w:val="20"/>
                <w:color w:val="auto"/>
              </w:rPr>
            </w:pPr>
            <w:r>
              <w:rPr>
                <w:rFonts w:ascii="Arial" w:cs="Arial" w:eastAsia="Arial" w:hAnsi="Arial"/>
                <w:sz w:val="18"/>
                <w:szCs w:val="18"/>
                <w:color w:val="auto"/>
              </w:rPr>
              <w:t>Productivity Solutions and Services</w:t>
            </w:r>
          </w:p>
        </w:tc>
        <w:tc>
          <w:tcPr>
            <w:tcW w:w="14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407</w:t>
            </w: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322</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1,132</w:t>
            </w:r>
          </w:p>
        </w:tc>
        <w:tc>
          <w:tcPr>
            <w:tcW w:w="1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877</w:t>
            </w:r>
          </w:p>
        </w:tc>
      </w:tr>
      <w:tr>
        <w:trPr>
          <w:trHeight w:val="230"/>
        </w:trPr>
        <w:tc>
          <w:tcPr>
            <w:tcW w:w="20" w:type="dxa"/>
            <w:vAlign w:val="bottom"/>
          </w:tcPr>
          <w:p>
            <w:pPr>
              <w:spacing w:after="0"/>
              <w:rPr>
                <w:sz w:val="19"/>
                <w:szCs w:val="19"/>
                <w:color w:val="auto"/>
              </w:rPr>
            </w:pPr>
          </w:p>
        </w:tc>
        <w:tc>
          <w:tcPr>
            <w:tcW w:w="5660" w:type="dxa"/>
            <w:vAlign w:val="bottom"/>
            <w:gridSpan w:val="5"/>
          </w:tcPr>
          <w:p>
            <w:pPr>
              <w:spacing w:after="0"/>
              <w:rPr>
                <w:sz w:val="20"/>
                <w:szCs w:val="20"/>
                <w:color w:val="auto"/>
              </w:rPr>
            </w:pPr>
            <w:r>
              <w:rPr>
                <w:rFonts w:ascii="Arial" w:cs="Arial" w:eastAsia="Arial" w:hAnsi="Arial"/>
                <w:sz w:val="18"/>
                <w:szCs w:val="18"/>
                <w:color w:val="auto"/>
              </w:rPr>
              <w:t>Warehouse and Workflow Solutions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2,440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1,457</w:t>
            </w:r>
          </w:p>
        </w:tc>
      </w:tr>
      <w:tr>
        <w:trPr>
          <w:trHeight w:val="229"/>
        </w:trPr>
        <w:tc>
          <w:tcPr>
            <w:tcW w:w="20" w:type="dxa"/>
            <w:vAlign w:val="bottom"/>
            <w:shd w:val="clear" w:color="auto" w:fill="DBDBDB"/>
          </w:tcPr>
          <w:p>
            <w:pPr>
              <w:spacing w:after="0"/>
              <w:rPr>
                <w:sz w:val="19"/>
                <w:szCs w:val="19"/>
                <w:color w:val="auto"/>
              </w:rPr>
            </w:pPr>
          </w:p>
        </w:tc>
        <w:tc>
          <w:tcPr>
            <w:tcW w:w="5660" w:type="dxa"/>
            <w:vAlign w:val="bottom"/>
            <w:gridSpan w:val="5"/>
            <w:shd w:val="clear" w:color="auto" w:fill="DBDBDB"/>
          </w:tcPr>
          <w:p>
            <w:pPr>
              <w:spacing w:after="0"/>
              <w:rPr>
                <w:sz w:val="20"/>
                <w:szCs w:val="20"/>
                <w:color w:val="auto"/>
              </w:rPr>
            </w:pPr>
            <w:r>
              <w:rPr>
                <w:rFonts w:ascii="Arial" w:cs="Arial" w:eastAsia="Arial" w:hAnsi="Arial"/>
                <w:sz w:val="18"/>
                <w:szCs w:val="18"/>
                <w:color w:val="auto"/>
              </w:rPr>
              <w:t>Advanced Sensing Technologies</w:t>
            </w:r>
          </w:p>
        </w:tc>
        <w:tc>
          <w:tcPr>
            <w:tcW w:w="14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DBDBDB"/>
          </w:tcPr>
          <w:p>
            <w:pPr>
              <w:spacing w:after="0"/>
              <w:rPr>
                <w:sz w:val="19"/>
                <w:szCs w:val="19"/>
                <w:color w:val="auto"/>
              </w:rPr>
            </w:pPr>
          </w:p>
        </w:tc>
        <w:tc>
          <w:tcPr>
            <w:tcW w:w="320" w:type="dxa"/>
            <w:vAlign w:val="bottom"/>
            <w:tcBorders>
              <w:bottom w:val="single" w:sz="8" w:color="auto"/>
            </w:tcBorders>
            <w:shd w:val="clear" w:color="auto" w:fill="DBDBDB"/>
          </w:tcPr>
          <w:p>
            <w:pPr>
              <w:spacing w:after="0"/>
              <w:rPr>
                <w:sz w:val="19"/>
                <w:szCs w:val="19"/>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spacing w:after="0"/>
              <w:rPr>
                <w:sz w:val="19"/>
                <w:szCs w:val="19"/>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606</w:t>
            </w:r>
          </w:p>
        </w:tc>
        <w:tc>
          <w:tcPr>
            <w:tcW w:w="120" w:type="dxa"/>
            <w:vAlign w:val="bottom"/>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595</w:t>
            </w:r>
          </w:p>
        </w:tc>
      </w:tr>
      <w:tr>
        <w:trPr>
          <w:trHeight w:val="223"/>
        </w:trPr>
        <w:tc>
          <w:tcPr>
            <w:tcW w:w="20" w:type="dxa"/>
            <w:vAlign w:val="bottom"/>
            <w:tcBorders>
              <w:bottom w:val="single" w:sz="8" w:color="DBDBDB"/>
            </w:tcBorders>
          </w:tcPr>
          <w:p>
            <w:pPr>
              <w:spacing w:after="0"/>
              <w:rPr>
                <w:sz w:val="19"/>
                <w:szCs w:val="19"/>
                <w:color w:val="auto"/>
              </w:rPr>
            </w:pPr>
          </w:p>
        </w:tc>
        <w:tc>
          <w:tcPr>
            <w:tcW w:w="860" w:type="dxa"/>
            <w:vAlign w:val="bottom"/>
            <w:tcBorders>
              <w:bottom w:val="single" w:sz="8" w:color="DBDBDB"/>
            </w:tcBorders>
          </w:tcPr>
          <w:p>
            <w:pPr>
              <w:spacing w:after="0"/>
              <w:rPr>
                <w:sz w:val="19"/>
                <w:szCs w:val="19"/>
                <w:color w:val="auto"/>
              </w:rPr>
            </w:pPr>
          </w:p>
        </w:tc>
        <w:tc>
          <w:tcPr>
            <w:tcW w:w="1760" w:type="dxa"/>
            <w:vAlign w:val="bottom"/>
            <w:tcBorders>
              <w:bottom w:val="single" w:sz="8" w:color="DBDBDB"/>
            </w:tcBorders>
          </w:tcPr>
          <w:p>
            <w:pPr>
              <w:spacing w:after="0"/>
              <w:rPr>
                <w:sz w:val="19"/>
                <w:szCs w:val="19"/>
                <w:color w:val="auto"/>
              </w:rPr>
            </w:pPr>
          </w:p>
        </w:tc>
        <w:tc>
          <w:tcPr>
            <w:tcW w:w="20" w:type="dxa"/>
            <w:vAlign w:val="bottom"/>
            <w:tcBorders>
              <w:bottom w:val="single" w:sz="8" w:color="DBDBDB"/>
            </w:tcBorders>
          </w:tcPr>
          <w:p>
            <w:pPr>
              <w:spacing w:after="0"/>
              <w:rPr>
                <w:sz w:val="19"/>
                <w:szCs w:val="19"/>
                <w:color w:val="auto"/>
              </w:rPr>
            </w:pPr>
          </w:p>
        </w:tc>
        <w:tc>
          <w:tcPr>
            <w:tcW w:w="620" w:type="dxa"/>
            <w:vAlign w:val="bottom"/>
            <w:tcBorders>
              <w:bottom w:val="single" w:sz="8" w:color="DBDBDB"/>
            </w:tcBorders>
          </w:tcPr>
          <w:p>
            <w:pPr>
              <w:spacing w:after="0"/>
              <w:rPr>
                <w:sz w:val="19"/>
                <w:szCs w:val="19"/>
                <w:color w:val="auto"/>
              </w:rPr>
            </w:pPr>
          </w:p>
        </w:tc>
        <w:tc>
          <w:tcPr>
            <w:tcW w:w="240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1,861</w:t>
            </w:r>
          </w:p>
        </w:tc>
        <w:tc>
          <w:tcPr>
            <w:tcW w:w="100" w:type="dxa"/>
            <w:vAlign w:val="bottom"/>
            <w:tcBorders>
              <w:bottom w:val="single" w:sz="8" w:color="DBDBDB"/>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1,578</w:t>
            </w:r>
          </w:p>
        </w:tc>
        <w:tc>
          <w:tcPr>
            <w:tcW w:w="10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6,062</w:t>
            </w:r>
          </w:p>
        </w:tc>
        <w:tc>
          <w:tcPr>
            <w:tcW w:w="12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4,541</w:t>
            </w:r>
          </w:p>
        </w:tc>
      </w:tr>
      <w:tr>
        <w:trPr>
          <w:trHeight w:val="248"/>
        </w:trPr>
        <w:tc>
          <w:tcPr>
            <w:tcW w:w="20" w:type="dxa"/>
            <w:vAlign w:val="bottom"/>
            <w:tcBorders>
              <w:bottom w:val="single" w:sz="8" w:color="DBDBDB"/>
            </w:tcBorders>
            <w:shd w:val="clear" w:color="auto" w:fill="DBDBDB"/>
          </w:tcPr>
          <w:p>
            <w:pPr>
              <w:spacing w:after="0"/>
              <w:rPr>
                <w:sz w:val="21"/>
                <w:szCs w:val="21"/>
                <w:color w:val="auto"/>
              </w:rPr>
            </w:pPr>
          </w:p>
        </w:tc>
        <w:tc>
          <w:tcPr>
            <w:tcW w:w="5660" w:type="dxa"/>
            <w:vAlign w:val="bottom"/>
            <w:tcBorders>
              <w:bottom w:val="single" w:sz="8" w:color="DBDBDB"/>
            </w:tcBorders>
            <w:gridSpan w:val="5"/>
            <w:shd w:val="clear" w:color="auto" w:fill="DBDBDB"/>
          </w:tcPr>
          <w:p>
            <w:pPr>
              <w:spacing w:after="0"/>
              <w:rPr>
                <w:sz w:val="20"/>
                <w:szCs w:val="20"/>
                <w:color w:val="auto"/>
              </w:rPr>
            </w:pPr>
            <w:r>
              <w:rPr>
                <w:rFonts w:ascii="Arial" w:cs="Arial" w:eastAsia="Arial" w:hAnsi="Arial"/>
                <w:sz w:val="18"/>
                <w:szCs w:val="18"/>
                <w:color w:val="auto"/>
              </w:rPr>
              <w:t>Net sales</w:t>
            </w: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8,473</w:t>
            </w:r>
          </w:p>
        </w:tc>
        <w:tc>
          <w:tcPr>
            <w:tcW w:w="100" w:type="dxa"/>
            <w:vAlign w:val="bottom"/>
            <w:tcBorders>
              <w:bottom w:val="single" w:sz="8" w:color="DBDBDB"/>
            </w:tcBorders>
            <w:shd w:val="clear" w:color="auto" w:fill="DBDBDB"/>
          </w:tcPr>
          <w:p>
            <w:pPr>
              <w:spacing w:after="0"/>
              <w:rPr>
                <w:sz w:val="21"/>
                <w:szCs w:val="21"/>
                <w:color w:val="auto"/>
              </w:rPr>
            </w:pPr>
          </w:p>
        </w:tc>
        <w:tc>
          <w:tcPr>
            <w:tcW w:w="32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7,797</w:t>
            </w:r>
          </w:p>
        </w:tc>
        <w:tc>
          <w:tcPr>
            <w:tcW w:w="100" w:type="dxa"/>
            <w:vAlign w:val="bottom"/>
            <w:tcBorders>
              <w:bottom w:val="single" w:sz="8" w:color="DBDBDB"/>
            </w:tcBorders>
            <w:shd w:val="clear" w:color="auto" w:fill="DBDBDB"/>
          </w:tcPr>
          <w:p>
            <w:pPr>
              <w:spacing w:after="0"/>
              <w:rPr>
                <w:sz w:val="21"/>
                <w:szCs w:val="21"/>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25,735</w:t>
            </w:r>
          </w:p>
        </w:tc>
        <w:tc>
          <w:tcPr>
            <w:tcW w:w="120" w:type="dxa"/>
            <w:vAlign w:val="bottom"/>
            <w:tcBorders>
              <w:bottom w:val="single" w:sz="8" w:color="DBDBDB"/>
            </w:tcBorders>
            <w:shd w:val="clear" w:color="auto" w:fill="DBDBDB"/>
          </w:tcPr>
          <w:p>
            <w:pPr>
              <w:spacing w:after="0"/>
              <w:rPr>
                <w:sz w:val="21"/>
                <w:szCs w:val="21"/>
                <w:color w:val="auto"/>
              </w:rPr>
            </w:pPr>
          </w:p>
        </w:tc>
        <w:tc>
          <w:tcPr>
            <w:tcW w:w="300" w:type="dxa"/>
            <w:vAlign w:val="bottom"/>
            <w:tcBorders>
              <w:bottom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23,737</w:t>
            </w:r>
          </w:p>
        </w:tc>
      </w:tr>
      <w:tr>
        <w:trPr>
          <w:trHeight w:val="20"/>
        </w:trPr>
        <w:tc>
          <w:tcPr>
            <w:tcW w:w="20" w:type="dxa"/>
            <w:vAlign w:val="bottom"/>
            <w:tcBorders>
              <w:top w:val="single" w:sz="8" w:color="DBDBDB"/>
            </w:tcBorders>
          </w:tcPr>
          <w:p>
            <w:pPr>
              <w:spacing w:after="0" w:line="20" w:lineRule="exact"/>
              <w:rPr>
                <w:sz w:val="1"/>
                <w:szCs w:val="1"/>
                <w:color w:val="auto"/>
              </w:rPr>
            </w:pPr>
          </w:p>
        </w:tc>
        <w:tc>
          <w:tcPr>
            <w:tcW w:w="860" w:type="dxa"/>
            <w:vAlign w:val="bottom"/>
            <w:tcBorders>
              <w:top w:val="single" w:sz="8" w:color="DBDBDB"/>
            </w:tcBorders>
          </w:tcPr>
          <w:p>
            <w:pPr>
              <w:spacing w:after="0" w:line="20" w:lineRule="exact"/>
              <w:rPr>
                <w:sz w:val="1"/>
                <w:szCs w:val="1"/>
                <w:color w:val="auto"/>
              </w:rPr>
            </w:pPr>
          </w:p>
        </w:tc>
        <w:tc>
          <w:tcPr>
            <w:tcW w:w="1760" w:type="dxa"/>
            <w:vAlign w:val="bottom"/>
            <w:tcBorders>
              <w:top w:val="single" w:sz="8" w:color="DBDBDB"/>
            </w:tcBorders>
          </w:tcPr>
          <w:p>
            <w:pPr>
              <w:spacing w:after="0" w:line="20" w:lineRule="exact"/>
              <w:rPr>
                <w:sz w:val="1"/>
                <w:szCs w:val="1"/>
                <w:color w:val="auto"/>
              </w:rPr>
            </w:pPr>
          </w:p>
        </w:tc>
        <w:tc>
          <w:tcPr>
            <w:tcW w:w="20" w:type="dxa"/>
            <w:vAlign w:val="bottom"/>
            <w:tcBorders>
              <w:top w:val="single" w:sz="8" w:color="DBDBDB"/>
            </w:tcBorders>
          </w:tcPr>
          <w:p>
            <w:pPr>
              <w:spacing w:after="0" w:line="20" w:lineRule="exact"/>
              <w:rPr>
                <w:sz w:val="1"/>
                <w:szCs w:val="1"/>
                <w:color w:val="auto"/>
              </w:rPr>
            </w:pPr>
          </w:p>
        </w:tc>
        <w:tc>
          <w:tcPr>
            <w:tcW w:w="620" w:type="dxa"/>
            <w:vAlign w:val="bottom"/>
            <w:tcBorders>
              <w:top w:val="single" w:sz="8" w:color="DBDBDB"/>
            </w:tcBorders>
          </w:tcPr>
          <w:p>
            <w:pPr>
              <w:spacing w:after="0" w:line="20" w:lineRule="exact"/>
              <w:rPr>
                <w:sz w:val="1"/>
                <w:szCs w:val="1"/>
                <w:color w:val="auto"/>
              </w:rPr>
            </w:pPr>
          </w:p>
        </w:tc>
        <w:tc>
          <w:tcPr>
            <w:tcW w:w="24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14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98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7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Aerospace </w:t>
      </w:r>
      <w:r>
        <w:rPr>
          <w:rFonts w:ascii="Arial" w:cs="Arial" w:eastAsia="Arial" w:hAnsi="Arial"/>
          <w:sz w:val="18"/>
          <w:szCs w:val="18"/>
          <w:color w:val="auto"/>
        </w:rPr>
        <w:t>– A global supplier of products, software and services for aircraft that it sells to original equipment manufacturers (OEM) and</w:t>
      </w:r>
      <w:r>
        <w:rPr>
          <w:rFonts w:ascii="Arial" w:cs="Arial" w:eastAsia="Arial" w:hAnsi="Arial"/>
          <w:sz w:val="18"/>
          <w:szCs w:val="18"/>
          <w:b w:val="1"/>
          <w:bCs w:val="1"/>
          <w:color w:val="auto"/>
        </w:rPr>
        <w:t xml:space="preserve"> </w:t>
      </w:r>
      <w:r>
        <w:rPr>
          <w:rFonts w:ascii="Arial" w:cs="Arial" w:eastAsia="Arial" w:hAnsi="Arial"/>
          <w:sz w:val="18"/>
          <w:szCs w:val="18"/>
          <w:color w:val="auto"/>
        </w:rPr>
        <w:t>other customers in a variety of end markets including: air transport, regional, business and general aviation aircraft, airlines, aircraft operators and defense and space contractors. Aerospace products and services include auxiliary power units, propulsion engines, environmental control systems, integrated avionics, wireless connectivity services, electric power systems, engine controls, flight safety, communications, navigation hardware, data and software applications, radar and surveillance systems, aircraft lighting, management and technical services, advanced systems and instruments, satellite and space components, aircraft wheels and brakes, repair and overhaul services and thermal systems. Aerospace also provides spare parts, repair, overhaul and maintenance services (principally to aircraft operators) for the aftermarket. Honeywell Forge solutions are leveraged by our customers as tools to turn data into predictive maintenance and predictive analytics to enable better fleet management and make flight operations more efficient.</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 xml:space="preserve">Honeywell Building Technologies </w:t>
      </w:r>
      <w:r>
        <w:rPr>
          <w:rFonts w:ascii="Arial" w:cs="Arial" w:eastAsia="Arial" w:hAnsi="Arial"/>
          <w:sz w:val="18"/>
          <w:szCs w:val="18"/>
          <w:color w:val="auto"/>
        </w:rPr>
        <w:t>– A global provider of products, software, solutions and technologies that enable building owners and</w:t>
      </w:r>
      <w:r>
        <w:rPr>
          <w:rFonts w:ascii="Arial" w:cs="Arial" w:eastAsia="Arial" w:hAnsi="Arial"/>
          <w:sz w:val="18"/>
          <w:szCs w:val="18"/>
          <w:b w:val="1"/>
          <w:bCs w:val="1"/>
          <w:color w:val="auto"/>
        </w:rPr>
        <w:t xml:space="preserve"> </w:t>
      </w:r>
      <w:r>
        <w:rPr>
          <w:rFonts w:ascii="Arial" w:cs="Arial" w:eastAsia="Arial" w:hAnsi="Arial"/>
          <w:sz w:val="18"/>
          <w:szCs w:val="18"/>
          <w:color w:val="auto"/>
        </w:rPr>
        <w:t>occupants to ensure their facilities are safe, energy efficient, sustainable and productive. Honeywell Building Technologies products and services include advanced software applications for building control and optimization; sensors, switches, control systems and instruments for energy management; access control; video surveillance; fire products; remote patient monitoring systems; and installation, maintenance and upgrades of systems. Honeywell Forge solutions enable our customers to digitally manage buildings, connecting data from different assets to enable smart maintenance, improve building performance and protect from incoming security threats.</w:t>
      </w:r>
    </w:p>
    <w:p>
      <w:pPr>
        <w:spacing w:after="0" w:line="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Performance Materials and Technologies </w:t>
      </w:r>
      <w:r>
        <w:rPr>
          <w:rFonts w:ascii="Arial" w:cs="Arial" w:eastAsia="Arial" w:hAnsi="Arial"/>
          <w:sz w:val="18"/>
          <w:szCs w:val="18"/>
          <w:color w:val="auto"/>
        </w:rPr>
        <w:t>– A global provider in developing and manufacturing high-quality performance chemicals and</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materials, process technologies and automation solutions. The segment is comprised of Process Solutions, UOP, and Advanced Materials. Process Solutions provides automation control, instrumentation, advanced software and related services for the oil and gas, refining, pulp and paper, industrial power generation, chemicals and petrochemicals, biofuels, life sciences, and metals, minerals and mining industries. Through its smart energy products, Process Solutions enables utilities and distribution companies to deploy advanced capabilities to improve operations, reliability, and environmental sustainability. UOP provides process technology, products, including catalysts and adsorbents, equipment, and consulting services that enable customers to efficiently produce gasoline, diesel, jet fuel, petrochemicals and renewable fuels for petroleum refining, gas processing, petrochemical, and other industries. Advanced Materials manufactures a wide variety of high-performance products, including materials used to manufacture end products such as bullet-resistant armor, nylon, computer chips, and pharmaceutical packaging, and provides reduced and low global-warming-potential materials based on hydrofluoro-olefin technology. In the industrial environment, Honeywell Forge solutions enable integration and connectivity to provide a holistic view of operations and turn data into clear actions to maximize productivity and efficiency. Honeywell Forge's cybersecurity capabilities help identify risks and act on cyber-related incidents, together enabling improved operations and protecting processes, people, and assets.</w:t>
      </w:r>
    </w:p>
    <w:p>
      <w:pPr>
        <w:spacing w:after="0" w:line="7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Safety and Productivity Solutions </w:t>
      </w:r>
      <w:r>
        <w:rPr>
          <w:rFonts w:ascii="Arial" w:cs="Arial" w:eastAsia="Arial" w:hAnsi="Arial"/>
          <w:sz w:val="18"/>
          <w:szCs w:val="18"/>
          <w:color w:val="auto"/>
        </w:rPr>
        <w:t>– A global provider of products and software that improve productivity, workplace safety and asset</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to customers around the globe. Safety products include personal protective equipment (PPE), apparel, gear, and footwear designed for work, play and outdoor activities; gas detection technology; and cloud-based notification and emergency messaging. Productivity Solutions products and services include mobile devices and software for computing, data collection and thermal printing; supply chain and warehouse automation equipment, software and solutions; custom-engineered sensors, switches and controls for sensing and productivity solutions; and software-based data and asset management productivity solutions. Honeywell Forge solutions digitally automate processes to improve efficiency while reducing downtime and safety costs.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For a summary by disaggregated product and services sales for each segment, refer to Note 18 Segment Financial Data.</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8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4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recognizes revenue from performance obligations to customers that are satisfied at a point in time and over time. The disaggregation of the Company's revenue based off timing of recognition is as follows: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460" w:type="dxa"/>
            <w:vAlign w:val="bottom"/>
          </w:tcPr>
          <w:p>
            <w:pPr>
              <w:spacing w:after="0"/>
              <w:rPr>
                <w:sz w:val="17"/>
                <w:szCs w:val="17"/>
                <w:color w:val="auto"/>
              </w:rPr>
            </w:pPr>
          </w:p>
        </w:tc>
        <w:tc>
          <w:tcPr>
            <w:tcW w:w="2940" w:type="dxa"/>
            <w:vAlign w:val="bottom"/>
            <w:gridSpan w:val="4"/>
          </w:tcPr>
          <w:p>
            <w:pPr>
              <w:ind w:left="200"/>
              <w:spacing w:after="0"/>
              <w:rPr>
                <w:sz w:val="20"/>
                <w:szCs w:val="20"/>
                <w:color w:val="auto"/>
              </w:rPr>
            </w:pPr>
            <w:r>
              <w:rPr>
                <w:rFonts w:ascii="Arial" w:cs="Arial" w:eastAsia="Arial" w:hAnsi="Arial"/>
                <w:sz w:val="14"/>
                <w:szCs w:val="14"/>
                <w:b w:val="1"/>
                <w:bCs w:val="1"/>
                <w:color w:val="auto"/>
              </w:rPr>
              <w:t>Three Months Ended September 30,</w:t>
            </w:r>
          </w:p>
        </w:tc>
        <w:tc>
          <w:tcPr>
            <w:tcW w:w="2840" w:type="dxa"/>
            <w:vAlign w:val="bottom"/>
            <w:gridSpan w:val="3"/>
          </w:tcPr>
          <w:p>
            <w:pPr>
              <w:jc w:val="right"/>
              <w:ind w:right="152"/>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5460" w:type="dxa"/>
            <w:vAlign w:val="bottom"/>
            <w:tcBorders>
              <w:bottom w:val="single" w:sz="8" w:color="DBDBDB"/>
            </w:tcBorders>
          </w:tcPr>
          <w:p>
            <w:pPr>
              <w:spacing w:after="0"/>
              <w:rPr>
                <w:sz w:val="17"/>
                <w:szCs w:val="17"/>
                <w:color w:val="auto"/>
              </w:rPr>
            </w:pPr>
          </w:p>
        </w:tc>
        <w:tc>
          <w:tcPr>
            <w:tcW w:w="1360" w:type="dxa"/>
            <w:vAlign w:val="bottom"/>
            <w:tcBorders>
              <w:top w:val="single" w:sz="8" w:color="DC202E"/>
              <w:bottom w:val="single" w:sz="8" w:color="DC202E"/>
            </w:tcBorders>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DC202E"/>
              <w:bottom w:val="single" w:sz="8" w:color="DBDBDB"/>
            </w:tcBorders>
          </w:tcPr>
          <w:p>
            <w:pPr>
              <w:spacing w:after="0"/>
              <w:rPr>
                <w:sz w:val="17"/>
                <w:szCs w:val="17"/>
                <w:color w:val="auto"/>
              </w:rPr>
            </w:pPr>
          </w:p>
        </w:tc>
        <w:tc>
          <w:tcPr>
            <w:tcW w:w="1360" w:type="dxa"/>
            <w:vAlign w:val="bottom"/>
            <w:tcBorders>
              <w:top w:val="single" w:sz="8" w:color="DC202E"/>
              <w:bottom w:val="single" w:sz="8" w:color="DC202E"/>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DBDBDB"/>
            </w:tcBorders>
          </w:tcPr>
          <w:p>
            <w:pPr>
              <w:spacing w:after="0"/>
              <w:rPr>
                <w:sz w:val="17"/>
                <w:szCs w:val="17"/>
                <w:color w:val="auto"/>
              </w:rPr>
            </w:pPr>
          </w:p>
        </w:tc>
        <w:tc>
          <w:tcPr>
            <w:tcW w:w="1360" w:type="dxa"/>
            <w:vAlign w:val="bottom"/>
            <w:tcBorders>
              <w:top w:val="single" w:sz="8" w:color="DC202E"/>
              <w:bottom w:val="single" w:sz="8" w:color="DC202E"/>
            </w:tcBorders>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DC202E"/>
              <w:bottom w:val="single" w:sz="8" w:color="DBDBDB"/>
            </w:tcBorders>
          </w:tcPr>
          <w:p>
            <w:pPr>
              <w:spacing w:after="0"/>
              <w:rPr>
                <w:sz w:val="17"/>
                <w:szCs w:val="17"/>
                <w:color w:val="auto"/>
              </w:rPr>
            </w:pPr>
          </w:p>
        </w:tc>
        <w:tc>
          <w:tcPr>
            <w:tcW w:w="1360" w:type="dxa"/>
            <w:vAlign w:val="bottom"/>
            <w:tcBorders>
              <w:top w:val="single" w:sz="8" w:color="DC202E"/>
              <w:bottom w:val="single" w:sz="8" w:color="DC202E"/>
            </w:tcBorders>
          </w:tcPr>
          <w:p>
            <w:pPr>
              <w:jc w:val="right"/>
              <w:ind w:right="432"/>
              <w:spacing w:after="0"/>
              <w:rPr>
                <w:sz w:val="20"/>
                <w:szCs w:val="20"/>
                <w:color w:val="auto"/>
              </w:rPr>
            </w:pPr>
            <w:r>
              <w:rPr>
                <w:rFonts w:ascii="Arial" w:cs="Arial" w:eastAsia="Arial" w:hAnsi="Arial"/>
                <w:sz w:val="14"/>
                <w:szCs w:val="14"/>
                <w:b w:val="1"/>
                <w:bCs w:val="1"/>
                <w:color w:val="auto"/>
              </w:rPr>
              <w:t>2020</w:t>
            </w:r>
          </w:p>
        </w:tc>
      </w:tr>
      <w:tr>
        <w:trPr>
          <w:trHeight w:val="229"/>
        </w:trPr>
        <w:tc>
          <w:tcPr>
            <w:tcW w:w="5460" w:type="dxa"/>
            <w:vAlign w:val="bottom"/>
            <w:shd w:val="clear" w:color="auto" w:fill="DBDBDB"/>
          </w:tcPr>
          <w:p>
            <w:pPr>
              <w:ind w:left="20"/>
              <w:spacing w:after="0"/>
              <w:rPr>
                <w:sz w:val="20"/>
                <w:szCs w:val="20"/>
                <w:color w:val="auto"/>
              </w:rPr>
            </w:pPr>
            <w:r>
              <w:rPr>
                <w:rFonts w:ascii="Arial" w:cs="Arial" w:eastAsia="Arial" w:hAnsi="Arial"/>
                <w:sz w:val="18"/>
                <w:szCs w:val="18"/>
                <w:color w:val="auto"/>
              </w:rPr>
              <w:t>Products, transferred point in time</w:t>
            </w:r>
          </w:p>
        </w:tc>
        <w:tc>
          <w:tcPr>
            <w:tcW w:w="1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58 %</w:t>
            </w:r>
          </w:p>
        </w:tc>
        <w:tc>
          <w:tcPr>
            <w:tcW w:w="120" w:type="dxa"/>
            <w:vAlign w:val="bottom"/>
            <w:shd w:val="clear" w:color="auto" w:fill="DBDBDB"/>
          </w:tcPr>
          <w:p>
            <w:pPr>
              <w:spacing w:after="0"/>
              <w:rPr>
                <w:sz w:val="19"/>
                <w:szCs w:val="19"/>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61 %</w:t>
            </w:r>
          </w:p>
        </w:tc>
        <w:tc>
          <w:tcPr>
            <w:tcW w:w="100" w:type="dxa"/>
            <w:vAlign w:val="bottom"/>
            <w:shd w:val="clear" w:color="auto" w:fill="DBDBDB"/>
          </w:tcPr>
          <w:p>
            <w:pPr>
              <w:spacing w:after="0"/>
              <w:rPr>
                <w:sz w:val="19"/>
                <w:szCs w:val="19"/>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58 %</w:t>
            </w:r>
          </w:p>
        </w:tc>
        <w:tc>
          <w:tcPr>
            <w:tcW w:w="120" w:type="dxa"/>
            <w:vAlign w:val="bottom"/>
            <w:shd w:val="clear" w:color="auto" w:fill="DBDBDB"/>
          </w:tcPr>
          <w:p>
            <w:pPr>
              <w:spacing w:after="0"/>
              <w:rPr>
                <w:sz w:val="19"/>
                <w:szCs w:val="19"/>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61 %</w:t>
            </w:r>
          </w:p>
        </w:tc>
      </w:tr>
      <w:tr>
        <w:trPr>
          <w:trHeight w:val="230"/>
        </w:trPr>
        <w:tc>
          <w:tcPr>
            <w:tcW w:w="54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Products, transferred over time</w:t>
            </w:r>
          </w:p>
        </w:tc>
        <w:tc>
          <w:tcPr>
            <w:tcW w:w="136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DBDBDB"/>
            </w:tcBorders>
          </w:tcPr>
          <w:p>
            <w:pPr>
              <w:spacing w:after="0"/>
              <w:rPr>
                <w:sz w:val="19"/>
                <w:szCs w:val="19"/>
                <w:color w:val="auto"/>
              </w:rPr>
            </w:pPr>
          </w:p>
        </w:tc>
        <w:tc>
          <w:tcPr>
            <w:tcW w:w="1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DBDBDB"/>
            </w:tcBorders>
          </w:tcPr>
          <w:p>
            <w:pPr>
              <w:spacing w:after="0"/>
              <w:rPr>
                <w:sz w:val="19"/>
                <w:szCs w:val="19"/>
                <w:color w:val="auto"/>
              </w:rPr>
            </w:pPr>
          </w:p>
        </w:tc>
        <w:tc>
          <w:tcPr>
            <w:tcW w:w="136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DBDBDB"/>
            </w:tcBorders>
          </w:tcPr>
          <w:p>
            <w:pPr>
              <w:spacing w:after="0"/>
              <w:rPr>
                <w:sz w:val="19"/>
                <w:szCs w:val="19"/>
                <w:color w:val="auto"/>
              </w:rPr>
            </w:pPr>
          </w:p>
        </w:tc>
        <w:tc>
          <w:tcPr>
            <w:tcW w:w="1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15</w:t>
            </w:r>
          </w:p>
        </w:tc>
      </w:tr>
      <w:tr>
        <w:trPr>
          <w:trHeight w:val="223"/>
        </w:trPr>
        <w:tc>
          <w:tcPr>
            <w:tcW w:w="546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product sales</w:t>
            </w:r>
          </w:p>
        </w:tc>
        <w:tc>
          <w:tcPr>
            <w:tcW w:w="1360" w:type="dxa"/>
            <w:vAlign w:val="bottom"/>
            <w:shd w:val="clear" w:color="auto" w:fill="DBDBDB"/>
          </w:tcPr>
          <w:p>
            <w:pPr>
              <w:jc w:val="right"/>
              <w:ind w:right="154"/>
              <w:spacing w:after="0"/>
              <w:rPr>
                <w:sz w:val="20"/>
                <w:szCs w:val="20"/>
                <w:color w:val="auto"/>
              </w:rPr>
            </w:pPr>
            <w:r>
              <w:rPr>
                <w:rFonts w:ascii="Arial" w:cs="Arial" w:eastAsia="Arial" w:hAnsi="Arial"/>
                <w:sz w:val="18"/>
                <w:szCs w:val="18"/>
                <w:color w:val="auto"/>
              </w:rPr>
              <w:t>74</w:t>
            </w:r>
          </w:p>
        </w:tc>
        <w:tc>
          <w:tcPr>
            <w:tcW w:w="120" w:type="dxa"/>
            <w:vAlign w:val="bottom"/>
            <w:shd w:val="clear" w:color="auto" w:fill="DBDBDB"/>
          </w:tcPr>
          <w:p>
            <w:pPr>
              <w:spacing w:after="0"/>
              <w:rPr>
                <w:sz w:val="19"/>
                <w:szCs w:val="19"/>
                <w:color w:val="auto"/>
              </w:rPr>
            </w:pPr>
          </w:p>
        </w:tc>
        <w:tc>
          <w:tcPr>
            <w:tcW w:w="1360" w:type="dxa"/>
            <w:vAlign w:val="bottom"/>
            <w:shd w:val="clear" w:color="auto" w:fill="DBDBDB"/>
          </w:tcPr>
          <w:p>
            <w:pPr>
              <w:jc w:val="right"/>
              <w:ind w:right="152"/>
              <w:spacing w:after="0"/>
              <w:rPr>
                <w:sz w:val="20"/>
                <w:szCs w:val="20"/>
                <w:color w:val="auto"/>
              </w:rPr>
            </w:pPr>
            <w:r>
              <w:rPr>
                <w:rFonts w:ascii="Arial" w:cs="Arial" w:eastAsia="Arial" w:hAnsi="Arial"/>
                <w:sz w:val="18"/>
                <w:szCs w:val="18"/>
                <w:color w:val="auto"/>
              </w:rPr>
              <w:t>76</w:t>
            </w:r>
          </w:p>
        </w:tc>
        <w:tc>
          <w:tcPr>
            <w:tcW w:w="100" w:type="dxa"/>
            <w:vAlign w:val="bottom"/>
            <w:shd w:val="clear" w:color="auto" w:fill="DBDBDB"/>
          </w:tcPr>
          <w:p>
            <w:pPr>
              <w:spacing w:after="0"/>
              <w:rPr>
                <w:sz w:val="19"/>
                <w:szCs w:val="19"/>
                <w:color w:val="auto"/>
              </w:rPr>
            </w:pPr>
          </w:p>
        </w:tc>
        <w:tc>
          <w:tcPr>
            <w:tcW w:w="1360" w:type="dxa"/>
            <w:vAlign w:val="bottom"/>
            <w:shd w:val="clear" w:color="auto" w:fill="DBDBDB"/>
          </w:tcPr>
          <w:p>
            <w:pPr>
              <w:jc w:val="right"/>
              <w:ind w:right="154"/>
              <w:spacing w:after="0"/>
              <w:rPr>
                <w:sz w:val="20"/>
                <w:szCs w:val="20"/>
                <w:color w:val="auto"/>
              </w:rPr>
            </w:pPr>
            <w:r>
              <w:rPr>
                <w:rFonts w:ascii="Arial" w:cs="Arial" w:eastAsia="Arial" w:hAnsi="Arial"/>
                <w:sz w:val="18"/>
                <w:szCs w:val="18"/>
                <w:color w:val="auto"/>
              </w:rPr>
              <w:t>75</w:t>
            </w:r>
          </w:p>
        </w:tc>
        <w:tc>
          <w:tcPr>
            <w:tcW w:w="120" w:type="dxa"/>
            <w:vAlign w:val="bottom"/>
            <w:shd w:val="clear" w:color="auto" w:fill="DBDBDB"/>
          </w:tcPr>
          <w:p>
            <w:pPr>
              <w:spacing w:after="0"/>
              <w:rPr>
                <w:sz w:val="19"/>
                <w:szCs w:val="19"/>
                <w:color w:val="auto"/>
              </w:rPr>
            </w:pPr>
          </w:p>
        </w:tc>
        <w:tc>
          <w:tcPr>
            <w:tcW w:w="1360" w:type="dxa"/>
            <w:vAlign w:val="bottom"/>
            <w:shd w:val="clear" w:color="auto" w:fill="DBDBDB"/>
          </w:tcPr>
          <w:p>
            <w:pPr>
              <w:jc w:val="right"/>
              <w:ind w:right="152"/>
              <w:spacing w:after="0"/>
              <w:rPr>
                <w:sz w:val="20"/>
                <w:szCs w:val="20"/>
                <w:color w:val="auto"/>
              </w:rPr>
            </w:pPr>
            <w:r>
              <w:rPr>
                <w:rFonts w:ascii="Arial" w:cs="Arial" w:eastAsia="Arial" w:hAnsi="Arial"/>
                <w:sz w:val="18"/>
                <w:szCs w:val="18"/>
                <w:color w:val="auto"/>
              </w:rPr>
              <w:t>76</w:t>
            </w:r>
          </w:p>
        </w:tc>
      </w:tr>
      <w:tr>
        <w:trPr>
          <w:trHeight w:val="230"/>
        </w:trPr>
        <w:tc>
          <w:tcPr>
            <w:tcW w:w="5460" w:type="dxa"/>
            <w:vAlign w:val="bottom"/>
          </w:tcPr>
          <w:p>
            <w:pPr>
              <w:ind w:left="20"/>
              <w:spacing w:after="0"/>
              <w:rPr>
                <w:sz w:val="20"/>
                <w:szCs w:val="20"/>
                <w:color w:val="auto"/>
              </w:rPr>
            </w:pPr>
            <w:r>
              <w:rPr>
                <w:rFonts w:ascii="Arial" w:cs="Arial" w:eastAsia="Arial" w:hAnsi="Arial"/>
                <w:sz w:val="18"/>
                <w:szCs w:val="18"/>
                <w:color w:val="auto"/>
              </w:rPr>
              <w:t>Services, transferred point in time</w:t>
            </w:r>
          </w:p>
        </w:tc>
        <w:tc>
          <w:tcPr>
            <w:tcW w:w="1360" w:type="dxa"/>
            <w:vAlign w:val="bottom"/>
          </w:tcPr>
          <w:p>
            <w:pPr>
              <w:jc w:val="right"/>
              <w:ind w:right="154"/>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360" w:type="dxa"/>
            <w:vAlign w:val="bottom"/>
          </w:tcPr>
          <w:p>
            <w:pPr>
              <w:jc w:val="right"/>
              <w:ind w:right="154"/>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8</w:t>
            </w:r>
          </w:p>
        </w:tc>
      </w:tr>
      <w:tr>
        <w:trPr>
          <w:trHeight w:val="229"/>
        </w:trPr>
        <w:tc>
          <w:tcPr>
            <w:tcW w:w="5460" w:type="dxa"/>
            <w:vAlign w:val="bottom"/>
            <w:shd w:val="clear" w:color="auto" w:fill="DBDBDB"/>
          </w:tcPr>
          <w:p>
            <w:pPr>
              <w:ind w:left="20"/>
              <w:spacing w:after="0"/>
              <w:rPr>
                <w:sz w:val="20"/>
                <w:szCs w:val="20"/>
                <w:color w:val="auto"/>
              </w:rPr>
            </w:pPr>
            <w:r>
              <w:rPr>
                <w:rFonts w:ascii="Arial" w:cs="Arial" w:eastAsia="Arial" w:hAnsi="Arial"/>
                <w:sz w:val="18"/>
                <w:szCs w:val="18"/>
                <w:color w:val="auto"/>
              </w:rPr>
              <w:t>Services, transferred over time</w:t>
            </w:r>
          </w:p>
        </w:tc>
        <w:tc>
          <w:tcPr>
            <w:tcW w:w="1360" w:type="dxa"/>
            <w:vAlign w:val="bottom"/>
            <w:tcBorders>
              <w:bottom w:val="single" w:sz="8" w:color="auto"/>
            </w:tcBorders>
            <w:shd w:val="clear" w:color="auto" w:fill="DBDBDB"/>
          </w:tcPr>
          <w:p>
            <w:pPr>
              <w:jc w:val="right"/>
              <w:ind w:right="154"/>
              <w:spacing w:after="0"/>
              <w:rPr>
                <w:sz w:val="20"/>
                <w:szCs w:val="20"/>
                <w:color w:val="auto"/>
              </w:rPr>
            </w:pPr>
            <w:r>
              <w:rPr>
                <w:rFonts w:ascii="Arial" w:cs="Arial" w:eastAsia="Arial" w:hAnsi="Arial"/>
                <w:sz w:val="18"/>
                <w:szCs w:val="18"/>
                <w:color w:val="auto"/>
              </w:rPr>
              <w:t>17</w:t>
            </w:r>
          </w:p>
        </w:tc>
        <w:tc>
          <w:tcPr>
            <w:tcW w:w="120" w:type="dxa"/>
            <w:vAlign w:val="bottom"/>
            <w:shd w:val="clear" w:color="auto" w:fill="DBDBDB"/>
          </w:tcPr>
          <w:p>
            <w:pPr>
              <w:spacing w:after="0"/>
              <w:rPr>
                <w:sz w:val="19"/>
                <w:szCs w:val="19"/>
                <w:color w:val="auto"/>
              </w:rPr>
            </w:pPr>
          </w:p>
        </w:tc>
        <w:tc>
          <w:tcPr>
            <w:tcW w:w="1360" w:type="dxa"/>
            <w:vAlign w:val="bottom"/>
            <w:tcBorders>
              <w:bottom w:val="single" w:sz="8" w:color="auto"/>
            </w:tcBorders>
            <w:shd w:val="clear" w:color="auto" w:fill="DBDBDB"/>
          </w:tcPr>
          <w:p>
            <w:pPr>
              <w:jc w:val="right"/>
              <w:ind w:right="152"/>
              <w:spacing w:after="0"/>
              <w:rPr>
                <w:sz w:val="20"/>
                <w:szCs w:val="20"/>
                <w:color w:val="auto"/>
              </w:rPr>
            </w:pPr>
            <w:r>
              <w:rPr>
                <w:rFonts w:ascii="Arial" w:cs="Arial" w:eastAsia="Arial" w:hAnsi="Arial"/>
                <w:sz w:val="18"/>
                <w:szCs w:val="18"/>
                <w:color w:val="auto"/>
              </w:rPr>
              <w:t>17</w:t>
            </w:r>
          </w:p>
        </w:tc>
        <w:tc>
          <w:tcPr>
            <w:tcW w:w="100" w:type="dxa"/>
            <w:vAlign w:val="bottom"/>
            <w:shd w:val="clear" w:color="auto" w:fill="DBDBDB"/>
          </w:tcPr>
          <w:p>
            <w:pPr>
              <w:spacing w:after="0"/>
              <w:rPr>
                <w:sz w:val="19"/>
                <w:szCs w:val="19"/>
                <w:color w:val="auto"/>
              </w:rPr>
            </w:pPr>
          </w:p>
        </w:tc>
        <w:tc>
          <w:tcPr>
            <w:tcW w:w="1360" w:type="dxa"/>
            <w:vAlign w:val="bottom"/>
            <w:tcBorders>
              <w:bottom w:val="single" w:sz="8" w:color="auto"/>
            </w:tcBorders>
            <w:shd w:val="clear" w:color="auto" w:fill="DBDBDB"/>
          </w:tcPr>
          <w:p>
            <w:pPr>
              <w:jc w:val="right"/>
              <w:ind w:right="154"/>
              <w:spacing w:after="0"/>
              <w:rPr>
                <w:sz w:val="20"/>
                <w:szCs w:val="20"/>
                <w:color w:val="auto"/>
              </w:rPr>
            </w:pPr>
            <w:r>
              <w:rPr>
                <w:rFonts w:ascii="Arial" w:cs="Arial" w:eastAsia="Arial" w:hAnsi="Arial"/>
                <w:sz w:val="18"/>
                <w:szCs w:val="18"/>
                <w:color w:val="auto"/>
              </w:rPr>
              <w:t>17</w:t>
            </w:r>
          </w:p>
        </w:tc>
        <w:tc>
          <w:tcPr>
            <w:tcW w:w="120" w:type="dxa"/>
            <w:vAlign w:val="bottom"/>
            <w:shd w:val="clear" w:color="auto" w:fill="DBDBDB"/>
          </w:tcPr>
          <w:p>
            <w:pPr>
              <w:spacing w:after="0"/>
              <w:rPr>
                <w:sz w:val="19"/>
                <w:szCs w:val="19"/>
                <w:color w:val="auto"/>
              </w:rPr>
            </w:pPr>
          </w:p>
        </w:tc>
        <w:tc>
          <w:tcPr>
            <w:tcW w:w="1360" w:type="dxa"/>
            <w:vAlign w:val="bottom"/>
            <w:tcBorders>
              <w:bottom w:val="single" w:sz="8" w:color="auto"/>
            </w:tcBorders>
            <w:shd w:val="clear" w:color="auto" w:fill="DBDBDB"/>
          </w:tcPr>
          <w:p>
            <w:pPr>
              <w:jc w:val="right"/>
              <w:ind w:right="152"/>
              <w:spacing w:after="0"/>
              <w:rPr>
                <w:sz w:val="20"/>
                <w:szCs w:val="20"/>
                <w:color w:val="auto"/>
              </w:rPr>
            </w:pPr>
            <w:r>
              <w:rPr>
                <w:rFonts w:ascii="Arial" w:cs="Arial" w:eastAsia="Arial" w:hAnsi="Arial"/>
                <w:sz w:val="18"/>
                <w:szCs w:val="18"/>
                <w:color w:val="auto"/>
              </w:rPr>
              <w:t>16</w:t>
            </w:r>
          </w:p>
        </w:tc>
      </w:tr>
      <w:tr>
        <w:trPr>
          <w:trHeight w:val="223"/>
        </w:trPr>
        <w:tc>
          <w:tcPr>
            <w:tcW w:w="54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Net service sales</w:t>
            </w:r>
          </w:p>
        </w:tc>
        <w:tc>
          <w:tcPr>
            <w:tcW w:w="136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DBDBDB"/>
            </w:tcBorders>
          </w:tcPr>
          <w:p>
            <w:pPr>
              <w:spacing w:after="0"/>
              <w:rPr>
                <w:sz w:val="19"/>
                <w:szCs w:val="19"/>
                <w:color w:val="auto"/>
              </w:rPr>
            </w:pPr>
          </w:p>
        </w:tc>
        <w:tc>
          <w:tcPr>
            <w:tcW w:w="1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DBDBDB"/>
            </w:tcBorders>
          </w:tcPr>
          <w:p>
            <w:pPr>
              <w:spacing w:after="0"/>
              <w:rPr>
                <w:sz w:val="19"/>
                <w:szCs w:val="19"/>
                <w:color w:val="auto"/>
              </w:rPr>
            </w:pPr>
          </w:p>
        </w:tc>
        <w:tc>
          <w:tcPr>
            <w:tcW w:w="136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DBDBDB"/>
            </w:tcBorders>
          </w:tcPr>
          <w:p>
            <w:pPr>
              <w:spacing w:after="0"/>
              <w:rPr>
                <w:sz w:val="19"/>
                <w:szCs w:val="19"/>
                <w:color w:val="auto"/>
              </w:rPr>
            </w:pPr>
          </w:p>
        </w:tc>
        <w:tc>
          <w:tcPr>
            <w:tcW w:w="1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24</w:t>
            </w:r>
          </w:p>
        </w:tc>
      </w:tr>
      <w:tr>
        <w:trPr>
          <w:trHeight w:val="248"/>
        </w:trPr>
        <w:tc>
          <w:tcPr>
            <w:tcW w:w="54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Net sales</w:t>
            </w: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DBDBDB"/>
            </w:tcBorders>
            <w:shd w:val="clear" w:color="auto" w:fill="DBDBDB"/>
          </w:tcPr>
          <w:p>
            <w:pPr>
              <w:spacing w:after="0"/>
              <w:rPr>
                <w:sz w:val="21"/>
                <w:szCs w:val="21"/>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DBDBDB"/>
            </w:tcBorders>
            <w:shd w:val="clear" w:color="auto" w:fill="DBDBDB"/>
          </w:tcPr>
          <w:p>
            <w:pPr>
              <w:spacing w:after="0"/>
              <w:rPr>
                <w:sz w:val="21"/>
                <w:szCs w:val="21"/>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DBDBDB"/>
            </w:tcBorders>
            <w:shd w:val="clear" w:color="auto" w:fill="DBDBDB"/>
          </w:tcPr>
          <w:p>
            <w:pPr>
              <w:spacing w:after="0"/>
              <w:rPr>
                <w:sz w:val="21"/>
                <w:szCs w:val="21"/>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5460" w:type="dxa"/>
            <w:vAlign w:val="bottom"/>
            <w:tcBorders>
              <w:top w:val="single" w:sz="8" w:color="DBDBDB"/>
            </w:tcBorders>
          </w:tcPr>
          <w:p>
            <w:pPr>
              <w:spacing w:after="0" w:line="20" w:lineRule="exact"/>
              <w:rPr>
                <w:sz w:val="1"/>
                <w:szCs w:val="1"/>
                <w:color w:val="auto"/>
              </w:rPr>
            </w:pPr>
          </w:p>
        </w:tc>
        <w:tc>
          <w:tcPr>
            <w:tcW w:w="13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3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3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360" w:type="dxa"/>
            <w:vAlign w:val="bottom"/>
            <w:tcBorders>
              <w:top w:val="single" w:sz="8" w:color="DBDBDB"/>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CONTRACT BALANCES</w:t>
      </w:r>
    </w:p>
    <w:p>
      <w:pPr>
        <w:spacing w:after="0" w:line="13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 records progress on satisfying performance obligations to customers, and the related billings and cash collections, on the Consolidated Balance Sheet in Accounts receivable - net and Other assets (unbilled receivables (contract assets) and billed receivables) and Accrued liabilities and Other liabilities (customer advances and deposits (contract liabilities)). Unbilled receivables (contract assets) arise when the timing of cash collected from customers differs from the timing of revenue recognition, such as when contract provisions require specific milestones to be met before a customer can be billed. Unbilled receivable balance increases when the revenue associated with the contract is recognized prior to billing and decreases when billed in accordance with the terms of the contract. Contract liabilities increase when customers remit contractual cash payments in advance of the Company satisfying performance obligations under contractual arrangements, including those with performance obligations to be satisfied over a period of time. Contract liabilities decrease when revenue is recorded, either when a milestone is met triggering the contractual right to bill or when the performance obligation is satisfied.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Contract balances are classified as assets or liabilities on a contract-by-contract basis at the end of each reporting period.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contract assets and liabilities balances: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80" w:type="dxa"/>
            <w:vAlign w:val="bottom"/>
            <w:tcBorders>
              <w:bottom w:val="single" w:sz="8" w:color="DBDBDB"/>
            </w:tcBorders>
          </w:tcPr>
          <w:p>
            <w:pPr>
              <w:spacing w:after="0"/>
              <w:rPr>
                <w:sz w:val="17"/>
                <w:szCs w:val="17"/>
                <w:color w:val="auto"/>
              </w:rPr>
            </w:pPr>
          </w:p>
        </w:tc>
        <w:tc>
          <w:tcPr>
            <w:tcW w:w="320" w:type="dxa"/>
            <w:vAlign w:val="bottom"/>
            <w:tcBorders>
              <w:bottom w:val="single" w:sz="8" w:color="DC202E"/>
            </w:tcBorders>
          </w:tcPr>
          <w:p>
            <w:pPr>
              <w:spacing w:after="0"/>
              <w:rPr>
                <w:sz w:val="17"/>
                <w:szCs w:val="17"/>
                <w:color w:val="auto"/>
              </w:rPr>
            </w:pPr>
          </w:p>
        </w:tc>
        <w:tc>
          <w:tcPr>
            <w:tcW w:w="1020" w:type="dxa"/>
            <w:vAlign w:val="bottom"/>
            <w:tcBorders>
              <w:bottom w:val="single" w:sz="8" w:color="DC202E"/>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DBDBDB"/>
            </w:tcBorders>
          </w:tcPr>
          <w:p>
            <w:pPr>
              <w:spacing w:after="0"/>
              <w:rPr>
                <w:sz w:val="17"/>
                <w:szCs w:val="17"/>
                <w:color w:val="auto"/>
              </w:rPr>
            </w:pPr>
          </w:p>
        </w:tc>
        <w:tc>
          <w:tcPr>
            <w:tcW w:w="320" w:type="dxa"/>
            <w:vAlign w:val="bottom"/>
            <w:tcBorders>
              <w:bottom w:val="single" w:sz="8" w:color="DC202E"/>
            </w:tcBorders>
          </w:tcPr>
          <w:p>
            <w:pPr>
              <w:spacing w:after="0"/>
              <w:rPr>
                <w:sz w:val="17"/>
                <w:szCs w:val="17"/>
                <w:color w:val="auto"/>
              </w:rPr>
            </w:pPr>
          </w:p>
        </w:tc>
        <w:tc>
          <w:tcPr>
            <w:tcW w:w="1040" w:type="dxa"/>
            <w:vAlign w:val="bottom"/>
            <w:tcBorders>
              <w:bottom w:val="single" w:sz="8" w:color="DC202E"/>
            </w:tcBorders>
          </w:tcPr>
          <w:p>
            <w:pPr>
              <w:jc w:val="right"/>
              <w:ind w:right="432"/>
              <w:spacing w:after="0"/>
              <w:rPr>
                <w:sz w:val="20"/>
                <w:szCs w:val="20"/>
                <w:color w:val="auto"/>
              </w:rPr>
            </w:pPr>
            <w:r>
              <w:rPr>
                <w:rFonts w:ascii="Arial" w:cs="Arial" w:eastAsia="Arial" w:hAnsi="Arial"/>
                <w:sz w:val="14"/>
                <w:szCs w:val="14"/>
                <w:b w:val="1"/>
                <w:bCs w:val="1"/>
                <w:color w:val="auto"/>
              </w:rPr>
              <w:t>2020</w:t>
            </w:r>
          </w:p>
        </w:tc>
      </w:tr>
      <w:tr>
        <w:trPr>
          <w:trHeight w:val="229"/>
        </w:trPr>
        <w:tc>
          <w:tcPr>
            <w:tcW w:w="83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Contract assets - January 1</w:t>
            </w: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1,618</w:t>
            </w:r>
          </w:p>
        </w:tc>
        <w:tc>
          <w:tcPr>
            <w:tcW w:w="160" w:type="dxa"/>
            <w:vAlign w:val="bottom"/>
            <w:shd w:val="clear" w:color="auto" w:fill="DBDBDB"/>
          </w:tcPr>
          <w:p>
            <w:pPr>
              <w:spacing w:after="0"/>
              <w:rPr>
                <w:sz w:val="19"/>
                <w:szCs w:val="19"/>
                <w:color w:val="auto"/>
              </w:rPr>
            </w:pP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1,602</w:t>
            </w:r>
          </w:p>
        </w:tc>
      </w:tr>
      <w:tr>
        <w:trPr>
          <w:trHeight w:val="230"/>
        </w:trPr>
        <w:tc>
          <w:tcPr>
            <w:tcW w:w="83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Contract assets - September 30</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2,087</w:t>
            </w:r>
          </w:p>
        </w:tc>
        <w:tc>
          <w:tcPr>
            <w:tcW w:w="160" w:type="dxa"/>
            <w:vAlign w:val="bottom"/>
            <w:tcBorders>
              <w:bottom w:val="single" w:sz="8" w:color="DBDBDB"/>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1,819</w:t>
            </w:r>
          </w:p>
        </w:tc>
      </w:tr>
      <w:tr>
        <w:trPr>
          <w:trHeight w:val="248"/>
        </w:trPr>
        <w:tc>
          <w:tcPr>
            <w:tcW w:w="83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Change in contract assets - increase (decrease)</w:t>
            </w:r>
          </w:p>
        </w:tc>
        <w:tc>
          <w:tcPr>
            <w:tcW w:w="32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469</w:t>
            </w:r>
          </w:p>
        </w:tc>
        <w:tc>
          <w:tcPr>
            <w:tcW w:w="160" w:type="dxa"/>
            <w:vAlign w:val="bottom"/>
            <w:tcBorders>
              <w:bottom w:val="single" w:sz="8" w:color="DBDBDB"/>
            </w:tcBorders>
            <w:shd w:val="clear" w:color="auto" w:fill="DBDBDB"/>
          </w:tcPr>
          <w:p>
            <w:pPr>
              <w:spacing w:after="0"/>
              <w:rPr>
                <w:sz w:val="21"/>
                <w:szCs w:val="21"/>
                <w:color w:val="auto"/>
              </w:rPr>
            </w:pPr>
          </w:p>
        </w:tc>
        <w:tc>
          <w:tcPr>
            <w:tcW w:w="32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217</w:t>
            </w:r>
          </w:p>
        </w:tc>
      </w:tr>
      <w:tr>
        <w:trPr>
          <w:trHeight w:val="20"/>
        </w:trPr>
        <w:tc>
          <w:tcPr>
            <w:tcW w:w="838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16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r>
      <w:tr>
        <w:trPr>
          <w:trHeight w:val="217"/>
        </w:trPr>
        <w:tc>
          <w:tcPr>
            <w:tcW w:w="8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83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Contract liabilities - January 1</w:t>
            </w: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(4,033)</w:t>
            </w:r>
          </w:p>
        </w:tc>
        <w:tc>
          <w:tcPr>
            <w:tcW w:w="160" w:type="dxa"/>
            <w:vAlign w:val="bottom"/>
            <w:shd w:val="clear" w:color="auto" w:fill="DBDBDB"/>
          </w:tcPr>
          <w:p>
            <w:pPr>
              <w:spacing w:after="0"/>
              <w:rPr>
                <w:sz w:val="19"/>
                <w:szCs w:val="19"/>
                <w:color w:val="auto"/>
              </w:rPr>
            </w:pP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(3,501)</w:t>
            </w:r>
          </w:p>
        </w:tc>
      </w:tr>
      <w:tr>
        <w:trPr>
          <w:trHeight w:val="230"/>
        </w:trPr>
        <w:tc>
          <w:tcPr>
            <w:tcW w:w="83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Contract liabilities - September 30</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(3,840)</w:t>
            </w:r>
          </w:p>
        </w:tc>
        <w:tc>
          <w:tcPr>
            <w:tcW w:w="160" w:type="dxa"/>
            <w:vAlign w:val="bottom"/>
            <w:tcBorders>
              <w:bottom w:val="single" w:sz="8" w:color="DBDBDB"/>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(3,666)</w:t>
            </w:r>
          </w:p>
        </w:tc>
      </w:tr>
      <w:tr>
        <w:trPr>
          <w:trHeight w:val="248"/>
        </w:trPr>
        <w:tc>
          <w:tcPr>
            <w:tcW w:w="83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Change in contract liabilities - decrease (increase)</w:t>
            </w:r>
          </w:p>
        </w:tc>
        <w:tc>
          <w:tcPr>
            <w:tcW w:w="32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193</w:t>
            </w:r>
          </w:p>
        </w:tc>
        <w:tc>
          <w:tcPr>
            <w:tcW w:w="160" w:type="dxa"/>
            <w:vAlign w:val="bottom"/>
            <w:tcBorders>
              <w:bottom w:val="single" w:sz="8" w:color="DBDBDB"/>
            </w:tcBorders>
            <w:shd w:val="clear" w:color="auto" w:fill="DBDBDB"/>
          </w:tcPr>
          <w:p>
            <w:pPr>
              <w:spacing w:after="0"/>
              <w:rPr>
                <w:sz w:val="21"/>
                <w:szCs w:val="21"/>
                <w:color w:val="auto"/>
              </w:rPr>
            </w:pPr>
          </w:p>
        </w:tc>
        <w:tc>
          <w:tcPr>
            <w:tcW w:w="32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(165)</w:t>
            </w:r>
          </w:p>
        </w:tc>
      </w:tr>
      <w:tr>
        <w:trPr>
          <w:trHeight w:val="20"/>
        </w:trPr>
        <w:tc>
          <w:tcPr>
            <w:tcW w:w="838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16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r>
      <w:tr>
        <w:trPr>
          <w:trHeight w:val="217"/>
        </w:trPr>
        <w:tc>
          <w:tcPr>
            <w:tcW w:w="8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55"/>
        </w:trPr>
        <w:tc>
          <w:tcPr>
            <w:tcW w:w="83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Net change</w:t>
            </w:r>
          </w:p>
        </w:tc>
        <w:tc>
          <w:tcPr>
            <w:tcW w:w="32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662</w:t>
            </w:r>
          </w:p>
        </w:tc>
        <w:tc>
          <w:tcPr>
            <w:tcW w:w="160" w:type="dxa"/>
            <w:vAlign w:val="bottom"/>
            <w:tcBorders>
              <w:bottom w:val="single" w:sz="8" w:color="DBDBDB"/>
            </w:tcBorders>
            <w:shd w:val="clear" w:color="auto" w:fill="DBDBDB"/>
          </w:tcPr>
          <w:p>
            <w:pPr>
              <w:spacing w:after="0"/>
              <w:rPr>
                <w:sz w:val="21"/>
                <w:szCs w:val="21"/>
                <w:color w:val="auto"/>
              </w:rPr>
            </w:pPr>
          </w:p>
        </w:tc>
        <w:tc>
          <w:tcPr>
            <w:tcW w:w="32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52</w:t>
            </w:r>
          </w:p>
        </w:tc>
      </w:tr>
      <w:tr>
        <w:trPr>
          <w:trHeight w:val="20"/>
        </w:trPr>
        <w:tc>
          <w:tcPr>
            <w:tcW w:w="838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16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the three and nine months ended September 30, 2021, the Company recognized revenue of $225 million and $1,786 million that was previously included in the beginning balance of contract liabilities. For the three and nine months ended September 30, 2020, the Company recognized revenue of $351 million and $1,554 million that was previously included in the beginning balance of contract liabilities.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9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4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When contracts are modified to account for changes in contract specifications and requirements, the Company considers whether the modification either creates new or changes the existing enforceable rights and obligations. Contract modifications that are for goods or services that are not distinct from the existing contract, due to the significant integration with the original good or service provided, are accounted for as if they were part of that existing contract. The effect of a contract modification on the transaction price, and the Company's measure of progress for the performance obligation to which it relates, is recognized as an adjustment to revenue (either as an increase in or a reduction of revenue) on a cumulative catch-up basis. When the modifications include additional performance obligations that are distinct and at relative stand-alone selling price, they are accounted for as a new contract and performance obligation, which are recognized prospectively.</w:t>
      </w:r>
    </w:p>
    <w:p>
      <w:pPr>
        <w:spacing w:after="0" w:line="2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PERFORMANCE OBLIGATIONS</w:t>
      </w:r>
    </w:p>
    <w:p>
      <w:pPr>
        <w:spacing w:after="0" w:line="13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 performance obligation is a promise in a contract to transfer a distinct good or service to the customer, and is defined as the unit of account. A contract’s transaction price is allocated to each distinct performance obligation and recognized as revenue when, or as, the performance obligation is satisfied. When the Company's contracts with customers require highly complex integration or manufacturing services that are not separately identifiable from other promises in the contracts and, therefore, not distinct, then the entire contract is accounted for as a single performance obligation. In situations when the Company's contract includes distinct goods or services that are substantially the same and have the same pattern of transfer to the customer over time, they are recognized as a series of distinct goods or services. For any contracts with multiple performance obligations, the Company allocates the contract’s transaction price to each performance obligation based on the estimated relative standalone selling price of each distinct good or service in the contract. For product sales, each product sold to a customer typically represents a distinct performance obligation. In such cases, the observable standalone sales are used to determine the standalone selling price.</w:t>
      </w:r>
    </w:p>
    <w:p>
      <w:pPr>
        <w:spacing w:after="0" w:line="10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Performance obligations are satisfied as of a point in time or over time. Performance obligations are supported by contracts with customers, providing a framework for the nature of the distinct goods, services or bundle of goods and services. The timing of satisfying the performance obligation is typically indicated by the terms of the contract.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outlines the Company's remaining performance obligations disaggregated by segment:</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right"/>
              <w:ind w:right="95"/>
              <w:spacing w:after="0"/>
              <w:rPr>
                <w:sz w:val="20"/>
                <w:szCs w:val="20"/>
                <w:color w:val="auto"/>
              </w:rPr>
            </w:pPr>
            <w:r>
              <w:rPr>
                <w:rFonts w:ascii="Arial" w:cs="Arial" w:eastAsia="Arial" w:hAnsi="Arial"/>
                <w:sz w:val="14"/>
                <w:szCs w:val="14"/>
                <w:b w:val="1"/>
                <w:bCs w:val="1"/>
                <w:color w:val="auto"/>
              </w:rPr>
              <w:t>September 30,</w:t>
            </w:r>
          </w:p>
        </w:tc>
      </w:tr>
      <w:tr>
        <w:trPr>
          <w:trHeight w:val="182"/>
        </w:trPr>
        <w:tc>
          <w:tcPr>
            <w:tcW w:w="9880" w:type="dxa"/>
            <w:vAlign w:val="bottom"/>
            <w:tcBorders>
              <w:bottom w:val="single" w:sz="8" w:color="DBDBDB"/>
            </w:tcBorders>
          </w:tcPr>
          <w:p>
            <w:pPr>
              <w:spacing w:after="0"/>
              <w:rPr>
                <w:sz w:val="15"/>
                <w:szCs w:val="15"/>
                <w:color w:val="auto"/>
              </w:rPr>
            </w:pPr>
          </w:p>
        </w:tc>
        <w:tc>
          <w:tcPr>
            <w:tcW w:w="160" w:type="dxa"/>
            <w:vAlign w:val="bottom"/>
            <w:tcBorders>
              <w:bottom w:val="single" w:sz="8" w:color="DC202E"/>
            </w:tcBorders>
          </w:tcPr>
          <w:p>
            <w:pPr>
              <w:spacing w:after="0"/>
              <w:rPr>
                <w:sz w:val="15"/>
                <w:szCs w:val="15"/>
                <w:color w:val="auto"/>
              </w:rPr>
            </w:pPr>
          </w:p>
        </w:tc>
        <w:tc>
          <w:tcPr>
            <w:tcW w:w="1200" w:type="dxa"/>
            <w:vAlign w:val="bottom"/>
            <w:tcBorders>
              <w:bottom w:val="single" w:sz="8" w:color="DC202E"/>
            </w:tcBorders>
          </w:tcPr>
          <w:p>
            <w:pPr>
              <w:jc w:val="right"/>
              <w:ind w:right="435"/>
              <w:spacing w:after="0"/>
              <w:rPr>
                <w:sz w:val="20"/>
                <w:szCs w:val="20"/>
                <w:color w:val="auto"/>
              </w:rPr>
            </w:pPr>
            <w:r>
              <w:rPr>
                <w:rFonts w:ascii="Arial" w:cs="Arial" w:eastAsia="Arial" w:hAnsi="Arial"/>
                <w:sz w:val="14"/>
                <w:szCs w:val="14"/>
                <w:b w:val="1"/>
                <w:bCs w:val="1"/>
                <w:color w:val="auto"/>
              </w:rPr>
              <w:t>2021</w:t>
            </w:r>
          </w:p>
        </w:tc>
      </w:tr>
      <w:tr>
        <w:trPr>
          <w:trHeight w:val="230"/>
        </w:trPr>
        <w:tc>
          <w:tcPr>
            <w:tcW w:w="9880" w:type="dxa"/>
            <w:vAlign w:val="bottom"/>
            <w:shd w:val="clear" w:color="auto" w:fill="DBDBDB"/>
          </w:tcPr>
          <w:p>
            <w:pPr>
              <w:ind w:left="20"/>
              <w:spacing w:after="0"/>
              <w:rPr>
                <w:sz w:val="20"/>
                <w:szCs w:val="20"/>
                <w:color w:val="auto"/>
              </w:rPr>
            </w:pPr>
            <w:r>
              <w:rPr>
                <w:rFonts w:ascii="Arial" w:cs="Arial" w:eastAsia="Arial" w:hAnsi="Arial"/>
                <w:sz w:val="18"/>
                <w:szCs w:val="18"/>
                <w:color w:val="auto"/>
              </w:rPr>
              <w:t>Aerospace</w:t>
            </w: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8,890</w:t>
            </w:r>
          </w:p>
        </w:tc>
      </w:tr>
      <w:tr>
        <w:trPr>
          <w:trHeight w:val="230"/>
        </w:trPr>
        <w:tc>
          <w:tcPr>
            <w:tcW w:w="9880" w:type="dxa"/>
            <w:vAlign w:val="bottom"/>
          </w:tcPr>
          <w:p>
            <w:pPr>
              <w:ind w:left="20"/>
              <w:spacing w:after="0"/>
              <w:rPr>
                <w:sz w:val="20"/>
                <w:szCs w:val="20"/>
                <w:color w:val="auto"/>
              </w:rPr>
            </w:pPr>
            <w:r>
              <w:rPr>
                <w:rFonts w:ascii="Arial" w:cs="Arial" w:eastAsia="Arial" w:hAnsi="Arial"/>
                <w:sz w:val="18"/>
                <w:szCs w:val="18"/>
                <w:color w:val="auto"/>
              </w:rPr>
              <w:t>Honeywell Building Technologies</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6,813</w:t>
            </w:r>
          </w:p>
        </w:tc>
      </w:tr>
      <w:tr>
        <w:trPr>
          <w:trHeight w:val="230"/>
        </w:trPr>
        <w:tc>
          <w:tcPr>
            <w:tcW w:w="9880" w:type="dxa"/>
            <w:vAlign w:val="bottom"/>
            <w:shd w:val="clear" w:color="auto" w:fill="DBDBDB"/>
          </w:tcPr>
          <w:p>
            <w:pPr>
              <w:ind w:left="20"/>
              <w:spacing w:after="0"/>
              <w:rPr>
                <w:sz w:val="20"/>
                <w:szCs w:val="20"/>
                <w:color w:val="auto"/>
              </w:rPr>
            </w:pPr>
            <w:r>
              <w:rPr>
                <w:rFonts w:ascii="Arial" w:cs="Arial" w:eastAsia="Arial" w:hAnsi="Arial"/>
                <w:sz w:val="18"/>
                <w:szCs w:val="18"/>
                <w:color w:val="auto"/>
              </w:rPr>
              <w:t>Performance Materials and Technologies</w:t>
            </w:r>
          </w:p>
        </w:tc>
        <w:tc>
          <w:tcPr>
            <w:tcW w:w="1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7,573</w:t>
            </w:r>
          </w:p>
        </w:tc>
      </w:tr>
      <w:tr>
        <w:trPr>
          <w:trHeight w:val="230"/>
        </w:trPr>
        <w:tc>
          <w:tcPr>
            <w:tcW w:w="98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Safety and Productivity Solutions</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4,264</w:t>
            </w:r>
          </w:p>
        </w:tc>
      </w:tr>
      <w:tr>
        <w:trPr>
          <w:trHeight w:val="248"/>
        </w:trPr>
        <w:tc>
          <w:tcPr>
            <w:tcW w:w="9880" w:type="dxa"/>
            <w:vAlign w:val="bottom"/>
            <w:tcBorders>
              <w:bottom w:val="single" w:sz="8" w:color="DBDBDB"/>
            </w:tcBorders>
            <w:shd w:val="clear" w:color="auto" w:fill="DBDBDB"/>
          </w:tcPr>
          <w:p>
            <w:pPr>
              <w:spacing w:after="0"/>
              <w:rPr>
                <w:sz w:val="21"/>
                <w:szCs w:val="21"/>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27,540</w:t>
            </w:r>
          </w:p>
        </w:tc>
      </w:tr>
      <w:tr>
        <w:trPr>
          <w:trHeight w:val="20"/>
        </w:trPr>
        <w:tc>
          <w:tcPr>
            <w:tcW w:w="988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Performance obligations recognized as of September 30, 2021, will be satisfied over the course of future periods. The Company's disclosure of the timing for satisfying the performance obligation is based on the requirements of contracts with customers. However, from time to time, these contracts may be subject to modifications, impacting the timing of satisfying the performance obligations. Performance obligations expected to be satisfied within one year and greater than one year are 56% and 44%, respectively.</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timing of satisfaction of the Company's performance obligations does not significantly vary from the typical timing of payment. Typical payment terms of the Company's fixed-price over time contracts include progress payments based on specified events or milestones, or based on project progress. For some contracts we may be entitled to receive an advance payment.</w:t>
      </w:r>
    </w:p>
    <w:p>
      <w:pPr>
        <w:spacing w:after="0" w:line="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applied the practical expedient for certain revenue streams to exclude the value of remaining performance obligations for (i) contracts with an original expected term of one year or less or (ii) contracts for which we recognize revenue in proportion to the amount we have the right to invoice for services performed.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10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9"/>
          <w:szCs w:val="29"/>
          <w:b w:val="1"/>
          <w:bCs w:val="1"/>
          <w:color w:val="DC202E"/>
        </w:rPr>
        <w:t>NOTE 5. REPOSITIONING AND OTHER CHARGES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repositioning and other charges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40" w:type="dxa"/>
            <w:vAlign w:val="bottom"/>
          </w:tcPr>
          <w:p>
            <w:pPr>
              <w:spacing w:after="0"/>
              <w:rPr>
                <w:sz w:val="17"/>
                <w:szCs w:val="17"/>
                <w:color w:val="auto"/>
              </w:rPr>
            </w:pPr>
          </w:p>
        </w:tc>
        <w:tc>
          <w:tcPr>
            <w:tcW w:w="276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7"/>
                <w:szCs w:val="17"/>
                <w:color w:val="auto"/>
              </w:rPr>
            </w:pPr>
          </w:p>
        </w:tc>
        <w:tc>
          <w:tcPr>
            <w:tcW w:w="2520" w:type="dxa"/>
            <w:vAlign w:val="bottom"/>
            <w:gridSpan w:val="4"/>
          </w:tcPr>
          <w:p>
            <w:pPr>
              <w:jc w:val="right"/>
              <w:ind w:right="52"/>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5840" w:type="dxa"/>
            <w:vAlign w:val="bottom"/>
            <w:tcBorders>
              <w:bottom w:val="single" w:sz="8" w:color="DBDBDB"/>
            </w:tcBorders>
          </w:tcPr>
          <w:p>
            <w:pPr>
              <w:spacing w:after="0"/>
              <w:rPr>
                <w:sz w:val="17"/>
                <w:szCs w:val="17"/>
                <w:color w:val="auto"/>
              </w:rPr>
            </w:pPr>
          </w:p>
        </w:tc>
        <w:tc>
          <w:tcPr>
            <w:tcW w:w="900" w:type="dxa"/>
            <w:vAlign w:val="bottom"/>
            <w:tcBorders>
              <w:top w:val="single" w:sz="8" w:color="DC202E"/>
              <w:bottom w:val="single" w:sz="8" w:color="DC202E"/>
            </w:tcBorders>
          </w:tcPr>
          <w:p>
            <w:pPr>
              <w:jc w:val="right"/>
              <w:ind w:right="19"/>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top w:val="single" w:sz="8" w:color="DC202E"/>
              <w:bottom w:val="single" w:sz="8" w:color="DC202E"/>
            </w:tcBorders>
          </w:tcPr>
          <w:p>
            <w:pPr>
              <w:spacing w:after="0"/>
              <w:rPr>
                <w:sz w:val="17"/>
                <w:szCs w:val="17"/>
                <w:color w:val="auto"/>
              </w:rPr>
            </w:pPr>
          </w:p>
        </w:tc>
        <w:tc>
          <w:tcPr>
            <w:tcW w:w="120" w:type="dxa"/>
            <w:vAlign w:val="bottom"/>
            <w:tcBorders>
              <w:top w:val="single" w:sz="8" w:color="DC202E"/>
              <w:bottom w:val="single" w:sz="8" w:color="DBDBDB"/>
            </w:tcBorders>
          </w:tcPr>
          <w:p>
            <w:pPr>
              <w:spacing w:after="0"/>
              <w:rPr>
                <w:sz w:val="17"/>
                <w:szCs w:val="17"/>
                <w:color w:val="auto"/>
              </w:rPr>
            </w:pPr>
          </w:p>
        </w:tc>
        <w:tc>
          <w:tcPr>
            <w:tcW w:w="300" w:type="dxa"/>
            <w:vAlign w:val="bottom"/>
            <w:tcBorders>
              <w:top w:val="single" w:sz="8" w:color="DC202E"/>
              <w:bottom w:val="single" w:sz="8" w:color="DC202E"/>
            </w:tcBorders>
          </w:tcPr>
          <w:p>
            <w:pPr>
              <w:spacing w:after="0"/>
              <w:rPr>
                <w:sz w:val="17"/>
                <w:szCs w:val="17"/>
                <w:color w:val="auto"/>
              </w:rPr>
            </w:pPr>
          </w:p>
        </w:tc>
        <w:tc>
          <w:tcPr>
            <w:tcW w:w="960" w:type="dxa"/>
            <w:vAlign w:val="bottom"/>
            <w:tcBorders>
              <w:top w:val="single" w:sz="8" w:color="DC202E"/>
              <w:bottom w:val="single" w:sz="8" w:color="DC202E"/>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DBDBDB"/>
            </w:tcBorders>
          </w:tcPr>
          <w:p>
            <w:pPr>
              <w:spacing w:after="0"/>
              <w:rPr>
                <w:sz w:val="17"/>
                <w:szCs w:val="17"/>
                <w:color w:val="auto"/>
              </w:rPr>
            </w:pPr>
          </w:p>
        </w:tc>
        <w:tc>
          <w:tcPr>
            <w:tcW w:w="120" w:type="dxa"/>
            <w:vAlign w:val="bottom"/>
            <w:tcBorders>
              <w:top w:val="single" w:sz="8" w:color="DC202E"/>
              <w:bottom w:val="single" w:sz="8" w:color="DC202E"/>
            </w:tcBorders>
          </w:tcPr>
          <w:p>
            <w:pPr>
              <w:spacing w:after="0"/>
              <w:rPr>
                <w:sz w:val="17"/>
                <w:szCs w:val="17"/>
                <w:color w:val="auto"/>
              </w:rPr>
            </w:pPr>
          </w:p>
        </w:tc>
        <w:tc>
          <w:tcPr>
            <w:tcW w:w="1140" w:type="dxa"/>
            <w:vAlign w:val="bottom"/>
            <w:tcBorders>
              <w:top w:val="single" w:sz="8" w:color="DC202E"/>
              <w:bottom w:val="single" w:sz="8" w:color="DC202E"/>
            </w:tcBorders>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DC202E"/>
              <w:bottom w:val="single" w:sz="8" w:color="DBDBDB"/>
            </w:tcBorders>
          </w:tcPr>
          <w:p>
            <w:pPr>
              <w:spacing w:after="0"/>
              <w:rPr>
                <w:sz w:val="17"/>
                <w:szCs w:val="17"/>
                <w:color w:val="auto"/>
              </w:rPr>
            </w:pPr>
          </w:p>
        </w:tc>
        <w:tc>
          <w:tcPr>
            <w:tcW w:w="280" w:type="dxa"/>
            <w:vAlign w:val="bottom"/>
            <w:tcBorders>
              <w:top w:val="single" w:sz="8" w:color="DC202E"/>
              <w:bottom w:val="single" w:sz="8" w:color="DC202E"/>
            </w:tcBorders>
          </w:tcPr>
          <w:p>
            <w:pPr>
              <w:spacing w:after="0"/>
              <w:rPr>
                <w:sz w:val="17"/>
                <w:szCs w:val="17"/>
                <w:color w:val="auto"/>
              </w:rPr>
            </w:pPr>
          </w:p>
        </w:tc>
        <w:tc>
          <w:tcPr>
            <w:tcW w:w="980" w:type="dxa"/>
            <w:vAlign w:val="bottom"/>
            <w:tcBorders>
              <w:top w:val="single" w:sz="8" w:color="DC202E"/>
              <w:bottom w:val="single" w:sz="8" w:color="DC202E"/>
            </w:tcBorders>
          </w:tcPr>
          <w:p>
            <w:pPr>
              <w:jc w:val="right"/>
              <w:ind w:right="392"/>
              <w:spacing w:after="0"/>
              <w:rPr>
                <w:sz w:val="20"/>
                <w:szCs w:val="20"/>
                <w:color w:val="auto"/>
              </w:rPr>
            </w:pPr>
            <w:r>
              <w:rPr>
                <w:rFonts w:ascii="Arial" w:cs="Arial" w:eastAsia="Arial" w:hAnsi="Arial"/>
                <w:sz w:val="14"/>
                <w:szCs w:val="14"/>
                <w:b w:val="1"/>
                <w:bCs w:val="1"/>
                <w:color w:val="auto"/>
              </w:rPr>
              <w:t>2020</w:t>
            </w:r>
          </w:p>
        </w:tc>
      </w:tr>
      <w:tr>
        <w:trPr>
          <w:trHeight w:val="229"/>
        </w:trPr>
        <w:tc>
          <w:tcPr>
            <w:tcW w:w="5840" w:type="dxa"/>
            <w:vAlign w:val="bottom"/>
            <w:shd w:val="clear" w:color="auto" w:fill="DBDBDB"/>
          </w:tcPr>
          <w:p>
            <w:pPr>
              <w:ind w:left="20"/>
              <w:spacing w:after="0"/>
              <w:rPr>
                <w:sz w:val="20"/>
                <w:szCs w:val="20"/>
                <w:color w:val="auto"/>
              </w:rPr>
            </w:pPr>
            <w:r>
              <w:rPr>
                <w:rFonts w:ascii="Arial" w:cs="Arial" w:eastAsia="Arial" w:hAnsi="Arial"/>
                <w:sz w:val="18"/>
                <w:szCs w:val="18"/>
                <w:color w:val="auto"/>
              </w:rPr>
              <w:t>Severance</w:t>
            </w:r>
          </w:p>
        </w:tc>
        <w:tc>
          <w:tcPr>
            <w:tcW w:w="900" w:type="dxa"/>
            <w:vAlign w:val="bottom"/>
            <w:shd w:val="clear" w:color="auto" w:fill="DBDBDB"/>
          </w:tcPr>
          <w:p>
            <w:pPr>
              <w:jc w:val="right"/>
              <w:ind w:right="699"/>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DBDBDB"/>
          </w:tcPr>
          <w:p>
            <w:pPr>
              <w:spacing w:after="0"/>
              <w:rPr>
                <w:sz w:val="19"/>
                <w:szCs w:val="19"/>
                <w:color w:val="auto"/>
              </w:rPr>
            </w:pP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DBDBDB"/>
          </w:tcPr>
          <w:p>
            <w:pPr>
              <w:spacing w:after="0"/>
              <w:rPr>
                <w:sz w:val="19"/>
                <w:szCs w:val="19"/>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433</w:t>
            </w:r>
          </w:p>
        </w:tc>
      </w:tr>
      <w:tr>
        <w:trPr>
          <w:trHeight w:val="229"/>
        </w:trPr>
        <w:tc>
          <w:tcPr>
            <w:tcW w:w="5840" w:type="dxa"/>
            <w:vAlign w:val="bottom"/>
          </w:tcPr>
          <w:p>
            <w:pPr>
              <w:ind w:left="20"/>
              <w:spacing w:after="0"/>
              <w:rPr>
                <w:sz w:val="20"/>
                <w:szCs w:val="20"/>
                <w:color w:val="auto"/>
              </w:rPr>
            </w:pPr>
            <w:r>
              <w:rPr>
                <w:rFonts w:ascii="Arial" w:cs="Arial" w:eastAsia="Arial" w:hAnsi="Arial"/>
                <w:sz w:val="18"/>
                <w:szCs w:val="18"/>
                <w:color w:val="auto"/>
              </w:rPr>
              <w:t>Asset impairments</w:t>
            </w:r>
          </w:p>
        </w:tc>
        <w:tc>
          <w:tcPr>
            <w:tcW w:w="9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5840" w:type="dxa"/>
            <w:vAlign w:val="bottom"/>
            <w:shd w:val="clear" w:color="auto" w:fill="DBDBDB"/>
          </w:tcPr>
          <w:p>
            <w:pPr>
              <w:ind w:left="20"/>
              <w:spacing w:after="0"/>
              <w:rPr>
                <w:sz w:val="20"/>
                <w:szCs w:val="20"/>
                <w:color w:val="auto"/>
              </w:rPr>
            </w:pPr>
            <w:r>
              <w:rPr>
                <w:rFonts w:ascii="Arial" w:cs="Arial" w:eastAsia="Arial" w:hAnsi="Arial"/>
                <w:sz w:val="18"/>
                <w:szCs w:val="18"/>
                <w:color w:val="auto"/>
              </w:rPr>
              <w:t>Exit costs</w:t>
            </w:r>
          </w:p>
        </w:tc>
        <w:tc>
          <w:tcPr>
            <w:tcW w:w="900" w:type="dxa"/>
            <w:vAlign w:val="bottom"/>
            <w:shd w:val="clear" w:color="auto" w:fill="DBDBDB"/>
          </w:tcPr>
          <w:p>
            <w:pPr>
              <w:spacing w:after="0"/>
              <w:rPr>
                <w:sz w:val="19"/>
                <w:szCs w:val="19"/>
                <w:color w:val="auto"/>
              </w:rPr>
            </w:pPr>
          </w:p>
        </w:tc>
        <w:tc>
          <w:tcPr>
            <w:tcW w:w="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47</w:t>
            </w:r>
          </w:p>
        </w:tc>
      </w:tr>
      <w:tr>
        <w:trPr>
          <w:trHeight w:val="229"/>
        </w:trPr>
        <w:tc>
          <w:tcPr>
            <w:tcW w:w="58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Reserve adjustments</w:t>
            </w:r>
          </w:p>
        </w:tc>
        <w:tc>
          <w:tcPr>
            <w:tcW w:w="9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DBDBDB"/>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r>
      <w:tr>
        <w:trPr>
          <w:trHeight w:val="223"/>
        </w:trPr>
        <w:tc>
          <w:tcPr>
            <w:tcW w:w="58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Total net repositioning charge</w:t>
            </w:r>
          </w:p>
        </w:tc>
        <w:tc>
          <w:tcPr>
            <w:tcW w:w="900" w:type="dxa"/>
            <w:vAlign w:val="bottom"/>
            <w:tcBorders>
              <w:bottom w:val="single" w:sz="8" w:color="auto"/>
            </w:tcBorders>
            <w:shd w:val="clear" w:color="auto" w:fill="DBDBDB"/>
          </w:tcPr>
          <w:p>
            <w:pPr>
              <w:spacing w:after="0"/>
              <w:rPr>
                <w:sz w:val="19"/>
                <w:szCs w:val="19"/>
                <w:color w:val="auto"/>
              </w:rPr>
            </w:pPr>
          </w:p>
        </w:tc>
        <w:tc>
          <w:tcPr>
            <w:tcW w:w="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DBDBDB"/>
          </w:tcPr>
          <w:p>
            <w:pPr>
              <w:spacing w:after="0"/>
              <w:rPr>
                <w:sz w:val="19"/>
                <w:szCs w:val="19"/>
                <w:color w:val="auto"/>
              </w:rPr>
            </w:pPr>
          </w:p>
        </w:tc>
        <w:tc>
          <w:tcPr>
            <w:tcW w:w="120" w:type="dxa"/>
            <w:vAlign w:val="bottom"/>
            <w:tcBorders>
              <w:bottom w:val="single" w:sz="8" w:color="auto"/>
            </w:tcBorders>
            <w:shd w:val="clear" w:color="auto" w:fill="DBDBDB"/>
          </w:tcPr>
          <w:p>
            <w:pPr>
              <w:spacing w:after="0"/>
              <w:rPr>
                <w:sz w:val="19"/>
                <w:szCs w:val="19"/>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262</w:t>
            </w:r>
          </w:p>
        </w:tc>
        <w:tc>
          <w:tcPr>
            <w:tcW w:w="12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449</w:t>
            </w:r>
          </w:p>
        </w:tc>
      </w:tr>
      <w:tr>
        <w:trPr>
          <w:trHeight w:val="168"/>
        </w:trPr>
        <w:tc>
          <w:tcPr>
            <w:tcW w:w="5840" w:type="dxa"/>
            <w:vAlign w:val="bottom"/>
          </w:tcPr>
          <w:p>
            <w:pPr>
              <w:ind w:left="20"/>
              <w:spacing w:after="0" w:line="168" w:lineRule="exact"/>
              <w:rPr>
                <w:sz w:val="20"/>
                <w:szCs w:val="20"/>
                <w:color w:val="auto"/>
              </w:rPr>
            </w:pPr>
            <w:r>
              <w:rPr>
                <w:rFonts w:ascii="Arial" w:cs="Arial" w:eastAsia="Arial" w:hAnsi="Arial"/>
                <w:sz w:val="18"/>
                <w:szCs w:val="18"/>
                <w:color w:val="auto"/>
              </w:rPr>
              <w:t>Asbestos related litigation charges, net of insurance and</w:t>
            </w: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17"/>
        </w:trPr>
        <w:tc>
          <w:tcPr>
            <w:tcW w:w="5840" w:type="dxa"/>
            <w:vAlign w:val="bottom"/>
          </w:tcPr>
          <w:p>
            <w:pPr>
              <w:ind w:left="20"/>
              <w:spacing w:after="0"/>
              <w:rPr>
                <w:sz w:val="20"/>
                <w:szCs w:val="20"/>
                <w:color w:val="auto"/>
              </w:rPr>
            </w:pPr>
            <w:r>
              <w:rPr>
                <w:rFonts w:ascii="Arial" w:cs="Arial" w:eastAsia="Arial" w:hAnsi="Arial"/>
                <w:sz w:val="18"/>
                <w:szCs w:val="18"/>
                <w:color w:val="auto"/>
              </w:rPr>
              <w:t>reimbursements</w:t>
            </w:r>
          </w:p>
        </w:tc>
        <w:tc>
          <w:tcPr>
            <w:tcW w:w="9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188"/>
        </w:trPr>
        <w:tc>
          <w:tcPr>
            <w:tcW w:w="5840" w:type="dxa"/>
            <w:vAlign w:val="bottom"/>
            <w:shd w:val="clear" w:color="auto" w:fill="DBDBDB"/>
          </w:tcPr>
          <w:p>
            <w:pPr>
              <w:ind w:left="20"/>
              <w:spacing w:after="0" w:line="189" w:lineRule="exact"/>
              <w:rPr>
                <w:sz w:val="20"/>
                <w:szCs w:val="20"/>
                <w:color w:val="auto"/>
              </w:rPr>
            </w:pPr>
            <w:r>
              <w:rPr>
                <w:rFonts w:ascii="Arial" w:cs="Arial" w:eastAsia="Arial" w:hAnsi="Arial"/>
                <w:sz w:val="18"/>
                <w:szCs w:val="18"/>
                <w:color w:val="auto"/>
              </w:rPr>
              <w:t>Probable and reasonably estimable environmental liabilities, net of</w:t>
            </w:r>
          </w:p>
        </w:tc>
        <w:tc>
          <w:tcPr>
            <w:tcW w:w="900" w:type="dxa"/>
            <w:vAlign w:val="bottom"/>
            <w:shd w:val="clear" w:color="auto" w:fill="DBDBDB"/>
          </w:tcPr>
          <w:p>
            <w:pPr>
              <w:spacing w:after="0"/>
              <w:rPr>
                <w:sz w:val="16"/>
                <w:szCs w:val="16"/>
                <w:color w:val="auto"/>
              </w:rPr>
            </w:pPr>
          </w:p>
        </w:tc>
        <w:tc>
          <w:tcPr>
            <w:tcW w:w="36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96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14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980" w:type="dxa"/>
            <w:vAlign w:val="bottom"/>
            <w:shd w:val="clear" w:color="auto" w:fill="DBDBDB"/>
          </w:tcPr>
          <w:p>
            <w:pPr>
              <w:spacing w:after="0"/>
              <w:rPr>
                <w:sz w:val="16"/>
                <w:szCs w:val="16"/>
                <w:color w:val="auto"/>
              </w:rPr>
            </w:pPr>
          </w:p>
        </w:tc>
      </w:tr>
      <w:tr>
        <w:trPr>
          <w:trHeight w:val="217"/>
        </w:trPr>
        <w:tc>
          <w:tcPr>
            <w:tcW w:w="584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reimbursements</w:t>
            </w:r>
          </w:p>
        </w:tc>
        <w:tc>
          <w:tcPr>
            <w:tcW w:w="900" w:type="dxa"/>
            <w:vAlign w:val="bottom"/>
            <w:shd w:val="clear" w:color="auto" w:fill="DBDBDB"/>
          </w:tcPr>
          <w:p>
            <w:pPr>
              <w:spacing w:after="0"/>
              <w:rPr>
                <w:sz w:val="18"/>
                <w:szCs w:val="18"/>
                <w:color w:val="auto"/>
              </w:rPr>
            </w:pPr>
          </w:p>
        </w:tc>
        <w:tc>
          <w:tcPr>
            <w:tcW w:w="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w:t>
            </w:r>
          </w:p>
        </w:tc>
      </w:tr>
      <w:tr>
        <w:trPr>
          <w:trHeight w:val="229"/>
        </w:trPr>
        <w:tc>
          <w:tcPr>
            <w:tcW w:w="58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Other</w:t>
            </w:r>
          </w:p>
        </w:tc>
        <w:tc>
          <w:tcPr>
            <w:tcW w:w="9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DBDBDB"/>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48"/>
        </w:trPr>
        <w:tc>
          <w:tcPr>
            <w:tcW w:w="584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8"/>
                <w:szCs w:val="18"/>
                <w:color w:val="auto"/>
              </w:rPr>
              <w:t>Total net repositioning and other charges</w:t>
            </w:r>
          </w:p>
        </w:tc>
        <w:tc>
          <w:tcPr>
            <w:tcW w:w="900" w:type="dxa"/>
            <w:vAlign w:val="bottom"/>
            <w:tcBorders>
              <w:bottom w:val="single" w:sz="8" w:color="auto"/>
            </w:tcBorders>
            <w:shd w:val="clear" w:color="auto" w:fill="DBDBDB"/>
          </w:tcPr>
          <w:p>
            <w:pPr>
              <w:jc w:val="right"/>
              <w:ind w:right="699"/>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DBDBDB"/>
            </w:tcBorders>
            <w:shd w:val="clear" w:color="auto" w:fill="DBDBDB"/>
          </w:tcPr>
          <w:p>
            <w:pPr>
              <w:spacing w:after="0"/>
              <w:rPr>
                <w:sz w:val="21"/>
                <w:szCs w:val="21"/>
                <w:color w:val="auto"/>
              </w:rPr>
            </w:pPr>
          </w:p>
        </w:tc>
        <w:tc>
          <w:tcPr>
            <w:tcW w:w="300" w:type="dxa"/>
            <w:vAlign w:val="bottom"/>
            <w:tcBorders>
              <w:bottom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DBDBDB"/>
            </w:tcBorders>
            <w:shd w:val="clear" w:color="auto" w:fill="DBDBDB"/>
          </w:tcPr>
          <w:p>
            <w:pPr>
              <w:spacing w:after="0"/>
              <w:rPr>
                <w:sz w:val="21"/>
                <w:szCs w:val="21"/>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338</w:t>
            </w:r>
          </w:p>
        </w:tc>
        <w:tc>
          <w:tcPr>
            <w:tcW w:w="12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486</w:t>
            </w:r>
          </w:p>
        </w:tc>
      </w:tr>
      <w:tr>
        <w:trPr>
          <w:trHeight w:val="20"/>
        </w:trPr>
        <w:tc>
          <w:tcPr>
            <w:tcW w:w="5840" w:type="dxa"/>
            <w:vAlign w:val="bottom"/>
            <w:tcBorders>
              <w:top w:val="single" w:sz="8" w:color="DBDBDB"/>
            </w:tcBorders>
          </w:tcPr>
          <w:p>
            <w:pPr>
              <w:spacing w:after="0" w:line="20" w:lineRule="exact"/>
              <w:rPr>
                <w:sz w:val="1"/>
                <w:szCs w:val="1"/>
                <w:color w:val="auto"/>
              </w:rPr>
            </w:pPr>
          </w:p>
        </w:tc>
        <w:tc>
          <w:tcPr>
            <w:tcW w:w="900" w:type="dxa"/>
            <w:vAlign w:val="bottom"/>
            <w:tcBorders>
              <w:top w:val="single" w:sz="8" w:color="DBDBDB"/>
              <w:bottom w:val="single" w:sz="8" w:color="auto"/>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9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14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80" w:type="dxa"/>
            <w:vAlign w:val="bottom"/>
            <w:tcBorders>
              <w:top w:val="single" w:sz="8" w:color="DBDBDB"/>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pretax distribution of total net repositioning and other charges by classification:</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40" w:type="dxa"/>
            <w:vAlign w:val="bottom"/>
          </w:tcPr>
          <w:p>
            <w:pPr>
              <w:spacing w:after="0"/>
              <w:rPr>
                <w:sz w:val="17"/>
                <w:szCs w:val="17"/>
                <w:color w:val="auto"/>
              </w:rPr>
            </w:pPr>
          </w:p>
        </w:tc>
        <w:tc>
          <w:tcPr>
            <w:tcW w:w="276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7"/>
                <w:szCs w:val="17"/>
                <w:color w:val="auto"/>
              </w:rPr>
            </w:pPr>
          </w:p>
        </w:tc>
        <w:tc>
          <w:tcPr>
            <w:tcW w:w="2520" w:type="dxa"/>
            <w:vAlign w:val="bottom"/>
            <w:gridSpan w:val="4"/>
          </w:tcPr>
          <w:p>
            <w:pPr>
              <w:jc w:val="right"/>
              <w:ind w:right="55"/>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5840" w:type="dxa"/>
            <w:vAlign w:val="bottom"/>
            <w:tcBorders>
              <w:bottom w:val="single" w:sz="8" w:color="DBDBDB"/>
            </w:tcBorders>
          </w:tcPr>
          <w:p>
            <w:pPr>
              <w:spacing w:after="0"/>
              <w:rPr>
                <w:sz w:val="17"/>
                <w:szCs w:val="17"/>
                <w:color w:val="auto"/>
              </w:rPr>
            </w:pPr>
          </w:p>
        </w:tc>
        <w:tc>
          <w:tcPr>
            <w:tcW w:w="900" w:type="dxa"/>
            <w:vAlign w:val="bottom"/>
            <w:tcBorders>
              <w:top w:val="single" w:sz="8" w:color="DC202E"/>
              <w:bottom w:val="single" w:sz="8" w:color="DC202E"/>
            </w:tcBorders>
          </w:tcPr>
          <w:p>
            <w:pPr>
              <w:jc w:val="right"/>
              <w:ind w:right="19"/>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top w:val="single" w:sz="8" w:color="DC202E"/>
              <w:bottom w:val="single" w:sz="8" w:color="DC202E"/>
            </w:tcBorders>
          </w:tcPr>
          <w:p>
            <w:pPr>
              <w:spacing w:after="0"/>
              <w:rPr>
                <w:sz w:val="17"/>
                <w:szCs w:val="17"/>
                <w:color w:val="auto"/>
              </w:rPr>
            </w:pPr>
          </w:p>
        </w:tc>
        <w:tc>
          <w:tcPr>
            <w:tcW w:w="120" w:type="dxa"/>
            <w:vAlign w:val="bottom"/>
            <w:tcBorders>
              <w:top w:val="single" w:sz="8" w:color="DC202E"/>
              <w:bottom w:val="single" w:sz="8" w:color="DBDBDB"/>
            </w:tcBorders>
          </w:tcPr>
          <w:p>
            <w:pPr>
              <w:spacing w:after="0"/>
              <w:rPr>
                <w:sz w:val="17"/>
                <w:szCs w:val="17"/>
                <w:color w:val="auto"/>
              </w:rPr>
            </w:pPr>
          </w:p>
        </w:tc>
        <w:tc>
          <w:tcPr>
            <w:tcW w:w="300" w:type="dxa"/>
            <w:vAlign w:val="bottom"/>
            <w:tcBorders>
              <w:top w:val="single" w:sz="8" w:color="DC202E"/>
              <w:bottom w:val="single" w:sz="8" w:color="DC202E"/>
            </w:tcBorders>
          </w:tcPr>
          <w:p>
            <w:pPr>
              <w:spacing w:after="0"/>
              <w:rPr>
                <w:sz w:val="17"/>
                <w:szCs w:val="17"/>
                <w:color w:val="auto"/>
              </w:rPr>
            </w:pPr>
          </w:p>
        </w:tc>
        <w:tc>
          <w:tcPr>
            <w:tcW w:w="960" w:type="dxa"/>
            <w:vAlign w:val="bottom"/>
            <w:tcBorders>
              <w:top w:val="single" w:sz="8" w:color="DC202E"/>
              <w:bottom w:val="single" w:sz="8" w:color="DC202E"/>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DBDBDB"/>
            </w:tcBorders>
          </w:tcPr>
          <w:p>
            <w:pPr>
              <w:spacing w:after="0"/>
              <w:rPr>
                <w:sz w:val="17"/>
                <w:szCs w:val="17"/>
                <w:color w:val="auto"/>
              </w:rPr>
            </w:pPr>
          </w:p>
        </w:tc>
        <w:tc>
          <w:tcPr>
            <w:tcW w:w="120" w:type="dxa"/>
            <w:vAlign w:val="bottom"/>
            <w:tcBorders>
              <w:top w:val="single" w:sz="8" w:color="DC202E"/>
              <w:bottom w:val="single" w:sz="8" w:color="DC202E"/>
            </w:tcBorders>
          </w:tcPr>
          <w:p>
            <w:pPr>
              <w:spacing w:after="0"/>
              <w:rPr>
                <w:sz w:val="17"/>
                <w:szCs w:val="17"/>
                <w:color w:val="auto"/>
              </w:rPr>
            </w:pPr>
          </w:p>
        </w:tc>
        <w:tc>
          <w:tcPr>
            <w:tcW w:w="1140" w:type="dxa"/>
            <w:vAlign w:val="bottom"/>
            <w:tcBorders>
              <w:top w:val="single" w:sz="8" w:color="DC202E"/>
              <w:bottom w:val="single" w:sz="8" w:color="DC202E"/>
            </w:tcBorders>
          </w:tcPr>
          <w:p>
            <w:pPr>
              <w:jc w:val="right"/>
              <w:ind w:right="39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DC202E"/>
              <w:bottom w:val="single" w:sz="8" w:color="DBDBDB"/>
            </w:tcBorders>
          </w:tcPr>
          <w:p>
            <w:pPr>
              <w:spacing w:after="0"/>
              <w:rPr>
                <w:sz w:val="17"/>
                <w:szCs w:val="17"/>
                <w:color w:val="auto"/>
              </w:rPr>
            </w:pPr>
          </w:p>
        </w:tc>
        <w:tc>
          <w:tcPr>
            <w:tcW w:w="280" w:type="dxa"/>
            <w:vAlign w:val="bottom"/>
            <w:tcBorders>
              <w:top w:val="single" w:sz="8" w:color="DC202E"/>
              <w:bottom w:val="single" w:sz="8" w:color="DC202E"/>
            </w:tcBorders>
          </w:tcPr>
          <w:p>
            <w:pPr>
              <w:spacing w:after="0"/>
              <w:rPr>
                <w:sz w:val="17"/>
                <w:szCs w:val="17"/>
                <w:color w:val="auto"/>
              </w:rPr>
            </w:pPr>
          </w:p>
        </w:tc>
        <w:tc>
          <w:tcPr>
            <w:tcW w:w="980" w:type="dxa"/>
            <w:vAlign w:val="bottom"/>
            <w:tcBorders>
              <w:top w:val="single" w:sz="8" w:color="DC202E"/>
              <w:bottom w:val="single" w:sz="8" w:color="DC202E"/>
            </w:tcBorders>
          </w:tcPr>
          <w:p>
            <w:pPr>
              <w:jc w:val="right"/>
              <w:ind w:right="395"/>
              <w:spacing w:after="0"/>
              <w:rPr>
                <w:sz w:val="20"/>
                <w:szCs w:val="20"/>
                <w:color w:val="auto"/>
              </w:rPr>
            </w:pPr>
            <w:r>
              <w:rPr>
                <w:rFonts w:ascii="Arial" w:cs="Arial" w:eastAsia="Arial" w:hAnsi="Arial"/>
                <w:sz w:val="14"/>
                <w:szCs w:val="14"/>
                <w:b w:val="1"/>
                <w:bCs w:val="1"/>
                <w:color w:val="auto"/>
              </w:rPr>
              <w:t>2020</w:t>
            </w:r>
          </w:p>
        </w:tc>
      </w:tr>
      <w:tr>
        <w:trPr>
          <w:trHeight w:val="229"/>
        </w:trPr>
        <w:tc>
          <w:tcPr>
            <w:tcW w:w="5840" w:type="dxa"/>
            <w:vAlign w:val="bottom"/>
            <w:shd w:val="clear" w:color="auto" w:fill="DBDBDB"/>
          </w:tcPr>
          <w:p>
            <w:pPr>
              <w:ind w:left="20"/>
              <w:spacing w:after="0"/>
              <w:rPr>
                <w:sz w:val="20"/>
                <w:szCs w:val="20"/>
                <w:color w:val="auto"/>
              </w:rPr>
            </w:pPr>
            <w:r>
              <w:rPr>
                <w:rFonts w:ascii="Arial" w:cs="Arial" w:eastAsia="Arial" w:hAnsi="Arial"/>
                <w:sz w:val="18"/>
                <w:szCs w:val="18"/>
                <w:color w:val="auto"/>
              </w:rPr>
              <w:t>Cost of products and services sold</w:t>
            </w:r>
          </w:p>
        </w:tc>
        <w:tc>
          <w:tcPr>
            <w:tcW w:w="900" w:type="dxa"/>
            <w:vAlign w:val="bottom"/>
            <w:shd w:val="clear" w:color="auto" w:fill="DBDBDB"/>
          </w:tcPr>
          <w:p>
            <w:pPr>
              <w:jc w:val="right"/>
              <w:ind w:right="699"/>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DBDBDB"/>
          </w:tcPr>
          <w:p>
            <w:pPr>
              <w:spacing w:after="0"/>
              <w:rPr>
                <w:sz w:val="19"/>
                <w:szCs w:val="19"/>
                <w:color w:val="auto"/>
              </w:rPr>
            </w:pP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91</w:t>
            </w:r>
          </w:p>
        </w:tc>
        <w:tc>
          <w:tcPr>
            <w:tcW w:w="120" w:type="dxa"/>
            <w:vAlign w:val="bottom"/>
            <w:shd w:val="clear" w:color="auto" w:fill="DBDBDB"/>
          </w:tcPr>
          <w:p>
            <w:pPr>
              <w:spacing w:after="0"/>
              <w:rPr>
                <w:sz w:val="19"/>
                <w:szCs w:val="19"/>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248</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286</w:t>
            </w:r>
          </w:p>
        </w:tc>
      </w:tr>
      <w:tr>
        <w:trPr>
          <w:trHeight w:val="230"/>
        </w:trPr>
        <w:tc>
          <w:tcPr>
            <w:tcW w:w="58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9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DBDBDB"/>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r>
      <w:tr>
        <w:trPr>
          <w:trHeight w:val="248"/>
        </w:trPr>
        <w:tc>
          <w:tcPr>
            <w:tcW w:w="5840" w:type="dxa"/>
            <w:vAlign w:val="bottom"/>
            <w:tcBorders>
              <w:bottom w:val="single" w:sz="8" w:color="DBDBDB"/>
            </w:tcBorders>
            <w:shd w:val="clear" w:color="auto" w:fill="DBDBDB"/>
          </w:tcPr>
          <w:p>
            <w:pPr>
              <w:spacing w:after="0"/>
              <w:rPr>
                <w:sz w:val="21"/>
                <w:szCs w:val="21"/>
                <w:color w:val="auto"/>
              </w:rPr>
            </w:pPr>
          </w:p>
        </w:tc>
        <w:tc>
          <w:tcPr>
            <w:tcW w:w="900" w:type="dxa"/>
            <w:vAlign w:val="bottom"/>
            <w:tcBorders>
              <w:bottom w:val="single" w:sz="8" w:color="auto"/>
            </w:tcBorders>
            <w:shd w:val="clear" w:color="auto" w:fill="DBDBDB"/>
          </w:tcPr>
          <w:p>
            <w:pPr>
              <w:jc w:val="right"/>
              <w:ind w:right="699"/>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DBDBDB"/>
            </w:tcBorders>
            <w:shd w:val="clear" w:color="auto" w:fill="DBDBDB"/>
          </w:tcPr>
          <w:p>
            <w:pPr>
              <w:spacing w:after="0"/>
              <w:rPr>
                <w:sz w:val="21"/>
                <w:szCs w:val="21"/>
                <w:color w:val="auto"/>
              </w:rPr>
            </w:pPr>
          </w:p>
        </w:tc>
        <w:tc>
          <w:tcPr>
            <w:tcW w:w="300" w:type="dxa"/>
            <w:vAlign w:val="bottom"/>
            <w:tcBorders>
              <w:bottom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DBDBDB"/>
            </w:tcBorders>
            <w:shd w:val="clear" w:color="auto" w:fill="DBDBDB"/>
          </w:tcPr>
          <w:p>
            <w:pPr>
              <w:spacing w:after="0"/>
              <w:rPr>
                <w:sz w:val="21"/>
                <w:szCs w:val="21"/>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338</w:t>
            </w:r>
          </w:p>
        </w:tc>
        <w:tc>
          <w:tcPr>
            <w:tcW w:w="12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486</w:t>
            </w:r>
          </w:p>
        </w:tc>
      </w:tr>
      <w:tr>
        <w:trPr>
          <w:trHeight w:val="20"/>
        </w:trPr>
        <w:tc>
          <w:tcPr>
            <w:tcW w:w="5840" w:type="dxa"/>
            <w:vAlign w:val="bottom"/>
            <w:tcBorders>
              <w:top w:val="single" w:sz="8" w:color="DBDBDB"/>
            </w:tcBorders>
          </w:tcPr>
          <w:p>
            <w:pPr>
              <w:spacing w:after="0" w:line="20" w:lineRule="exact"/>
              <w:rPr>
                <w:sz w:val="1"/>
                <w:szCs w:val="1"/>
                <w:color w:val="auto"/>
              </w:rPr>
            </w:pPr>
          </w:p>
        </w:tc>
        <w:tc>
          <w:tcPr>
            <w:tcW w:w="900" w:type="dxa"/>
            <w:vAlign w:val="bottom"/>
            <w:tcBorders>
              <w:top w:val="single" w:sz="8" w:color="DBDBDB"/>
              <w:bottom w:val="single" w:sz="8" w:color="auto"/>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9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14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80" w:type="dxa"/>
            <w:vAlign w:val="bottom"/>
            <w:tcBorders>
              <w:top w:val="single" w:sz="8" w:color="DBDBDB"/>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pretax impact of total net repositioning and other charges by segment:</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40" w:type="dxa"/>
            <w:vAlign w:val="bottom"/>
          </w:tcPr>
          <w:p>
            <w:pPr>
              <w:spacing w:after="0"/>
              <w:rPr>
                <w:sz w:val="17"/>
                <w:szCs w:val="17"/>
                <w:color w:val="auto"/>
              </w:rPr>
            </w:pPr>
          </w:p>
        </w:tc>
        <w:tc>
          <w:tcPr>
            <w:tcW w:w="276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7"/>
                <w:szCs w:val="17"/>
                <w:color w:val="auto"/>
              </w:rPr>
            </w:pPr>
          </w:p>
        </w:tc>
        <w:tc>
          <w:tcPr>
            <w:tcW w:w="2520" w:type="dxa"/>
            <w:vAlign w:val="bottom"/>
            <w:gridSpan w:val="4"/>
          </w:tcPr>
          <w:p>
            <w:pPr>
              <w:jc w:val="right"/>
              <w:ind w:right="53"/>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5840" w:type="dxa"/>
            <w:vAlign w:val="bottom"/>
            <w:tcBorders>
              <w:bottom w:val="single" w:sz="8" w:color="DBDBDB"/>
            </w:tcBorders>
          </w:tcPr>
          <w:p>
            <w:pPr>
              <w:spacing w:after="0"/>
              <w:rPr>
                <w:sz w:val="17"/>
                <w:szCs w:val="17"/>
                <w:color w:val="auto"/>
              </w:rPr>
            </w:pPr>
          </w:p>
        </w:tc>
        <w:tc>
          <w:tcPr>
            <w:tcW w:w="900" w:type="dxa"/>
            <w:vAlign w:val="bottom"/>
            <w:tcBorders>
              <w:top w:val="single" w:sz="8" w:color="DC202E"/>
              <w:bottom w:val="single" w:sz="8" w:color="DC202E"/>
            </w:tcBorders>
          </w:tcPr>
          <w:p>
            <w:pPr>
              <w:jc w:val="right"/>
              <w:ind w:right="19"/>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top w:val="single" w:sz="8" w:color="DC202E"/>
              <w:bottom w:val="single" w:sz="8" w:color="DC202E"/>
            </w:tcBorders>
          </w:tcPr>
          <w:p>
            <w:pPr>
              <w:spacing w:after="0"/>
              <w:rPr>
                <w:sz w:val="17"/>
                <w:szCs w:val="17"/>
                <w:color w:val="auto"/>
              </w:rPr>
            </w:pPr>
          </w:p>
        </w:tc>
        <w:tc>
          <w:tcPr>
            <w:tcW w:w="120" w:type="dxa"/>
            <w:vAlign w:val="bottom"/>
            <w:tcBorders>
              <w:top w:val="single" w:sz="8" w:color="DC202E"/>
              <w:bottom w:val="single" w:sz="8" w:color="DBDBDB"/>
            </w:tcBorders>
          </w:tcPr>
          <w:p>
            <w:pPr>
              <w:spacing w:after="0"/>
              <w:rPr>
                <w:sz w:val="17"/>
                <w:szCs w:val="17"/>
                <w:color w:val="auto"/>
              </w:rPr>
            </w:pPr>
          </w:p>
        </w:tc>
        <w:tc>
          <w:tcPr>
            <w:tcW w:w="300" w:type="dxa"/>
            <w:vAlign w:val="bottom"/>
            <w:tcBorders>
              <w:top w:val="single" w:sz="8" w:color="DC202E"/>
              <w:bottom w:val="single" w:sz="8" w:color="DC202E"/>
            </w:tcBorders>
          </w:tcPr>
          <w:p>
            <w:pPr>
              <w:spacing w:after="0"/>
              <w:rPr>
                <w:sz w:val="17"/>
                <w:szCs w:val="17"/>
                <w:color w:val="auto"/>
              </w:rPr>
            </w:pPr>
          </w:p>
        </w:tc>
        <w:tc>
          <w:tcPr>
            <w:tcW w:w="960" w:type="dxa"/>
            <w:vAlign w:val="bottom"/>
            <w:tcBorders>
              <w:top w:val="single" w:sz="8" w:color="DC202E"/>
              <w:bottom w:val="single" w:sz="8" w:color="DC202E"/>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DBDBDB"/>
            </w:tcBorders>
          </w:tcPr>
          <w:p>
            <w:pPr>
              <w:spacing w:after="0"/>
              <w:rPr>
                <w:sz w:val="17"/>
                <w:szCs w:val="17"/>
                <w:color w:val="auto"/>
              </w:rPr>
            </w:pPr>
          </w:p>
        </w:tc>
        <w:tc>
          <w:tcPr>
            <w:tcW w:w="120" w:type="dxa"/>
            <w:vAlign w:val="bottom"/>
            <w:tcBorders>
              <w:top w:val="single" w:sz="8" w:color="DC202E"/>
              <w:bottom w:val="single" w:sz="8" w:color="DC202E"/>
            </w:tcBorders>
          </w:tcPr>
          <w:p>
            <w:pPr>
              <w:spacing w:after="0"/>
              <w:rPr>
                <w:sz w:val="17"/>
                <w:szCs w:val="17"/>
                <w:color w:val="auto"/>
              </w:rPr>
            </w:pPr>
          </w:p>
        </w:tc>
        <w:tc>
          <w:tcPr>
            <w:tcW w:w="1140" w:type="dxa"/>
            <w:vAlign w:val="bottom"/>
            <w:tcBorders>
              <w:top w:val="single" w:sz="8" w:color="DC202E"/>
              <w:bottom w:val="single" w:sz="8" w:color="DC202E"/>
            </w:tcBorders>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DC202E"/>
              <w:bottom w:val="single" w:sz="8" w:color="DBDBDB"/>
            </w:tcBorders>
          </w:tcPr>
          <w:p>
            <w:pPr>
              <w:spacing w:after="0"/>
              <w:rPr>
                <w:sz w:val="17"/>
                <w:szCs w:val="17"/>
                <w:color w:val="auto"/>
              </w:rPr>
            </w:pPr>
          </w:p>
        </w:tc>
        <w:tc>
          <w:tcPr>
            <w:tcW w:w="280" w:type="dxa"/>
            <w:vAlign w:val="bottom"/>
            <w:tcBorders>
              <w:top w:val="single" w:sz="8" w:color="DC202E"/>
              <w:bottom w:val="single" w:sz="8" w:color="DC202E"/>
            </w:tcBorders>
          </w:tcPr>
          <w:p>
            <w:pPr>
              <w:spacing w:after="0"/>
              <w:rPr>
                <w:sz w:val="17"/>
                <w:szCs w:val="17"/>
                <w:color w:val="auto"/>
              </w:rPr>
            </w:pPr>
          </w:p>
        </w:tc>
        <w:tc>
          <w:tcPr>
            <w:tcW w:w="980" w:type="dxa"/>
            <w:vAlign w:val="bottom"/>
            <w:tcBorders>
              <w:top w:val="single" w:sz="8" w:color="DC202E"/>
              <w:bottom w:val="single" w:sz="8" w:color="DC202E"/>
            </w:tcBorders>
          </w:tcPr>
          <w:p>
            <w:pPr>
              <w:jc w:val="right"/>
              <w:ind w:right="393"/>
              <w:spacing w:after="0"/>
              <w:rPr>
                <w:sz w:val="20"/>
                <w:szCs w:val="20"/>
                <w:color w:val="auto"/>
              </w:rPr>
            </w:pPr>
            <w:r>
              <w:rPr>
                <w:rFonts w:ascii="Arial" w:cs="Arial" w:eastAsia="Arial" w:hAnsi="Arial"/>
                <w:sz w:val="14"/>
                <w:szCs w:val="14"/>
                <w:b w:val="1"/>
                <w:bCs w:val="1"/>
                <w:color w:val="auto"/>
              </w:rPr>
              <w:t>2020</w:t>
            </w:r>
          </w:p>
        </w:tc>
      </w:tr>
      <w:tr>
        <w:trPr>
          <w:trHeight w:val="230"/>
        </w:trPr>
        <w:tc>
          <w:tcPr>
            <w:tcW w:w="5840" w:type="dxa"/>
            <w:vAlign w:val="bottom"/>
            <w:shd w:val="clear" w:color="auto" w:fill="DBDBDB"/>
          </w:tcPr>
          <w:p>
            <w:pPr>
              <w:ind w:left="20"/>
              <w:spacing w:after="0"/>
              <w:rPr>
                <w:sz w:val="20"/>
                <w:szCs w:val="20"/>
                <w:color w:val="auto"/>
              </w:rPr>
            </w:pPr>
            <w:r>
              <w:rPr>
                <w:rFonts w:ascii="Arial" w:cs="Arial" w:eastAsia="Arial" w:hAnsi="Arial"/>
                <w:sz w:val="18"/>
                <w:szCs w:val="18"/>
                <w:color w:val="auto"/>
              </w:rPr>
              <w:t>Aerospace</w:t>
            </w:r>
          </w:p>
        </w:tc>
        <w:tc>
          <w:tcPr>
            <w:tcW w:w="900" w:type="dxa"/>
            <w:vAlign w:val="bottom"/>
            <w:shd w:val="clear" w:color="auto" w:fill="DBDBDB"/>
          </w:tcPr>
          <w:p>
            <w:pPr>
              <w:jc w:val="right"/>
              <w:ind w:right="699"/>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DBDBDB"/>
          </w:tcPr>
          <w:p>
            <w:pPr>
              <w:spacing w:after="0"/>
              <w:rPr>
                <w:sz w:val="19"/>
                <w:szCs w:val="19"/>
                <w:color w:val="auto"/>
              </w:rPr>
            </w:pP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DBDBDB"/>
          </w:tcPr>
          <w:p>
            <w:pPr>
              <w:spacing w:after="0"/>
              <w:rPr>
                <w:sz w:val="19"/>
                <w:szCs w:val="19"/>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151</w:t>
            </w:r>
          </w:p>
        </w:tc>
      </w:tr>
      <w:tr>
        <w:trPr>
          <w:trHeight w:val="229"/>
        </w:trPr>
        <w:tc>
          <w:tcPr>
            <w:tcW w:w="5840" w:type="dxa"/>
            <w:vAlign w:val="bottom"/>
          </w:tcPr>
          <w:p>
            <w:pPr>
              <w:ind w:left="20"/>
              <w:spacing w:after="0"/>
              <w:rPr>
                <w:sz w:val="20"/>
                <w:szCs w:val="20"/>
                <w:color w:val="auto"/>
              </w:rPr>
            </w:pPr>
            <w:r>
              <w:rPr>
                <w:rFonts w:ascii="Arial" w:cs="Arial" w:eastAsia="Arial" w:hAnsi="Arial"/>
                <w:sz w:val="18"/>
                <w:szCs w:val="18"/>
                <w:color w:val="auto"/>
              </w:rPr>
              <w:t>Honeywell Building Technologies</w:t>
            </w:r>
          </w:p>
        </w:tc>
        <w:tc>
          <w:tcPr>
            <w:tcW w:w="9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30"/>
        </w:trPr>
        <w:tc>
          <w:tcPr>
            <w:tcW w:w="5840" w:type="dxa"/>
            <w:vAlign w:val="bottom"/>
            <w:shd w:val="clear" w:color="auto" w:fill="DBDBDB"/>
          </w:tcPr>
          <w:p>
            <w:pPr>
              <w:ind w:left="20"/>
              <w:spacing w:after="0"/>
              <w:rPr>
                <w:sz w:val="20"/>
                <w:szCs w:val="20"/>
                <w:color w:val="auto"/>
              </w:rPr>
            </w:pPr>
            <w:r>
              <w:rPr>
                <w:rFonts w:ascii="Arial" w:cs="Arial" w:eastAsia="Arial" w:hAnsi="Arial"/>
                <w:sz w:val="18"/>
                <w:szCs w:val="18"/>
                <w:color w:val="auto"/>
              </w:rPr>
              <w:t>Performance Materials and Technologies</w:t>
            </w:r>
          </w:p>
        </w:tc>
        <w:tc>
          <w:tcPr>
            <w:tcW w:w="900" w:type="dxa"/>
            <w:vAlign w:val="bottom"/>
            <w:shd w:val="clear" w:color="auto" w:fill="DBDBDB"/>
          </w:tcPr>
          <w:p>
            <w:pPr>
              <w:spacing w:after="0"/>
              <w:rPr>
                <w:sz w:val="19"/>
                <w:szCs w:val="19"/>
                <w:color w:val="auto"/>
              </w:rPr>
            </w:pPr>
          </w:p>
        </w:tc>
        <w:tc>
          <w:tcPr>
            <w:tcW w:w="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139</w:t>
            </w:r>
          </w:p>
        </w:tc>
      </w:tr>
      <w:tr>
        <w:trPr>
          <w:trHeight w:val="230"/>
        </w:trPr>
        <w:tc>
          <w:tcPr>
            <w:tcW w:w="5840" w:type="dxa"/>
            <w:vAlign w:val="bottom"/>
          </w:tcPr>
          <w:p>
            <w:pPr>
              <w:ind w:left="20"/>
              <w:spacing w:after="0"/>
              <w:rPr>
                <w:sz w:val="20"/>
                <w:szCs w:val="20"/>
                <w:color w:val="auto"/>
              </w:rPr>
            </w:pPr>
            <w:r>
              <w:rPr>
                <w:rFonts w:ascii="Arial" w:cs="Arial" w:eastAsia="Arial" w:hAnsi="Arial"/>
                <w:sz w:val="18"/>
                <w:szCs w:val="18"/>
                <w:color w:val="auto"/>
              </w:rPr>
              <w:t>Safety and Productivity Solutions</w:t>
            </w:r>
          </w:p>
        </w:tc>
        <w:tc>
          <w:tcPr>
            <w:tcW w:w="9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5840" w:type="dxa"/>
            <w:vAlign w:val="bottom"/>
            <w:shd w:val="clear" w:color="auto" w:fill="DBDBDB"/>
          </w:tcPr>
          <w:p>
            <w:pPr>
              <w:ind w:left="20"/>
              <w:spacing w:after="0"/>
              <w:rPr>
                <w:sz w:val="20"/>
                <w:szCs w:val="20"/>
                <w:color w:val="auto"/>
              </w:rPr>
            </w:pPr>
            <w:r>
              <w:rPr>
                <w:rFonts w:ascii="Arial" w:cs="Arial" w:eastAsia="Arial" w:hAnsi="Arial"/>
                <w:sz w:val="18"/>
                <w:szCs w:val="18"/>
                <w:color w:val="auto"/>
              </w:rPr>
              <w:t>Corporate</w:t>
            </w:r>
          </w:p>
        </w:tc>
        <w:tc>
          <w:tcPr>
            <w:tcW w:w="900" w:type="dxa"/>
            <w:vAlign w:val="bottom"/>
            <w:tcBorders>
              <w:bottom w:val="single" w:sz="8" w:color="auto"/>
            </w:tcBorders>
            <w:shd w:val="clear" w:color="auto" w:fill="DBDBDB"/>
          </w:tcPr>
          <w:p>
            <w:pPr>
              <w:spacing w:after="0"/>
              <w:rPr>
                <w:sz w:val="19"/>
                <w:szCs w:val="19"/>
                <w:color w:val="auto"/>
              </w:rPr>
            </w:pPr>
          </w:p>
        </w:tc>
        <w:tc>
          <w:tcPr>
            <w:tcW w:w="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DBDBDB"/>
          </w:tcPr>
          <w:p>
            <w:pPr>
              <w:spacing w:after="0"/>
              <w:rPr>
                <w:sz w:val="19"/>
                <w:szCs w:val="19"/>
                <w:color w:val="auto"/>
              </w:rPr>
            </w:pPr>
          </w:p>
        </w:tc>
        <w:tc>
          <w:tcPr>
            <w:tcW w:w="120" w:type="dxa"/>
            <w:vAlign w:val="bottom"/>
            <w:tcBorders>
              <w:bottom w:val="single" w:sz="8" w:color="auto"/>
            </w:tcBorders>
            <w:shd w:val="clear" w:color="auto" w:fill="DBDBDB"/>
          </w:tcPr>
          <w:p>
            <w:pPr>
              <w:spacing w:after="0"/>
              <w:rPr>
                <w:sz w:val="19"/>
                <w:szCs w:val="19"/>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77</w:t>
            </w:r>
          </w:p>
        </w:tc>
      </w:tr>
      <w:tr>
        <w:trPr>
          <w:trHeight w:val="223"/>
        </w:trPr>
        <w:tc>
          <w:tcPr>
            <w:tcW w:w="5840" w:type="dxa"/>
            <w:vAlign w:val="bottom"/>
          </w:tcPr>
          <w:p>
            <w:pPr>
              <w:spacing w:after="0"/>
              <w:rPr>
                <w:sz w:val="19"/>
                <w:szCs w:val="19"/>
                <w:color w:val="auto"/>
              </w:rPr>
            </w:pPr>
          </w:p>
        </w:tc>
        <w:tc>
          <w:tcPr>
            <w:tcW w:w="900" w:type="dxa"/>
            <w:vAlign w:val="bottom"/>
            <w:tcBorders>
              <w:bottom w:val="single" w:sz="8" w:color="auto"/>
            </w:tcBorders>
          </w:tcPr>
          <w:p>
            <w:pPr>
              <w:jc w:val="right"/>
              <w:ind w:right="699"/>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w:t>
            </w:r>
          </w:p>
        </w:tc>
      </w:tr>
      <w:tr>
        <w:trPr>
          <w:trHeight w:val="20"/>
        </w:trPr>
        <w:tc>
          <w:tcPr>
            <w:tcW w:w="58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the three months ended September 30, 2021, we recognized gross repositioning charges totaling $69 million including severance costs of $3 million related to workforce reductions of 603 manufacturing and administrative positions mainly in our Safety and Productivity Solutions segment. The workforce reductions were primarily related to the re-alignment of a product line in our Safety and Productivity Solutions segment and to our productivity and ongoing functional transformation initiatives. The repositioning charge included asset impairments of $20 million primarily related to the write-down of certain manufacturing equipment. The repositioning charge also included exit costs of $46 million primarily for current period exit costs incurred for previously approved repositioning projects, closure obligations associated with site transitions, and lease obligations for equipment.</w:t>
      </w:r>
    </w:p>
    <w:p>
      <w:pPr>
        <w:spacing w:after="0" w:line="9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the three months ended September 30, 2020, we recognized gross repositioning charges totaling $135 million including severance costs of $113 million related to workforce reductions of 3,113 manufacturing and administrative positions across all of the Company's segments, with a majority of the workforce reductions in Aerospace and Performance Materials and Technologies. The workforce reductions primarily related to the Company aligning its cost structure with the current slowdown in demand for many of the Company's products and services due to the global recession.</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11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4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the nine months ended September 30, 2021, we recognized gross repositioning charges totaling $ 280 million including severance costs of $63 million related to workforce reductions of 5,252 manufacturing and administrative positions mainly in our Safety and Productivity Solutions and Aerospace segments. The workforce reductions were primarily related to the re-alignment of a product line in our Safety and Productivity Solutions segment, site transitions, mainly in Aerospace, to more cost-effective locations, and our productivity and ongoing functional transformation initiatives. The repositioning charge included asset impairments of $107 million primarily related to the write-down of certain manufacturing and other equipment. The repositioning charge included exit costs of $110 million primarily for current period exit costs incurred for previously approved repositioning projects, closure obligations associated with site transitions, and lease obligations for equipment. Also, $18 million of previously established reserves, primarily for severance, were returned to income due to adjustments to the scope of previously announced repositioning actions.</w:t>
      </w:r>
    </w:p>
    <w:p>
      <w:pPr>
        <w:spacing w:after="0" w:line="1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the nine months ended September 30, 2020, we recognized gross repositioning charges totaling $491 million including severance costs of $433 million related to workforce reductions of 13,042 manufacturing and administrative positions across the Company's segments, with a majority of the workforce reductions in Aerospace and Performance Materials and Technologies. The workforce reductions primarily related to the Company aligning its cost structure with the current slowdown in demand for many of the Company's products and services due to the global recession, and the Company's productivity and ongoing functional transformation initiatives. The repositioning charges included exit costs of $47 million primarily related to current period exit costs incurred for previously approved repositioning projects. Also, $42 million of previously established reserves, primarily for severance, were returned to income mainly as a result of higher attrition than anticipated in prior severance actions resulting in lower severance payments.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status of the Company's total repositioning reserves: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ind w:left="100"/>
              <w:spacing w:after="0"/>
              <w:rPr>
                <w:sz w:val="20"/>
                <w:szCs w:val="20"/>
                <w:color w:val="auto"/>
              </w:rPr>
            </w:pPr>
            <w:r>
              <w:rPr>
                <w:rFonts w:ascii="Arial" w:cs="Arial" w:eastAsia="Arial" w:hAnsi="Arial"/>
                <w:sz w:val="14"/>
                <w:szCs w:val="14"/>
                <w:b w:val="1"/>
                <w:bCs w:val="1"/>
                <w:color w:val="auto"/>
              </w:rPr>
              <w:t>Severance</w:t>
            </w:r>
          </w:p>
        </w:tc>
        <w:tc>
          <w:tcPr>
            <w:tcW w:w="180" w:type="dxa"/>
            <w:vAlign w:val="bottom"/>
          </w:tcPr>
          <w:p>
            <w:pPr>
              <w:spacing w:after="0"/>
              <w:rPr>
                <w:sz w:val="14"/>
                <w:szCs w:val="14"/>
                <w:color w:val="auto"/>
              </w:rPr>
            </w:pPr>
          </w:p>
        </w:tc>
        <w:tc>
          <w:tcPr>
            <w:tcW w:w="1280" w:type="dxa"/>
            <w:vAlign w:val="bottom"/>
            <w:gridSpan w:val="2"/>
          </w:tcPr>
          <w:p>
            <w:pPr>
              <w:ind w:left="300"/>
              <w:spacing w:after="0"/>
              <w:rPr>
                <w:sz w:val="20"/>
                <w:szCs w:val="20"/>
                <w:color w:val="auto"/>
              </w:rPr>
            </w:pPr>
            <w:r>
              <w:rPr>
                <w:rFonts w:ascii="Arial" w:cs="Arial" w:eastAsia="Arial" w:hAnsi="Arial"/>
                <w:sz w:val="14"/>
                <w:szCs w:val="14"/>
                <w:b w:val="1"/>
                <w:bCs w:val="1"/>
                <w:color w:val="auto"/>
              </w:rPr>
              <w:t>Asset</w:t>
            </w:r>
          </w:p>
        </w:tc>
        <w:tc>
          <w:tcPr>
            <w:tcW w:w="300" w:type="dxa"/>
            <w:vAlign w:val="bottom"/>
          </w:tcPr>
          <w:p>
            <w:pPr>
              <w:spacing w:after="0"/>
              <w:rPr>
                <w:sz w:val="14"/>
                <w:szCs w:val="14"/>
                <w:color w:val="auto"/>
              </w:rPr>
            </w:pPr>
          </w:p>
        </w:tc>
        <w:tc>
          <w:tcPr>
            <w:tcW w:w="1140" w:type="dxa"/>
            <w:vAlign w:val="bottom"/>
            <w:gridSpan w:val="2"/>
          </w:tcPr>
          <w:p>
            <w:pPr>
              <w:ind w:left="240"/>
              <w:spacing w:after="0"/>
              <w:rPr>
                <w:sz w:val="20"/>
                <w:szCs w:val="20"/>
                <w:color w:val="auto"/>
              </w:rPr>
            </w:pPr>
            <w:r>
              <w:rPr>
                <w:rFonts w:ascii="Arial" w:cs="Arial" w:eastAsia="Arial" w:hAnsi="Arial"/>
                <w:sz w:val="14"/>
                <w:szCs w:val="14"/>
                <w:b w:val="1"/>
                <w:bCs w:val="1"/>
                <w:color w:val="auto"/>
              </w:rPr>
              <w:t>Exit</w:t>
            </w:r>
          </w:p>
        </w:tc>
        <w:tc>
          <w:tcPr>
            <w:tcW w:w="320" w:type="dxa"/>
            <w:vAlign w:val="bottom"/>
          </w:tcPr>
          <w:p>
            <w:pPr>
              <w:spacing w:after="0"/>
              <w:rPr>
                <w:sz w:val="14"/>
                <w:szCs w:val="14"/>
                <w:color w:val="auto"/>
              </w:rPr>
            </w:pPr>
          </w:p>
        </w:tc>
        <w:tc>
          <w:tcPr>
            <w:tcW w:w="102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5520" w:type="dxa"/>
            <w:vAlign w:val="bottom"/>
            <w:tcBorders>
              <w:bottom w:val="single" w:sz="8" w:color="DBDBDB"/>
            </w:tcBorders>
          </w:tcPr>
          <w:p>
            <w:pPr>
              <w:spacing w:after="0"/>
              <w:rPr>
                <w:sz w:val="15"/>
                <w:szCs w:val="15"/>
                <w:color w:val="auto"/>
              </w:rPr>
            </w:pPr>
          </w:p>
        </w:tc>
        <w:tc>
          <w:tcPr>
            <w:tcW w:w="200" w:type="dxa"/>
            <w:vAlign w:val="bottom"/>
            <w:tcBorders>
              <w:bottom w:val="single" w:sz="8" w:color="DC202E"/>
            </w:tcBorders>
          </w:tcPr>
          <w:p>
            <w:pPr>
              <w:spacing w:after="0"/>
              <w:rPr>
                <w:sz w:val="15"/>
                <w:szCs w:val="15"/>
                <w:color w:val="auto"/>
              </w:rPr>
            </w:pPr>
          </w:p>
        </w:tc>
        <w:tc>
          <w:tcPr>
            <w:tcW w:w="1140" w:type="dxa"/>
            <w:vAlign w:val="bottom"/>
            <w:tcBorders>
              <w:bottom w:val="single" w:sz="8" w:color="DC202E"/>
            </w:tcBorders>
          </w:tcPr>
          <w:p>
            <w:pPr>
              <w:jc w:val="right"/>
              <w:ind w:right="394"/>
              <w:spacing w:after="0"/>
              <w:rPr>
                <w:sz w:val="20"/>
                <w:szCs w:val="20"/>
                <w:color w:val="auto"/>
              </w:rPr>
            </w:pPr>
            <w:r>
              <w:rPr>
                <w:rFonts w:ascii="Arial" w:cs="Arial" w:eastAsia="Arial" w:hAnsi="Arial"/>
                <w:sz w:val="14"/>
                <w:szCs w:val="14"/>
                <w:b w:val="1"/>
                <w:bCs w:val="1"/>
                <w:color w:val="auto"/>
              </w:rPr>
              <w:t>Costs</w:t>
            </w:r>
          </w:p>
        </w:tc>
        <w:tc>
          <w:tcPr>
            <w:tcW w:w="100" w:type="dxa"/>
            <w:vAlign w:val="bottom"/>
            <w:tcBorders>
              <w:bottom w:val="single" w:sz="8" w:color="DBDBDB"/>
            </w:tcBorders>
          </w:tcPr>
          <w:p>
            <w:pPr>
              <w:spacing w:after="0"/>
              <w:rPr>
                <w:sz w:val="15"/>
                <w:szCs w:val="15"/>
                <w:color w:val="auto"/>
              </w:rPr>
            </w:pPr>
          </w:p>
        </w:tc>
        <w:tc>
          <w:tcPr>
            <w:tcW w:w="180" w:type="dxa"/>
            <w:vAlign w:val="bottom"/>
            <w:tcBorders>
              <w:bottom w:val="single" w:sz="8" w:color="DC202E"/>
            </w:tcBorders>
          </w:tcPr>
          <w:p>
            <w:pPr>
              <w:spacing w:after="0"/>
              <w:rPr>
                <w:sz w:val="15"/>
                <w:szCs w:val="15"/>
                <w:color w:val="auto"/>
              </w:rPr>
            </w:pPr>
          </w:p>
        </w:tc>
        <w:tc>
          <w:tcPr>
            <w:tcW w:w="1180" w:type="dxa"/>
            <w:vAlign w:val="bottom"/>
            <w:tcBorders>
              <w:bottom w:val="single" w:sz="8" w:color="DC202E"/>
            </w:tcBorders>
          </w:tcPr>
          <w:p>
            <w:pPr>
              <w:jc w:val="right"/>
              <w:ind w:right="174"/>
              <w:spacing w:after="0"/>
              <w:rPr>
                <w:sz w:val="20"/>
                <w:szCs w:val="20"/>
                <w:color w:val="auto"/>
              </w:rPr>
            </w:pPr>
            <w:r>
              <w:rPr>
                <w:rFonts w:ascii="Arial" w:cs="Arial" w:eastAsia="Arial" w:hAnsi="Arial"/>
                <w:sz w:val="14"/>
                <w:szCs w:val="14"/>
                <w:b w:val="1"/>
                <w:bCs w:val="1"/>
                <w:color w:val="auto"/>
              </w:rPr>
              <w:t>Impairments</w:t>
            </w:r>
          </w:p>
        </w:tc>
        <w:tc>
          <w:tcPr>
            <w:tcW w:w="100" w:type="dxa"/>
            <w:vAlign w:val="bottom"/>
            <w:tcBorders>
              <w:bottom w:val="single" w:sz="8" w:color="DBDBDB"/>
            </w:tcBorders>
          </w:tcPr>
          <w:p>
            <w:pPr>
              <w:spacing w:after="0"/>
              <w:rPr>
                <w:sz w:val="15"/>
                <w:szCs w:val="15"/>
                <w:color w:val="auto"/>
              </w:rPr>
            </w:pPr>
          </w:p>
        </w:tc>
        <w:tc>
          <w:tcPr>
            <w:tcW w:w="300" w:type="dxa"/>
            <w:vAlign w:val="bottom"/>
            <w:tcBorders>
              <w:bottom w:val="single" w:sz="8" w:color="DC202E"/>
            </w:tcBorders>
          </w:tcPr>
          <w:p>
            <w:pPr>
              <w:spacing w:after="0"/>
              <w:rPr>
                <w:sz w:val="15"/>
                <w:szCs w:val="15"/>
                <w:color w:val="auto"/>
              </w:rPr>
            </w:pPr>
          </w:p>
        </w:tc>
        <w:tc>
          <w:tcPr>
            <w:tcW w:w="1040" w:type="dxa"/>
            <w:vAlign w:val="bottom"/>
            <w:tcBorders>
              <w:bottom w:val="single" w:sz="8" w:color="DC202E"/>
            </w:tcBorders>
          </w:tcPr>
          <w:p>
            <w:pPr>
              <w:jc w:val="right"/>
              <w:ind w:right="394"/>
              <w:spacing w:after="0"/>
              <w:rPr>
                <w:sz w:val="20"/>
                <w:szCs w:val="20"/>
                <w:color w:val="auto"/>
              </w:rPr>
            </w:pPr>
            <w:r>
              <w:rPr>
                <w:rFonts w:ascii="Arial" w:cs="Arial" w:eastAsia="Arial" w:hAnsi="Arial"/>
                <w:sz w:val="14"/>
                <w:szCs w:val="14"/>
                <w:b w:val="1"/>
                <w:bCs w:val="1"/>
                <w:color w:val="auto"/>
              </w:rPr>
              <w:t>Costs</w:t>
            </w:r>
          </w:p>
        </w:tc>
        <w:tc>
          <w:tcPr>
            <w:tcW w:w="100" w:type="dxa"/>
            <w:vAlign w:val="bottom"/>
            <w:tcBorders>
              <w:bottom w:val="single" w:sz="8" w:color="DBDBDB"/>
            </w:tcBorders>
          </w:tcPr>
          <w:p>
            <w:pPr>
              <w:spacing w:after="0"/>
              <w:rPr>
                <w:sz w:val="15"/>
                <w:szCs w:val="15"/>
                <w:color w:val="auto"/>
              </w:rPr>
            </w:pPr>
          </w:p>
        </w:tc>
        <w:tc>
          <w:tcPr>
            <w:tcW w:w="320" w:type="dxa"/>
            <w:vAlign w:val="bottom"/>
            <w:tcBorders>
              <w:bottom w:val="single" w:sz="8" w:color="DC202E"/>
            </w:tcBorders>
          </w:tcPr>
          <w:p>
            <w:pPr>
              <w:spacing w:after="0"/>
              <w:rPr>
                <w:sz w:val="15"/>
                <w:szCs w:val="15"/>
                <w:color w:val="auto"/>
              </w:rPr>
            </w:pPr>
          </w:p>
        </w:tc>
        <w:tc>
          <w:tcPr>
            <w:tcW w:w="1020" w:type="dxa"/>
            <w:vAlign w:val="bottom"/>
            <w:tcBorders>
              <w:bottom w:val="single" w:sz="8" w:color="DC202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DBDBDB"/>
          </w:tcPr>
          <w:p>
            <w:pPr>
              <w:ind w:left="20"/>
              <w:spacing w:after="0"/>
              <w:rPr>
                <w:sz w:val="20"/>
                <w:szCs w:val="20"/>
                <w:color w:val="auto"/>
              </w:rPr>
            </w:pPr>
            <w:r>
              <w:rPr>
                <w:rFonts w:ascii="Arial" w:cs="Arial" w:eastAsia="Arial" w:hAnsi="Arial"/>
                <w:sz w:val="18"/>
                <w:szCs w:val="18"/>
                <w:color w:val="auto"/>
              </w:rPr>
              <w:t>Balance at December 31, 2020</w:t>
            </w: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527</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30"/>
        </w:trPr>
        <w:tc>
          <w:tcPr>
            <w:tcW w:w="5520" w:type="dxa"/>
            <w:vAlign w:val="bottom"/>
          </w:tcPr>
          <w:p>
            <w:pPr>
              <w:ind w:left="140"/>
              <w:spacing w:after="0"/>
              <w:rPr>
                <w:sz w:val="20"/>
                <w:szCs w:val="20"/>
                <w:color w:val="auto"/>
              </w:rPr>
            </w:pPr>
            <w:r>
              <w:rPr>
                <w:rFonts w:ascii="Arial" w:cs="Arial" w:eastAsia="Arial" w:hAnsi="Arial"/>
                <w:sz w:val="18"/>
                <w:szCs w:val="18"/>
                <w:color w:val="auto"/>
              </w:rPr>
              <w:t>Charges</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29"/>
        </w:trPr>
        <w:tc>
          <w:tcPr>
            <w:tcW w:w="5520" w:type="dxa"/>
            <w:vAlign w:val="bottom"/>
            <w:shd w:val="clear" w:color="auto" w:fill="DBDBDB"/>
          </w:tcPr>
          <w:p>
            <w:pPr>
              <w:ind w:left="140"/>
              <w:spacing w:after="0"/>
              <w:rPr>
                <w:sz w:val="20"/>
                <w:szCs w:val="20"/>
                <w:color w:val="auto"/>
              </w:rPr>
            </w:pPr>
            <w:r>
              <w:rPr>
                <w:rFonts w:ascii="Arial" w:cs="Arial" w:eastAsia="Arial" w:hAnsi="Arial"/>
                <w:sz w:val="18"/>
                <w:szCs w:val="18"/>
                <w:color w:val="auto"/>
              </w:rPr>
              <w:t>Usage - cash</w:t>
            </w:r>
          </w:p>
        </w:tc>
        <w:tc>
          <w:tcPr>
            <w:tcW w:w="20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8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30"/>
        </w:trPr>
        <w:tc>
          <w:tcPr>
            <w:tcW w:w="5520" w:type="dxa"/>
            <w:vAlign w:val="bottom"/>
          </w:tcPr>
          <w:p>
            <w:pPr>
              <w:ind w:left="140"/>
              <w:spacing w:after="0"/>
              <w:rPr>
                <w:sz w:val="20"/>
                <w:szCs w:val="20"/>
                <w:color w:val="auto"/>
              </w:rPr>
            </w:pPr>
            <w:r>
              <w:rPr>
                <w:rFonts w:ascii="Arial" w:cs="Arial" w:eastAsia="Arial" w:hAnsi="Arial"/>
                <w:sz w:val="18"/>
                <w:szCs w:val="18"/>
                <w:color w:val="auto"/>
              </w:rPr>
              <w:t>Usage - noncash</w:t>
            </w: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30"/>
        </w:trPr>
        <w:tc>
          <w:tcPr>
            <w:tcW w:w="5520" w:type="dxa"/>
            <w:vAlign w:val="bottom"/>
            <w:shd w:val="clear" w:color="auto" w:fill="DBDBDB"/>
          </w:tcPr>
          <w:p>
            <w:pPr>
              <w:ind w:left="140"/>
              <w:spacing w:after="0"/>
              <w:rPr>
                <w:sz w:val="20"/>
                <w:szCs w:val="20"/>
                <w:color w:val="auto"/>
              </w:rPr>
            </w:pPr>
            <w:r>
              <w:rPr>
                <w:rFonts w:ascii="Arial" w:cs="Arial" w:eastAsia="Arial" w:hAnsi="Arial"/>
                <w:sz w:val="18"/>
                <w:szCs w:val="18"/>
                <w:color w:val="auto"/>
              </w:rPr>
              <w:t>Foreign currency translation</w:t>
            </w:r>
          </w:p>
        </w:tc>
        <w:tc>
          <w:tcPr>
            <w:tcW w:w="20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8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5520" w:type="dxa"/>
            <w:vAlign w:val="bottom"/>
            <w:tcBorders>
              <w:bottom w:val="single" w:sz="8" w:color="DBDBDB"/>
            </w:tcBorders>
          </w:tcPr>
          <w:p>
            <w:pPr>
              <w:ind w:left="140"/>
              <w:spacing w:after="0"/>
              <w:rPr>
                <w:sz w:val="20"/>
                <w:szCs w:val="20"/>
                <w:color w:val="auto"/>
              </w:rPr>
            </w:pPr>
            <w:r>
              <w:rPr>
                <w:rFonts w:ascii="Arial" w:cs="Arial" w:eastAsia="Arial" w:hAnsi="Arial"/>
                <w:sz w:val="18"/>
                <w:szCs w:val="18"/>
                <w:color w:val="auto"/>
              </w:rPr>
              <w:t>Adjustments</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DBDBDB"/>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5520" w:type="dxa"/>
            <w:vAlign w:val="bottom"/>
            <w:shd w:val="clear" w:color="auto" w:fill="DBDBDB"/>
          </w:tcPr>
          <w:p>
            <w:pPr>
              <w:ind w:left="20"/>
              <w:spacing w:after="0"/>
              <w:rPr>
                <w:sz w:val="20"/>
                <w:szCs w:val="20"/>
                <w:color w:val="auto"/>
              </w:rPr>
            </w:pPr>
            <w:r>
              <w:rPr>
                <w:rFonts w:ascii="Arial" w:cs="Arial" w:eastAsia="Arial" w:hAnsi="Arial"/>
                <w:sz w:val="18"/>
                <w:szCs w:val="18"/>
                <w:color w:val="auto"/>
              </w:rPr>
              <w:t>Balance at September 30, 2021</w:t>
            </w: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DBDBDB"/>
          </w:tcPr>
          <w:p>
            <w:pPr>
              <w:spacing w:after="0"/>
              <w:rPr>
                <w:sz w:val="21"/>
                <w:szCs w:val="21"/>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DBDBDB"/>
          </w:tcPr>
          <w:p>
            <w:pPr>
              <w:spacing w:after="0"/>
              <w:rPr>
                <w:sz w:val="21"/>
                <w:szCs w:val="21"/>
                <w:color w:val="auto"/>
              </w:rPr>
            </w:pP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0"/>
        </w:trPr>
        <w:tc>
          <w:tcPr>
            <w:tcW w:w="552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Certain repositioning projects will recognize exit costs in future periods when the actual liability is incurred. Such exit costs incurred in the nine months ended September 30, 2021 and 2020, were $30 million and $32 million, respectively.</w:t>
      </w:r>
    </w:p>
    <w:p>
      <w:pPr>
        <w:spacing w:after="0" w:line="267" w:lineRule="exact"/>
        <w:rPr>
          <w:sz w:val="20"/>
          <w:szCs w:val="20"/>
          <w:color w:val="auto"/>
        </w:rPr>
      </w:pPr>
    </w:p>
    <w:p>
      <w:pPr>
        <w:spacing w:after="0"/>
        <w:rPr>
          <w:sz w:val="20"/>
          <w:szCs w:val="20"/>
          <w:color w:val="auto"/>
        </w:rPr>
      </w:pPr>
      <w:r>
        <w:rPr>
          <w:rFonts w:ascii="Arial" w:cs="Arial" w:eastAsia="Arial" w:hAnsi="Arial"/>
          <w:sz w:val="29"/>
          <w:szCs w:val="29"/>
          <w:b w:val="1"/>
          <w:bCs w:val="1"/>
          <w:color w:val="DC202E"/>
        </w:rPr>
        <w:t>NOTE 6. INCOME TAXES</w:t>
      </w:r>
    </w:p>
    <w:p>
      <w:pPr>
        <w:spacing w:after="0" w:line="15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12529"/>
        </w:rPr>
        <w:t>The effective tax rate was higher than the U.S. federal statutory rate of 21% and increased during 2021 compared to 2020 primarily due to an expense related to UOP matters with no corresponding tax benefit, incremental tax reserves and state taxes, partially offset by increased tax benefits for employee share-based compensation and the favorable resolution of certain foreign tax matters in the current year, the absence of prior year items including a non-cash charge related to the reduction of the aggregate carrying value of certain receivables with no corresponding tax benefit, tax benefits realized as a result of the favorable resolution of a foreign tax matter related to the spin-off transactions, tax law changes in India and the resolution of certain U.S. tax matters.</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12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9"/>
          <w:szCs w:val="29"/>
          <w:b w:val="1"/>
          <w:bCs w:val="1"/>
          <w:color w:val="DC202E"/>
        </w:rPr>
        <w:t>NOTE 7. ACCOUNTS RECEIVABLE - NET</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2021</w:t>
            </w:r>
          </w:p>
        </w:tc>
        <w:tc>
          <w:tcPr>
            <w:tcW w:w="180" w:type="dxa"/>
            <w:vAlign w:val="bottom"/>
          </w:tcPr>
          <w:p>
            <w:pPr>
              <w:spacing w:after="0"/>
              <w:rPr>
                <w:sz w:val="17"/>
                <w:szCs w:val="17"/>
                <w:color w:val="auto"/>
              </w:rPr>
            </w:pPr>
          </w:p>
        </w:tc>
        <w:tc>
          <w:tcPr>
            <w:tcW w:w="1600" w:type="dxa"/>
            <w:vAlign w:val="bottom"/>
          </w:tcPr>
          <w:p>
            <w:pPr>
              <w:jc w:val="right"/>
              <w:ind w:right="155"/>
              <w:spacing w:after="0"/>
              <w:rPr>
                <w:sz w:val="20"/>
                <w:szCs w:val="20"/>
                <w:color w:val="auto"/>
              </w:rPr>
            </w:pPr>
            <w:r>
              <w:rPr>
                <w:rFonts w:ascii="Arial" w:cs="Arial" w:eastAsia="Arial" w:hAnsi="Arial"/>
                <w:sz w:val="14"/>
                <w:szCs w:val="14"/>
                <w:b w:val="1"/>
                <w:bCs w:val="1"/>
                <w:color w:val="auto"/>
              </w:rPr>
              <w:t>December 31, 2020</w:t>
            </w:r>
          </w:p>
        </w:tc>
      </w:tr>
      <w:tr>
        <w:trPr>
          <w:trHeight w:val="229"/>
        </w:trPr>
        <w:tc>
          <w:tcPr>
            <w:tcW w:w="75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Trade</w:t>
            </w:r>
          </w:p>
        </w:tc>
        <w:tc>
          <w:tcPr>
            <w:tcW w:w="160" w:type="dxa"/>
            <w:vAlign w:val="bottom"/>
            <w:tcBorders>
              <w:top w:val="single" w:sz="8" w:color="DC202E"/>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DC202E"/>
            </w:tcBorders>
            <w:shd w:val="clear" w:color="auto" w:fill="DBDBDB"/>
          </w:tcPr>
          <w:p>
            <w:pPr>
              <w:jc w:val="right"/>
              <w:spacing w:after="0"/>
              <w:rPr>
                <w:sz w:val="20"/>
                <w:szCs w:val="20"/>
                <w:color w:val="auto"/>
              </w:rPr>
            </w:pPr>
            <w:r>
              <w:rPr>
                <w:rFonts w:ascii="Arial" w:cs="Arial" w:eastAsia="Arial" w:hAnsi="Arial"/>
                <w:sz w:val="18"/>
                <w:szCs w:val="18"/>
                <w:color w:val="auto"/>
              </w:rPr>
              <w:t>7,427</w:t>
            </w:r>
          </w:p>
        </w:tc>
        <w:tc>
          <w:tcPr>
            <w:tcW w:w="12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DC202E"/>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DC202E"/>
            </w:tcBorders>
            <w:shd w:val="clear" w:color="auto" w:fill="DBDBDB"/>
          </w:tcPr>
          <w:p>
            <w:pPr>
              <w:jc w:val="right"/>
              <w:spacing w:after="0"/>
              <w:rPr>
                <w:sz w:val="20"/>
                <w:szCs w:val="20"/>
                <w:color w:val="auto"/>
              </w:rPr>
            </w:pPr>
            <w:r>
              <w:rPr>
                <w:rFonts w:ascii="Arial" w:cs="Arial" w:eastAsia="Arial" w:hAnsi="Arial"/>
                <w:sz w:val="18"/>
                <w:szCs w:val="18"/>
                <w:color w:val="auto"/>
              </w:rPr>
              <w:t>7,029</w:t>
            </w:r>
          </w:p>
        </w:tc>
      </w:tr>
      <w:tr>
        <w:trPr>
          <w:trHeight w:val="230"/>
        </w:trPr>
        <w:tc>
          <w:tcPr>
            <w:tcW w:w="75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Less - Allowance for doubtful accounts</w:t>
            </w: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r>
      <w:tr>
        <w:trPr>
          <w:trHeight w:val="248"/>
        </w:trPr>
        <w:tc>
          <w:tcPr>
            <w:tcW w:w="7580" w:type="dxa"/>
            <w:vAlign w:val="bottom"/>
            <w:tcBorders>
              <w:bottom w:val="single" w:sz="8" w:color="DBDBDB"/>
            </w:tcBorders>
            <w:shd w:val="clear" w:color="auto" w:fill="DBDBDB"/>
          </w:tcPr>
          <w:p>
            <w:pPr>
              <w:spacing w:after="0"/>
              <w:rPr>
                <w:sz w:val="21"/>
                <w:szCs w:val="21"/>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7,239</w:t>
            </w:r>
          </w:p>
        </w:tc>
        <w:tc>
          <w:tcPr>
            <w:tcW w:w="120" w:type="dxa"/>
            <w:vAlign w:val="bottom"/>
            <w:tcBorders>
              <w:bottom w:val="single" w:sz="8" w:color="DBDBDB"/>
            </w:tcBorders>
            <w:shd w:val="clear" w:color="auto" w:fill="DBDBDB"/>
          </w:tcPr>
          <w:p>
            <w:pPr>
              <w:spacing w:after="0"/>
              <w:rPr>
                <w:sz w:val="21"/>
                <w:szCs w:val="21"/>
                <w:color w:val="auto"/>
              </w:rPr>
            </w:pP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6,827</w:t>
            </w:r>
          </w:p>
        </w:tc>
      </w:tr>
      <w:tr>
        <w:trPr>
          <w:trHeight w:val="20"/>
        </w:trPr>
        <w:tc>
          <w:tcPr>
            <w:tcW w:w="758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6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600" w:type="dxa"/>
            <w:vAlign w:val="bottom"/>
            <w:tcBorders>
              <w:top w:val="single" w:sz="8" w:color="DBDBDB"/>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Trade receivables include $2,049 million and $1,589 million of unbilled balances under long-term contracts as of September 30, 2021, and December 31, 2020. These amounts are billed in accordance with the terms of the customer contracts to which they relate.</w:t>
      </w:r>
    </w:p>
    <w:p>
      <w:pPr>
        <w:spacing w:after="0" w:line="267" w:lineRule="exact"/>
        <w:rPr>
          <w:sz w:val="20"/>
          <w:szCs w:val="20"/>
          <w:color w:val="auto"/>
        </w:rPr>
      </w:pPr>
    </w:p>
    <w:p>
      <w:pPr>
        <w:spacing w:after="0"/>
        <w:rPr>
          <w:sz w:val="20"/>
          <w:szCs w:val="20"/>
          <w:color w:val="auto"/>
        </w:rPr>
      </w:pPr>
      <w:r>
        <w:rPr>
          <w:rFonts w:ascii="Arial" w:cs="Arial" w:eastAsia="Arial" w:hAnsi="Arial"/>
          <w:sz w:val="29"/>
          <w:szCs w:val="29"/>
          <w:b w:val="1"/>
          <w:bCs w:val="1"/>
          <w:color w:val="DC202E"/>
        </w:rPr>
        <w:t>NOTE 8. INVENTORIES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2021</w:t>
            </w:r>
          </w:p>
        </w:tc>
        <w:tc>
          <w:tcPr>
            <w:tcW w:w="180" w:type="dxa"/>
            <w:vAlign w:val="bottom"/>
          </w:tcPr>
          <w:p>
            <w:pPr>
              <w:spacing w:after="0"/>
              <w:rPr>
                <w:sz w:val="17"/>
                <w:szCs w:val="17"/>
                <w:color w:val="auto"/>
              </w:rPr>
            </w:pPr>
          </w:p>
        </w:tc>
        <w:tc>
          <w:tcPr>
            <w:tcW w:w="1600" w:type="dxa"/>
            <w:vAlign w:val="bottom"/>
          </w:tcPr>
          <w:p>
            <w:pPr>
              <w:jc w:val="right"/>
              <w:ind w:right="154"/>
              <w:spacing w:after="0"/>
              <w:rPr>
                <w:sz w:val="20"/>
                <w:szCs w:val="20"/>
                <w:color w:val="auto"/>
              </w:rPr>
            </w:pPr>
            <w:r>
              <w:rPr>
                <w:rFonts w:ascii="Arial" w:cs="Arial" w:eastAsia="Arial" w:hAnsi="Arial"/>
                <w:sz w:val="14"/>
                <w:szCs w:val="14"/>
                <w:b w:val="1"/>
                <w:bCs w:val="1"/>
                <w:color w:val="auto"/>
              </w:rPr>
              <w:t>December 31, 2020</w:t>
            </w:r>
          </w:p>
        </w:tc>
      </w:tr>
      <w:tr>
        <w:trPr>
          <w:trHeight w:val="230"/>
        </w:trPr>
        <w:tc>
          <w:tcPr>
            <w:tcW w:w="75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Raw materials</w:t>
            </w:r>
          </w:p>
        </w:tc>
        <w:tc>
          <w:tcPr>
            <w:tcW w:w="160" w:type="dxa"/>
            <w:vAlign w:val="bottom"/>
            <w:tcBorders>
              <w:top w:val="single" w:sz="8" w:color="DC202E"/>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DC202E"/>
            </w:tcBorders>
            <w:shd w:val="clear" w:color="auto" w:fill="DBDBDB"/>
          </w:tcPr>
          <w:p>
            <w:pPr>
              <w:jc w:val="right"/>
              <w:spacing w:after="0"/>
              <w:rPr>
                <w:sz w:val="20"/>
                <w:szCs w:val="20"/>
                <w:color w:val="auto"/>
              </w:rPr>
            </w:pPr>
            <w:r>
              <w:rPr>
                <w:rFonts w:ascii="Arial" w:cs="Arial" w:eastAsia="Arial" w:hAnsi="Arial"/>
                <w:sz w:val="18"/>
                <w:szCs w:val="18"/>
                <w:color w:val="auto"/>
              </w:rPr>
              <w:t>1,296</w:t>
            </w:r>
          </w:p>
        </w:tc>
        <w:tc>
          <w:tcPr>
            <w:tcW w:w="12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DC202E"/>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DC202E"/>
            </w:tcBorders>
            <w:shd w:val="clear" w:color="auto" w:fill="DBDBDB"/>
          </w:tcPr>
          <w:p>
            <w:pPr>
              <w:jc w:val="right"/>
              <w:spacing w:after="0"/>
              <w:rPr>
                <w:sz w:val="20"/>
                <w:szCs w:val="20"/>
                <w:color w:val="auto"/>
              </w:rPr>
            </w:pPr>
            <w:r>
              <w:rPr>
                <w:rFonts w:ascii="Arial" w:cs="Arial" w:eastAsia="Arial" w:hAnsi="Arial"/>
                <w:sz w:val="18"/>
                <w:szCs w:val="18"/>
                <w:color w:val="auto"/>
              </w:rPr>
              <w:t>1,079</w:t>
            </w: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848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798</w:t>
            </w:r>
          </w:p>
        </w:tc>
      </w:tr>
      <w:tr>
        <w:trPr>
          <w:trHeight w:val="230"/>
        </w:trPr>
        <w:tc>
          <w:tcPr>
            <w:tcW w:w="7580" w:type="dxa"/>
            <w:vAlign w:val="bottom"/>
            <w:shd w:val="clear" w:color="auto" w:fill="DBDBDB"/>
          </w:tcPr>
          <w:p>
            <w:pPr>
              <w:ind w:left="20"/>
              <w:spacing w:after="0"/>
              <w:rPr>
                <w:sz w:val="20"/>
                <w:szCs w:val="20"/>
                <w:color w:val="auto"/>
              </w:rPr>
            </w:pPr>
            <w:r>
              <w:rPr>
                <w:rFonts w:ascii="Arial" w:cs="Arial" w:eastAsia="Arial" w:hAnsi="Arial"/>
                <w:sz w:val="18"/>
                <w:szCs w:val="18"/>
                <w:color w:val="auto"/>
              </w:rPr>
              <w:t>Finished products</w:t>
            </w:r>
          </w:p>
        </w:tc>
        <w:tc>
          <w:tcPr>
            <w:tcW w:w="160" w:type="dxa"/>
            <w:vAlign w:val="bottom"/>
            <w:tcBorders>
              <w:bottom w:val="single" w:sz="8" w:color="auto"/>
            </w:tcBorders>
            <w:shd w:val="clear" w:color="auto" w:fill="DBDBDB"/>
          </w:tcPr>
          <w:p>
            <w:pPr>
              <w:spacing w:after="0"/>
              <w:rPr>
                <w:sz w:val="19"/>
                <w:szCs w:val="19"/>
                <w:color w:val="auto"/>
              </w:rPr>
            </w:pPr>
          </w:p>
        </w:tc>
        <w:tc>
          <w:tcPr>
            <w:tcW w:w="1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2,823</w:t>
            </w:r>
          </w:p>
        </w:tc>
        <w:tc>
          <w:tcPr>
            <w:tcW w:w="12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2,612</w:t>
            </w:r>
          </w:p>
        </w:tc>
      </w:tr>
      <w:tr>
        <w:trPr>
          <w:trHeight w:val="223"/>
        </w:trPr>
        <w:tc>
          <w:tcPr>
            <w:tcW w:w="75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4,967</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4,489</w:t>
            </w:r>
          </w:p>
        </w:tc>
      </w:tr>
      <w:tr>
        <w:trPr>
          <w:trHeight w:val="21"/>
        </w:trPr>
        <w:tc>
          <w:tcPr>
            <w:tcW w:w="7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13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9"/>
          <w:szCs w:val="29"/>
          <w:b w:val="1"/>
          <w:bCs w:val="1"/>
          <w:color w:val="DC202E"/>
        </w:rPr>
        <w:t>NOTE 9. LONG-TERM DEBT AND CREDIT AGREEMENTS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580" w:type="dxa"/>
            <w:vAlign w:val="bottom"/>
            <w:tcBorders>
              <w:bottom w:val="single" w:sz="8" w:color="DBDBDB"/>
            </w:tcBorders>
          </w:tcPr>
          <w:p>
            <w:pPr>
              <w:spacing w:after="0"/>
              <w:rPr>
                <w:sz w:val="15"/>
                <w:szCs w:val="15"/>
                <w:color w:val="auto"/>
              </w:rPr>
            </w:pPr>
          </w:p>
        </w:tc>
        <w:tc>
          <w:tcPr>
            <w:tcW w:w="160" w:type="dxa"/>
            <w:vAlign w:val="bottom"/>
            <w:tcBorders>
              <w:bottom w:val="single" w:sz="8" w:color="DC202E"/>
            </w:tcBorders>
          </w:tcPr>
          <w:p>
            <w:pPr>
              <w:spacing w:after="0"/>
              <w:rPr>
                <w:sz w:val="15"/>
                <w:szCs w:val="15"/>
                <w:color w:val="auto"/>
              </w:rPr>
            </w:pPr>
          </w:p>
        </w:tc>
        <w:tc>
          <w:tcPr>
            <w:tcW w:w="1600" w:type="dxa"/>
            <w:vAlign w:val="bottom"/>
            <w:tcBorders>
              <w:bottom w:val="single" w:sz="8" w:color="DC202E"/>
            </w:tcBorders>
          </w:tcPr>
          <w:p>
            <w:pPr>
              <w:jc w:val="right"/>
              <w:ind w:right="111"/>
              <w:spacing w:after="0"/>
              <w:rPr>
                <w:sz w:val="20"/>
                <w:szCs w:val="20"/>
                <w:color w:val="auto"/>
              </w:rPr>
            </w:pPr>
            <w:r>
              <w:rPr>
                <w:rFonts w:ascii="Arial" w:cs="Arial" w:eastAsia="Arial" w:hAnsi="Arial"/>
                <w:sz w:val="14"/>
                <w:szCs w:val="14"/>
                <w:b w:val="1"/>
                <w:bCs w:val="1"/>
                <w:color w:val="auto"/>
              </w:rPr>
              <w:t>September 30, 2021</w:t>
            </w:r>
          </w:p>
        </w:tc>
        <w:tc>
          <w:tcPr>
            <w:tcW w:w="120" w:type="dxa"/>
            <w:vAlign w:val="bottom"/>
            <w:tcBorders>
              <w:bottom w:val="single" w:sz="8" w:color="DBDBDB"/>
            </w:tcBorders>
          </w:tcPr>
          <w:p>
            <w:pPr>
              <w:spacing w:after="0"/>
              <w:rPr>
                <w:sz w:val="15"/>
                <w:szCs w:val="15"/>
                <w:color w:val="auto"/>
              </w:rPr>
            </w:pPr>
          </w:p>
        </w:tc>
        <w:tc>
          <w:tcPr>
            <w:tcW w:w="180" w:type="dxa"/>
            <w:vAlign w:val="bottom"/>
            <w:tcBorders>
              <w:bottom w:val="single" w:sz="8" w:color="DC202E"/>
            </w:tcBorders>
          </w:tcPr>
          <w:p>
            <w:pPr>
              <w:spacing w:after="0"/>
              <w:rPr>
                <w:sz w:val="15"/>
                <w:szCs w:val="15"/>
                <w:color w:val="auto"/>
              </w:rPr>
            </w:pPr>
          </w:p>
        </w:tc>
        <w:tc>
          <w:tcPr>
            <w:tcW w:w="1600" w:type="dxa"/>
            <w:vAlign w:val="bottom"/>
            <w:tcBorders>
              <w:bottom w:val="single" w:sz="8" w:color="DC202E"/>
            </w:tcBorders>
          </w:tcPr>
          <w:p>
            <w:pPr>
              <w:jc w:val="right"/>
              <w:ind w:right="151"/>
              <w:spacing w:after="0"/>
              <w:rPr>
                <w:sz w:val="20"/>
                <w:szCs w:val="20"/>
                <w:color w:val="auto"/>
              </w:rPr>
            </w:pPr>
            <w:r>
              <w:rPr>
                <w:rFonts w:ascii="Arial" w:cs="Arial" w:eastAsia="Arial" w:hAnsi="Arial"/>
                <w:sz w:val="14"/>
                <w:szCs w:val="14"/>
                <w:b w:val="1"/>
                <w:bCs w:val="1"/>
                <w:color w:val="auto"/>
              </w:rPr>
              <w:t>December 31, 2020</w:t>
            </w:r>
          </w:p>
        </w:tc>
      </w:tr>
      <w:tr>
        <w:trPr>
          <w:trHeight w:val="230"/>
        </w:trPr>
        <w:tc>
          <w:tcPr>
            <w:tcW w:w="7580" w:type="dxa"/>
            <w:vAlign w:val="bottom"/>
            <w:shd w:val="clear" w:color="auto" w:fill="DBDBDB"/>
          </w:tcPr>
          <w:p>
            <w:pPr>
              <w:ind w:left="20"/>
              <w:spacing w:after="0"/>
              <w:rPr>
                <w:sz w:val="20"/>
                <w:szCs w:val="20"/>
                <w:color w:val="auto"/>
              </w:rPr>
            </w:pPr>
            <w:r>
              <w:rPr>
                <w:rFonts w:ascii="Arial" w:cs="Arial" w:eastAsia="Arial" w:hAnsi="Arial"/>
                <w:sz w:val="18"/>
                <w:szCs w:val="18"/>
                <w:color w:val="auto"/>
              </w:rPr>
              <w:t>4.25% notes due 2021</w:t>
            </w: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800</w:t>
            </w: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1.85% notes due 2021</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1,500</w:t>
            </w:r>
          </w:p>
        </w:tc>
      </w:tr>
      <w:tr>
        <w:trPr>
          <w:trHeight w:val="229"/>
        </w:trPr>
        <w:tc>
          <w:tcPr>
            <w:tcW w:w="7580" w:type="dxa"/>
            <w:vAlign w:val="bottom"/>
            <w:shd w:val="clear" w:color="auto" w:fill="DBDBDB"/>
          </w:tcPr>
          <w:p>
            <w:pPr>
              <w:ind w:left="20"/>
              <w:spacing w:after="0"/>
              <w:rPr>
                <w:sz w:val="20"/>
                <w:szCs w:val="20"/>
                <w:color w:val="auto"/>
              </w:rPr>
            </w:pPr>
            <w:r>
              <w:rPr>
                <w:rFonts w:ascii="Arial" w:cs="Arial" w:eastAsia="Arial" w:hAnsi="Arial"/>
                <w:sz w:val="18"/>
                <w:szCs w:val="18"/>
                <w:color w:val="auto"/>
              </w:rPr>
              <w:t>0.483% notes due 2022</w:t>
            </w:r>
          </w:p>
        </w:tc>
        <w:tc>
          <w:tcPr>
            <w:tcW w:w="160" w:type="dxa"/>
            <w:vAlign w:val="bottom"/>
            <w:shd w:val="clear" w:color="auto" w:fill="DBDBDB"/>
          </w:tcPr>
          <w:p>
            <w:pPr>
              <w:spacing w:after="0"/>
              <w:rPr>
                <w:sz w:val="19"/>
                <w:szCs w:val="19"/>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2,500</w:t>
            </w: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2.15% notes due 2022</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600</w:t>
            </w:r>
          </w:p>
        </w:tc>
      </w:tr>
      <w:tr>
        <w:trPr>
          <w:trHeight w:val="229"/>
        </w:trPr>
        <w:tc>
          <w:tcPr>
            <w:tcW w:w="7580" w:type="dxa"/>
            <w:vAlign w:val="bottom"/>
            <w:shd w:val="clear" w:color="auto" w:fill="DBDBDB"/>
          </w:tcPr>
          <w:p>
            <w:pPr>
              <w:ind w:left="20"/>
              <w:spacing w:after="0"/>
              <w:rPr>
                <w:sz w:val="20"/>
                <w:szCs w:val="20"/>
                <w:color w:val="auto"/>
              </w:rPr>
            </w:pPr>
            <w:r>
              <w:rPr>
                <w:rFonts w:ascii="Arial" w:cs="Arial" w:eastAsia="Arial" w:hAnsi="Arial"/>
                <w:sz w:val="18"/>
                <w:szCs w:val="18"/>
                <w:color w:val="auto"/>
              </w:rPr>
              <w:t>Floating rate notes due 2022</w:t>
            </w:r>
          </w:p>
        </w:tc>
        <w:tc>
          <w:tcPr>
            <w:tcW w:w="160" w:type="dxa"/>
            <w:vAlign w:val="bottom"/>
            <w:shd w:val="clear" w:color="auto" w:fill="DBDBDB"/>
          </w:tcPr>
          <w:p>
            <w:pPr>
              <w:spacing w:after="0"/>
              <w:rPr>
                <w:sz w:val="19"/>
                <w:szCs w:val="19"/>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600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1,100</w:t>
            </w: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1.30% Euro notes due 2023</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1,450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1,534</w:t>
            </w:r>
          </w:p>
        </w:tc>
      </w:tr>
      <w:tr>
        <w:trPr>
          <w:trHeight w:val="230"/>
        </w:trPr>
        <w:tc>
          <w:tcPr>
            <w:tcW w:w="7580" w:type="dxa"/>
            <w:vAlign w:val="bottom"/>
            <w:shd w:val="clear" w:color="auto" w:fill="DBDBDB"/>
          </w:tcPr>
          <w:p>
            <w:pPr>
              <w:ind w:left="20"/>
              <w:spacing w:after="0"/>
              <w:rPr>
                <w:sz w:val="20"/>
                <w:szCs w:val="20"/>
                <w:color w:val="auto"/>
              </w:rPr>
            </w:pPr>
            <w:r>
              <w:rPr>
                <w:rFonts w:ascii="Arial" w:cs="Arial" w:eastAsia="Arial" w:hAnsi="Arial"/>
                <w:sz w:val="18"/>
                <w:szCs w:val="18"/>
                <w:color w:val="auto"/>
              </w:rPr>
              <w:t>3.35% notes due 2023</w:t>
            </w:r>
          </w:p>
        </w:tc>
        <w:tc>
          <w:tcPr>
            <w:tcW w:w="160" w:type="dxa"/>
            <w:vAlign w:val="bottom"/>
            <w:shd w:val="clear" w:color="auto" w:fill="DBDBDB"/>
          </w:tcPr>
          <w:p>
            <w:pPr>
              <w:spacing w:after="0"/>
              <w:rPr>
                <w:sz w:val="19"/>
                <w:szCs w:val="19"/>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300</w:t>
            </w: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0.00% Euro notes due 2024</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580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614</w:t>
            </w:r>
          </w:p>
        </w:tc>
      </w:tr>
      <w:tr>
        <w:trPr>
          <w:trHeight w:val="230"/>
        </w:trPr>
        <w:tc>
          <w:tcPr>
            <w:tcW w:w="7580" w:type="dxa"/>
            <w:vAlign w:val="bottom"/>
            <w:shd w:val="clear" w:color="auto" w:fill="DBDBDB"/>
          </w:tcPr>
          <w:p>
            <w:pPr>
              <w:ind w:left="20"/>
              <w:spacing w:after="0"/>
              <w:rPr>
                <w:sz w:val="20"/>
                <w:szCs w:val="20"/>
                <w:color w:val="auto"/>
              </w:rPr>
            </w:pPr>
            <w:r>
              <w:rPr>
                <w:rFonts w:ascii="Arial" w:cs="Arial" w:eastAsia="Arial" w:hAnsi="Arial"/>
                <w:sz w:val="18"/>
                <w:szCs w:val="18"/>
                <w:color w:val="auto"/>
              </w:rPr>
              <w:t>2.30% notes due 2024</w:t>
            </w:r>
          </w:p>
        </w:tc>
        <w:tc>
          <w:tcPr>
            <w:tcW w:w="160" w:type="dxa"/>
            <w:vAlign w:val="bottom"/>
            <w:shd w:val="clear" w:color="auto" w:fill="DBDBDB"/>
          </w:tcPr>
          <w:p>
            <w:pPr>
              <w:spacing w:after="0"/>
              <w:rPr>
                <w:sz w:val="19"/>
                <w:szCs w:val="19"/>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750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750</w:t>
            </w: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1.35% notes due 2025</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1,250</w:t>
            </w:r>
          </w:p>
        </w:tc>
      </w:tr>
      <w:tr>
        <w:trPr>
          <w:trHeight w:val="229"/>
        </w:trPr>
        <w:tc>
          <w:tcPr>
            <w:tcW w:w="7580" w:type="dxa"/>
            <w:vAlign w:val="bottom"/>
            <w:shd w:val="clear" w:color="auto" w:fill="DBDBDB"/>
          </w:tcPr>
          <w:p>
            <w:pPr>
              <w:ind w:left="20"/>
              <w:spacing w:after="0"/>
              <w:rPr>
                <w:sz w:val="20"/>
                <w:szCs w:val="20"/>
                <w:color w:val="auto"/>
              </w:rPr>
            </w:pPr>
            <w:r>
              <w:rPr>
                <w:rFonts w:ascii="Arial" w:cs="Arial" w:eastAsia="Arial" w:hAnsi="Arial"/>
                <w:sz w:val="18"/>
                <w:szCs w:val="18"/>
                <w:color w:val="auto"/>
              </w:rPr>
              <w:t>2.50% notes due 2026</w:t>
            </w:r>
          </w:p>
        </w:tc>
        <w:tc>
          <w:tcPr>
            <w:tcW w:w="160" w:type="dxa"/>
            <w:vAlign w:val="bottom"/>
            <w:shd w:val="clear" w:color="auto" w:fill="DBDBDB"/>
          </w:tcPr>
          <w:p>
            <w:pPr>
              <w:spacing w:after="0"/>
              <w:rPr>
                <w:sz w:val="19"/>
                <w:szCs w:val="19"/>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1,500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1,500</w:t>
            </w: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1.10% notes due 2027</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580" w:type="dxa"/>
            <w:vAlign w:val="bottom"/>
            <w:shd w:val="clear" w:color="auto" w:fill="DBDBDB"/>
          </w:tcPr>
          <w:p>
            <w:pPr>
              <w:ind w:left="20"/>
              <w:spacing w:after="0"/>
              <w:rPr>
                <w:sz w:val="20"/>
                <w:szCs w:val="20"/>
                <w:color w:val="auto"/>
              </w:rPr>
            </w:pPr>
            <w:r>
              <w:rPr>
                <w:rFonts w:ascii="Arial" w:cs="Arial" w:eastAsia="Arial" w:hAnsi="Arial"/>
                <w:sz w:val="18"/>
                <w:szCs w:val="18"/>
                <w:color w:val="auto"/>
              </w:rPr>
              <w:t>2.25% Euro notes due 2028</w:t>
            </w:r>
          </w:p>
        </w:tc>
        <w:tc>
          <w:tcPr>
            <w:tcW w:w="160" w:type="dxa"/>
            <w:vAlign w:val="bottom"/>
            <w:shd w:val="clear" w:color="auto" w:fill="DBDBDB"/>
          </w:tcPr>
          <w:p>
            <w:pPr>
              <w:spacing w:after="0"/>
              <w:rPr>
                <w:sz w:val="19"/>
                <w:szCs w:val="19"/>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870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920</w:t>
            </w: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2.70% notes due 2029</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750</w:t>
            </w:r>
          </w:p>
        </w:tc>
      </w:tr>
      <w:tr>
        <w:trPr>
          <w:trHeight w:val="230"/>
        </w:trPr>
        <w:tc>
          <w:tcPr>
            <w:tcW w:w="7580" w:type="dxa"/>
            <w:vAlign w:val="bottom"/>
            <w:shd w:val="clear" w:color="auto" w:fill="DBDBDB"/>
          </w:tcPr>
          <w:p>
            <w:pPr>
              <w:ind w:left="20"/>
              <w:spacing w:after="0"/>
              <w:rPr>
                <w:sz w:val="20"/>
                <w:szCs w:val="20"/>
                <w:color w:val="auto"/>
              </w:rPr>
            </w:pPr>
            <w:r>
              <w:rPr>
                <w:rFonts w:ascii="Arial" w:cs="Arial" w:eastAsia="Arial" w:hAnsi="Arial"/>
                <w:sz w:val="18"/>
                <w:szCs w:val="18"/>
                <w:color w:val="auto"/>
              </w:rPr>
              <w:t>1.95% notes due 2030</w:t>
            </w:r>
          </w:p>
        </w:tc>
        <w:tc>
          <w:tcPr>
            <w:tcW w:w="160" w:type="dxa"/>
            <w:vAlign w:val="bottom"/>
            <w:shd w:val="clear" w:color="auto" w:fill="DBDBDB"/>
          </w:tcPr>
          <w:p>
            <w:pPr>
              <w:spacing w:after="0"/>
              <w:rPr>
                <w:sz w:val="19"/>
                <w:szCs w:val="19"/>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1.75% notes due 2031</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580" w:type="dxa"/>
            <w:vAlign w:val="bottom"/>
            <w:shd w:val="clear" w:color="auto" w:fill="DBDBDB"/>
          </w:tcPr>
          <w:p>
            <w:pPr>
              <w:ind w:left="20"/>
              <w:spacing w:after="0"/>
              <w:rPr>
                <w:sz w:val="20"/>
                <w:szCs w:val="20"/>
                <w:color w:val="auto"/>
              </w:rPr>
            </w:pPr>
            <w:r>
              <w:rPr>
                <w:rFonts w:ascii="Arial" w:cs="Arial" w:eastAsia="Arial" w:hAnsi="Arial"/>
                <w:sz w:val="18"/>
                <w:szCs w:val="18"/>
                <w:color w:val="auto"/>
              </w:rPr>
              <w:t>0.75% Euro notes due 2032</w:t>
            </w:r>
          </w:p>
        </w:tc>
        <w:tc>
          <w:tcPr>
            <w:tcW w:w="160" w:type="dxa"/>
            <w:vAlign w:val="bottom"/>
            <w:shd w:val="clear" w:color="auto" w:fill="DBDBDB"/>
          </w:tcPr>
          <w:p>
            <w:pPr>
              <w:spacing w:after="0"/>
              <w:rPr>
                <w:sz w:val="19"/>
                <w:szCs w:val="19"/>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580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614</w:t>
            </w: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5.70% notes due 2036</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441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441</w:t>
            </w:r>
          </w:p>
        </w:tc>
      </w:tr>
      <w:tr>
        <w:trPr>
          <w:trHeight w:val="230"/>
        </w:trPr>
        <w:tc>
          <w:tcPr>
            <w:tcW w:w="7580" w:type="dxa"/>
            <w:vAlign w:val="bottom"/>
            <w:shd w:val="clear" w:color="auto" w:fill="DBDBDB"/>
          </w:tcPr>
          <w:p>
            <w:pPr>
              <w:ind w:left="20"/>
              <w:spacing w:after="0"/>
              <w:rPr>
                <w:sz w:val="20"/>
                <w:szCs w:val="20"/>
                <w:color w:val="auto"/>
              </w:rPr>
            </w:pPr>
            <w:r>
              <w:rPr>
                <w:rFonts w:ascii="Arial" w:cs="Arial" w:eastAsia="Arial" w:hAnsi="Arial"/>
                <w:sz w:val="18"/>
                <w:szCs w:val="18"/>
                <w:color w:val="auto"/>
              </w:rPr>
              <w:t>5.70% notes due 2037</w:t>
            </w:r>
          </w:p>
        </w:tc>
        <w:tc>
          <w:tcPr>
            <w:tcW w:w="160" w:type="dxa"/>
            <w:vAlign w:val="bottom"/>
            <w:shd w:val="clear" w:color="auto" w:fill="DBDBDB"/>
          </w:tcPr>
          <w:p>
            <w:pPr>
              <w:spacing w:after="0"/>
              <w:rPr>
                <w:sz w:val="19"/>
                <w:szCs w:val="19"/>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462</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462</w:t>
            </w: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5.375% notes due 2041</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417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417</w:t>
            </w:r>
          </w:p>
        </w:tc>
      </w:tr>
      <w:tr>
        <w:trPr>
          <w:trHeight w:val="230"/>
        </w:trPr>
        <w:tc>
          <w:tcPr>
            <w:tcW w:w="7580" w:type="dxa"/>
            <w:vAlign w:val="bottom"/>
            <w:shd w:val="clear" w:color="auto" w:fill="DBDBDB"/>
          </w:tcPr>
          <w:p>
            <w:pPr>
              <w:ind w:left="20"/>
              <w:spacing w:after="0"/>
              <w:rPr>
                <w:sz w:val="20"/>
                <w:szCs w:val="20"/>
                <w:color w:val="auto"/>
              </w:rPr>
            </w:pPr>
            <w:r>
              <w:rPr>
                <w:rFonts w:ascii="Arial" w:cs="Arial" w:eastAsia="Arial" w:hAnsi="Arial"/>
                <w:sz w:val="18"/>
                <w:szCs w:val="18"/>
                <w:color w:val="auto"/>
              </w:rPr>
              <w:t>3.812% notes due 2047</w:t>
            </w:r>
          </w:p>
        </w:tc>
        <w:tc>
          <w:tcPr>
            <w:tcW w:w="160" w:type="dxa"/>
            <w:vAlign w:val="bottom"/>
            <w:shd w:val="clear" w:color="auto" w:fill="DBDBDB"/>
          </w:tcPr>
          <w:p>
            <w:pPr>
              <w:spacing w:after="0"/>
              <w:rPr>
                <w:sz w:val="19"/>
                <w:szCs w:val="19"/>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445</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445</w:t>
            </w: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2.80% notes due 2050</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750</w:t>
            </w:r>
          </w:p>
        </w:tc>
      </w:tr>
      <w:tr>
        <w:trPr>
          <w:trHeight w:val="230"/>
        </w:trPr>
        <w:tc>
          <w:tcPr>
            <w:tcW w:w="7580" w:type="dxa"/>
            <w:vAlign w:val="bottom"/>
            <w:shd w:val="clear" w:color="auto" w:fill="DBDBDB"/>
          </w:tcPr>
          <w:p>
            <w:pPr>
              <w:ind w:left="20"/>
              <w:spacing w:after="0"/>
              <w:rPr>
                <w:sz w:val="20"/>
                <w:szCs w:val="20"/>
                <w:color w:val="auto"/>
              </w:rPr>
            </w:pPr>
            <w:r>
              <w:rPr>
                <w:rFonts w:ascii="Arial" w:cs="Arial" w:eastAsia="Arial" w:hAnsi="Arial"/>
                <w:sz w:val="18"/>
                <w:szCs w:val="18"/>
                <w:color w:val="auto"/>
              </w:rPr>
              <w:t>Industrial development bond obligations, floating rate maturing at various dates through 2037</w:t>
            </w:r>
          </w:p>
        </w:tc>
        <w:tc>
          <w:tcPr>
            <w:tcW w:w="160" w:type="dxa"/>
            <w:vAlign w:val="bottom"/>
            <w:shd w:val="clear" w:color="auto" w:fill="DBDBDB"/>
          </w:tcPr>
          <w:p>
            <w:pPr>
              <w:spacing w:after="0"/>
              <w:rPr>
                <w:sz w:val="19"/>
                <w:szCs w:val="19"/>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6.625% debentures due 2028</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201</w:t>
            </w:r>
          </w:p>
        </w:tc>
      </w:tr>
      <w:tr>
        <w:trPr>
          <w:trHeight w:val="229"/>
        </w:trPr>
        <w:tc>
          <w:tcPr>
            <w:tcW w:w="7580" w:type="dxa"/>
            <w:vAlign w:val="bottom"/>
            <w:shd w:val="clear" w:color="auto" w:fill="DBDBDB"/>
          </w:tcPr>
          <w:p>
            <w:pPr>
              <w:ind w:left="20"/>
              <w:spacing w:after="0"/>
              <w:rPr>
                <w:sz w:val="20"/>
                <w:szCs w:val="20"/>
                <w:color w:val="auto"/>
              </w:rPr>
            </w:pPr>
            <w:r>
              <w:rPr>
                <w:rFonts w:ascii="Arial" w:cs="Arial" w:eastAsia="Arial" w:hAnsi="Arial"/>
                <w:sz w:val="18"/>
                <w:szCs w:val="18"/>
                <w:color w:val="auto"/>
              </w:rPr>
              <w:t>9.065% debentures due 2033</w:t>
            </w:r>
          </w:p>
        </w:tc>
        <w:tc>
          <w:tcPr>
            <w:tcW w:w="160" w:type="dxa"/>
            <w:vAlign w:val="bottom"/>
            <w:shd w:val="clear" w:color="auto" w:fill="DBDBDB"/>
          </w:tcPr>
          <w:p>
            <w:pPr>
              <w:spacing w:after="0"/>
              <w:rPr>
                <w:sz w:val="19"/>
                <w:szCs w:val="19"/>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51</w:t>
            </w:r>
          </w:p>
        </w:tc>
      </w:tr>
      <w:tr>
        <w:trPr>
          <w:trHeight w:val="188"/>
        </w:trPr>
        <w:tc>
          <w:tcPr>
            <w:tcW w:w="7580" w:type="dxa"/>
            <w:vAlign w:val="bottom"/>
          </w:tcPr>
          <w:p>
            <w:pPr>
              <w:ind w:left="20"/>
              <w:spacing w:after="0" w:line="189" w:lineRule="exact"/>
              <w:rPr>
                <w:sz w:val="20"/>
                <w:szCs w:val="20"/>
                <w:color w:val="auto"/>
              </w:rPr>
            </w:pPr>
            <w:r>
              <w:rPr>
                <w:rFonts w:ascii="Arial" w:cs="Arial" w:eastAsia="Arial" w:hAnsi="Arial"/>
                <w:sz w:val="18"/>
                <w:szCs w:val="18"/>
                <w:color w:val="auto"/>
              </w:rPr>
              <w:t>Other (including capitalized leases and debt issuance costs), 8.0% weighted average interest</w:t>
            </w: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17"/>
        </w:trPr>
        <w:tc>
          <w:tcPr>
            <w:tcW w:w="75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rate maturing at various dates through 2026</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DBDBDB"/>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w:t>
            </w:r>
          </w:p>
        </w:tc>
      </w:tr>
      <w:tr>
        <w:trPr>
          <w:trHeight w:val="223"/>
        </w:trPr>
        <w:tc>
          <w:tcPr>
            <w:tcW w:w="758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17,690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18,787</w:t>
            </w:r>
          </w:p>
        </w:tc>
      </w:tr>
      <w:tr>
        <w:trPr>
          <w:trHeight w:val="230"/>
        </w:trPr>
        <w:tc>
          <w:tcPr>
            <w:tcW w:w="75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Less-current portion</w:t>
            </w: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(3,344)</w:t>
            </w:r>
          </w:p>
        </w:tc>
        <w:tc>
          <w:tcPr>
            <w:tcW w:w="12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(2,445)</w:t>
            </w:r>
          </w:p>
        </w:tc>
      </w:tr>
      <w:tr>
        <w:trPr>
          <w:trHeight w:val="248"/>
        </w:trPr>
        <w:tc>
          <w:tcPr>
            <w:tcW w:w="7580" w:type="dxa"/>
            <w:vAlign w:val="bottom"/>
            <w:tcBorders>
              <w:bottom w:val="single" w:sz="8" w:color="DBDBDB"/>
            </w:tcBorders>
            <w:shd w:val="clear" w:color="auto" w:fill="DBDBDB"/>
          </w:tcPr>
          <w:p>
            <w:pPr>
              <w:spacing w:after="0"/>
              <w:rPr>
                <w:sz w:val="21"/>
                <w:szCs w:val="21"/>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14,346</w:t>
            </w:r>
          </w:p>
        </w:tc>
        <w:tc>
          <w:tcPr>
            <w:tcW w:w="120" w:type="dxa"/>
            <w:vAlign w:val="bottom"/>
            <w:tcBorders>
              <w:bottom w:val="single" w:sz="8" w:color="DBDBDB"/>
            </w:tcBorders>
            <w:shd w:val="clear" w:color="auto" w:fill="DBDBDB"/>
          </w:tcPr>
          <w:p>
            <w:pPr>
              <w:spacing w:after="0"/>
              <w:rPr>
                <w:sz w:val="21"/>
                <w:szCs w:val="21"/>
                <w:color w:val="auto"/>
              </w:rPr>
            </w:pP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16,342</w:t>
            </w:r>
          </w:p>
        </w:tc>
      </w:tr>
      <w:tr>
        <w:trPr>
          <w:trHeight w:val="20"/>
        </w:trPr>
        <w:tc>
          <w:tcPr>
            <w:tcW w:w="758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6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60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14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4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August 16, 2021 the Company issued $1.0 billion 1.10% Senior Notes due 2027 and $1.5 billion 1.75% Senior Notes due 2031 (collectively, the Notes). The Company may redeem the Notes at any time, and from time to time, in whole or in part, at the Company's option at the applicable make-whole redemption price. The Notes are senior unsecured and unsubordinated obligations of the Company and rank equally with each other and with all of the Company's existing and future senior unsecured debt and senior to all of the Company's subordinated debt. The offering provided gross proceeds of $2.5 billion, offset by $ 18.0 million in discount and closing costs related to the offering. The Company used the proceeds of the offering to redeem at par $2 billion of the $2.5 billion in outstanding principal amount of our callable 0.483% Senior Notes due 2022 and to redeem in full and at par $500 million callable Floating rate Senior Notes due 2022 that the Company issued in August 2020.</w:t>
      </w:r>
    </w:p>
    <w:p>
      <w:pPr>
        <w:spacing w:after="0" w:line="9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March 31, 2021, the Company entered into a $4.0 billion Amended and Restated Five Year Credit Agreement (the 5-Year Credit Agreement) and a $1.5 billion 364-Day Credit Agreement (the 364-Day Credit Agreement). The 5-Year Credit Agreement amended and restated the previously reported $4.0 billion amended and restated five-year credit agreement dated as of April 26, 2019. Commitments under the 5-Year Credit Agreement can be increased pursuant to the terms of the 5-Year Credit Agreement to an aggregate amount not to exceed $4.5 billion. The 364-Day Credit Agreement replaced the $1.5 billion 364-day credit agreement dated as of April 10, 2020, which was terminated in accordance with its terms effective March 31, 2021. Amounts borrowed under the 364-Day Credit Agreement are required to be repaid no later than March 30, 2022, unless (i) Honeywell elects to convert all then outstanding amounts into a term loan, upon which such amounts shall be repaid in full on March 30, 2023, or (ii) the 364-Day Credit Agreement is terminated earlier pursuant to its terms. The 5-Year Credit Agreement and the 364-Day Credit Agreement are maintained for general corporate purposes.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On March 1, 2021, the Company repaid its 4.25% notes due 2021.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2021, there were no outstanding borrowings under the 5-Year Credit Agreement or the 364-Day Credit Agreement.</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15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9"/>
          <w:szCs w:val="29"/>
          <w:b w:val="1"/>
          <w:bCs w:val="1"/>
          <w:color w:val="DC202E"/>
        </w:rPr>
        <w:t>NOTE 10. LEASES</w:t>
      </w:r>
    </w:p>
    <w:p>
      <w:pPr>
        <w:spacing w:after="0" w:line="15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Company's operating and finance lease portfolio is described in Note 11 Leases of Notes to Consolidated Financial Statements in our 2020 Annual Report on Form 10-K.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was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580" w:type="dxa"/>
            <w:vAlign w:val="bottom"/>
          </w:tcPr>
          <w:p>
            <w:pPr>
              <w:spacing w:after="0"/>
              <w:rPr>
                <w:sz w:val="17"/>
                <w:szCs w:val="17"/>
                <w:color w:val="auto"/>
              </w:rPr>
            </w:pPr>
          </w:p>
        </w:tc>
        <w:tc>
          <w:tcPr>
            <w:tcW w:w="160" w:type="dxa"/>
            <w:vAlign w:val="bottom"/>
            <w:tcBorders>
              <w:bottom w:val="single" w:sz="8" w:color="DC202E"/>
            </w:tcBorders>
          </w:tcPr>
          <w:p>
            <w:pPr>
              <w:spacing w:after="0"/>
              <w:rPr>
                <w:sz w:val="17"/>
                <w:szCs w:val="17"/>
                <w:color w:val="auto"/>
              </w:rPr>
            </w:pPr>
          </w:p>
        </w:tc>
        <w:tc>
          <w:tcPr>
            <w:tcW w:w="3500" w:type="dxa"/>
            <w:vAlign w:val="bottom"/>
            <w:tcBorders>
              <w:bottom w:val="single" w:sz="8" w:color="DC202E"/>
            </w:tcBorders>
            <w:gridSpan w:val="4"/>
          </w:tcPr>
          <w:p>
            <w:pPr>
              <w:jc w:val="right"/>
              <w:ind w:right="553"/>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7580" w:type="dxa"/>
            <w:vAlign w:val="bottom"/>
          </w:tcPr>
          <w:p>
            <w:pPr>
              <w:spacing w:after="0"/>
              <w:rPr>
                <w:sz w:val="17"/>
                <w:szCs w:val="17"/>
                <w:color w:val="auto"/>
              </w:rPr>
            </w:pPr>
          </w:p>
        </w:tc>
        <w:tc>
          <w:tcPr>
            <w:tcW w:w="160" w:type="dxa"/>
            <w:vAlign w:val="bottom"/>
            <w:tcBorders>
              <w:bottom w:val="single" w:sz="8" w:color="DC202E"/>
            </w:tcBorders>
          </w:tcPr>
          <w:p>
            <w:pPr>
              <w:spacing w:after="0"/>
              <w:rPr>
                <w:sz w:val="17"/>
                <w:szCs w:val="17"/>
                <w:color w:val="auto"/>
              </w:rPr>
            </w:pPr>
          </w:p>
        </w:tc>
        <w:tc>
          <w:tcPr>
            <w:tcW w:w="1600" w:type="dxa"/>
            <w:vAlign w:val="bottom"/>
            <w:tcBorders>
              <w:bottom w:val="single" w:sz="8" w:color="DC202E"/>
            </w:tcBorders>
          </w:tcPr>
          <w:p>
            <w:pPr>
              <w:jc w:val="right"/>
              <w:ind w:right="63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180" w:type="dxa"/>
            <w:vAlign w:val="bottom"/>
            <w:tcBorders>
              <w:bottom w:val="single" w:sz="8" w:color="DC202E"/>
            </w:tcBorders>
          </w:tcPr>
          <w:p>
            <w:pPr>
              <w:spacing w:after="0"/>
              <w:rPr>
                <w:sz w:val="17"/>
                <w:szCs w:val="17"/>
                <w:color w:val="auto"/>
              </w:rPr>
            </w:pPr>
          </w:p>
        </w:tc>
        <w:tc>
          <w:tcPr>
            <w:tcW w:w="1600" w:type="dxa"/>
            <w:vAlign w:val="bottom"/>
            <w:tcBorders>
              <w:bottom w:val="single" w:sz="8" w:color="DC202E"/>
            </w:tcBorders>
          </w:tcPr>
          <w:p>
            <w:pPr>
              <w:jc w:val="right"/>
              <w:ind w:right="653"/>
              <w:spacing w:after="0"/>
              <w:rPr>
                <w:sz w:val="20"/>
                <w:szCs w:val="20"/>
                <w:color w:val="auto"/>
              </w:rPr>
            </w:pPr>
            <w:r>
              <w:rPr>
                <w:rFonts w:ascii="Arial" w:cs="Arial" w:eastAsia="Arial" w:hAnsi="Arial"/>
                <w:sz w:val="14"/>
                <w:szCs w:val="14"/>
                <w:b w:val="1"/>
                <w:bCs w:val="1"/>
                <w:color w:val="auto"/>
              </w:rPr>
              <w:t>2020</w:t>
            </w:r>
          </w:p>
        </w:tc>
      </w:tr>
      <w:tr>
        <w:trPr>
          <w:trHeight w:val="378"/>
        </w:trPr>
        <w:tc>
          <w:tcPr>
            <w:tcW w:w="7580" w:type="dxa"/>
            <w:vAlign w:val="bottom"/>
          </w:tcPr>
          <w:p>
            <w:pPr>
              <w:ind w:left="20"/>
              <w:spacing w:after="0"/>
              <w:rPr>
                <w:sz w:val="20"/>
                <w:szCs w:val="20"/>
                <w:color w:val="auto"/>
              </w:rPr>
            </w:pPr>
            <w:r>
              <w:rPr>
                <w:rFonts w:ascii="Arial" w:cs="Arial" w:eastAsia="Arial" w:hAnsi="Arial"/>
                <w:sz w:val="18"/>
                <w:szCs w:val="18"/>
                <w:b w:val="1"/>
                <w:bCs w:val="1"/>
                <w:color w:val="auto"/>
              </w:rPr>
              <w:t>Net right-of-use assets obtained in exchange for lease obligations:</w:t>
            </w: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92"/>
        </w:trPr>
        <w:tc>
          <w:tcPr>
            <w:tcW w:w="7580" w:type="dxa"/>
            <w:vAlign w:val="bottom"/>
            <w:shd w:val="clear" w:color="auto" w:fill="DBDBDB"/>
          </w:tcPr>
          <w:p>
            <w:pPr>
              <w:ind w:left="220"/>
              <w:spacing w:after="0"/>
              <w:rPr>
                <w:sz w:val="20"/>
                <w:szCs w:val="20"/>
                <w:color w:val="auto"/>
              </w:rPr>
            </w:pPr>
            <w:r>
              <w:rPr>
                <w:rFonts w:ascii="Arial" w:cs="Arial" w:eastAsia="Arial" w:hAnsi="Arial"/>
                <w:sz w:val="18"/>
                <w:szCs w:val="18"/>
                <w:color w:val="auto"/>
              </w:rPr>
              <w:t>Operating leases</w:t>
            </w: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290</w:t>
            </w:r>
          </w:p>
        </w:tc>
        <w:tc>
          <w:tcPr>
            <w:tcW w:w="120" w:type="dxa"/>
            <w:vAlign w:val="bottom"/>
            <w:shd w:val="clear" w:color="auto" w:fill="DBDBDB"/>
          </w:tcPr>
          <w:p>
            <w:pPr>
              <w:spacing w:after="0"/>
              <w:rPr>
                <w:sz w:val="24"/>
                <w:szCs w:val="24"/>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155</w:t>
            </w:r>
          </w:p>
        </w:tc>
      </w:tr>
      <w:tr>
        <w:trPr>
          <w:trHeight w:val="392"/>
        </w:trPr>
        <w:tc>
          <w:tcPr>
            <w:tcW w:w="7580" w:type="dxa"/>
            <w:vAlign w:val="bottom"/>
          </w:tcPr>
          <w:p>
            <w:pPr>
              <w:ind w:left="220"/>
              <w:spacing w:after="0"/>
              <w:rPr>
                <w:sz w:val="20"/>
                <w:szCs w:val="20"/>
                <w:color w:val="auto"/>
              </w:rPr>
            </w:pPr>
            <w:r>
              <w:rPr>
                <w:rFonts w:ascii="Arial" w:cs="Arial" w:eastAsia="Arial" w:hAnsi="Arial"/>
                <w:sz w:val="18"/>
                <w:szCs w:val="18"/>
                <w:color w:val="auto"/>
              </w:rPr>
              <w:t>Finance leases</w:t>
            </w:r>
          </w:p>
        </w:tc>
        <w:tc>
          <w:tcPr>
            <w:tcW w:w="16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594"/>
        </w:trPr>
        <w:tc>
          <w:tcPr>
            <w:tcW w:w="7580" w:type="dxa"/>
            <w:vAlign w:val="bottom"/>
          </w:tcPr>
          <w:p>
            <w:pPr>
              <w:spacing w:after="0"/>
              <w:rPr>
                <w:sz w:val="20"/>
                <w:szCs w:val="20"/>
                <w:color w:val="auto"/>
              </w:rPr>
            </w:pPr>
            <w:r>
              <w:rPr>
                <w:rFonts w:ascii="Arial" w:cs="Arial" w:eastAsia="Arial" w:hAnsi="Arial"/>
                <w:sz w:val="18"/>
                <w:szCs w:val="18"/>
                <w:color w:val="auto"/>
              </w:rPr>
              <w:t>Supplemental balance sheet information related to leases was as follows:</w:t>
            </w: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23"/>
        </w:trPr>
        <w:tc>
          <w:tcPr>
            <w:tcW w:w="7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2021</w:t>
            </w:r>
          </w:p>
        </w:tc>
        <w:tc>
          <w:tcPr>
            <w:tcW w:w="180" w:type="dxa"/>
            <w:vAlign w:val="bottom"/>
          </w:tcPr>
          <w:p>
            <w:pPr>
              <w:spacing w:after="0"/>
              <w:rPr>
                <w:sz w:val="19"/>
                <w:szCs w:val="19"/>
                <w:color w:val="auto"/>
              </w:rPr>
            </w:pPr>
          </w:p>
        </w:tc>
        <w:tc>
          <w:tcPr>
            <w:tcW w:w="1600" w:type="dxa"/>
            <w:vAlign w:val="bottom"/>
          </w:tcPr>
          <w:p>
            <w:pPr>
              <w:jc w:val="right"/>
              <w:ind w:right="153"/>
              <w:spacing w:after="0"/>
              <w:rPr>
                <w:sz w:val="20"/>
                <w:szCs w:val="20"/>
                <w:color w:val="auto"/>
              </w:rPr>
            </w:pPr>
            <w:r>
              <w:rPr>
                <w:rFonts w:ascii="Arial" w:cs="Arial" w:eastAsia="Arial" w:hAnsi="Arial"/>
                <w:sz w:val="14"/>
                <w:szCs w:val="14"/>
                <w:b w:val="1"/>
                <w:bCs w:val="1"/>
                <w:color w:val="auto"/>
              </w:rPr>
              <w:t>December 31, 2020</w:t>
            </w:r>
          </w:p>
        </w:tc>
      </w:tr>
      <w:tr>
        <w:trPr>
          <w:trHeight w:val="216"/>
        </w:trPr>
        <w:tc>
          <w:tcPr>
            <w:tcW w:w="75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Operating leases</w:t>
            </w:r>
          </w:p>
        </w:tc>
        <w:tc>
          <w:tcPr>
            <w:tcW w:w="160" w:type="dxa"/>
            <w:vAlign w:val="bottom"/>
            <w:tcBorders>
              <w:top w:val="single" w:sz="8" w:color="DC202E"/>
            </w:tcBorders>
            <w:shd w:val="clear" w:color="auto" w:fill="DBDBDB"/>
          </w:tcPr>
          <w:p>
            <w:pPr>
              <w:spacing w:after="0"/>
              <w:rPr>
                <w:sz w:val="18"/>
                <w:szCs w:val="18"/>
                <w:color w:val="auto"/>
              </w:rPr>
            </w:pPr>
          </w:p>
        </w:tc>
        <w:tc>
          <w:tcPr>
            <w:tcW w:w="1600" w:type="dxa"/>
            <w:vAlign w:val="bottom"/>
            <w:tcBorders>
              <w:top w:val="single" w:sz="8" w:color="DC202E"/>
            </w:tcBorders>
            <w:shd w:val="clear" w:color="auto" w:fill="DBDBDB"/>
          </w:tcPr>
          <w:p>
            <w:pPr>
              <w:spacing w:after="0"/>
              <w:rPr>
                <w:sz w:val="18"/>
                <w:szCs w:val="18"/>
                <w:color w:val="auto"/>
              </w:rPr>
            </w:pPr>
          </w:p>
        </w:tc>
        <w:tc>
          <w:tcPr>
            <w:tcW w:w="120" w:type="dxa"/>
            <w:vAlign w:val="bottom"/>
            <w:tcBorders>
              <w:top w:val="single" w:sz="8" w:color="DBDBDB"/>
            </w:tcBorders>
            <w:shd w:val="clear" w:color="auto" w:fill="DBDBDB"/>
          </w:tcPr>
          <w:p>
            <w:pPr>
              <w:spacing w:after="0"/>
              <w:rPr>
                <w:sz w:val="18"/>
                <w:szCs w:val="18"/>
                <w:color w:val="auto"/>
              </w:rPr>
            </w:pPr>
          </w:p>
        </w:tc>
        <w:tc>
          <w:tcPr>
            <w:tcW w:w="180" w:type="dxa"/>
            <w:vAlign w:val="bottom"/>
            <w:tcBorders>
              <w:top w:val="single" w:sz="8" w:color="DC202E"/>
            </w:tcBorders>
            <w:shd w:val="clear" w:color="auto" w:fill="DBDBDB"/>
          </w:tcPr>
          <w:p>
            <w:pPr>
              <w:spacing w:after="0"/>
              <w:rPr>
                <w:sz w:val="18"/>
                <w:szCs w:val="18"/>
                <w:color w:val="auto"/>
              </w:rPr>
            </w:pPr>
          </w:p>
        </w:tc>
        <w:tc>
          <w:tcPr>
            <w:tcW w:w="1600" w:type="dxa"/>
            <w:vAlign w:val="bottom"/>
            <w:tcBorders>
              <w:top w:val="single" w:sz="8" w:color="DC202E"/>
            </w:tcBorders>
            <w:shd w:val="clear" w:color="auto" w:fill="DBDBDB"/>
          </w:tcPr>
          <w:p>
            <w:pPr>
              <w:spacing w:after="0"/>
              <w:rPr>
                <w:sz w:val="18"/>
                <w:szCs w:val="18"/>
                <w:color w:val="auto"/>
              </w:rPr>
            </w:pPr>
          </w:p>
        </w:tc>
      </w:tr>
      <w:tr>
        <w:trPr>
          <w:trHeight w:val="230"/>
        </w:trPr>
        <w:tc>
          <w:tcPr>
            <w:tcW w:w="75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w:t>
            </w:r>
          </w:p>
        </w:tc>
        <w:tc>
          <w:tcPr>
            <w:tcW w:w="12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w:t>
            </w:r>
          </w:p>
        </w:tc>
      </w:tr>
      <w:tr>
        <w:trPr>
          <w:trHeight w:val="223"/>
        </w:trPr>
        <w:tc>
          <w:tcPr>
            <w:tcW w:w="7580" w:type="dxa"/>
            <w:vAlign w:val="bottom"/>
            <w:shd w:val="clear" w:color="auto" w:fill="DBDBDB"/>
          </w:tcPr>
          <w:p>
            <w:pPr>
              <w:ind w:left="220"/>
              <w:spacing w:after="0"/>
              <w:rPr>
                <w:sz w:val="20"/>
                <w:szCs w:val="20"/>
                <w:color w:val="auto"/>
              </w:rPr>
            </w:pPr>
            <w:r>
              <w:rPr>
                <w:rFonts w:ascii="Arial" w:cs="Arial" w:eastAsia="Arial" w:hAnsi="Arial"/>
                <w:sz w:val="18"/>
                <w:szCs w:val="18"/>
                <w:color w:val="auto"/>
              </w:rPr>
              <w:t>Accrued liabilities</w:t>
            </w:r>
          </w:p>
        </w:tc>
        <w:tc>
          <w:tcPr>
            <w:tcW w:w="160" w:type="dxa"/>
            <w:vAlign w:val="bottom"/>
            <w:shd w:val="clear" w:color="auto" w:fill="DBDBDB"/>
          </w:tcPr>
          <w:p>
            <w:pPr>
              <w:spacing w:after="0"/>
              <w:rPr>
                <w:sz w:val="19"/>
                <w:szCs w:val="19"/>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188</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187</w:t>
            </w:r>
          </w:p>
        </w:tc>
      </w:tr>
      <w:tr>
        <w:trPr>
          <w:trHeight w:val="230"/>
        </w:trPr>
        <w:tc>
          <w:tcPr>
            <w:tcW w:w="7580" w:type="dxa"/>
            <w:vAlign w:val="bottom"/>
            <w:tcBorders>
              <w:bottom w:val="single" w:sz="8" w:color="DBDBDB"/>
            </w:tcBorders>
          </w:tcPr>
          <w:p>
            <w:pPr>
              <w:ind w:left="220"/>
              <w:spacing w:after="0"/>
              <w:rPr>
                <w:sz w:val="20"/>
                <w:szCs w:val="20"/>
                <w:color w:val="auto"/>
              </w:rPr>
            </w:pPr>
            <w:r>
              <w:rPr>
                <w:rFonts w:ascii="Arial" w:cs="Arial" w:eastAsia="Arial" w:hAnsi="Arial"/>
                <w:sz w:val="18"/>
                <w:szCs w:val="18"/>
                <w:color w:val="auto"/>
              </w:rPr>
              <w:t>Other liabilities</w:t>
            </w: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w:t>
            </w:r>
          </w:p>
        </w:tc>
        <w:tc>
          <w:tcPr>
            <w:tcW w:w="12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w:t>
            </w:r>
          </w:p>
        </w:tc>
      </w:tr>
      <w:tr>
        <w:trPr>
          <w:trHeight w:val="223"/>
        </w:trPr>
        <w:tc>
          <w:tcPr>
            <w:tcW w:w="758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Total operating lease liabilities</w:t>
            </w: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1,012</w:t>
            </w:r>
          </w:p>
        </w:tc>
        <w:tc>
          <w:tcPr>
            <w:tcW w:w="12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828</w:t>
            </w:r>
          </w:p>
        </w:tc>
      </w:tr>
      <w:tr>
        <w:trPr>
          <w:trHeight w:val="210"/>
        </w:trPr>
        <w:tc>
          <w:tcPr>
            <w:tcW w:w="7580" w:type="dxa"/>
            <w:vAlign w:val="bottom"/>
          </w:tcPr>
          <w:p>
            <w:pPr>
              <w:ind w:left="20"/>
              <w:spacing w:after="0"/>
              <w:rPr>
                <w:sz w:val="20"/>
                <w:szCs w:val="20"/>
                <w:color w:val="auto"/>
              </w:rPr>
            </w:pPr>
            <w:r>
              <w:rPr>
                <w:rFonts w:ascii="Arial" w:cs="Arial" w:eastAsia="Arial" w:hAnsi="Arial"/>
                <w:sz w:val="18"/>
                <w:szCs w:val="18"/>
                <w:b w:val="1"/>
                <w:bCs w:val="1"/>
                <w:color w:val="auto"/>
              </w:rPr>
              <w:t>Financing leases</w:t>
            </w: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30"/>
        </w:trPr>
        <w:tc>
          <w:tcPr>
            <w:tcW w:w="7580" w:type="dxa"/>
            <w:vAlign w:val="bottom"/>
            <w:shd w:val="clear" w:color="auto" w:fill="DBDBDB"/>
          </w:tcPr>
          <w:p>
            <w:pPr>
              <w:ind w:left="220"/>
              <w:spacing w:after="0"/>
              <w:rPr>
                <w:sz w:val="20"/>
                <w:szCs w:val="20"/>
                <w:color w:val="auto"/>
              </w:rPr>
            </w:pPr>
            <w:r>
              <w:rPr>
                <w:rFonts w:ascii="Arial" w:cs="Arial" w:eastAsia="Arial" w:hAnsi="Arial"/>
                <w:sz w:val="18"/>
                <w:szCs w:val="18"/>
                <w:color w:val="auto"/>
              </w:rPr>
              <w:t>Property, plant and equipment</w:t>
            </w: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335</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357</w:t>
            </w:r>
          </w:p>
        </w:tc>
      </w:tr>
      <w:tr>
        <w:trPr>
          <w:trHeight w:val="230"/>
        </w:trPr>
        <w:tc>
          <w:tcPr>
            <w:tcW w:w="7580" w:type="dxa"/>
            <w:vAlign w:val="bottom"/>
            <w:tcBorders>
              <w:bottom w:val="single" w:sz="8" w:color="DBDBDB"/>
            </w:tcBorders>
          </w:tcPr>
          <w:p>
            <w:pPr>
              <w:ind w:left="220"/>
              <w:spacing w:after="0"/>
              <w:rPr>
                <w:sz w:val="20"/>
                <w:szCs w:val="20"/>
                <w:color w:val="auto"/>
              </w:rPr>
            </w:pPr>
            <w:r>
              <w:rPr>
                <w:rFonts w:ascii="Arial" w:cs="Arial" w:eastAsia="Arial" w:hAnsi="Arial"/>
                <w:sz w:val="18"/>
                <w:szCs w:val="18"/>
                <w:color w:val="auto"/>
              </w:rPr>
              <w:t>Accumulated depreciation</w:t>
            </w: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r>
      <w:tr>
        <w:trPr>
          <w:trHeight w:val="223"/>
        </w:trPr>
        <w:tc>
          <w:tcPr>
            <w:tcW w:w="7580" w:type="dxa"/>
            <w:vAlign w:val="bottom"/>
            <w:shd w:val="clear" w:color="auto" w:fill="DBDBDB"/>
          </w:tcPr>
          <w:p>
            <w:pPr>
              <w:ind w:left="20"/>
              <w:spacing w:after="0"/>
              <w:rPr>
                <w:sz w:val="20"/>
                <w:szCs w:val="20"/>
                <w:color w:val="auto"/>
              </w:rPr>
            </w:pPr>
            <w:r>
              <w:rPr>
                <w:rFonts w:ascii="Arial" w:cs="Arial" w:eastAsia="Arial" w:hAnsi="Arial"/>
                <w:sz w:val="18"/>
                <w:szCs w:val="18"/>
                <w:color w:val="auto"/>
              </w:rPr>
              <w:t>Property, plant and equipment - net</w:t>
            </w: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177</w:t>
            </w:r>
          </w:p>
        </w:tc>
      </w:tr>
      <w:tr>
        <w:trPr>
          <w:trHeight w:val="223"/>
        </w:trPr>
        <w:tc>
          <w:tcPr>
            <w:tcW w:w="7580" w:type="dxa"/>
            <w:vAlign w:val="bottom"/>
          </w:tcPr>
          <w:p>
            <w:pPr>
              <w:ind w:left="220"/>
              <w:spacing w:after="0"/>
              <w:rPr>
                <w:sz w:val="20"/>
                <w:szCs w:val="20"/>
                <w:color w:val="auto"/>
              </w:rPr>
            </w:pPr>
            <w:r>
              <w:rPr>
                <w:rFonts w:ascii="Arial" w:cs="Arial" w:eastAsia="Arial" w:hAnsi="Arial"/>
                <w:sz w:val="18"/>
                <w:szCs w:val="18"/>
                <w:color w:val="auto"/>
              </w:rPr>
              <w:t>Current maturities of long-term debt</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7580" w:type="dxa"/>
            <w:vAlign w:val="bottom"/>
            <w:shd w:val="clear" w:color="auto" w:fill="DBDBDB"/>
          </w:tcPr>
          <w:p>
            <w:pPr>
              <w:ind w:left="220"/>
              <w:spacing w:after="0"/>
              <w:rPr>
                <w:sz w:val="20"/>
                <w:szCs w:val="20"/>
                <w:color w:val="auto"/>
              </w:rPr>
            </w:pPr>
            <w:r>
              <w:rPr>
                <w:rFonts w:ascii="Arial" w:cs="Arial" w:eastAsia="Arial" w:hAnsi="Arial"/>
                <w:sz w:val="18"/>
                <w:szCs w:val="18"/>
                <w:color w:val="auto"/>
              </w:rPr>
              <w:t>Long-term debt</w:t>
            </w:r>
          </w:p>
        </w:tc>
        <w:tc>
          <w:tcPr>
            <w:tcW w:w="160" w:type="dxa"/>
            <w:vAlign w:val="bottom"/>
            <w:tcBorders>
              <w:bottom w:val="single" w:sz="8" w:color="auto"/>
            </w:tcBorders>
            <w:shd w:val="clear" w:color="auto" w:fill="DBDBDB"/>
          </w:tcPr>
          <w:p>
            <w:pPr>
              <w:spacing w:after="0"/>
              <w:rPr>
                <w:sz w:val="19"/>
                <w:szCs w:val="19"/>
                <w:color w:val="auto"/>
              </w:rPr>
            </w:pPr>
          </w:p>
        </w:tc>
        <w:tc>
          <w:tcPr>
            <w:tcW w:w="1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124</w:t>
            </w:r>
          </w:p>
        </w:tc>
      </w:tr>
      <w:tr>
        <w:trPr>
          <w:trHeight w:val="223"/>
        </w:trPr>
        <w:tc>
          <w:tcPr>
            <w:tcW w:w="7580" w:type="dxa"/>
            <w:vAlign w:val="bottom"/>
          </w:tcPr>
          <w:p>
            <w:pPr>
              <w:ind w:left="20"/>
              <w:spacing w:after="0"/>
              <w:rPr>
                <w:sz w:val="20"/>
                <w:szCs w:val="20"/>
                <w:color w:val="auto"/>
              </w:rPr>
            </w:pPr>
            <w:r>
              <w:rPr>
                <w:rFonts w:ascii="Arial" w:cs="Arial" w:eastAsia="Arial" w:hAnsi="Arial"/>
                <w:sz w:val="18"/>
                <w:szCs w:val="18"/>
                <w:color w:val="auto"/>
              </w:rPr>
              <w:t>Total financing lease liabilities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r>
    </w:tbl>
    <w:p>
      <w:pPr>
        <w:spacing w:after="0" w:line="378" w:lineRule="exact"/>
        <w:rPr>
          <w:sz w:val="20"/>
          <w:szCs w:val="20"/>
          <w:color w:val="auto"/>
        </w:rPr>
      </w:pPr>
    </w:p>
    <w:p>
      <w:pPr>
        <w:spacing w:after="0"/>
        <w:rPr>
          <w:sz w:val="20"/>
          <w:szCs w:val="20"/>
          <w:color w:val="auto"/>
        </w:rPr>
      </w:pPr>
      <w:r>
        <w:rPr>
          <w:rFonts w:ascii="Arial" w:cs="Arial" w:eastAsia="Arial" w:hAnsi="Arial"/>
          <w:sz w:val="29"/>
          <w:szCs w:val="29"/>
          <w:b w:val="1"/>
          <w:bCs w:val="1"/>
          <w:color w:val="DC202E"/>
        </w:rPr>
        <w:t>NOTE 11. DERIVATIVE INSTRUMENTS AND HEDGING TRANSACTIONS</w:t>
      </w:r>
    </w:p>
    <w:p>
      <w:pPr>
        <w:spacing w:after="0" w:line="1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credit, market, foreign currency and interest rate risk management policies are described in Note 12 Derivative Instruments and Hedging Transactions of Notes to Consolidated Financial Statements in our 2020 Annual Report on Form 10-K. All derivative assets are presented in Other current assets or Other assets. All derivative liabilities are presented in Accrued liabilities or Other liabilities.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16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4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summarizes the notional amounts and fair values of the Company’s outstanding derivatives by risk category and instrument type within the Consolidated Balance Sheet as of September 30, 2021, and December 31, 2020:</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140" w:type="dxa"/>
            <w:vAlign w:val="bottom"/>
          </w:tcPr>
          <w:p>
            <w:pPr>
              <w:spacing w:after="0"/>
              <w:rPr>
                <w:sz w:val="17"/>
                <w:szCs w:val="17"/>
                <w:color w:val="auto"/>
              </w:rPr>
            </w:pPr>
          </w:p>
        </w:tc>
        <w:tc>
          <w:tcPr>
            <w:tcW w:w="120" w:type="dxa"/>
            <w:vAlign w:val="bottom"/>
            <w:tcBorders>
              <w:bottom w:val="single" w:sz="8" w:color="DC202E"/>
            </w:tcBorders>
          </w:tcPr>
          <w:p>
            <w:pPr>
              <w:spacing w:after="0"/>
              <w:rPr>
                <w:sz w:val="17"/>
                <w:szCs w:val="17"/>
                <w:color w:val="auto"/>
              </w:rPr>
            </w:pPr>
          </w:p>
        </w:tc>
        <w:tc>
          <w:tcPr>
            <w:tcW w:w="2480" w:type="dxa"/>
            <w:vAlign w:val="bottom"/>
            <w:tcBorders>
              <w:bottom w:val="single" w:sz="8" w:color="DC202E"/>
            </w:tcBorders>
            <w:gridSpan w:val="4"/>
          </w:tcPr>
          <w:p>
            <w:pPr>
              <w:jc w:val="right"/>
              <w:ind w:right="914"/>
              <w:spacing w:after="0"/>
              <w:rPr>
                <w:sz w:val="20"/>
                <w:szCs w:val="20"/>
                <w:color w:val="auto"/>
              </w:rPr>
            </w:pPr>
            <w:r>
              <w:rPr>
                <w:rFonts w:ascii="Arial" w:cs="Arial" w:eastAsia="Arial" w:hAnsi="Arial"/>
                <w:sz w:val="14"/>
                <w:szCs w:val="14"/>
                <w:b w:val="1"/>
                <w:bCs w:val="1"/>
                <w:color w:val="auto"/>
              </w:rPr>
              <w:t>Notional</w:t>
            </w:r>
          </w:p>
        </w:tc>
        <w:tc>
          <w:tcPr>
            <w:tcW w:w="100" w:type="dxa"/>
            <w:vAlign w:val="bottom"/>
          </w:tcPr>
          <w:p>
            <w:pPr>
              <w:spacing w:after="0"/>
              <w:rPr>
                <w:sz w:val="17"/>
                <w:szCs w:val="17"/>
                <w:color w:val="auto"/>
              </w:rPr>
            </w:pPr>
          </w:p>
        </w:tc>
        <w:tc>
          <w:tcPr>
            <w:tcW w:w="140" w:type="dxa"/>
            <w:vAlign w:val="bottom"/>
            <w:tcBorders>
              <w:bottom w:val="single" w:sz="8" w:color="DC202E"/>
            </w:tcBorders>
          </w:tcPr>
          <w:p>
            <w:pPr>
              <w:spacing w:after="0"/>
              <w:rPr>
                <w:sz w:val="17"/>
                <w:szCs w:val="17"/>
                <w:color w:val="auto"/>
              </w:rPr>
            </w:pPr>
          </w:p>
        </w:tc>
        <w:tc>
          <w:tcPr>
            <w:tcW w:w="2500" w:type="dxa"/>
            <w:vAlign w:val="bottom"/>
            <w:tcBorders>
              <w:bottom w:val="single" w:sz="8" w:color="DC202E"/>
            </w:tcBorders>
            <w:gridSpan w:val="4"/>
          </w:tcPr>
          <w:p>
            <w:pPr>
              <w:jc w:val="right"/>
              <w:ind w:right="674"/>
              <w:spacing w:after="0"/>
              <w:rPr>
                <w:sz w:val="20"/>
                <w:szCs w:val="20"/>
                <w:color w:val="auto"/>
              </w:rPr>
            </w:pPr>
            <w:r>
              <w:rPr>
                <w:rFonts w:ascii="Arial" w:cs="Arial" w:eastAsia="Arial" w:hAnsi="Arial"/>
                <w:sz w:val="14"/>
                <w:szCs w:val="14"/>
                <w:b w:val="1"/>
                <w:bCs w:val="1"/>
                <w:color w:val="auto"/>
              </w:rPr>
              <w:t>Fair Value Asset</w:t>
            </w:r>
          </w:p>
        </w:tc>
        <w:tc>
          <w:tcPr>
            <w:tcW w:w="120" w:type="dxa"/>
            <w:vAlign w:val="bottom"/>
          </w:tcPr>
          <w:p>
            <w:pPr>
              <w:spacing w:after="0"/>
              <w:rPr>
                <w:sz w:val="17"/>
                <w:szCs w:val="17"/>
                <w:color w:val="auto"/>
              </w:rPr>
            </w:pPr>
          </w:p>
        </w:tc>
        <w:tc>
          <w:tcPr>
            <w:tcW w:w="120" w:type="dxa"/>
            <w:vAlign w:val="bottom"/>
            <w:tcBorders>
              <w:bottom w:val="single" w:sz="8" w:color="DC202E"/>
            </w:tcBorders>
          </w:tcPr>
          <w:p>
            <w:pPr>
              <w:spacing w:after="0"/>
              <w:rPr>
                <w:sz w:val="17"/>
                <w:szCs w:val="17"/>
                <w:color w:val="auto"/>
              </w:rPr>
            </w:pPr>
          </w:p>
        </w:tc>
        <w:tc>
          <w:tcPr>
            <w:tcW w:w="2520" w:type="dxa"/>
            <w:vAlign w:val="bottom"/>
            <w:tcBorders>
              <w:bottom w:val="single" w:sz="8" w:color="DC202E"/>
            </w:tcBorders>
            <w:gridSpan w:val="4"/>
          </w:tcPr>
          <w:p>
            <w:pPr>
              <w:ind w:left="520"/>
              <w:spacing w:after="0"/>
              <w:rPr>
                <w:sz w:val="20"/>
                <w:szCs w:val="20"/>
                <w:color w:val="auto"/>
              </w:rPr>
            </w:pPr>
            <w:r>
              <w:rPr>
                <w:rFonts w:ascii="Arial" w:cs="Arial" w:eastAsia="Arial" w:hAnsi="Arial"/>
                <w:sz w:val="14"/>
                <w:szCs w:val="14"/>
                <w:b w:val="1"/>
                <w:bCs w:val="1"/>
                <w:color w:val="auto"/>
              </w:rPr>
              <w:t>Fair Value (Liability)</w:t>
            </w:r>
          </w:p>
        </w:tc>
      </w:tr>
      <w:tr>
        <w:trPr>
          <w:trHeight w:val="176"/>
        </w:trPr>
        <w:tc>
          <w:tcPr>
            <w:tcW w:w="3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5"/>
                <w:szCs w:val="15"/>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5"/>
                <w:szCs w:val="15"/>
                <w:color w:val="auto"/>
              </w:rPr>
            </w:pPr>
          </w:p>
        </w:tc>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5"/>
                <w:szCs w:val="15"/>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5"/>
                <w:szCs w:val="15"/>
                <w:color w:val="auto"/>
              </w:rPr>
            </w:pPr>
          </w:p>
        </w:tc>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5"/>
                <w:szCs w:val="15"/>
                <w:color w:val="auto"/>
              </w:rPr>
            </w:pPr>
          </w:p>
        </w:tc>
        <w:tc>
          <w:tcPr>
            <w:tcW w:w="1120" w:type="dxa"/>
            <w:vAlign w:val="bottom"/>
          </w:tcPr>
          <w:p>
            <w:pPr>
              <w:jc w:val="right"/>
              <w:ind w:right="74"/>
              <w:spacing w:after="0"/>
              <w:rPr>
                <w:sz w:val="20"/>
                <w:szCs w:val="20"/>
                <w:color w:val="auto"/>
              </w:rPr>
            </w:pPr>
            <w:r>
              <w:rPr>
                <w:rFonts w:ascii="Arial" w:cs="Arial" w:eastAsia="Arial" w:hAnsi="Arial"/>
                <w:sz w:val="14"/>
                <w:szCs w:val="14"/>
                <w:b w:val="1"/>
                <w:bCs w:val="1"/>
                <w:color w:val="auto"/>
              </w:rPr>
              <w:t>December 31,</w:t>
            </w:r>
          </w:p>
        </w:tc>
      </w:tr>
      <w:tr>
        <w:trPr>
          <w:trHeight w:val="183"/>
        </w:trPr>
        <w:tc>
          <w:tcPr>
            <w:tcW w:w="3140" w:type="dxa"/>
            <w:vAlign w:val="bottom"/>
            <w:tcBorders>
              <w:bottom w:val="single" w:sz="8" w:color="DBDBDB"/>
            </w:tcBorders>
          </w:tcPr>
          <w:p>
            <w:pPr>
              <w:spacing w:after="0"/>
              <w:rPr>
                <w:sz w:val="15"/>
                <w:szCs w:val="15"/>
                <w:color w:val="auto"/>
              </w:rPr>
            </w:pPr>
          </w:p>
        </w:tc>
        <w:tc>
          <w:tcPr>
            <w:tcW w:w="120" w:type="dxa"/>
            <w:vAlign w:val="bottom"/>
            <w:tcBorders>
              <w:bottom w:val="single" w:sz="8" w:color="DC202E"/>
            </w:tcBorders>
          </w:tcPr>
          <w:p>
            <w:pPr>
              <w:spacing w:after="0"/>
              <w:rPr>
                <w:sz w:val="15"/>
                <w:szCs w:val="15"/>
                <w:color w:val="auto"/>
              </w:rPr>
            </w:pPr>
          </w:p>
        </w:tc>
        <w:tc>
          <w:tcPr>
            <w:tcW w:w="1140" w:type="dxa"/>
            <w:vAlign w:val="bottom"/>
            <w:tcBorders>
              <w:bottom w:val="single" w:sz="8" w:color="DC202E"/>
            </w:tcBorders>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DBDBDB"/>
            </w:tcBorders>
          </w:tcPr>
          <w:p>
            <w:pPr>
              <w:spacing w:after="0"/>
              <w:rPr>
                <w:sz w:val="15"/>
                <w:szCs w:val="15"/>
                <w:color w:val="auto"/>
              </w:rPr>
            </w:pPr>
          </w:p>
        </w:tc>
        <w:tc>
          <w:tcPr>
            <w:tcW w:w="140" w:type="dxa"/>
            <w:vAlign w:val="bottom"/>
            <w:tcBorders>
              <w:bottom w:val="single" w:sz="8" w:color="DC202E"/>
            </w:tcBorders>
          </w:tcPr>
          <w:p>
            <w:pPr>
              <w:spacing w:after="0"/>
              <w:rPr>
                <w:sz w:val="15"/>
                <w:szCs w:val="15"/>
                <w:color w:val="auto"/>
              </w:rPr>
            </w:pPr>
          </w:p>
        </w:tc>
        <w:tc>
          <w:tcPr>
            <w:tcW w:w="1120" w:type="dxa"/>
            <w:vAlign w:val="bottom"/>
            <w:tcBorders>
              <w:bottom w:val="single" w:sz="8" w:color="DC202E"/>
            </w:tcBorders>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DBDBDB"/>
            </w:tcBorders>
          </w:tcPr>
          <w:p>
            <w:pPr>
              <w:spacing w:after="0"/>
              <w:rPr>
                <w:sz w:val="15"/>
                <w:szCs w:val="15"/>
                <w:color w:val="auto"/>
              </w:rPr>
            </w:pPr>
          </w:p>
        </w:tc>
        <w:tc>
          <w:tcPr>
            <w:tcW w:w="140" w:type="dxa"/>
            <w:vAlign w:val="bottom"/>
            <w:tcBorders>
              <w:bottom w:val="single" w:sz="8" w:color="DC202E"/>
            </w:tcBorders>
          </w:tcPr>
          <w:p>
            <w:pPr>
              <w:spacing w:after="0"/>
              <w:rPr>
                <w:sz w:val="15"/>
                <w:szCs w:val="15"/>
                <w:color w:val="auto"/>
              </w:rPr>
            </w:pPr>
          </w:p>
        </w:tc>
        <w:tc>
          <w:tcPr>
            <w:tcW w:w="1120" w:type="dxa"/>
            <w:vAlign w:val="bottom"/>
            <w:tcBorders>
              <w:bottom w:val="single" w:sz="8" w:color="DC202E"/>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DBDBDB"/>
            </w:tcBorders>
          </w:tcPr>
          <w:p>
            <w:pPr>
              <w:spacing w:after="0"/>
              <w:rPr>
                <w:sz w:val="15"/>
                <w:szCs w:val="15"/>
                <w:color w:val="auto"/>
              </w:rPr>
            </w:pPr>
          </w:p>
        </w:tc>
        <w:tc>
          <w:tcPr>
            <w:tcW w:w="140" w:type="dxa"/>
            <w:vAlign w:val="bottom"/>
            <w:tcBorders>
              <w:bottom w:val="single" w:sz="8" w:color="DC202E"/>
            </w:tcBorders>
          </w:tcPr>
          <w:p>
            <w:pPr>
              <w:spacing w:after="0"/>
              <w:rPr>
                <w:sz w:val="15"/>
                <w:szCs w:val="15"/>
                <w:color w:val="auto"/>
              </w:rPr>
            </w:pPr>
          </w:p>
        </w:tc>
        <w:tc>
          <w:tcPr>
            <w:tcW w:w="1120" w:type="dxa"/>
            <w:vAlign w:val="bottom"/>
            <w:tcBorders>
              <w:bottom w:val="single" w:sz="8" w:color="DC202E"/>
            </w:tcBorders>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DBDBDB"/>
            </w:tcBorders>
          </w:tcPr>
          <w:p>
            <w:pPr>
              <w:spacing w:after="0"/>
              <w:rPr>
                <w:sz w:val="15"/>
                <w:szCs w:val="15"/>
                <w:color w:val="auto"/>
              </w:rPr>
            </w:pPr>
          </w:p>
        </w:tc>
        <w:tc>
          <w:tcPr>
            <w:tcW w:w="120" w:type="dxa"/>
            <w:vAlign w:val="bottom"/>
            <w:tcBorders>
              <w:bottom w:val="single" w:sz="8" w:color="DC202E"/>
            </w:tcBorders>
          </w:tcPr>
          <w:p>
            <w:pPr>
              <w:spacing w:after="0"/>
              <w:rPr>
                <w:sz w:val="15"/>
                <w:szCs w:val="15"/>
                <w:color w:val="auto"/>
              </w:rPr>
            </w:pPr>
          </w:p>
        </w:tc>
        <w:tc>
          <w:tcPr>
            <w:tcW w:w="1140" w:type="dxa"/>
            <w:vAlign w:val="bottom"/>
            <w:tcBorders>
              <w:bottom w:val="single" w:sz="8" w:color="DC202E"/>
            </w:tcBorders>
          </w:tcPr>
          <w:p>
            <w:pPr>
              <w:ind w:left="34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DBDBDB"/>
            </w:tcBorders>
          </w:tcPr>
          <w:p>
            <w:pPr>
              <w:spacing w:after="0"/>
              <w:rPr>
                <w:sz w:val="15"/>
                <w:szCs w:val="15"/>
                <w:color w:val="auto"/>
              </w:rPr>
            </w:pPr>
          </w:p>
        </w:tc>
        <w:tc>
          <w:tcPr>
            <w:tcW w:w="140" w:type="dxa"/>
            <w:vAlign w:val="bottom"/>
            <w:tcBorders>
              <w:bottom w:val="single" w:sz="8" w:color="DC202E"/>
            </w:tcBorders>
          </w:tcPr>
          <w:p>
            <w:pPr>
              <w:spacing w:after="0"/>
              <w:rPr>
                <w:sz w:val="15"/>
                <w:szCs w:val="15"/>
                <w:color w:val="auto"/>
              </w:rPr>
            </w:pPr>
          </w:p>
        </w:tc>
        <w:tc>
          <w:tcPr>
            <w:tcW w:w="1120" w:type="dxa"/>
            <w:vAlign w:val="bottom"/>
            <w:tcBorders>
              <w:bottom w:val="single" w:sz="8" w:color="DC202E"/>
            </w:tcBorders>
          </w:tcPr>
          <w:p>
            <w:pPr>
              <w:jc w:val="right"/>
              <w:ind w:right="394"/>
              <w:spacing w:after="0"/>
              <w:rPr>
                <w:sz w:val="20"/>
                <w:szCs w:val="20"/>
                <w:color w:val="auto"/>
              </w:rPr>
            </w:pPr>
            <w:r>
              <w:rPr>
                <w:rFonts w:ascii="Arial" w:cs="Arial" w:eastAsia="Arial" w:hAnsi="Arial"/>
                <w:sz w:val="14"/>
                <w:szCs w:val="14"/>
                <w:b w:val="1"/>
                <w:bCs w:val="1"/>
                <w:color w:val="auto"/>
              </w:rPr>
              <w:t>2020</w:t>
            </w:r>
          </w:p>
        </w:tc>
      </w:tr>
      <w:tr>
        <w:trPr>
          <w:trHeight w:val="162"/>
        </w:trPr>
        <w:tc>
          <w:tcPr>
            <w:tcW w:w="3140" w:type="dxa"/>
            <w:vAlign w:val="bottom"/>
            <w:shd w:val="clear" w:color="auto" w:fill="DBDBDB"/>
          </w:tcPr>
          <w:p>
            <w:pPr>
              <w:ind w:left="20"/>
              <w:spacing w:after="0" w:line="162" w:lineRule="exact"/>
              <w:rPr>
                <w:sz w:val="20"/>
                <w:szCs w:val="20"/>
                <w:color w:val="auto"/>
              </w:rPr>
            </w:pPr>
            <w:r>
              <w:rPr>
                <w:rFonts w:ascii="Arial" w:cs="Arial" w:eastAsia="Arial" w:hAnsi="Arial"/>
                <w:sz w:val="18"/>
                <w:szCs w:val="18"/>
                <w:b w:val="1"/>
                <w:bCs w:val="1"/>
                <w:color w:val="auto"/>
              </w:rPr>
              <w:t>Derivatives in Fair Value Hedging</w:t>
            </w:r>
          </w:p>
        </w:tc>
        <w:tc>
          <w:tcPr>
            <w:tcW w:w="120" w:type="dxa"/>
            <w:vAlign w:val="bottom"/>
            <w:shd w:val="clear" w:color="auto" w:fill="DBDBDB"/>
          </w:tcPr>
          <w:p>
            <w:pPr>
              <w:spacing w:after="0"/>
              <w:rPr>
                <w:sz w:val="14"/>
                <w:szCs w:val="14"/>
                <w:color w:val="auto"/>
              </w:rPr>
            </w:pPr>
          </w:p>
        </w:tc>
        <w:tc>
          <w:tcPr>
            <w:tcW w:w="114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112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1120" w:type="dxa"/>
            <w:vAlign w:val="bottom"/>
            <w:shd w:val="clear" w:color="auto" w:fill="DBDBDB"/>
          </w:tcPr>
          <w:p>
            <w:pPr>
              <w:spacing w:after="0"/>
              <w:rPr>
                <w:sz w:val="14"/>
                <w:szCs w:val="14"/>
                <w:color w:val="auto"/>
              </w:rPr>
            </w:pPr>
          </w:p>
        </w:tc>
        <w:tc>
          <w:tcPr>
            <w:tcW w:w="120" w:type="dxa"/>
            <w:vAlign w:val="bottom"/>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1120" w:type="dxa"/>
            <w:vAlign w:val="bottom"/>
            <w:shd w:val="clear" w:color="auto" w:fill="DBDBDB"/>
          </w:tcPr>
          <w:p>
            <w:pPr>
              <w:spacing w:after="0"/>
              <w:rPr>
                <w:sz w:val="14"/>
                <w:szCs w:val="14"/>
                <w:color w:val="auto"/>
              </w:rPr>
            </w:pPr>
          </w:p>
        </w:tc>
        <w:tc>
          <w:tcPr>
            <w:tcW w:w="120" w:type="dxa"/>
            <w:vAlign w:val="bottom"/>
            <w:shd w:val="clear" w:color="auto" w:fill="DBDBDB"/>
          </w:tcPr>
          <w:p>
            <w:pPr>
              <w:spacing w:after="0"/>
              <w:rPr>
                <w:sz w:val="14"/>
                <w:szCs w:val="14"/>
                <w:color w:val="auto"/>
              </w:rPr>
            </w:pPr>
          </w:p>
        </w:tc>
        <w:tc>
          <w:tcPr>
            <w:tcW w:w="120" w:type="dxa"/>
            <w:vAlign w:val="bottom"/>
            <w:shd w:val="clear" w:color="auto" w:fill="DBDBDB"/>
          </w:tcPr>
          <w:p>
            <w:pPr>
              <w:spacing w:after="0"/>
              <w:rPr>
                <w:sz w:val="14"/>
                <w:szCs w:val="14"/>
                <w:color w:val="auto"/>
              </w:rPr>
            </w:pPr>
          </w:p>
        </w:tc>
        <w:tc>
          <w:tcPr>
            <w:tcW w:w="1140" w:type="dxa"/>
            <w:vAlign w:val="bottom"/>
            <w:shd w:val="clear" w:color="auto" w:fill="DBDBDB"/>
          </w:tcPr>
          <w:p>
            <w:pPr>
              <w:spacing w:after="0"/>
              <w:rPr>
                <w:sz w:val="14"/>
                <w:szCs w:val="14"/>
                <w:color w:val="auto"/>
              </w:rPr>
            </w:pPr>
          </w:p>
        </w:tc>
        <w:tc>
          <w:tcPr>
            <w:tcW w:w="120" w:type="dxa"/>
            <w:vAlign w:val="bottom"/>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1120" w:type="dxa"/>
            <w:vAlign w:val="bottom"/>
            <w:shd w:val="clear" w:color="auto" w:fill="DBDBDB"/>
          </w:tcPr>
          <w:p>
            <w:pPr>
              <w:spacing w:after="0"/>
              <w:rPr>
                <w:sz w:val="14"/>
                <w:szCs w:val="14"/>
                <w:color w:val="auto"/>
              </w:rPr>
            </w:pPr>
          </w:p>
        </w:tc>
      </w:tr>
      <w:tr>
        <w:trPr>
          <w:trHeight w:val="230"/>
        </w:trPr>
        <w:tc>
          <w:tcPr>
            <w:tcW w:w="314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Relationships:</w:t>
            </w:r>
          </w:p>
        </w:tc>
        <w:tc>
          <w:tcPr>
            <w:tcW w:w="12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r>
      <w:tr>
        <w:trPr>
          <w:trHeight w:val="229"/>
        </w:trPr>
        <w:tc>
          <w:tcPr>
            <w:tcW w:w="3140" w:type="dxa"/>
            <w:vAlign w:val="bottom"/>
          </w:tcPr>
          <w:p>
            <w:pPr>
              <w:ind w:left="360"/>
              <w:spacing w:after="0"/>
              <w:rPr>
                <w:sz w:val="20"/>
                <w:szCs w:val="20"/>
                <w:color w:val="auto"/>
              </w:rPr>
            </w:pPr>
            <w:r>
              <w:rPr>
                <w:rFonts w:ascii="Arial" w:cs="Arial" w:eastAsia="Arial" w:hAnsi="Arial"/>
                <w:sz w:val="18"/>
                <w:szCs w:val="18"/>
                <w:color w:val="auto"/>
              </w:rPr>
              <w:t>Interest rate swap agreements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3,150</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3,950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56"/>
        </w:trPr>
        <w:tc>
          <w:tcPr>
            <w:tcW w:w="3140" w:type="dxa"/>
            <w:vAlign w:val="bottom"/>
            <w:tcBorders>
              <w:top w:val="single" w:sz="8" w:color="DBDBDB"/>
            </w:tcBorders>
            <w:shd w:val="clear" w:color="auto" w:fill="DBDBDB"/>
          </w:tcPr>
          <w:p>
            <w:pPr>
              <w:ind w:left="20"/>
              <w:spacing w:after="0" w:line="156" w:lineRule="exact"/>
              <w:rPr>
                <w:sz w:val="20"/>
                <w:szCs w:val="20"/>
                <w:color w:val="auto"/>
              </w:rPr>
            </w:pPr>
            <w:r>
              <w:rPr>
                <w:rFonts w:ascii="Arial" w:cs="Arial" w:eastAsia="Arial" w:hAnsi="Arial"/>
                <w:sz w:val="18"/>
                <w:szCs w:val="18"/>
                <w:b w:val="1"/>
                <w:bCs w:val="1"/>
                <w:color w:val="auto"/>
              </w:rPr>
              <w:t>Derivatives in Cash Flow Hedging</w:t>
            </w:r>
          </w:p>
        </w:tc>
        <w:tc>
          <w:tcPr>
            <w:tcW w:w="120" w:type="dxa"/>
            <w:vAlign w:val="bottom"/>
            <w:tcBorders>
              <w:top w:val="single" w:sz="8" w:color="auto"/>
            </w:tcBorders>
            <w:shd w:val="clear" w:color="auto" w:fill="DBDBDB"/>
          </w:tcPr>
          <w:p>
            <w:pPr>
              <w:spacing w:after="0"/>
              <w:rPr>
                <w:sz w:val="13"/>
                <w:szCs w:val="13"/>
                <w:color w:val="auto"/>
              </w:rPr>
            </w:pPr>
          </w:p>
        </w:tc>
        <w:tc>
          <w:tcPr>
            <w:tcW w:w="1140" w:type="dxa"/>
            <w:vAlign w:val="bottom"/>
            <w:tcBorders>
              <w:top w:val="single" w:sz="8" w:color="auto"/>
            </w:tcBorders>
            <w:shd w:val="clear" w:color="auto" w:fill="DBDBDB"/>
          </w:tcPr>
          <w:p>
            <w:pPr>
              <w:spacing w:after="0"/>
              <w:rPr>
                <w:sz w:val="13"/>
                <w:szCs w:val="13"/>
                <w:color w:val="auto"/>
              </w:rPr>
            </w:pPr>
          </w:p>
        </w:tc>
        <w:tc>
          <w:tcPr>
            <w:tcW w:w="80" w:type="dxa"/>
            <w:vAlign w:val="bottom"/>
            <w:tcBorders>
              <w:top w:val="single" w:sz="8" w:color="DBDBDB"/>
            </w:tcBorders>
            <w:shd w:val="clear" w:color="auto" w:fill="DBDBDB"/>
          </w:tcPr>
          <w:p>
            <w:pPr>
              <w:spacing w:after="0"/>
              <w:rPr>
                <w:sz w:val="13"/>
                <w:szCs w:val="13"/>
                <w:color w:val="auto"/>
              </w:rPr>
            </w:pPr>
          </w:p>
        </w:tc>
        <w:tc>
          <w:tcPr>
            <w:tcW w:w="140" w:type="dxa"/>
            <w:vAlign w:val="bottom"/>
            <w:tcBorders>
              <w:top w:val="single" w:sz="8" w:color="auto"/>
            </w:tcBorders>
            <w:shd w:val="clear" w:color="auto" w:fill="DBDBDB"/>
          </w:tcPr>
          <w:p>
            <w:pPr>
              <w:spacing w:after="0"/>
              <w:rPr>
                <w:sz w:val="13"/>
                <w:szCs w:val="13"/>
                <w:color w:val="auto"/>
              </w:rPr>
            </w:pPr>
          </w:p>
        </w:tc>
        <w:tc>
          <w:tcPr>
            <w:tcW w:w="1120" w:type="dxa"/>
            <w:vAlign w:val="bottom"/>
            <w:tcBorders>
              <w:top w:val="single" w:sz="8" w:color="auto"/>
            </w:tcBorders>
            <w:shd w:val="clear" w:color="auto" w:fill="DBDBDB"/>
          </w:tcPr>
          <w:p>
            <w:pPr>
              <w:spacing w:after="0"/>
              <w:rPr>
                <w:sz w:val="13"/>
                <w:szCs w:val="13"/>
                <w:color w:val="auto"/>
              </w:rPr>
            </w:pPr>
          </w:p>
        </w:tc>
        <w:tc>
          <w:tcPr>
            <w:tcW w:w="100" w:type="dxa"/>
            <w:vAlign w:val="bottom"/>
            <w:tcBorders>
              <w:top w:val="single" w:sz="8" w:color="DBDBDB"/>
            </w:tcBorders>
            <w:shd w:val="clear" w:color="auto" w:fill="DBDBDB"/>
          </w:tcPr>
          <w:p>
            <w:pPr>
              <w:spacing w:after="0"/>
              <w:rPr>
                <w:sz w:val="13"/>
                <w:szCs w:val="13"/>
                <w:color w:val="auto"/>
              </w:rPr>
            </w:pPr>
          </w:p>
        </w:tc>
        <w:tc>
          <w:tcPr>
            <w:tcW w:w="140" w:type="dxa"/>
            <w:vAlign w:val="bottom"/>
            <w:tcBorders>
              <w:top w:val="single" w:sz="8" w:color="auto"/>
            </w:tcBorders>
            <w:shd w:val="clear" w:color="auto" w:fill="DBDBDB"/>
          </w:tcPr>
          <w:p>
            <w:pPr>
              <w:spacing w:after="0"/>
              <w:rPr>
                <w:sz w:val="13"/>
                <w:szCs w:val="13"/>
                <w:color w:val="auto"/>
              </w:rPr>
            </w:pPr>
          </w:p>
        </w:tc>
        <w:tc>
          <w:tcPr>
            <w:tcW w:w="1120" w:type="dxa"/>
            <w:vAlign w:val="bottom"/>
            <w:tcBorders>
              <w:top w:val="single" w:sz="8" w:color="auto"/>
            </w:tcBorders>
            <w:shd w:val="clear" w:color="auto" w:fill="DBDBDB"/>
          </w:tcPr>
          <w:p>
            <w:pPr>
              <w:spacing w:after="0"/>
              <w:rPr>
                <w:sz w:val="13"/>
                <w:szCs w:val="13"/>
                <w:color w:val="auto"/>
              </w:rPr>
            </w:pPr>
          </w:p>
        </w:tc>
        <w:tc>
          <w:tcPr>
            <w:tcW w:w="120" w:type="dxa"/>
            <w:vAlign w:val="bottom"/>
            <w:tcBorders>
              <w:top w:val="single" w:sz="8" w:color="DBDBDB"/>
            </w:tcBorders>
            <w:shd w:val="clear" w:color="auto" w:fill="DBDBDB"/>
          </w:tcPr>
          <w:p>
            <w:pPr>
              <w:spacing w:after="0"/>
              <w:rPr>
                <w:sz w:val="13"/>
                <w:szCs w:val="13"/>
                <w:color w:val="auto"/>
              </w:rPr>
            </w:pPr>
          </w:p>
        </w:tc>
        <w:tc>
          <w:tcPr>
            <w:tcW w:w="140" w:type="dxa"/>
            <w:vAlign w:val="bottom"/>
            <w:tcBorders>
              <w:top w:val="single" w:sz="8" w:color="auto"/>
            </w:tcBorders>
            <w:shd w:val="clear" w:color="auto" w:fill="DBDBDB"/>
          </w:tcPr>
          <w:p>
            <w:pPr>
              <w:spacing w:after="0"/>
              <w:rPr>
                <w:sz w:val="13"/>
                <w:szCs w:val="13"/>
                <w:color w:val="auto"/>
              </w:rPr>
            </w:pPr>
          </w:p>
        </w:tc>
        <w:tc>
          <w:tcPr>
            <w:tcW w:w="1120" w:type="dxa"/>
            <w:vAlign w:val="bottom"/>
            <w:tcBorders>
              <w:top w:val="single" w:sz="8" w:color="auto"/>
            </w:tcBorders>
            <w:shd w:val="clear" w:color="auto" w:fill="DBDBDB"/>
          </w:tcPr>
          <w:p>
            <w:pPr>
              <w:spacing w:after="0"/>
              <w:rPr>
                <w:sz w:val="13"/>
                <w:szCs w:val="13"/>
                <w:color w:val="auto"/>
              </w:rPr>
            </w:pPr>
          </w:p>
        </w:tc>
        <w:tc>
          <w:tcPr>
            <w:tcW w:w="120" w:type="dxa"/>
            <w:vAlign w:val="bottom"/>
            <w:tcBorders>
              <w:top w:val="single" w:sz="8" w:color="DBDBDB"/>
            </w:tcBorders>
            <w:shd w:val="clear" w:color="auto" w:fill="DBDBDB"/>
          </w:tcPr>
          <w:p>
            <w:pPr>
              <w:spacing w:after="0"/>
              <w:rPr>
                <w:sz w:val="13"/>
                <w:szCs w:val="13"/>
                <w:color w:val="auto"/>
              </w:rPr>
            </w:pPr>
          </w:p>
        </w:tc>
        <w:tc>
          <w:tcPr>
            <w:tcW w:w="120" w:type="dxa"/>
            <w:vAlign w:val="bottom"/>
            <w:tcBorders>
              <w:top w:val="single" w:sz="8" w:color="auto"/>
            </w:tcBorders>
            <w:shd w:val="clear" w:color="auto" w:fill="DBDBDB"/>
          </w:tcPr>
          <w:p>
            <w:pPr>
              <w:spacing w:after="0"/>
              <w:rPr>
                <w:sz w:val="13"/>
                <w:szCs w:val="13"/>
                <w:color w:val="auto"/>
              </w:rPr>
            </w:pPr>
          </w:p>
        </w:tc>
        <w:tc>
          <w:tcPr>
            <w:tcW w:w="1140" w:type="dxa"/>
            <w:vAlign w:val="bottom"/>
            <w:tcBorders>
              <w:top w:val="single" w:sz="8" w:color="auto"/>
            </w:tcBorders>
            <w:shd w:val="clear" w:color="auto" w:fill="DBDBDB"/>
          </w:tcPr>
          <w:p>
            <w:pPr>
              <w:spacing w:after="0"/>
              <w:rPr>
                <w:sz w:val="13"/>
                <w:szCs w:val="13"/>
                <w:color w:val="auto"/>
              </w:rPr>
            </w:pPr>
          </w:p>
        </w:tc>
        <w:tc>
          <w:tcPr>
            <w:tcW w:w="120" w:type="dxa"/>
            <w:vAlign w:val="bottom"/>
            <w:tcBorders>
              <w:top w:val="single" w:sz="8" w:color="DBDBDB"/>
            </w:tcBorders>
            <w:shd w:val="clear" w:color="auto" w:fill="DBDBDB"/>
          </w:tcPr>
          <w:p>
            <w:pPr>
              <w:spacing w:after="0"/>
              <w:rPr>
                <w:sz w:val="13"/>
                <w:szCs w:val="13"/>
                <w:color w:val="auto"/>
              </w:rPr>
            </w:pPr>
          </w:p>
        </w:tc>
        <w:tc>
          <w:tcPr>
            <w:tcW w:w="140" w:type="dxa"/>
            <w:vAlign w:val="bottom"/>
            <w:tcBorders>
              <w:top w:val="single" w:sz="8" w:color="auto"/>
            </w:tcBorders>
            <w:shd w:val="clear" w:color="auto" w:fill="DBDBDB"/>
          </w:tcPr>
          <w:p>
            <w:pPr>
              <w:spacing w:after="0"/>
              <w:rPr>
                <w:sz w:val="13"/>
                <w:szCs w:val="13"/>
                <w:color w:val="auto"/>
              </w:rPr>
            </w:pPr>
          </w:p>
        </w:tc>
        <w:tc>
          <w:tcPr>
            <w:tcW w:w="1120" w:type="dxa"/>
            <w:vAlign w:val="bottom"/>
            <w:tcBorders>
              <w:top w:val="single" w:sz="8" w:color="auto"/>
            </w:tcBorders>
            <w:shd w:val="clear" w:color="auto" w:fill="DBDBDB"/>
          </w:tcPr>
          <w:p>
            <w:pPr>
              <w:spacing w:after="0"/>
              <w:rPr>
                <w:sz w:val="13"/>
                <w:szCs w:val="13"/>
                <w:color w:val="auto"/>
              </w:rPr>
            </w:pPr>
          </w:p>
        </w:tc>
      </w:tr>
      <w:tr>
        <w:trPr>
          <w:trHeight w:val="229"/>
        </w:trPr>
        <w:tc>
          <w:tcPr>
            <w:tcW w:w="314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Relationships:</w:t>
            </w:r>
          </w:p>
        </w:tc>
        <w:tc>
          <w:tcPr>
            <w:tcW w:w="12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r>
      <w:tr>
        <w:trPr>
          <w:trHeight w:val="188"/>
        </w:trPr>
        <w:tc>
          <w:tcPr>
            <w:tcW w:w="3140" w:type="dxa"/>
            <w:vAlign w:val="bottom"/>
          </w:tcPr>
          <w:p>
            <w:pPr>
              <w:ind w:left="360"/>
              <w:spacing w:after="0" w:line="189" w:lineRule="exact"/>
              <w:rPr>
                <w:sz w:val="20"/>
                <w:szCs w:val="20"/>
                <w:color w:val="auto"/>
              </w:rPr>
            </w:pPr>
            <w:r>
              <w:rPr>
                <w:rFonts w:ascii="Arial" w:cs="Arial" w:eastAsia="Arial" w:hAnsi="Arial"/>
                <w:sz w:val="18"/>
                <w:szCs w:val="18"/>
                <w:color w:val="auto"/>
              </w:rPr>
              <w:t>Foreign currency exchange</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7"/>
        </w:trPr>
        <w:tc>
          <w:tcPr>
            <w:tcW w:w="3140" w:type="dxa"/>
            <w:vAlign w:val="bottom"/>
          </w:tcPr>
          <w:p>
            <w:pPr>
              <w:ind w:left="360"/>
              <w:spacing w:after="0"/>
              <w:rPr>
                <w:sz w:val="20"/>
                <w:szCs w:val="20"/>
                <w:color w:val="auto"/>
              </w:rPr>
            </w:pPr>
            <w:r>
              <w:rPr>
                <w:rFonts w:ascii="Arial" w:cs="Arial" w:eastAsia="Arial" w:hAnsi="Arial"/>
                <w:sz w:val="18"/>
                <w:szCs w:val="18"/>
                <w:color w:val="auto"/>
              </w:rPr>
              <w:t>contracts</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156"/>
        </w:trPr>
        <w:tc>
          <w:tcPr>
            <w:tcW w:w="3140" w:type="dxa"/>
            <w:vAlign w:val="bottom"/>
            <w:tcBorders>
              <w:top w:val="single" w:sz="8" w:color="DBDBDB"/>
            </w:tcBorders>
            <w:shd w:val="clear" w:color="auto" w:fill="DBDBDB"/>
          </w:tcPr>
          <w:p>
            <w:pPr>
              <w:ind w:left="20"/>
              <w:spacing w:after="0" w:line="156" w:lineRule="exact"/>
              <w:rPr>
                <w:sz w:val="20"/>
                <w:szCs w:val="20"/>
                <w:color w:val="auto"/>
              </w:rPr>
            </w:pPr>
            <w:r>
              <w:rPr>
                <w:rFonts w:ascii="Arial" w:cs="Arial" w:eastAsia="Arial" w:hAnsi="Arial"/>
                <w:sz w:val="18"/>
                <w:szCs w:val="18"/>
                <w:b w:val="1"/>
                <w:bCs w:val="1"/>
                <w:color w:val="auto"/>
              </w:rPr>
              <w:t>Derivatives in Net Investment</w:t>
            </w:r>
          </w:p>
        </w:tc>
        <w:tc>
          <w:tcPr>
            <w:tcW w:w="120" w:type="dxa"/>
            <w:vAlign w:val="bottom"/>
            <w:tcBorders>
              <w:top w:val="single" w:sz="8" w:color="auto"/>
            </w:tcBorders>
            <w:shd w:val="clear" w:color="auto" w:fill="DBDBDB"/>
          </w:tcPr>
          <w:p>
            <w:pPr>
              <w:spacing w:after="0"/>
              <w:rPr>
                <w:sz w:val="13"/>
                <w:szCs w:val="13"/>
                <w:color w:val="auto"/>
              </w:rPr>
            </w:pPr>
          </w:p>
        </w:tc>
        <w:tc>
          <w:tcPr>
            <w:tcW w:w="1140" w:type="dxa"/>
            <w:vAlign w:val="bottom"/>
            <w:tcBorders>
              <w:top w:val="single" w:sz="8" w:color="auto"/>
            </w:tcBorders>
            <w:shd w:val="clear" w:color="auto" w:fill="DBDBDB"/>
          </w:tcPr>
          <w:p>
            <w:pPr>
              <w:spacing w:after="0"/>
              <w:rPr>
                <w:sz w:val="13"/>
                <w:szCs w:val="13"/>
                <w:color w:val="auto"/>
              </w:rPr>
            </w:pPr>
          </w:p>
        </w:tc>
        <w:tc>
          <w:tcPr>
            <w:tcW w:w="80" w:type="dxa"/>
            <w:vAlign w:val="bottom"/>
            <w:tcBorders>
              <w:top w:val="single" w:sz="8" w:color="DBDBDB"/>
            </w:tcBorders>
            <w:shd w:val="clear" w:color="auto" w:fill="DBDBDB"/>
          </w:tcPr>
          <w:p>
            <w:pPr>
              <w:spacing w:after="0"/>
              <w:rPr>
                <w:sz w:val="13"/>
                <w:szCs w:val="13"/>
                <w:color w:val="auto"/>
              </w:rPr>
            </w:pPr>
          </w:p>
        </w:tc>
        <w:tc>
          <w:tcPr>
            <w:tcW w:w="140" w:type="dxa"/>
            <w:vAlign w:val="bottom"/>
            <w:tcBorders>
              <w:top w:val="single" w:sz="8" w:color="auto"/>
            </w:tcBorders>
            <w:shd w:val="clear" w:color="auto" w:fill="DBDBDB"/>
          </w:tcPr>
          <w:p>
            <w:pPr>
              <w:spacing w:after="0"/>
              <w:rPr>
                <w:sz w:val="13"/>
                <w:szCs w:val="13"/>
                <w:color w:val="auto"/>
              </w:rPr>
            </w:pPr>
          </w:p>
        </w:tc>
        <w:tc>
          <w:tcPr>
            <w:tcW w:w="1120" w:type="dxa"/>
            <w:vAlign w:val="bottom"/>
            <w:tcBorders>
              <w:top w:val="single" w:sz="8" w:color="auto"/>
            </w:tcBorders>
            <w:shd w:val="clear" w:color="auto" w:fill="DBDBDB"/>
          </w:tcPr>
          <w:p>
            <w:pPr>
              <w:spacing w:after="0"/>
              <w:rPr>
                <w:sz w:val="13"/>
                <w:szCs w:val="13"/>
                <w:color w:val="auto"/>
              </w:rPr>
            </w:pPr>
          </w:p>
        </w:tc>
        <w:tc>
          <w:tcPr>
            <w:tcW w:w="100" w:type="dxa"/>
            <w:vAlign w:val="bottom"/>
            <w:tcBorders>
              <w:top w:val="single" w:sz="8" w:color="DBDBDB"/>
            </w:tcBorders>
            <w:shd w:val="clear" w:color="auto" w:fill="DBDBDB"/>
          </w:tcPr>
          <w:p>
            <w:pPr>
              <w:spacing w:after="0"/>
              <w:rPr>
                <w:sz w:val="13"/>
                <w:szCs w:val="13"/>
                <w:color w:val="auto"/>
              </w:rPr>
            </w:pPr>
          </w:p>
        </w:tc>
        <w:tc>
          <w:tcPr>
            <w:tcW w:w="140" w:type="dxa"/>
            <w:vAlign w:val="bottom"/>
            <w:tcBorders>
              <w:top w:val="single" w:sz="8" w:color="auto"/>
            </w:tcBorders>
            <w:shd w:val="clear" w:color="auto" w:fill="DBDBDB"/>
          </w:tcPr>
          <w:p>
            <w:pPr>
              <w:spacing w:after="0"/>
              <w:rPr>
                <w:sz w:val="13"/>
                <w:szCs w:val="13"/>
                <w:color w:val="auto"/>
              </w:rPr>
            </w:pPr>
          </w:p>
        </w:tc>
        <w:tc>
          <w:tcPr>
            <w:tcW w:w="1120" w:type="dxa"/>
            <w:vAlign w:val="bottom"/>
            <w:tcBorders>
              <w:top w:val="single" w:sz="8" w:color="auto"/>
            </w:tcBorders>
            <w:shd w:val="clear" w:color="auto" w:fill="DBDBDB"/>
          </w:tcPr>
          <w:p>
            <w:pPr>
              <w:spacing w:after="0"/>
              <w:rPr>
                <w:sz w:val="13"/>
                <w:szCs w:val="13"/>
                <w:color w:val="auto"/>
              </w:rPr>
            </w:pPr>
          </w:p>
        </w:tc>
        <w:tc>
          <w:tcPr>
            <w:tcW w:w="120" w:type="dxa"/>
            <w:vAlign w:val="bottom"/>
            <w:tcBorders>
              <w:top w:val="single" w:sz="8" w:color="DBDBDB"/>
            </w:tcBorders>
            <w:shd w:val="clear" w:color="auto" w:fill="DBDBDB"/>
          </w:tcPr>
          <w:p>
            <w:pPr>
              <w:spacing w:after="0"/>
              <w:rPr>
                <w:sz w:val="13"/>
                <w:szCs w:val="13"/>
                <w:color w:val="auto"/>
              </w:rPr>
            </w:pPr>
          </w:p>
        </w:tc>
        <w:tc>
          <w:tcPr>
            <w:tcW w:w="140" w:type="dxa"/>
            <w:vAlign w:val="bottom"/>
            <w:tcBorders>
              <w:top w:val="single" w:sz="8" w:color="auto"/>
            </w:tcBorders>
            <w:shd w:val="clear" w:color="auto" w:fill="DBDBDB"/>
          </w:tcPr>
          <w:p>
            <w:pPr>
              <w:spacing w:after="0"/>
              <w:rPr>
                <w:sz w:val="13"/>
                <w:szCs w:val="13"/>
                <w:color w:val="auto"/>
              </w:rPr>
            </w:pPr>
          </w:p>
        </w:tc>
        <w:tc>
          <w:tcPr>
            <w:tcW w:w="1120" w:type="dxa"/>
            <w:vAlign w:val="bottom"/>
            <w:tcBorders>
              <w:top w:val="single" w:sz="8" w:color="auto"/>
            </w:tcBorders>
            <w:shd w:val="clear" w:color="auto" w:fill="DBDBDB"/>
          </w:tcPr>
          <w:p>
            <w:pPr>
              <w:spacing w:after="0"/>
              <w:rPr>
                <w:sz w:val="13"/>
                <w:szCs w:val="13"/>
                <w:color w:val="auto"/>
              </w:rPr>
            </w:pPr>
          </w:p>
        </w:tc>
        <w:tc>
          <w:tcPr>
            <w:tcW w:w="120" w:type="dxa"/>
            <w:vAlign w:val="bottom"/>
            <w:tcBorders>
              <w:top w:val="single" w:sz="8" w:color="DBDBDB"/>
            </w:tcBorders>
            <w:shd w:val="clear" w:color="auto" w:fill="DBDBDB"/>
          </w:tcPr>
          <w:p>
            <w:pPr>
              <w:spacing w:after="0"/>
              <w:rPr>
                <w:sz w:val="13"/>
                <w:szCs w:val="13"/>
                <w:color w:val="auto"/>
              </w:rPr>
            </w:pPr>
          </w:p>
        </w:tc>
        <w:tc>
          <w:tcPr>
            <w:tcW w:w="120" w:type="dxa"/>
            <w:vAlign w:val="bottom"/>
            <w:tcBorders>
              <w:top w:val="single" w:sz="8" w:color="auto"/>
            </w:tcBorders>
            <w:shd w:val="clear" w:color="auto" w:fill="DBDBDB"/>
          </w:tcPr>
          <w:p>
            <w:pPr>
              <w:spacing w:after="0"/>
              <w:rPr>
                <w:sz w:val="13"/>
                <w:szCs w:val="13"/>
                <w:color w:val="auto"/>
              </w:rPr>
            </w:pPr>
          </w:p>
        </w:tc>
        <w:tc>
          <w:tcPr>
            <w:tcW w:w="1140" w:type="dxa"/>
            <w:vAlign w:val="bottom"/>
            <w:tcBorders>
              <w:top w:val="single" w:sz="8" w:color="auto"/>
            </w:tcBorders>
            <w:shd w:val="clear" w:color="auto" w:fill="DBDBDB"/>
          </w:tcPr>
          <w:p>
            <w:pPr>
              <w:spacing w:after="0"/>
              <w:rPr>
                <w:sz w:val="13"/>
                <w:szCs w:val="13"/>
                <w:color w:val="auto"/>
              </w:rPr>
            </w:pPr>
          </w:p>
        </w:tc>
        <w:tc>
          <w:tcPr>
            <w:tcW w:w="120" w:type="dxa"/>
            <w:vAlign w:val="bottom"/>
            <w:tcBorders>
              <w:top w:val="single" w:sz="8" w:color="DBDBDB"/>
            </w:tcBorders>
            <w:shd w:val="clear" w:color="auto" w:fill="DBDBDB"/>
          </w:tcPr>
          <w:p>
            <w:pPr>
              <w:spacing w:after="0"/>
              <w:rPr>
                <w:sz w:val="13"/>
                <w:szCs w:val="13"/>
                <w:color w:val="auto"/>
              </w:rPr>
            </w:pPr>
          </w:p>
        </w:tc>
        <w:tc>
          <w:tcPr>
            <w:tcW w:w="140" w:type="dxa"/>
            <w:vAlign w:val="bottom"/>
            <w:tcBorders>
              <w:top w:val="single" w:sz="8" w:color="auto"/>
            </w:tcBorders>
            <w:shd w:val="clear" w:color="auto" w:fill="DBDBDB"/>
          </w:tcPr>
          <w:p>
            <w:pPr>
              <w:spacing w:after="0"/>
              <w:rPr>
                <w:sz w:val="13"/>
                <w:szCs w:val="13"/>
                <w:color w:val="auto"/>
              </w:rPr>
            </w:pPr>
          </w:p>
        </w:tc>
        <w:tc>
          <w:tcPr>
            <w:tcW w:w="1120" w:type="dxa"/>
            <w:vAlign w:val="bottom"/>
            <w:tcBorders>
              <w:top w:val="single" w:sz="8" w:color="auto"/>
            </w:tcBorders>
            <w:shd w:val="clear" w:color="auto" w:fill="DBDBDB"/>
          </w:tcPr>
          <w:p>
            <w:pPr>
              <w:spacing w:after="0"/>
              <w:rPr>
                <w:sz w:val="13"/>
                <w:szCs w:val="13"/>
                <w:color w:val="auto"/>
              </w:rPr>
            </w:pPr>
          </w:p>
        </w:tc>
      </w:tr>
      <w:tr>
        <w:trPr>
          <w:trHeight w:val="229"/>
        </w:trPr>
        <w:tc>
          <w:tcPr>
            <w:tcW w:w="314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Hedging Relationships:</w:t>
            </w:r>
          </w:p>
        </w:tc>
        <w:tc>
          <w:tcPr>
            <w:tcW w:w="12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r>
      <w:tr>
        <w:trPr>
          <w:trHeight w:val="188"/>
        </w:trPr>
        <w:tc>
          <w:tcPr>
            <w:tcW w:w="3140" w:type="dxa"/>
            <w:vAlign w:val="bottom"/>
          </w:tcPr>
          <w:p>
            <w:pPr>
              <w:ind w:left="360"/>
              <w:spacing w:after="0" w:line="189" w:lineRule="exact"/>
              <w:rPr>
                <w:sz w:val="20"/>
                <w:szCs w:val="20"/>
                <w:color w:val="auto"/>
              </w:rPr>
            </w:pPr>
            <w:r>
              <w:rPr>
                <w:rFonts w:ascii="Arial" w:cs="Arial" w:eastAsia="Arial" w:hAnsi="Arial"/>
                <w:sz w:val="18"/>
                <w:szCs w:val="18"/>
                <w:color w:val="auto"/>
              </w:rPr>
              <w:t>Foreign currency exchange</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7"/>
        </w:trPr>
        <w:tc>
          <w:tcPr>
            <w:tcW w:w="3140" w:type="dxa"/>
            <w:vAlign w:val="bottom"/>
          </w:tcPr>
          <w:p>
            <w:pPr>
              <w:ind w:left="360"/>
              <w:spacing w:after="0"/>
              <w:rPr>
                <w:sz w:val="20"/>
                <w:szCs w:val="20"/>
                <w:color w:val="auto"/>
              </w:rPr>
            </w:pPr>
            <w:r>
              <w:rPr>
                <w:rFonts w:ascii="Arial" w:cs="Arial" w:eastAsia="Arial" w:hAnsi="Arial"/>
                <w:sz w:val="18"/>
                <w:szCs w:val="18"/>
                <w:color w:val="auto"/>
              </w:rPr>
              <w:t>contracts</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3140" w:type="dxa"/>
            <w:vAlign w:val="bottom"/>
            <w:shd w:val="clear" w:color="auto" w:fill="DBDBDB"/>
          </w:tcPr>
          <w:p>
            <w:pPr>
              <w:ind w:left="360"/>
              <w:spacing w:after="0"/>
              <w:rPr>
                <w:sz w:val="20"/>
                <w:szCs w:val="20"/>
                <w:color w:val="auto"/>
              </w:rPr>
            </w:pPr>
            <w:r>
              <w:rPr>
                <w:rFonts w:ascii="Arial" w:cs="Arial" w:eastAsia="Arial" w:hAnsi="Arial"/>
                <w:sz w:val="18"/>
                <w:szCs w:val="18"/>
                <w:color w:val="auto"/>
              </w:rPr>
              <w:t>Cross currency swap agreements</w:t>
            </w:r>
          </w:p>
        </w:tc>
        <w:tc>
          <w:tcPr>
            <w:tcW w:w="12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1,200</w:t>
            </w:r>
          </w:p>
        </w:tc>
        <w:tc>
          <w:tcPr>
            <w:tcW w:w="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1,200</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240" w:type="dxa"/>
            <w:vAlign w:val="bottom"/>
            <w:gridSpan w:val="2"/>
            <w:shd w:val="clear" w:color="auto" w:fill="DBDBDB"/>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DBDBDB"/>
          </w:tcPr>
          <w:p>
            <w:pPr>
              <w:spacing w:after="0"/>
              <w:rPr>
                <w:sz w:val="19"/>
                <w:szCs w:val="19"/>
                <w:color w:val="auto"/>
              </w:rPr>
            </w:pPr>
          </w:p>
        </w:tc>
        <w:tc>
          <w:tcPr>
            <w:tcW w:w="1260" w:type="dxa"/>
            <w:vAlign w:val="bottom"/>
            <w:gridSpan w:val="2"/>
            <w:shd w:val="clear" w:color="auto" w:fill="DBDBDB"/>
          </w:tcPr>
          <w:p>
            <w:pPr>
              <w:ind w:left="880"/>
              <w:spacing w:after="0"/>
              <w:rPr>
                <w:sz w:val="20"/>
                <w:szCs w:val="20"/>
                <w:color w:val="auto"/>
              </w:rPr>
            </w:pPr>
            <w:r>
              <w:rPr>
                <w:rFonts w:ascii="Arial" w:cs="Arial" w:eastAsia="Arial" w:hAnsi="Arial"/>
                <w:sz w:val="18"/>
                <w:szCs w:val="18"/>
                <w:color w:val="auto"/>
              </w:rPr>
              <w:t>—</w:t>
            </w:r>
          </w:p>
        </w:tc>
        <w:tc>
          <w:tcPr>
            <w:tcW w:w="1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w:t>
            </w:r>
          </w:p>
        </w:tc>
      </w:tr>
      <w:tr>
        <w:trPr>
          <w:trHeight w:val="156"/>
        </w:trPr>
        <w:tc>
          <w:tcPr>
            <w:tcW w:w="314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Total Derivatives Designated as</w:t>
            </w:r>
          </w:p>
        </w:tc>
        <w:tc>
          <w:tcPr>
            <w:tcW w:w="1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r>
      <w:tr>
        <w:trPr>
          <w:trHeight w:val="229"/>
        </w:trPr>
        <w:tc>
          <w:tcPr>
            <w:tcW w:w="3140" w:type="dxa"/>
            <w:vAlign w:val="bottom"/>
          </w:tcPr>
          <w:p>
            <w:pPr>
              <w:ind w:left="20"/>
              <w:spacing w:after="0"/>
              <w:rPr>
                <w:sz w:val="20"/>
                <w:szCs w:val="20"/>
                <w:color w:val="auto"/>
              </w:rPr>
            </w:pPr>
            <w:r>
              <w:rPr>
                <w:rFonts w:ascii="Arial" w:cs="Arial" w:eastAsia="Arial" w:hAnsi="Arial"/>
                <w:sz w:val="18"/>
                <w:szCs w:val="18"/>
                <w:b w:val="1"/>
                <w:bCs w:val="1"/>
                <w:color w:val="auto"/>
              </w:rPr>
              <w:t>Hedging Instruments</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5,354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156"/>
        </w:trPr>
        <w:tc>
          <w:tcPr>
            <w:tcW w:w="3140" w:type="dxa"/>
            <w:vAlign w:val="bottom"/>
            <w:tcBorders>
              <w:top w:val="single" w:sz="8" w:color="DBDBDB"/>
            </w:tcBorders>
            <w:shd w:val="clear" w:color="auto" w:fill="DBDBDB"/>
          </w:tcPr>
          <w:p>
            <w:pPr>
              <w:ind w:left="20"/>
              <w:spacing w:after="0" w:line="156" w:lineRule="exact"/>
              <w:rPr>
                <w:sz w:val="20"/>
                <w:szCs w:val="20"/>
                <w:color w:val="auto"/>
              </w:rPr>
            </w:pPr>
            <w:r>
              <w:rPr>
                <w:rFonts w:ascii="Arial" w:cs="Arial" w:eastAsia="Arial" w:hAnsi="Arial"/>
                <w:sz w:val="18"/>
                <w:szCs w:val="18"/>
                <w:b w:val="1"/>
                <w:bCs w:val="1"/>
                <w:color w:val="auto"/>
              </w:rPr>
              <w:t>Derivatives Not Designated as</w:t>
            </w:r>
          </w:p>
        </w:tc>
        <w:tc>
          <w:tcPr>
            <w:tcW w:w="120" w:type="dxa"/>
            <w:vAlign w:val="bottom"/>
            <w:tcBorders>
              <w:top w:val="single" w:sz="8" w:color="auto"/>
            </w:tcBorders>
            <w:shd w:val="clear" w:color="auto" w:fill="DBDBDB"/>
          </w:tcPr>
          <w:p>
            <w:pPr>
              <w:spacing w:after="0"/>
              <w:rPr>
                <w:sz w:val="13"/>
                <w:szCs w:val="13"/>
                <w:color w:val="auto"/>
              </w:rPr>
            </w:pPr>
          </w:p>
        </w:tc>
        <w:tc>
          <w:tcPr>
            <w:tcW w:w="1140" w:type="dxa"/>
            <w:vAlign w:val="bottom"/>
            <w:tcBorders>
              <w:top w:val="single" w:sz="8" w:color="auto"/>
            </w:tcBorders>
            <w:shd w:val="clear" w:color="auto" w:fill="DBDBDB"/>
          </w:tcPr>
          <w:p>
            <w:pPr>
              <w:spacing w:after="0"/>
              <w:rPr>
                <w:sz w:val="13"/>
                <w:szCs w:val="13"/>
                <w:color w:val="auto"/>
              </w:rPr>
            </w:pPr>
          </w:p>
        </w:tc>
        <w:tc>
          <w:tcPr>
            <w:tcW w:w="80" w:type="dxa"/>
            <w:vAlign w:val="bottom"/>
            <w:tcBorders>
              <w:top w:val="single" w:sz="8" w:color="DBDBDB"/>
            </w:tcBorders>
            <w:shd w:val="clear" w:color="auto" w:fill="DBDBDB"/>
          </w:tcPr>
          <w:p>
            <w:pPr>
              <w:spacing w:after="0"/>
              <w:rPr>
                <w:sz w:val="13"/>
                <w:szCs w:val="13"/>
                <w:color w:val="auto"/>
              </w:rPr>
            </w:pPr>
          </w:p>
        </w:tc>
        <w:tc>
          <w:tcPr>
            <w:tcW w:w="140" w:type="dxa"/>
            <w:vAlign w:val="bottom"/>
            <w:tcBorders>
              <w:top w:val="single" w:sz="8" w:color="auto"/>
            </w:tcBorders>
            <w:shd w:val="clear" w:color="auto" w:fill="DBDBDB"/>
          </w:tcPr>
          <w:p>
            <w:pPr>
              <w:spacing w:after="0"/>
              <w:rPr>
                <w:sz w:val="13"/>
                <w:szCs w:val="13"/>
                <w:color w:val="auto"/>
              </w:rPr>
            </w:pPr>
          </w:p>
        </w:tc>
        <w:tc>
          <w:tcPr>
            <w:tcW w:w="1120" w:type="dxa"/>
            <w:vAlign w:val="bottom"/>
            <w:tcBorders>
              <w:top w:val="single" w:sz="8" w:color="auto"/>
            </w:tcBorders>
            <w:shd w:val="clear" w:color="auto" w:fill="DBDBDB"/>
          </w:tcPr>
          <w:p>
            <w:pPr>
              <w:spacing w:after="0"/>
              <w:rPr>
                <w:sz w:val="13"/>
                <w:szCs w:val="13"/>
                <w:color w:val="auto"/>
              </w:rPr>
            </w:pPr>
          </w:p>
        </w:tc>
        <w:tc>
          <w:tcPr>
            <w:tcW w:w="100" w:type="dxa"/>
            <w:vAlign w:val="bottom"/>
            <w:tcBorders>
              <w:top w:val="single" w:sz="8" w:color="DBDBDB"/>
            </w:tcBorders>
            <w:shd w:val="clear" w:color="auto" w:fill="DBDBDB"/>
          </w:tcPr>
          <w:p>
            <w:pPr>
              <w:spacing w:after="0"/>
              <w:rPr>
                <w:sz w:val="13"/>
                <w:szCs w:val="13"/>
                <w:color w:val="auto"/>
              </w:rPr>
            </w:pPr>
          </w:p>
        </w:tc>
        <w:tc>
          <w:tcPr>
            <w:tcW w:w="140" w:type="dxa"/>
            <w:vAlign w:val="bottom"/>
            <w:tcBorders>
              <w:top w:val="single" w:sz="8" w:color="auto"/>
            </w:tcBorders>
            <w:shd w:val="clear" w:color="auto" w:fill="DBDBDB"/>
          </w:tcPr>
          <w:p>
            <w:pPr>
              <w:spacing w:after="0"/>
              <w:rPr>
                <w:sz w:val="13"/>
                <w:szCs w:val="13"/>
                <w:color w:val="auto"/>
              </w:rPr>
            </w:pPr>
          </w:p>
        </w:tc>
        <w:tc>
          <w:tcPr>
            <w:tcW w:w="1120" w:type="dxa"/>
            <w:vAlign w:val="bottom"/>
            <w:tcBorders>
              <w:top w:val="single" w:sz="8" w:color="auto"/>
            </w:tcBorders>
            <w:shd w:val="clear" w:color="auto" w:fill="DBDBDB"/>
          </w:tcPr>
          <w:p>
            <w:pPr>
              <w:spacing w:after="0"/>
              <w:rPr>
                <w:sz w:val="13"/>
                <w:szCs w:val="13"/>
                <w:color w:val="auto"/>
              </w:rPr>
            </w:pPr>
          </w:p>
        </w:tc>
        <w:tc>
          <w:tcPr>
            <w:tcW w:w="120" w:type="dxa"/>
            <w:vAlign w:val="bottom"/>
            <w:tcBorders>
              <w:top w:val="single" w:sz="8" w:color="DBDBDB"/>
            </w:tcBorders>
            <w:shd w:val="clear" w:color="auto" w:fill="DBDBDB"/>
          </w:tcPr>
          <w:p>
            <w:pPr>
              <w:spacing w:after="0"/>
              <w:rPr>
                <w:sz w:val="13"/>
                <w:szCs w:val="13"/>
                <w:color w:val="auto"/>
              </w:rPr>
            </w:pPr>
          </w:p>
        </w:tc>
        <w:tc>
          <w:tcPr>
            <w:tcW w:w="140" w:type="dxa"/>
            <w:vAlign w:val="bottom"/>
            <w:tcBorders>
              <w:top w:val="single" w:sz="8" w:color="auto"/>
            </w:tcBorders>
            <w:shd w:val="clear" w:color="auto" w:fill="DBDBDB"/>
          </w:tcPr>
          <w:p>
            <w:pPr>
              <w:spacing w:after="0"/>
              <w:rPr>
                <w:sz w:val="13"/>
                <w:szCs w:val="13"/>
                <w:color w:val="auto"/>
              </w:rPr>
            </w:pPr>
          </w:p>
        </w:tc>
        <w:tc>
          <w:tcPr>
            <w:tcW w:w="1120" w:type="dxa"/>
            <w:vAlign w:val="bottom"/>
            <w:tcBorders>
              <w:top w:val="single" w:sz="8" w:color="auto"/>
            </w:tcBorders>
            <w:shd w:val="clear" w:color="auto" w:fill="DBDBDB"/>
          </w:tcPr>
          <w:p>
            <w:pPr>
              <w:spacing w:after="0"/>
              <w:rPr>
                <w:sz w:val="13"/>
                <w:szCs w:val="13"/>
                <w:color w:val="auto"/>
              </w:rPr>
            </w:pPr>
          </w:p>
        </w:tc>
        <w:tc>
          <w:tcPr>
            <w:tcW w:w="120" w:type="dxa"/>
            <w:vAlign w:val="bottom"/>
            <w:tcBorders>
              <w:top w:val="single" w:sz="8" w:color="DBDBDB"/>
            </w:tcBorders>
            <w:shd w:val="clear" w:color="auto" w:fill="DBDBDB"/>
          </w:tcPr>
          <w:p>
            <w:pPr>
              <w:spacing w:after="0"/>
              <w:rPr>
                <w:sz w:val="13"/>
                <w:szCs w:val="13"/>
                <w:color w:val="auto"/>
              </w:rPr>
            </w:pPr>
          </w:p>
        </w:tc>
        <w:tc>
          <w:tcPr>
            <w:tcW w:w="120" w:type="dxa"/>
            <w:vAlign w:val="bottom"/>
            <w:tcBorders>
              <w:top w:val="single" w:sz="8" w:color="auto"/>
            </w:tcBorders>
            <w:shd w:val="clear" w:color="auto" w:fill="DBDBDB"/>
          </w:tcPr>
          <w:p>
            <w:pPr>
              <w:spacing w:after="0"/>
              <w:rPr>
                <w:sz w:val="13"/>
                <w:szCs w:val="13"/>
                <w:color w:val="auto"/>
              </w:rPr>
            </w:pPr>
          </w:p>
        </w:tc>
        <w:tc>
          <w:tcPr>
            <w:tcW w:w="1140" w:type="dxa"/>
            <w:vAlign w:val="bottom"/>
            <w:tcBorders>
              <w:top w:val="single" w:sz="8" w:color="auto"/>
            </w:tcBorders>
            <w:shd w:val="clear" w:color="auto" w:fill="DBDBDB"/>
          </w:tcPr>
          <w:p>
            <w:pPr>
              <w:spacing w:after="0"/>
              <w:rPr>
                <w:sz w:val="13"/>
                <w:szCs w:val="13"/>
                <w:color w:val="auto"/>
              </w:rPr>
            </w:pPr>
          </w:p>
        </w:tc>
        <w:tc>
          <w:tcPr>
            <w:tcW w:w="120" w:type="dxa"/>
            <w:vAlign w:val="bottom"/>
            <w:tcBorders>
              <w:top w:val="single" w:sz="8" w:color="DBDBDB"/>
            </w:tcBorders>
            <w:shd w:val="clear" w:color="auto" w:fill="DBDBDB"/>
          </w:tcPr>
          <w:p>
            <w:pPr>
              <w:spacing w:after="0"/>
              <w:rPr>
                <w:sz w:val="13"/>
                <w:szCs w:val="13"/>
                <w:color w:val="auto"/>
              </w:rPr>
            </w:pPr>
          </w:p>
        </w:tc>
        <w:tc>
          <w:tcPr>
            <w:tcW w:w="140" w:type="dxa"/>
            <w:vAlign w:val="bottom"/>
            <w:tcBorders>
              <w:top w:val="single" w:sz="8" w:color="auto"/>
            </w:tcBorders>
            <w:shd w:val="clear" w:color="auto" w:fill="DBDBDB"/>
          </w:tcPr>
          <w:p>
            <w:pPr>
              <w:spacing w:after="0"/>
              <w:rPr>
                <w:sz w:val="13"/>
                <w:szCs w:val="13"/>
                <w:color w:val="auto"/>
              </w:rPr>
            </w:pPr>
          </w:p>
        </w:tc>
        <w:tc>
          <w:tcPr>
            <w:tcW w:w="1120" w:type="dxa"/>
            <w:vAlign w:val="bottom"/>
            <w:tcBorders>
              <w:top w:val="single" w:sz="8" w:color="auto"/>
            </w:tcBorders>
            <w:shd w:val="clear" w:color="auto" w:fill="DBDBDB"/>
          </w:tcPr>
          <w:p>
            <w:pPr>
              <w:spacing w:after="0"/>
              <w:rPr>
                <w:sz w:val="13"/>
                <w:szCs w:val="13"/>
                <w:color w:val="auto"/>
              </w:rPr>
            </w:pPr>
          </w:p>
        </w:tc>
      </w:tr>
      <w:tr>
        <w:trPr>
          <w:trHeight w:val="229"/>
        </w:trPr>
        <w:tc>
          <w:tcPr>
            <w:tcW w:w="314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Hedging Instruments:</w:t>
            </w:r>
          </w:p>
        </w:tc>
        <w:tc>
          <w:tcPr>
            <w:tcW w:w="12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r>
      <w:tr>
        <w:trPr>
          <w:trHeight w:val="188"/>
        </w:trPr>
        <w:tc>
          <w:tcPr>
            <w:tcW w:w="3140" w:type="dxa"/>
            <w:vAlign w:val="bottom"/>
          </w:tcPr>
          <w:p>
            <w:pPr>
              <w:ind w:left="360"/>
              <w:spacing w:after="0" w:line="189" w:lineRule="exact"/>
              <w:rPr>
                <w:sz w:val="20"/>
                <w:szCs w:val="20"/>
                <w:color w:val="auto"/>
              </w:rPr>
            </w:pPr>
            <w:r>
              <w:rPr>
                <w:rFonts w:ascii="Arial" w:cs="Arial" w:eastAsia="Arial" w:hAnsi="Arial"/>
                <w:sz w:val="18"/>
                <w:szCs w:val="18"/>
                <w:color w:val="auto"/>
              </w:rPr>
              <w:t>Foreign currency exchange</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7"/>
        </w:trPr>
        <w:tc>
          <w:tcPr>
            <w:tcW w:w="3140" w:type="dxa"/>
            <w:vAlign w:val="bottom"/>
            <w:tcBorders>
              <w:bottom w:val="single" w:sz="8" w:color="DBDBDB"/>
            </w:tcBorders>
          </w:tcPr>
          <w:p>
            <w:pPr>
              <w:ind w:left="360"/>
              <w:spacing w:after="0"/>
              <w:rPr>
                <w:sz w:val="20"/>
                <w:szCs w:val="20"/>
                <w:color w:val="auto"/>
              </w:rPr>
            </w:pPr>
            <w:r>
              <w:rPr>
                <w:rFonts w:ascii="Arial" w:cs="Arial" w:eastAsia="Arial" w:hAnsi="Arial"/>
                <w:sz w:val="18"/>
                <w:szCs w:val="18"/>
                <w:color w:val="auto"/>
              </w:rPr>
              <w:t>contracts</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11,930</w:t>
            </w:r>
          </w:p>
        </w:tc>
        <w:tc>
          <w:tcPr>
            <w:tcW w:w="80" w:type="dxa"/>
            <w:vAlign w:val="bottom"/>
            <w:tcBorders>
              <w:bottom w:val="single" w:sz="8" w:color="DBDBDB"/>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14,829</w:t>
            </w:r>
          </w:p>
        </w:tc>
        <w:tc>
          <w:tcPr>
            <w:tcW w:w="100" w:type="dxa"/>
            <w:vAlign w:val="bottom"/>
            <w:tcBorders>
              <w:bottom w:val="single" w:sz="8" w:color="DBDBDB"/>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Borders>
              <w:bottom w:val="single" w:sz="8" w:color="DBDBDB"/>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DBDBDB"/>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w w:val="99"/>
              </w:rPr>
              <w:t>(219)</w:t>
            </w:r>
          </w:p>
        </w:tc>
        <w:tc>
          <w:tcPr>
            <w:tcW w:w="120" w:type="dxa"/>
            <w:vAlign w:val="bottom"/>
            <w:tcBorders>
              <w:bottom w:val="single" w:sz="8" w:color="DBDBDB"/>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r>
      <w:tr>
        <w:trPr>
          <w:trHeight w:val="248"/>
        </w:trPr>
        <w:tc>
          <w:tcPr>
            <w:tcW w:w="31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Total Derivatives at Fair Value</w:t>
            </w: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17,284</w:t>
            </w:r>
          </w:p>
        </w:tc>
        <w:tc>
          <w:tcPr>
            <w:tcW w:w="80" w:type="dxa"/>
            <w:vAlign w:val="bottom"/>
            <w:tcBorders>
              <w:bottom w:val="single" w:sz="8" w:color="DBDBDB"/>
            </w:tcBorders>
            <w:shd w:val="clear" w:color="auto" w:fill="DBDBDB"/>
          </w:tcPr>
          <w:p>
            <w:pPr>
              <w:spacing w:after="0"/>
              <w:rPr>
                <w:sz w:val="21"/>
                <w:szCs w:val="21"/>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21,273</w:t>
            </w:r>
          </w:p>
        </w:tc>
        <w:tc>
          <w:tcPr>
            <w:tcW w:w="100" w:type="dxa"/>
            <w:vAlign w:val="bottom"/>
            <w:tcBorders>
              <w:bottom w:val="single" w:sz="8" w:color="DBDBDB"/>
            </w:tcBorders>
            <w:shd w:val="clear" w:color="auto" w:fill="DBDBDB"/>
          </w:tcPr>
          <w:p>
            <w:pPr>
              <w:spacing w:after="0"/>
              <w:rPr>
                <w:sz w:val="21"/>
                <w:szCs w:val="21"/>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416</w:t>
            </w:r>
          </w:p>
        </w:tc>
        <w:tc>
          <w:tcPr>
            <w:tcW w:w="120" w:type="dxa"/>
            <w:vAlign w:val="bottom"/>
            <w:tcBorders>
              <w:bottom w:val="single" w:sz="8" w:color="DBDBDB"/>
            </w:tcBorders>
            <w:shd w:val="clear" w:color="auto" w:fill="DBDBDB"/>
          </w:tcPr>
          <w:p>
            <w:pPr>
              <w:spacing w:after="0"/>
              <w:rPr>
                <w:sz w:val="21"/>
                <w:szCs w:val="21"/>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396</w:t>
            </w:r>
          </w:p>
        </w:tc>
        <w:tc>
          <w:tcPr>
            <w:tcW w:w="120" w:type="dxa"/>
            <w:vAlign w:val="bottom"/>
            <w:tcBorders>
              <w:bottom w:val="single" w:sz="8" w:color="DBDBDB"/>
            </w:tcBorders>
            <w:shd w:val="clear" w:color="auto" w:fill="DBDBDB"/>
          </w:tcPr>
          <w:p>
            <w:pPr>
              <w:spacing w:after="0"/>
              <w:rPr>
                <w:sz w:val="21"/>
                <w:szCs w:val="21"/>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DBDBDB"/>
          </w:tcPr>
          <w:p>
            <w:pPr>
              <w:ind w:left="700"/>
              <w:spacing w:after="0"/>
              <w:rPr>
                <w:sz w:val="20"/>
                <w:szCs w:val="20"/>
                <w:color w:val="auto"/>
              </w:rPr>
            </w:pPr>
            <w:r>
              <w:rPr>
                <w:rFonts w:ascii="Arial" w:cs="Arial" w:eastAsia="Arial" w:hAnsi="Arial"/>
                <w:sz w:val="18"/>
                <w:szCs w:val="18"/>
                <w:color w:val="auto"/>
                <w:w w:val="99"/>
              </w:rPr>
              <w:t>(219)</w:t>
            </w:r>
          </w:p>
        </w:tc>
        <w:tc>
          <w:tcPr>
            <w:tcW w:w="120" w:type="dxa"/>
            <w:vAlign w:val="bottom"/>
            <w:tcBorders>
              <w:bottom w:val="single" w:sz="8" w:color="DBDBDB"/>
            </w:tcBorders>
            <w:shd w:val="clear" w:color="auto" w:fill="DBDBDB"/>
          </w:tcPr>
          <w:p>
            <w:pPr>
              <w:spacing w:after="0"/>
              <w:rPr>
                <w:sz w:val="21"/>
                <w:szCs w:val="21"/>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(200)</w:t>
            </w:r>
          </w:p>
        </w:tc>
      </w:tr>
      <w:tr>
        <w:trPr>
          <w:trHeight w:val="20"/>
        </w:trPr>
        <w:tc>
          <w:tcPr>
            <w:tcW w:w="314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14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14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to the derivative instruments listed above, certain of the Company's foreign currency denominated debt instruments are designated as net investment hedges. The carrying value of those debt instruments designated as net investment hedges, which includes the adjustment for the foreign currency transaction gain or loss on those instruments, was $4,172 million and $4,414 million as of September 30, 2021, and December 31, 2020.</w:t>
      </w:r>
    </w:p>
    <w:p>
      <w:pPr>
        <w:spacing w:after="0" w:line="9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sets forth the amounts recorded on the Consolidated Balance Sheet related to cumulative basis adjustments for fair value hedges: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40" w:type="dxa"/>
            <w:vAlign w:val="bottom"/>
            <w:gridSpan w:val="4"/>
          </w:tcPr>
          <w:p>
            <w:pPr>
              <w:jc w:val="center"/>
              <w:ind w:right="42"/>
              <w:spacing w:after="0"/>
              <w:rPr>
                <w:sz w:val="20"/>
                <w:szCs w:val="20"/>
                <w:color w:val="auto"/>
              </w:rPr>
            </w:pPr>
            <w:r>
              <w:rPr>
                <w:rFonts w:ascii="Arial" w:cs="Arial" w:eastAsia="Arial" w:hAnsi="Arial"/>
                <w:sz w:val="14"/>
                <w:szCs w:val="14"/>
                <w:b w:val="1"/>
                <w:bCs w:val="1"/>
                <w:color w:val="auto"/>
              </w:rPr>
              <w:t>Cumulative Amount of Fair Value</w:t>
            </w:r>
          </w:p>
        </w:tc>
        <w:tc>
          <w:tcPr>
            <w:tcW w:w="0" w:type="dxa"/>
            <w:vAlign w:val="bottom"/>
          </w:tcPr>
          <w:p>
            <w:pPr>
              <w:spacing w:after="0"/>
              <w:rPr>
                <w:sz w:val="1"/>
                <w:szCs w:val="1"/>
                <w:color w:val="auto"/>
              </w:rPr>
            </w:pPr>
          </w:p>
        </w:tc>
      </w:tr>
      <w:tr>
        <w:trPr>
          <w:trHeight w:val="135"/>
        </w:trPr>
        <w:tc>
          <w:tcPr>
            <w:tcW w:w="5780" w:type="dxa"/>
            <w:vAlign w:val="bottom"/>
          </w:tcPr>
          <w:p>
            <w:pPr>
              <w:spacing w:after="0"/>
              <w:rPr>
                <w:sz w:val="11"/>
                <w:szCs w:val="11"/>
                <w:color w:val="auto"/>
              </w:rPr>
            </w:pPr>
          </w:p>
        </w:tc>
        <w:tc>
          <w:tcPr>
            <w:tcW w:w="2680" w:type="dxa"/>
            <w:vAlign w:val="bottom"/>
            <w:gridSpan w:val="5"/>
            <w:vMerge w:val="restart"/>
          </w:tcPr>
          <w:p>
            <w:pPr>
              <w:jc w:val="right"/>
              <w:ind w:right="2"/>
              <w:spacing w:after="0"/>
              <w:rPr>
                <w:sz w:val="20"/>
                <w:szCs w:val="20"/>
                <w:color w:val="auto"/>
              </w:rPr>
            </w:pPr>
            <w:r>
              <w:rPr>
                <w:rFonts w:ascii="Arial" w:cs="Arial" w:eastAsia="Arial" w:hAnsi="Arial"/>
                <w:sz w:val="14"/>
                <w:szCs w:val="14"/>
                <w:b w:val="1"/>
                <w:bCs w:val="1"/>
                <w:color w:val="auto"/>
              </w:rPr>
              <w:t>Carrying Amount of the Hedged Item</w:t>
            </w:r>
          </w:p>
        </w:tc>
        <w:tc>
          <w:tcPr>
            <w:tcW w:w="100" w:type="dxa"/>
            <w:vAlign w:val="bottom"/>
            <w:vMerge w:val="restart"/>
          </w:tcPr>
          <w:p>
            <w:pPr>
              <w:spacing w:after="0"/>
              <w:rPr>
                <w:sz w:val="11"/>
                <w:szCs w:val="11"/>
                <w:color w:val="auto"/>
              </w:rPr>
            </w:pPr>
          </w:p>
        </w:tc>
        <w:tc>
          <w:tcPr>
            <w:tcW w:w="2680" w:type="dxa"/>
            <w:vAlign w:val="bottom"/>
            <w:gridSpan w:val="5"/>
          </w:tcPr>
          <w:p>
            <w:pPr>
              <w:jc w:val="center"/>
              <w:spacing w:after="0" w:line="135" w:lineRule="exact"/>
              <w:rPr>
                <w:sz w:val="20"/>
                <w:szCs w:val="20"/>
                <w:color w:val="auto"/>
              </w:rPr>
            </w:pPr>
            <w:r>
              <w:rPr>
                <w:rFonts w:ascii="Arial" w:cs="Arial" w:eastAsia="Arial" w:hAnsi="Arial"/>
                <w:sz w:val="14"/>
                <w:szCs w:val="14"/>
                <w:b w:val="1"/>
                <w:bCs w:val="1"/>
                <w:color w:val="auto"/>
              </w:rPr>
              <w:t>Hedging Adjustment Included in the</w:t>
            </w:r>
          </w:p>
        </w:tc>
        <w:tc>
          <w:tcPr>
            <w:tcW w:w="0" w:type="dxa"/>
            <w:vAlign w:val="bottom"/>
          </w:tcPr>
          <w:p>
            <w:pPr>
              <w:spacing w:after="0"/>
              <w:rPr>
                <w:sz w:val="1"/>
                <w:szCs w:val="1"/>
                <w:color w:val="auto"/>
              </w:rPr>
            </w:pPr>
          </w:p>
        </w:tc>
      </w:tr>
      <w:tr>
        <w:trPr>
          <w:trHeight w:val="183"/>
        </w:trPr>
        <w:tc>
          <w:tcPr>
            <w:tcW w:w="5780" w:type="dxa"/>
            <w:vAlign w:val="bottom"/>
          </w:tcPr>
          <w:p>
            <w:pPr>
              <w:spacing w:after="0"/>
              <w:rPr>
                <w:sz w:val="15"/>
                <w:szCs w:val="15"/>
                <w:color w:val="auto"/>
              </w:rPr>
            </w:pPr>
          </w:p>
        </w:tc>
        <w:tc>
          <w:tcPr>
            <w:tcW w:w="2680" w:type="dxa"/>
            <w:vAlign w:val="bottom"/>
            <w:tcBorders>
              <w:bottom w:val="single" w:sz="8" w:color="DC202E"/>
            </w:tcBorders>
            <w:gridSpan w:val="5"/>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680" w:type="dxa"/>
            <w:vAlign w:val="bottom"/>
            <w:tcBorders>
              <w:bottom w:val="single" w:sz="8" w:color="DC202E"/>
            </w:tcBorders>
            <w:gridSpan w:val="5"/>
          </w:tcPr>
          <w:p>
            <w:pPr>
              <w:jc w:val="center"/>
              <w:spacing w:after="0"/>
              <w:rPr>
                <w:sz w:val="20"/>
                <w:szCs w:val="20"/>
                <w:color w:val="auto"/>
              </w:rPr>
            </w:pPr>
            <w:r>
              <w:rPr>
                <w:rFonts w:ascii="Arial" w:cs="Arial" w:eastAsia="Arial" w:hAnsi="Arial"/>
                <w:sz w:val="14"/>
                <w:szCs w:val="14"/>
                <w:b w:val="1"/>
                <w:bCs w:val="1"/>
                <w:color w:val="auto"/>
              </w:rPr>
              <w:t>Carrying Amount of the Hedged Item</w:t>
            </w:r>
          </w:p>
        </w:tc>
        <w:tc>
          <w:tcPr>
            <w:tcW w:w="0" w:type="dxa"/>
            <w:vAlign w:val="bottom"/>
          </w:tcPr>
          <w:p>
            <w:pPr>
              <w:spacing w:after="0"/>
              <w:rPr>
                <w:sz w:val="1"/>
                <w:szCs w:val="1"/>
                <w:color w:val="auto"/>
              </w:rPr>
            </w:pPr>
          </w:p>
        </w:tc>
      </w:tr>
      <w:tr>
        <w:trPr>
          <w:trHeight w:val="189"/>
        </w:trPr>
        <w:tc>
          <w:tcPr>
            <w:tcW w:w="5780" w:type="dxa"/>
            <w:vAlign w:val="bottom"/>
          </w:tcPr>
          <w:p>
            <w:pPr>
              <w:jc w:val="center"/>
              <w:spacing w:after="0"/>
              <w:rPr>
                <w:sz w:val="20"/>
                <w:szCs w:val="20"/>
                <w:color w:val="auto"/>
              </w:rPr>
            </w:pPr>
            <w:r>
              <w:rPr>
                <w:rFonts w:ascii="Arial" w:cs="Arial" w:eastAsia="Arial" w:hAnsi="Arial"/>
                <w:sz w:val="14"/>
                <w:szCs w:val="14"/>
                <w:b w:val="1"/>
                <w:bCs w:val="1"/>
                <w:color w:val="auto"/>
              </w:rPr>
              <w:t>Line in the Consolidated Balance</w:t>
            </w:r>
          </w:p>
        </w:tc>
        <w:tc>
          <w:tcPr>
            <w:tcW w:w="14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6"/>
                <w:szCs w:val="16"/>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6"/>
                <w:szCs w:val="16"/>
                <w:color w:val="auto"/>
              </w:rPr>
            </w:pPr>
          </w:p>
        </w:tc>
        <w:tc>
          <w:tcPr>
            <w:tcW w:w="1140" w:type="dxa"/>
            <w:vAlign w:val="bottom"/>
          </w:tcPr>
          <w:p>
            <w:pPr>
              <w:jc w:val="center"/>
              <w:ind w:right="6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9"/>
        </w:trPr>
        <w:tc>
          <w:tcPr>
            <w:tcW w:w="5780" w:type="dxa"/>
            <w:vAlign w:val="bottom"/>
            <w:tcBorders>
              <w:bottom w:val="single" w:sz="8" w:color="DDDDDD"/>
            </w:tcBorders>
          </w:tcPr>
          <w:p>
            <w:pPr>
              <w:jc w:val="center"/>
              <w:spacing w:after="0"/>
              <w:rPr>
                <w:sz w:val="20"/>
                <w:szCs w:val="20"/>
                <w:color w:val="auto"/>
              </w:rPr>
            </w:pPr>
            <w:r>
              <w:rPr>
                <w:rFonts w:ascii="Arial" w:cs="Arial" w:eastAsia="Arial" w:hAnsi="Arial"/>
                <w:sz w:val="14"/>
                <w:szCs w:val="14"/>
                <w:b w:val="1"/>
                <w:bCs w:val="1"/>
                <w:color w:val="auto"/>
              </w:rPr>
              <w:t>Sheet of Hedged Item</w:t>
            </w:r>
          </w:p>
        </w:tc>
        <w:tc>
          <w:tcPr>
            <w:tcW w:w="140" w:type="dxa"/>
            <w:vAlign w:val="bottom"/>
            <w:tcBorders>
              <w:bottom w:val="single" w:sz="8" w:color="DC202E"/>
            </w:tcBorders>
          </w:tcPr>
          <w:p>
            <w:pPr>
              <w:spacing w:after="0"/>
              <w:rPr>
                <w:sz w:val="14"/>
                <w:szCs w:val="14"/>
                <w:color w:val="auto"/>
              </w:rPr>
            </w:pPr>
          </w:p>
        </w:tc>
        <w:tc>
          <w:tcPr>
            <w:tcW w:w="1140" w:type="dxa"/>
            <w:vAlign w:val="bottom"/>
            <w:tcBorders>
              <w:bottom w:val="single" w:sz="8" w:color="DC202E"/>
            </w:tcBorders>
          </w:tcPr>
          <w:p>
            <w:pPr>
              <w:jc w:val="right"/>
              <w:ind w:right="40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DDDDDD"/>
            </w:tcBorders>
          </w:tcPr>
          <w:p>
            <w:pPr>
              <w:spacing w:after="0"/>
              <w:rPr>
                <w:sz w:val="14"/>
                <w:szCs w:val="14"/>
                <w:color w:val="auto"/>
              </w:rPr>
            </w:pPr>
          </w:p>
        </w:tc>
        <w:tc>
          <w:tcPr>
            <w:tcW w:w="140" w:type="dxa"/>
            <w:vAlign w:val="bottom"/>
            <w:tcBorders>
              <w:bottom w:val="single" w:sz="8" w:color="DC202E"/>
            </w:tcBorders>
          </w:tcPr>
          <w:p>
            <w:pPr>
              <w:spacing w:after="0"/>
              <w:rPr>
                <w:sz w:val="14"/>
                <w:szCs w:val="14"/>
                <w:color w:val="auto"/>
              </w:rPr>
            </w:pPr>
          </w:p>
        </w:tc>
        <w:tc>
          <w:tcPr>
            <w:tcW w:w="1140" w:type="dxa"/>
            <w:vAlign w:val="bottom"/>
            <w:tcBorders>
              <w:bottom w:val="single" w:sz="8" w:color="DC202E"/>
            </w:tcBorders>
          </w:tcPr>
          <w:p>
            <w:pPr>
              <w:jc w:val="right"/>
              <w:ind w:right="40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DDDDDD"/>
            </w:tcBorders>
          </w:tcPr>
          <w:p>
            <w:pPr>
              <w:spacing w:after="0"/>
              <w:rPr>
                <w:sz w:val="14"/>
                <w:szCs w:val="14"/>
                <w:color w:val="auto"/>
              </w:rPr>
            </w:pPr>
          </w:p>
        </w:tc>
        <w:tc>
          <w:tcPr>
            <w:tcW w:w="140" w:type="dxa"/>
            <w:vAlign w:val="bottom"/>
            <w:tcBorders>
              <w:bottom w:val="single" w:sz="8" w:color="DC202E"/>
            </w:tcBorders>
          </w:tcPr>
          <w:p>
            <w:pPr>
              <w:spacing w:after="0"/>
              <w:rPr>
                <w:sz w:val="14"/>
                <w:szCs w:val="14"/>
                <w:color w:val="auto"/>
              </w:rPr>
            </w:pPr>
          </w:p>
        </w:tc>
        <w:tc>
          <w:tcPr>
            <w:tcW w:w="1140" w:type="dxa"/>
            <w:vAlign w:val="bottom"/>
            <w:tcBorders>
              <w:bottom w:val="single" w:sz="8" w:color="DC202E"/>
            </w:tcBorders>
          </w:tcPr>
          <w:p>
            <w:pPr>
              <w:jc w:val="right"/>
              <w:ind w:right="40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DDDDDD"/>
            </w:tcBorders>
          </w:tcPr>
          <w:p>
            <w:pPr>
              <w:spacing w:after="0"/>
              <w:rPr>
                <w:sz w:val="14"/>
                <w:szCs w:val="14"/>
                <w:color w:val="auto"/>
              </w:rPr>
            </w:pPr>
          </w:p>
        </w:tc>
        <w:tc>
          <w:tcPr>
            <w:tcW w:w="140" w:type="dxa"/>
            <w:vAlign w:val="bottom"/>
            <w:tcBorders>
              <w:bottom w:val="single" w:sz="8" w:color="DC202E"/>
            </w:tcBorders>
          </w:tcPr>
          <w:p>
            <w:pPr>
              <w:spacing w:after="0"/>
              <w:rPr>
                <w:sz w:val="14"/>
                <w:szCs w:val="14"/>
                <w:color w:val="auto"/>
              </w:rPr>
            </w:pPr>
          </w:p>
        </w:tc>
        <w:tc>
          <w:tcPr>
            <w:tcW w:w="1140" w:type="dxa"/>
            <w:vAlign w:val="bottom"/>
            <w:tcBorders>
              <w:bottom w:val="single" w:sz="8" w:color="DC202E"/>
            </w:tcBorders>
          </w:tcPr>
          <w:p>
            <w:pPr>
              <w:jc w:val="right"/>
              <w:ind w:right="40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30"/>
        </w:trPr>
        <w:tc>
          <w:tcPr>
            <w:tcW w:w="5780" w:type="dxa"/>
            <w:vAlign w:val="bottom"/>
            <w:shd w:val="clear" w:color="auto" w:fill="DDDDDD"/>
          </w:tcPr>
          <w:p>
            <w:pPr>
              <w:ind w:left="20"/>
              <w:spacing w:after="0"/>
              <w:rPr>
                <w:sz w:val="20"/>
                <w:szCs w:val="20"/>
                <w:color w:val="auto"/>
              </w:rPr>
            </w:pPr>
            <w:r>
              <w:rPr>
                <w:rFonts w:ascii="Arial" w:cs="Arial" w:eastAsia="Arial" w:hAnsi="Arial"/>
                <w:sz w:val="18"/>
                <w:szCs w:val="18"/>
                <w:color w:val="auto"/>
              </w:rPr>
              <w:t>Long-term debt</w:t>
            </w:r>
          </w:p>
        </w:tc>
        <w:tc>
          <w:tcPr>
            <w:tcW w:w="14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3,250</w:t>
            </w:r>
          </w:p>
        </w:tc>
        <w:tc>
          <w:tcPr>
            <w:tcW w:w="120" w:type="dxa"/>
            <w:vAlign w:val="bottom"/>
            <w:shd w:val="clear" w:color="auto" w:fill="DDDDDD"/>
          </w:tcPr>
          <w:p>
            <w:pPr>
              <w:spacing w:after="0"/>
              <w:rPr>
                <w:sz w:val="19"/>
                <w:szCs w:val="19"/>
                <w:color w:val="auto"/>
              </w:rPr>
            </w:pPr>
          </w:p>
        </w:tc>
        <w:tc>
          <w:tcPr>
            <w:tcW w:w="14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DDDDD"/>
          </w:tcPr>
          <w:p>
            <w:pPr>
              <w:jc w:val="right"/>
              <w:ind w:right="2"/>
              <w:spacing w:after="0"/>
              <w:rPr>
                <w:sz w:val="20"/>
                <w:szCs w:val="20"/>
                <w:color w:val="auto"/>
              </w:rPr>
            </w:pPr>
            <w:r>
              <w:rPr>
                <w:rFonts w:ascii="Arial" w:cs="Arial" w:eastAsia="Arial" w:hAnsi="Arial"/>
                <w:sz w:val="18"/>
                <w:szCs w:val="18"/>
                <w:color w:val="auto"/>
              </w:rPr>
              <w:t>4,144</w:t>
            </w:r>
          </w:p>
        </w:tc>
        <w:tc>
          <w:tcPr>
            <w:tcW w:w="100" w:type="dxa"/>
            <w:vAlign w:val="bottom"/>
            <w:shd w:val="clear" w:color="auto" w:fill="DDDDDD"/>
          </w:tcPr>
          <w:p>
            <w:pPr>
              <w:spacing w:after="0"/>
              <w:rPr>
                <w:sz w:val="19"/>
                <w:szCs w:val="19"/>
                <w:color w:val="auto"/>
              </w:rPr>
            </w:pPr>
          </w:p>
        </w:tc>
        <w:tc>
          <w:tcPr>
            <w:tcW w:w="14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DDDDDD"/>
          </w:tcPr>
          <w:p>
            <w:pPr>
              <w:spacing w:after="0"/>
              <w:rPr>
                <w:sz w:val="19"/>
                <w:szCs w:val="19"/>
                <w:color w:val="auto"/>
              </w:rPr>
            </w:pPr>
          </w:p>
        </w:tc>
        <w:tc>
          <w:tcPr>
            <w:tcW w:w="14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DDDDD"/>
          </w:tcPr>
          <w:p>
            <w:pPr>
              <w:jc w:val="right"/>
              <w:ind w:right="2"/>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17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location and impact to the Consolidated Statement of Operations related to derivative instruments:</w:t>
      </w:r>
    </w:p>
    <w:p>
      <w:pPr>
        <w:spacing w:after="0" w:line="118" w:lineRule="exact"/>
        <w:rPr>
          <w:sz w:val="20"/>
          <w:szCs w:val="20"/>
          <w:color w:val="auto"/>
        </w:rPr>
      </w:pPr>
    </w:p>
    <w:p>
      <w:pPr>
        <w:ind w:left="6320"/>
        <w:spacing w:after="0"/>
        <w:rPr>
          <w:sz w:val="20"/>
          <w:szCs w:val="20"/>
          <w:color w:val="auto"/>
        </w:rPr>
      </w:pPr>
      <w:r>
        <w:rPr>
          <w:rFonts w:ascii="Arial" w:cs="Arial" w:eastAsia="Arial" w:hAnsi="Arial"/>
          <w:sz w:val="14"/>
          <w:szCs w:val="14"/>
          <w:b w:val="1"/>
          <w:bCs w:val="1"/>
          <w:color w:val="auto"/>
        </w:rPr>
        <w:t>Three Months Ended September 30, 2021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220" w:type="dxa"/>
            <w:vAlign w:val="bottom"/>
          </w:tcPr>
          <w:p>
            <w:pPr>
              <w:spacing w:after="0"/>
              <w:rPr>
                <w:sz w:val="13"/>
                <w:szCs w:val="13"/>
                <w:color w:val="auto"/>
              </w:rPr>
            </w:pPr>
          </w:p>
        </w:tc>
        <w:tc>
          <w:tcPr>
            <w:tcW w:w="240" w:type="dxa"/>
            <w:vAlign w:val="bottom"/>
            <w:tcBorders>
              <w:top w:val="single" w:sz="8" w:color="DC202E"/>
            </w:tcBorders>
          </w:tcPr>
          <w:p>
            <w:pPr>
              <w:spacing w:after="0"/>
              <w:rPr>
                <w:sz w:val="13"/>
                <w:szCs w:val="13"/>
                <w:color w:val="auto"/>
              </w:rPr>
            </w:pPr>
          </w:p>
        </w:tc>
        <w:tc>
          <w:tcPr>
            <w:tcW w:w="1060" w:type="dxa"/>
            <w:vAlign w:val="bottom"/>
            <w:tcBorders>
              <w:top w:val="single" w:sz="8" w:color="DC202E"/>
            </w:tcBorders>
            <w:vMerge w:val="restart"/>
          </w:tcPr>
          <w:p>
            <w:pPr>
              <w:jc w:val="right"/>
              <w:ind w:right="253"/>
              <w:spacing w:after="0"/>
              <w:rPr>
                <w:sz w:val="20"/>
                <w:szCs w:val="20"/>
                <w:color w:val="auto"/>
              </w:rPr>
            </w:pPr>
            <w:r>
              <w:rPr>
                <w:rFonts w:ascii="Arial" w:cs="Arial" w:eastAsia="Arial" w:hAnsi="Arial"/>
                <w:sz w:val="14"/>
                <w:szCs w:val="14"/>
                <w:b w:val="1"/>
                <w:bCs w:val="1"/>
                <w:color w:val="auto"/>
              </w:rPr>
              <w:t>Revenue</w:t>
            </w:r>
          </w:p>
        </w:tc>
        <w:tc>
          <w:tcPr>
            <w:tcW w:w="120" w:type="dxa"/>
            <w:vAlign w:val="bottom"/>
            <w:tcBorders>
              <w:top w:val="single" w:sz="8" w:color="DC202E"/>
            </w:tcBorders>
            <w:vMerge w:val="restart"/>
          </w:tcPr>
          <w:p>
            <w:pPr>
              <w:spacing w:after="0"/>
              <w:rPr>
                <w:sz w:val="13"/>
                <w:szCs w:val="13"/>
                <w:color w:val="auto"/>
              </w:rPr>
            </w:pPr>
          </w:p>
        </w:tc>
        <w:tc>
          <w:tcPr>
            <w:tcW w:w="1420" w:type="dxa"/>
            <w:vAlign w:val="bottom"/>
            <w:tcBorders>
              <w:top w:val="single" w:sz="8" w:color="DC202E"/>
            </w:tcBorders>
            <w:gridSpan w:val="3"/>
          </w:tcPr>
          <w:p>
            <w:pPr>
              <w:ind w:left="80"/>
              <w:spacing w:after="0" w:line="155" w:lineRule="exact"/>
              <w:rPr>
                <w:sz w:val="20"/>
                <w:szCs w:val="20"/>
                <w:color w:val="auto"/>
              </w:rPr>
            </w:pPr>
            <w:r>
              <w:rPr>
                <w:rFonts w:ascii="Arial" w:cs="Arial" w:eastAsia="Arial" w:hAnsi="Arial"/>
                <w:sz w:val="14"/>
                <w:szCs w:val="14"/>
                <w:b w:val="1"/>
                <w:bCs w:val="1"/>
                <w:color w:val="auto"/>
              </w:rPr>
              <w:t>Cost of Products</w:t>
            </w:r>
          </w:p>
        </w:tc>
        <w:tc>
          <w:tcPr>
            <w:tcW w:w="280" w:type="dxa"/>
            <w:vAlign w:val="bottom"/>
            <w:tcBorders>
              <w:top w:val="single" w:sz="8" w:color="DC202E"/>
            </w:tcBorders>
          </w:tcPr>
          <w:p>
            <w:pPr>
              <w:spacing w:after="0"/>
              <w:rPr>
                <w:sz w:val="13"/>
                <w:szCs w:val="13"/>
                <w:color w:val="auto"/>
              </w:rPr>
            </w:pPr>
          </w:p>
        </w:tc>
        <w:tc>
          <w:tcPr>
            <w:tcW w:w="1040" w:type="dxa"/>
            <w:vAlign w:val="bottom"/>
            <w:tcBorders>
              <w:top w:val="single" w:sz="8" w:color="DC202E"/>
            </w:tcBorders>
            <w:vMerge w:val="restart"/>
          </w:tcPr>
          <w:p>
            <w:pPr>
              <w:jc w:val="right"/>
              <w:ind w:right="373"/>
              <w:spacing w:after="0"/>
              <w:rPr>
                <w:sz w:val="20"/>
                <w:szCs w:val="20"/>
                <w:color w:val="auto"/>
              </w:rPr>
            </w:pPr>
            <w:r>
              <w:rPr>
                <w:rFonts w:ascii="Arial" w:cs="Arial" w:eastAsia="Arial" w:hAnsi="Arial"/>
                <w:sz w:val="14"/>
                <w:szCs w:val="14"/>
                <w:b w:val="1"/>
                <w:bCs w:val="1"/>
                <w:color w:val="auto"/>
              </w:rPr>
              <w:t>SG&amp;A</w:t>
            </w:r>
          </w:p>
        </w:tc>
        <w:tc>
          <w:tcPr>
            <w:tcW w:w="100" w:type="dxa"/>
            <w:vAlign w:val="bottom"/>
            <w:tcBorders>
              <w:top w:val="single" w:sz="8" w:color="DC202E"/>
            </w:tcBorders>
            <w:vMerge w:val="restart"/>
          </w:tcPr>
          <w:p>
            <w:pPr>
              <w:spacing w:after="0"/>
              <w:rPr>
                <w:sz w:val="13"/>
                <w:szCs w:val="13"/>
                <w:color w:val="auto"/>
              </w:rPr>
            </w:pPr>
          </w:p>
        </w:tc>
        <w:tc>
          <w:tcPr>
            <w:tcW w:w="140" w:type="dxa"/>
            <w:vAlign w:val="bottom"/>
            <w:tcBorders>
              <w:top w:val="single" w:sz="8" w:color="DC202E"/>
            </w:tcBorders>
          </w:tcPr>
          <w:p>
            <w:pPr>
              <w:spacing w:after="0"/>
              <w:rPr>
                <w:sz w:val="13"/>
                <w:szCs w:val="13"/>
                <w:color w:val="auto"/>
              </w:rPr>
            </w:pPr>
          </w:p>
        </w:tc>
        <w:tc>
          <w:tcPr>
            <w:tcW w:w="1300" w:type="dxa"/>
            <w:vAlign w:val="bottom"/>
            <w:tcBorders>
              <w:top w:val="single" w:sz="8" w:color="DC202E"/>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Other (Income)</w:t>
            </w:r>
          </w:p>
        </w:tc>
        <w:tc>
          <w:tcPr>
            <w:tcW w:w="1320" w:type="dxa"/>
            <w:vAlign w:val="bottom"/>
            <w:tcBorders>
              <w:top w:val="single" w:sz="8" w:color="DC202E"/>
            </w:tcBorders>
            <w:gridSpan w:val="2"/>
          </w:tcPr>
          <w:p>
            <w:pPr>
              <w:ind w:left="40"/>
              <w:spacing w:after="0" w:line="155" w:lineRule="exact"/>
              <w:rPr>
                <w:sz w:val="20"/>
                <w:szCs w:val="20"/>
                <w:color w:val="auto"/>
              </w:rPr>
            </w:pPr>
            <w:r>
              <w:rPr>
                <w:rFonts w:ascii="Arial" w:cs="Arial" w:eastAsia="Arial" w:hAnsi="Arial"/>
                <w:sz w:val="14"/>
                <w:szCs w:val="14"/>
                <w:b w:val="1"/>
                <w:bCs w:val="1"/>
                <w:color w:val="auto"/>
              </w:rPr>
              <w:t>Interest and Other</w:t>
            </w:r>
          </w:p>
        </w:tc>
        <w:tc>
          <w:tcPr>
            <w:tcW w:w="0" w:type="dxa"/>
            <w:vAlign w:val="bottom"/>
          </w:tcPr>
          <w:p>
            <w:pPr>
              <w:spacing w:after="0"/>
              <w:rPr>
                <w:sz w:val="1"/>
                <w:szCs w:val="1"/>
                <w:color w:val="auto"/>
              </w:rPr>
            </w:pPr>
          </w:p>
        </w:tc>
      </w:tr>
      <w:tr>
        <w:trPr>
          <w:trHeight w:val="183"/>
        </w:trPr>
        <w:tc>
          <w:tcPr>
            <w:tcW w:w="4220" w:type="dxa"/>
            <w:vAlign w:val="bottom"/>
            <w:tcBorders>
              <w:bottom w:val="single" w:sz="8" w:color="DDDDDD"/>
            </w:tcBorders>
          </w:tcPr>
          <w:p>
            <w:pPr>
              <w:spacing w:after="0"/>
              <w:rPr>
                <w:sz w:val="15"/>
                <w:szCs w:val="15"/>
                <w:color w:val="auto"/>
              </w:rPr>
            </w:pPr>
          </w:p>
        </w:tc>
        <w:tc>
          <w:tcPr>
            <w:tcW w:w="240" w:type="dxa"/>
            <w:vAlign w:val="bottom"/>
            <w:tcBorders>
              <w:bottom w:val="single" w:sz="8" w:color="DC202E"/>
            </w:tcBorders>
          </w:tcPr>
          <w:p>
            <w:pPr>
              <w:spacing w:after="0"/>
              <w:rPr>
                <w:sz w:val="15"/>
                <w:szCs w:val="15"/>
                <w:color w:val="auto"/>
              </w:rPr>
            </w:pPr>
          </w:p>
        </w:tc>
        <w:tc>
          <w:tcPr>
            <w:tcW w:w="1060" w:type="dxa"/>
            <w:vAlign w:val="bottom"/>
            <w:tcBorders>
              <w:bottom w:val="single" w:sz="8" w:color="DC202E"/>
            </w:tcBorders>
            <w:vMerge w:val="continue"/>
          </w:tcPr>
          <w:p>
            <w:pPr>
              <w:spacing w:after="0"/>
              <w:rPr>
                <w:sz w:val="15"/>
                <w:szCs w:val="15"/>
                <w:color w:val="auto"/>
              </w:rPr>
            </w:pPr>
          </w:p>
        </w:tc>
        <w:tc>
          <w:tcPr>
            <w:tcW w:w="120" w:type="dxa"/>
            <w:vAlign w:val="bottom"/>
            <w:tcBorders>
              <w:bottom w:val="single" w:sz="8" w:color="DDDDDD"/>
            </w:tcBorders>
            <w:vMerge w:val="continue"/>
          </w:tcPr>
          <w:p>
            <w:pPr>
              <w:spacing w:after="0"/>
              <w:rPr>
                <w:sz w:val="15"/>
                <w:szCs w:val="15"/>
                <w:color w:val="auto"/>
              </w:rPr>
            </w:pPr>
          </w:p>
        </w:tc>
        <w:tc>
          <w:tcPr>
            <w:tcW w:w="1300" w:type="dxa"/>
            <w:vAlign w:val="bottom"/>
            <w:tcBorders>
              <w:bottom w:val="single" w:sz="8" w:color="DC202E"/>
            </w:tcBorders>
            <w:gridSpan w:val="2"/>
          </w:tcPr>
          <w:p>
            <w:pPr>
              <w:ind w:left="40"/>
              <w:spacing w:after="0"/>
              <w:rPr>
                <w:sz w:val="20"/>
                <w:szCs w:val="20"/>
                <w:color w:val="auto"/>
              </w:rPr>
            </w:pPr>
            <w:r>
              <w:rPr>
                <w:rFonts w:ascii="Arial" w:cs="Arial" w:eastAsia="Arial" w:hAnsi="Arial"/>
                <w:sz w:val="14"/>
                <w:szCs w:val="14"/>
                <w:b w:val="1"/>
                <w:bCs w:val="1"/>
                <w:color w:val="auto"/>
              </w:rPr>
              <w:t>and Services Sold</w:t>
            </w:r>
          </w:p>
        </w:tc>
        <w:tc>
          <w:tcPr>
            <w:tcW w:w="120" w:type="dxa"/>
            <w:vAlign w:val="bottom"/>
            <w:tcBorders>
              <w:bottom w:val="single" w:sz="8" w:color="DDDDDD"/>
            </w:tcBorders>
          </w:tcPr>
          <w:p>
            <w:pPr>
              <w:spacing w:after="0"/>
              <w:rPr>
                <w:sz w:val="15"/>
                <w:szCs w:val="15"/>
                <w:color w:val="auto"/>
              </w:rPr>
            </w:pPr>
          </w:p>
        </w:tc>
        <w:tc>
          <w:tcPr>
            <w:tcW w:w="280" w:type="dxa"/>
            <w:vAlign w:val="bottom"/>
            <w:tcBorders>
              <w:bottom w:val="single" w:sz="8" w:color="DC202E"/>
            </w:tcBorders>
          </w:tcPr>
          <w:p>
            <w:pPr>
              <w:spacing w:after="0"/>
              <w:rPr>
                <w:sz w:val="15"/>
                <w:szCs w:val="15"/>
                <w:color w:val="auto"/>
              </w:rPr>
            </w:pPr>
          </w:p>
        </w:tc>
        <w:tc>
          <w:tcPr>
            <w:tcW w:w="1040" w:type="dxa"/>
            <w:vAlign w:val="bottom"/>
            <w:tcBorders>
              <w:bottom w:val="single" w:sz="8" w:color="DC202E"/>
            </w:tcBorders>
            <w:vMerge w:val="continue"/>
          </w:tcPr>
          <w:p>
            <w:pPr>
              <w:spacing w:after="0"/>
              <w:rPr>
                <w:sz w:val="15"/>
                <w:szCs w:val="15"/>
                <w:color w:val="auto"/>
              </w:rPr>
            </w:pPr>
          </w:p>
        </w:tc>
        <w:tc>
          <w:tcPr>
            <w:tcW w:w="100" w:type="dxa"/>
            <w:vAlign w:val="bottom"/>
            <w:tcBorders>
              <w:bottom w:val="single" w:sz="8" w:color="DDDDDD"/>
            </w:tcBorders>
            <w:vMerge w:val="continue"/>
          </w:tcPr>
          <w:p>
            <w:pPr>
              <w:spacing w:after="0"/>
              <w:rPr>
                <w:sz w:val="15"/>
                <w:szCs w:val="15"/>
                <w:color w:val="auto"/>
              </w:rPr>
            </w:pPr>
          </w:p>
        </w:tc>
        <w:tc>
          <w:tcPr>
            <w:tcW w:w="140" w:type="dxa"/>
            <w:vAlign w:val="bottom"/>
            <w:tcBorders>
              <w:bottom w:val="single" w:sz="8" w:color="DC202E"/>
            </w:tcBorders>
          </w:tcPr>
          <w:p>
            <w:pPr>
              <w:spacing w:after="0"/>
              <w:rPr>
                <w:sz w:val="15"/>
                <w:szCs w:val="15"/>
                <w:color w:val="auto"/>
              </w:rPr>
            </w:pPr>
          </w:p>
        </w:tc>
        <w:tc>
          <w:tcPr>
            <w:tcW w:w="1180" w:type="dxa"/>
            <w:vAlign w:val="bottom"/>
            <w:tcBorders>
              <w:bottom w:val="single" w:sz="8" w:color="DC202E"/>
            </w:tcBorders>
          </w:tcPr>
          <w:p>
            <w:pPr>
              <w:jc w:val="right"/>
              <w:ind w:right="275"/>
              <w:spacing w:after="0"/>
              <w:rPr>
                <w:sz w:val="20"/>
                <w:szCs w:val="20"/>
                <w:color w:val="auto"/>
              </w:rPr>
            </w:pPr>
            <w:r>
              <w:rPr>
                <w:rFonts w:ascii="Arial" w:cs="Arial" w:eastAsia="Arial" w:hAnsi="Arial"/>
                <w:sz w:val="14"/>
                <w:szCs w:val="14"/>
                <w:b w:val="1"/>
                <w:bCs w:val="1"/>
                <w:color w:val="auto"/>
              </w:rPr>
              <w:t>Expense</w:t>
            </w:r>
          </w:p>
        </w:tc>
        <w:tc>
          <w:tcPr>
            <w:tcW w:w="120" w:type="dxa"/>
            <w:vAlign w:val="bottom"/>
            <w:tcBorders>
              <w:bottom w:val="single" w:sz="8" w:color="DDDDDD"/>
            </w:tcBorders>
          </w:tcPr>
          <w:p>
            <w:pPr>
              <w:spacing w:after="0"/>
              <w:rPr>
                <w:sz w:val="15"/>
                <w:szCs w:val="15"/>
                <w:color w:val="auto"/>
              </w:rPr>
            </w:pPr>
          </w:p>
        </w:tc>
        <w:tc>
          <w:tcPr>
            <w:tcW w:w="1320" w:type="dxa"/>
            <w:vAlign w:val="bottom"/>
            <w:tcBorders>
              <w:bottom w:val="single" w:sz="8" w:color="DC202E"/>
            </w:tcBorders>
            <w:gridSpan w:val="2"/>
          </w:tcPr>
          <w:p>
            <w:pPr>
              <w:ind w:left="40"/>
              <w:spacing w:after="0"/>
              <w:rPr>
                <w:sz w:val="20"/>
                <w:szCs w:val="20"/>
                <w:color w:val="auto"/>
              </w:rPr>
            </w:pPr>
            <w:r>
              <w:rPr>
                <w:rFonts w:ascii="Arial" w:cs="Arial" w:eastAsia="Arial" w:hAnsi="Arial"/>
                <w:sz w:val="14"/>
                <w:szCs w:val="14"/>
                <w:b w:val="1"/>
                <w:bCs w:val="1"/>
                <w:color w:val="auto"/>
              </w:rPr>
              <w:t>Financial Charges</w:t>
            </w:r>
          </w:p>
        </w:tc>
        <w:tc>
          <w:tcPr>
            <w:tcW w:w="0" w:type="dxa"/>
            <w:vAlign w:val="bottom"/>
          </w:tcPr>
          <w:p>
            <w:pPr>
              <w:spacing w:after="0"/>
              <w:rPr>
                <w:sz w:val="1"/>
                <w:szCs w:val="1"/>
                <w:color w:val="auto"/>
              </w:rPr>
            </w:pPr>
          </w:p>
        </w:tc>
      </w:tr>
      <w:tr>
        <w:trPr>
          <w:trHeight w:val="229"/>
        </w:trPr>
        <w:tc>
          <w:tcPr>
            <w:tcW w:w="4460" w:type="dxa"/>
            <w:vAlign w:val="bottom"/>
            <w:gridSpan w:val="2"/>
            <w:shd w:val="clear" w:color="auto" w:fill="DDDDDD"/>
          </w:tcPr>
          <w:p>
            <w:pPr>
              <w:ind w:left="42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8,473</w:t>
            </w:r>
          </w:p>
        </w:tc>
        <w:tc>
          <w:tcPr>
            <w:tcW w:w="120" w:type="dxa"/>
            <w:vAlign w:val="bottom"/>
            <w:shd w:val="clear" w:color="auto" w:fill="DDDDDD"/>
          </w:tcPr>
          <w:p>
            <w:pPr>
              <w:spacing w:after="0"/>
              <w:rPr>
                <w:sz w:val="19"/>
                <w:szCs w:val="19"/>
                <w:color w:val="auto"/>
              </w:rPr>
            </w:pPr>
          </w:p>
        </w:tc>
        <w:tc>
          <w:tcPr>
            <w:tcW w:w="440" w:type="dxa"/>
            <w:vAlign w:val="bottom"/>
            <w:shd w:val="clear" w:color="auto" w:fill="DDDDDD"/>
          </w:tcPr>
          <w:p>
            <w:pPr>
              <w:ind w:lef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5,746</w:t>
            </w:r>
          </w:p>
        </w:tc>
        <w:tc>
          <w:tcPr>
            <w:tcW w:w="120" w:type="dxa"/>
            <w:vAlign w:val="bottom"/>
            <w:shd w:val="clear" w:color="auto" w:fill="DDDDDD"/>
          </w:tcPr>
          <w:p>
            <w:pPr>
              <w:spacing w:after="0"/>
              <w:rPr>
                <w:sz w:val="19"/>
                <w:szCs w:val="19"/>
                <w:color w:val="auto"/>
              </w:rPr>
            </w:pPr>
          </w:p>
        </w:tc>
        <w:tc>
          <w:tcPr>
            <w:tcW w:w="280" w:type="dxa"/>
            <w:vAlign w:val="bottom"/>
            <w:shd w:val="clear" w:color="auto" w:fill="DDDDDD"/>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1,152</w:t>
            </w:r>
          </w:p>
        </w:tc>
        <w:tc>
          <w:tcPr>
            <w:tcW w:w="100" w:type="dxa"/>
            <w:vAlign w:val="bottom"/>
            <w:shd w:val="clear" w:color="auto" w:fill="DDDDDD"/>
          </w:tcPr>
          <w:p>
            <w:pPr>
              <w:spacing w:after="0"/>
              <w:rPr>
                <w:sz w:val="19"/>
                <w:szCs w:val="19"/>
                <w:color w:val="auto"/>
              </w:rPr>
            </w:pPr>
          </w:p>
        </w:tc>
        <w:tc>
          <w:tcPr>
            <w:tcW w:w="14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(215)</w:t>
            </w:r>
          </w:p>
        </w:tc>
        <w:tc>
          <w:tcPr>
            <w:tcW w:w="120" w:type="dxa"/>
            <w:vAlign w:val="bottom"/>
            <w:shd w:val="clear" w:color="auto" w:fill="DDDDDD"/>
          </w:tcPr>
          <w:p>
            <w:pPr>
              <w:spacing w:after="0"/>
              <w:rPr>
                <w:sz w:val="19"/>
                <w:szCs w:val="19"/>
                <w:color w:val="auto"/>
              </w:rPr>
            </w:pPr>
          </w:p>
        </w:tc>
        <w:tc>
          <w:tcPr>
            <w:tcW w:w="540" w:type="dxa"/>
            <w:vAlign w:val="bottom"/>
            <w:shd w:val="clear" w:color="auto" w:fill="DDDDDD"/>
          </w:tcPr>
          <w:p>
            <w:pPr>
              <w:ind w:lef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30"/>
        </w:trPr>
        <w:tc>
          <w:tcPr>
            <w:tcW w:w="4460" w:type="dxa"/>
            <w:vAlign w:val="bottom"/>
            <w:gridSpan w:val="2"/>
          </w:tcPr>
          <w:p>
            <w:pPr>
              <w:ind w:left="20"/>
              <w:spacing w:after="0"/>
              <w:rPr>
                <w:sz w:val="20"/>
                <w:szCs w:val="20"/>
                <w:color w:val="auto"/>
              </w:rPr>
            </w:pPr>
            <w:r>
              <w:rPr>
                <w:rFonts w:ascii="Arial" w:cs="Arial" w:eastAsia="Arial" w:hAnsi="Arial"/>
                <w:sz w:val="18"/>
                <w:szCs w:val="18"/>
                <w:b w:val="1"/>
                <w:bCs w:val="1"/>
                <w:color w:val="auto"/>
              </w:rPr>
              <w:t>Gain or (loss) on cash flow hedges:</w:t>
            </w: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gridSpan w:val="2"/>
            <w:shd w:val="clear" w:color="auto" w:fill="DDDDDD"/>
          </w:tcPr>
          <w:p>
            <w:pPr>
              <w:ind w:left="140"/>
              <w:spacing w:after="0"/>
              <w:rPr>
                <w:sz w:val="20"/>
                <w:szCs w:val="20"/>
                <w:color w:val="auto"/>
              </w:rPr>
            </w:pPr>
            <w:r>
              <w:rPr>
                <w:rFonts w:ascii="Arial" w:cs="Arial" w:eastAsia="Arial" w:hAnsi="Arial"/>
                <w:sz w:val="18"/>
                <w:szCs w:val="18"/>
                <w:color w:val="auto"/>
              </w:rPr>
              <w:t>Foreign Currency Exchange Contracts:</w:t>
            </w:r>
          </w:p>
        </w:tc>
        <w:tc>
          <w:tcPr>
            <w:tcW w:w="106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440" w:type="dxa"/>
            <w:vAlign w:val="bottom"/>
            <w:shd w:val="clear" w:color="auto" w:fill="DDDDDD"/>
          </w:tcPr>
          <w:p>
            <w:pPr>
              <w:spacing w:after="0"/>
              <w:rPr>
                <w:sz w:val="19"/>
                <w:szCs w:val="19"/>
                <w:color w:val="auto"/>
              </w:rPr>
            </w:pPr>
          </w:p>
        </w:tc>
        <w:tc>
          <w:tcPr>
            <w:tcW w:w="86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280" w:type="dxa"/>
            <w:vAlign w:val="bottom"/>
            <w:shd w:val="clear" w:color="auto" w:fill="DDDDDD"/>
          </w:tcPr>
          <w:p>
            <w:pPr>
              <w:spacing w:after="0"/>
              <w:rPr>
                <w:sz w:val="19"/>
                <w:szCs w:val="19"/>
                <w:color w:val="auto"/>
              </w:rPr>
            </w:pPr>
          </w:p>
        </w:tc>
        <w:tc>
          <w:tcPr>
            <w:tcW w:w="104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140" w:type="dxa"/>
            <w:vAlign w:val="bottom"/>
            <w:shd w:val="clear" w:color="auto" w:fill="DDDDDD"/>
          </w:tcPr>
          <w:p>
            <w:pPr>
              <w:spacing w:after="0"/>
              <w:rPr>
                <w:sz w:val="19"/>
                <w:szCs w:val="19"/>
                <w:color w:val="auto"/>
              </w:rPr>
            </w:pPr>
          </w:p>
        </w:tc>
        <w:tc>
          <w:tcPr>
            <w:tcW w:w="118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540" w:type="dxa"/>
            <w:vAlign w:val="bottom"/>
            <w:shd w:val="clear" w:color="auto" w:fill="DDDDDD"/>
          </w:tcPr>
          <w:p>
            <w:pPr>
              <w:spacing w:after="0"/>
              <w:rPr>
                <w:sz w:val="19"/>
                <w:szCs w:val="19"/>
                <w:color w:val="auto"/>
              </w:rPr>
            </w:pPr>
          </w:p>
        </w:tc>
        <w:tc>
          <w:tcPr>
            <w:tcW w:w="78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460" w:type="dxa"/>
            <w:vAlign w:val="bottom"/>
            <w:gridSpan w:val="2"/>
          </w:tcPr>
          <w:p>
            <w:pPr>
              <w:ind w:left="360"/>
              <w:spacing w:after="0" w:line="189" w:lineRule="exact"/>
              <w:rPr>
                <w:sz w:val="20"/>
                <w:szCs w:val="20"/>
                <w:color w:val="auto"/>
              </w:rPr>
            </w:pPr>
            <w:r>
              <w:rPr>
                <w:rFonts w:ascii="Arial" w:cs="Arial" w:eastAsia="Arial" w:hAnsi="Arial"/>
                <w:sz w:val="18"/>
                <w:szCs w:val="18"/>
                <w:color w:val="auto"/>
              </w:rPr>
              <w:t>Amount reclassified from accumulated other</w:t>
            </w: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460" w:type="dxa"/>
            <w:vAlign w:val="bottom"/>
            <w:gridSpan w:val="2"/>
          </w:tcPr>
          <w:p>
            <w:pPr>
              <w:ind w:left="360"/>
              <w:spacing w:after="0"/>
              <w:rPr>
                <w:sz w:val="20"/>
                <w:szCs w:val="20"/>
                <w:color w:val="auto"/>
              </w:rPr>
            </w:pPr>
            <w:r>
              <w:rPr>
                <w:rFonts w:ascii="Arial" w:cs="Arial" w:eastAsia="Arial" w:hAnsi="Arial"/>
                <w:sz w:val="18"/>
                <w:szCs w:val="18"/>
                <w:color w:val="auto"/>
              </w:rPr>
              <w:t>comprehensive income into income</w:t>
            </w: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60" w:type="dxa"/>
            <w:vAlign w:val="bottom"/>
            <w:gridSpan w:val="2"/>
            <w:shd w:val="clear" w:color="auto" w:fill="DDDDDD"/>
          </w:tcPr>
          <w:p>
            <w:pPr>
              <w:ind w:left="20"/>
              <w:spacing w:after="0"/>
              <w:rPr>
                <w:sz w:val="20"/>
                <w:szCs w:val="20"/>
                <w:color w:val="auto"/>
              </w:rPr>
            </w:pPr>
            <w:r>
              <w:rPr>
                <w:rFonts w:ascii="Arial" w:cs="Arial" w:eastAsia="Arial" w:hAnsi="Arial"/>
                <w:sz w:val="18"/>
                <w:szCs w:val="18"/>
                <w:b w:val="1"/>
                <w:bCs w:val="1"/>
                <w:color w:val="auto"/>
              </w:rPr>
              <w:t>Gain or (loss) on fair value hedges:</w:t>
            </w:r>
          </w:p>
        </w:tc>
        <w:tc>
          <w:tcPr>
            <w:tcW w:w="106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440" w:type="dxa"/>
            <w:vAlign w:val="bottom"/>
            <w:shd w:val="clear" w:color="auto" w:fill="DDDDDD"/>
          </w:tcPr>
          <w:p>
            <w:pPr>
              <w:spacing w:after="0"/>
              <w:rPr>
                <w:sz w:val="19"/>
                <w:szCs w:val="19"/>
                <w:color w:val="auto"/>
              </w:rPr>
            </w:pPr>
          </w:p>
        </w:tc>
        <w:tc>
          <w:tcPr>
            <w:tcW w:w="86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280" w:type="dxa"/>
            <w:vAlign w:val="bottom"/>
            <w:shd w:val="clear" w:color="auto" w:fill="DDDDDD"/>
          </w:tcPr>
          <w:p>
            <w:pPr>
              <w:spacing w:after="0"/>
              <w:rPr>
                <w:sz w:val="19"/>
                <w:szCs w:val="19"/>
                <w:color w:val="auto"/>
              </w:rPr>
            </w:pPr>
          </w:p>
        </w:tc>
        <w:tc>
          <w:tcPr>
            <w:tcW w:w="104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140" w:type="dxa"/>
            <w:vAlign w:val="bottom"/>
            <w:shd w:val="clear" w:color="auto" w:fill="DDDDDD"/>
          </w:tcPr>
          <w:p>
            <w:pPr>
              <w:spacing w:after="0"/>
              <w:rPr>
                <w:sz w:val="19"/>
                <w:szCs w:val="19"/>
                <w:color w:val="auto"/>
              </w:rPr>
            </w:pPr>
          </w:p>
        </w:tc>
        <w:tc>
          <w:tcPr>
            <w:tcW w:w="118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540" w:type="dxa"/>
            <w:vAlign w:val="bottom"/>
            <w:shd w:val="clear" w:color="auto" w:fill="DDDDDD"/>
          </w:tcPr>
          <w:p>
            <w:pPr>
              <w:spacing w:after="0"/>
              <w:rPr>
                <w:sz w:val="19"/>
                <w:szCs w:val="19"/>
                <w:color w:val="auto"/>
              </w:rPr>
            </w:pPr>
          </w:p>
        </w:tc>
        <w:tc>
          <w:tcPr>
            <w:tcW w:w="78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gridSpan w:val="2"/>
          </w:tcPr>
          <w:p>
            <w:pPr>
              <w:ind w:left="140"/>
              <w:spacing w:after="0"/>
              <w:rPr>
                <w:sz w:val="20"/>
                <w:szCs w:val="20"/>
                <w:color w:val="auto"/>
              </w:rPr>
            </w:pPr>
            <w:r>
              <w:rPr>
                <w:rFonts w:ascii="Arial" w:cs="Arial" w:eastAsia="Arial" w:hAnsi="Arial"/>
                <w:sz w:val="18"/>
                <w:szCs w:val="18"/>
                <w:color w:val="auto"/>
              </w:rPr>
              <w:t>Interest Rate Swap Agreements:</w:t>
            </w: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gridSpan w:val="2"/>
            <w:shd w:val="clear" w:color="auto" w:fill="DDDDDD"/>
          </w:tcPr>
          <w:p>
            <w:pPr>
              <w:ind w:left="360"/>
              <w:spacing w:after="0"/>
              <w:rPr>
                <w:sz w:val="20"/>
                <w:szCs w:val="20"/>
                <w:color w:val="auto"/>
              </w:rPr>
            </w:pPr>
            <w:r>
              <w:rPr>
                <w:rFonts w:ascii="Arial" w:cs="Arial" w:eastAsia="Arial" w:hAnsi="Arial"/>
                <w:sz w:val="18"/>
                <w:szCs w:val="18"/>
                <w:color w:val="auto"/>
              </w:rPr>
              <w:t>Hedged items</w:t>
            </w:r>
          </w:p>
        </w:tc>
        <w:tc>
          <w:tcPr>
            <w:tcW w:w="1180" w:type="dxa"/>
            <w:vAlign w:val="bottom"/>
            <w:gridSpan w:val="2"/>
            <w:shd w:val="clear" w:color="auto" w:fill="DDDDDD"/>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DDDDDD"/>
          </w:tcPr>
          <w:p>
            <w:pPr>
              <w:spacing w:after="0"/>
              <w:rPr>
                <w:sz w:val="19"/>
                <w:szCs w:val="19"/>
                <w:color w:val="auto"/>
              </w:rPr>
            </w:pPr>
          </w:p>
        </w:tc>
        <w:tc>
          <w:tcPr>
            <w:tcW w:w="980" w:type="dxa"/>
            <w:vAlign w:val="bottom"/>
            <w:gridSpan w:val="2"/>
            <w:shd w:val="clear" w:color="auto" w:fill="DDDDDD"/>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DDDDDD"/>
          </w:tcPr>
          <w:p>
            <w:pPr>
              <w:spacing w:after="0"/>
              <w:rPr>
                <w:sz w:val="19"/>
                <w:szCs w:val="19"/>
                <w:color w:val="auto"/>
              </w:rPr>
            </w:pPr>
          </w:p>
        </w:tc>
        <w:tc>
          <w:tcPr>
            <w:tcW w:w="1140" w:type="dxa"/>
            <w:vAlign w:val="bottom"/>
            <w:gridSpan w:val="2"/>
            <w:shd w:val="clear" w:color="auto" w:fill="DDDDDD"/>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DDDDDD"/>
          </w:tcPr>
          <w:p>
            <w:pPr>
              <w:spacing w:after="0"/>
              <w:rPr>
                <w:sz w:val="19"/>
                <w:szCs w:val="19"/>
                <w:color w:val="auto"/>
              </w:rPr>
            </w:pPr>
          </w:p>
        </w:tc>
        <w:tc>
          <w:tcPr>
            <w:tcW w:w="1300" w:type="dxa"/>
            <w:vAlign w:val="bottom"/>
            <w:gridSpan w:val="2"/>
            <w:shd w:val="clear" w:color="auto" w:fill="DDDDDD"/>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DDDDDD"/>
          </w:tcPr>
          <w:p>
            <w:pPr>
              <w:spacing w:after="0"/>
              <w:rPr>
                <w:sz w:val="19"/>
                <w:szCs w:val="19"/>
                <w:color w:val="auto"/>
              </w:rPr>
            </w:pPr>
          </w:p>
        </w:tc>
        <w:tc>
          <w:tcPr>
            <w:tcW w:w="7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4460" w:type="dxa"/>
            <w:vAlign w:val="bottom"/>
            <w:gridSpan w:val="2"/>
          </w:tcPr>
          <w:p>
            <w:pPr>
              <w:ind w:left="360"/>
              <w:spacing w:after="0"/>
              <w:rPr>
                <w:sz w:val="20"/>
                <w:szCs w:val="20"/>
                <w:color w:val="auto"/>
              </w:rPr>
            </w:pPr>
            <w:r>
              <w:rPr>
                <w:rFonts w:ascii="Arial" w:cs="Arial" w:eastAsia="Arial" w:hAnsi="Arial"/>
                <w:sz w:val="18"/>
                <w:szCs w:val="18"/>
                <w:color w:val="auto"/>
              </w:rPr>
              <w:t>Derivatives designated as hedges</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4460" w:type="dxa"/>
            <w:vAlign w:val="bottom"/>
            <w:gridSpan w:val="2"/>
            <w:shd w:val="clear" w:color="auto" w:fill="DDDDDD"/>
          </w:tcPr>
          <w:p>
            <w:pPr>
              <w:ind w:left="20"/>
              <w:spacing w:after="0"/>
              <w:rPr>
                <w:sz w:val="20"/>
                <w:szCs w:val="20"/>
                <w:color w:val="auto"/>
              </w:rPr>
            </w:pPr>
            <w:r>
              <w:rPr>
                <w:rFonts w:ascii="Arial" w:cs="Arial" w:eastAsia="Arial" w:hAnsi="Arial"/>
                <w:sz w:val="18"/>
                <w:szCs w:val="18"/>
                <w:b w:val="1"/>
                <w:bCs w:val="1"/>
                <w:color w:val="auto"/>
              </w:rPr>
              <w:t>Gain or (loss) on net investment hedges:</w:t>
            </w:r>
          </w:p>
        </w:tc>
        <w:tc>
          <w:tcPr>
            <w:tcW w:w="106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440" w:type="dxa"/>
            <w:vAlign w:val="bottom"/>
            <w:shd w:val="clear" w:color="auto" w:fill="DDDDDD"/>
          </w:tcPr>
          <w:p>
            <w:pPr>
              <w:spacing w:after="0"/>
              <w:rPr>
                <w:sz w:val="19"/>
                <w:szCs w:val="19"/>
                <w:color w:val="auto"/>
              </w:rPr>
            </w:pPr>
          </w:p>
        </w:tc>
        <w:tc>
          <w:tcPr>
            <w:tcW w:w="86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280" w:type="dxa"/>
            <w:vAlign w:val="bottom"/>
            <w:shd w:val="clear" w:color="auto" w:fill="DDDDDD"/>
          </w:tcPr>
          <w:p>
            <w:pPr>
              <w:spacing w:after="0"/>
              <w:rPr>
                <w:sz w:val="19"/>
                <w:szCs w:val="19"/>
                <w:color w:val="auto"/>
              </w:rPr>
            </w:pPr>
          </w:p>
        </w:tc>
        <w:tc>
          <w:tcPr>
            <w:tcW w:w="104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140" w:type="dxa"/>
            <w:vAlign w:val="bottom"/>
            <w:shd w:val="clear" w:color="auto" w:fill="DDDDDD"/>
          </w:tcPr>
          <w:p>
            <w:pPr>
              <w:spacing w:after="0"/>
              <w:rPr>
                <w:sz w:val="19"/>
                <w:szCs w:val="19"/>
                <w:color w:val="auto"/>
              </w:rPr>
            </w:pPr>
          </w:p>
        </w:tc>
        <w:tc>
          <w:tcPr>
            <w:tcW w:w="118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540" w:type="dxa"/>
            <w:vAlign w:val="bottom"/>
            <w:shd w:val="clear" w:color="auto" w:fill="DDDDDD"/>
          </w:tcPr>
          <w:p>
            <w:pPr>
              <w:spacing w:after="0"/>
              <w:rPr>
                <w:sz w:val="19"/>
                <w:szCs w:val="19"/>
                <w:color w:val="auto"/>
              </w:rPr>
            </w:pPr>
          </w:p>
        </w:tc>
        <w:tc>
          <w:tcPr>
            <w:tcW w:w="78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gridSpan w:val="2"/>
          </w:tcPr>
          <w:p>
            <w:pPr>
              <w:ind w:left="140"/>
              <w:spacing w:after="0"/>
              <w:rPr>
                <w:sz w:val="20"/>
                <w:szCs w:val="20"/>
                <w:color w:val="auto"/>
              </w:rPr>
            </w:pPr>
            <w:r>
              <w:rPr>
                <w:rFonts w:ascii="Arial" w:cs="Arial" w:eastAsia="Arial" w:hAnsi="Arial"/>
                <w:sz w:val="18"/>
                <w:szCs w:val="18"/>
                <w:color w:val="auto"/>
              </w:rPr>
              <w:t>Foreign Currency Exchange Contracts:</w:t>
            </w: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460" w:type="dxa"/>
            <w:vAlign w:val="bottom"/>
            <w:gridSpan w:val="2"/>
            <w:shd w:val="clear" w:color="auto" w:fill="DDDDDD"/>
          </w:tcPr>
          <w:p>
            <w:pPr>
              <w:ind w:left="360"/>
              <w:spacing w:after="0" w:line="189" w:lineRule="exact"/>
              <w:rPr>
                <w:sz w:val="20"/>
                <w:szCs w:val="20"/>
                <w:color w:val="auto"/>
              </w:rPr>
            </w:pPr>
            <w:r>
              <w:rPr>
                <w:rFonts w:ascii="Arial" w:cs="Arial" w:eastAsia="Arial" w:hAnsi="Arial"/>
                <w:sz w:val="18"/>
                <w:szCs w:val="18"/>
                <w:color w:val="auto"/>
              </w:rPr>
              <w:t>Amount excluded from effectiveness testing</w:t>
            </w:r>
          </w:p>
        </w:tc>
        <w:tc>
          <w:tcPr>
            <w:tcW w:w="106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440" w:type="dxa"/>
            <w:vAlign w:val="bottom"/>
            <w:shd w:val="clear" w:color="auto" w:fill="DDDDDD"/>
          </w:tcPr>
          <w:p>
            <w:pPr>
              <w:spacing w:after="0"/>
              <w:rPr>
                <w:sz w:val="16"/>
                <w:szCs w:val="16"/>
                <w:color w:val="auto"/>
              </w:rPr>
            </w:pPr>
          </w:p>
        </w:tc>
        <w:tc>
          <w:tcPr>
            <w:tcW w:w="86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280" w:type="dxa"/>
            <w:vAlign w:val="bottom"/>
            <w:shd w:val="clear" w:color="auto" w:fill="DDDDDD"/>
          </w:tcPr>
          <w:p>
            <w:pPr>
              <w:spacing w:after="0"/>
              <w:rPr>
                <w:sz w:val="16"/>
                <w:szCs w:val="16"/>
                <w:color w:val="auto"/>
              </w:rPr>
            </w:pPr>
          </w:p>
        </w:tc>
        <w:tc>
          <w:tcPr>
            <w:tcW w:w="10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118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540" w:type="dxa"/>
            <w:vAlign w:val="bottom"/>
            <w:shd w:val="clear" w:color="auto" w:fill="DDDDDD"/>
          </w:tcPr>
          <w:p>
            <w:pPr>
              <w:spacing w:after="0"/>
              <w:rPr>
                <w:sz w:val="16"/>
                <w:szCs w:val="16"/>
                <w:color w:val="auto"/>
              </w:rPr>
            </w:pPr>
          </w:p>
        </w:tc>
        <w:tc>
          <w:tcPr>
            <w:tcW w:w="78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460" w:type="dxa"/>
            <w:vAlign w:val="bottom"/>
            <w:gridSpan w:val="2"/>
            <w:shd w:val="clear" w:color="auto" w:fill="DDDDDD"/>
          </w:tcPr>
          <w:p>
            <w:pPr>
              <w:ind w:left="360"/>
              <w:spacing w:after="0" w:line="176" w:lineRule="exact"/>
              <w:rPr>
                <w:sz w:val="20"/>
                <w:szCs w:val="20"/>
                <w:color w:val="auto"/>
              </w:rPr>
            </w:pPr>
            <w:r>
              <w:rPr>
                <w:rFonts w:ascii="Arial" w:cs="Arial" w:eastAsia="Arial" w:hAnsi="Arial"/>
                <w:sz w:val="18"/>
                <w:szCs w:val="18"/>
                <w:color w:val="auto"/>
              </w:rPr>
              <w:t>recognized in earnings using an amortization</w:t>
            </w:r>
          </w:p>
        </w:tc>
        <w:tc>
          <w:tcPr>
            <w:tcW w:w="1060" w:type="dxa"/>
            <w:vAlign w:val="bottom"/>
            <w:shd w:val="clear" w:color="auto" w:fill="DDDDDD"/>
          </w:tcPr>
          <w:p>
            <w:pPr>
              <w:spacing w:after="0"/>
              <w:rPr>
                <w:sz w:val="15"/>
                <w:szCs w:val="15"/>
                <w:color w:val="auto"/>
              </w:rPr>
            </w:pPr>
          </w:p>
        </w:tc>
        <w:tc>
          <w:tcPr>
            <w:tcW w:w="120" w:type="dxa"/>
            <w:vAlign w:val="bottom"/>
            <w:shd w:val="clear" w:color="auto" w:fill="DDDDDD"/>
          </w:tcPr>
          <w:p>
            <w:pPr>
              <w:spacing w:after="0"/>
              <w:rPr>
                <w:sz w:val="15"/>
                <w:szCs w:val="15"/>
                <w:color w:val="auto"/>
              </w:rPr>
            </w:pPr>
          </w:p>
        </w:tc>
        <w:tc>
          <w:tcPr>
            <w:tcW w:w="440" w:type="dxa"/>
            <w:vAlign w:val="bottom"/>
            <w:shd w:val="clear" w:color="auto" w:fill="DDDDDD"/>
          </w:tcPr>
          <w:p>
            <w:pPr>
              <w:spacing w:after="0"/>
              <w:rPr>
                <w:sz w:val="15"/>
                <w:szCs w:val="15"/>
                <w:color w:val="auto"/>
              </w:rPr>
            </w:pPr>
          </w:p>
        </w:tc>
        <w:tc>
          <w:tcPr>
            <w:tcW w:w="860" w:type="dxa"/>
            <w:vAlign w:val="bottom"/>
            <w:shd w:val="clear" w:color="auto" w:fill="DDDDDD"/>
          </w:tcPr>
          <w:p>
            <w:pPr>
              <w:spacing w:after="0"/>
              <w:rPr>
                <w:sz w:val="15"/>
                <w:szCs w:val="15"/>
                <w:color w:val="auto"/>
              </w:rPr>
            </w:pPr>
          </w:p>
        </w:tc>
        <w:tc>
          <w:tcPr>
            <w:tcW w:w="120" w:type="dxa"/>
            <w:vAlign w:val="bottom"/>
            <w:shd w:val="clear" w:color="auto" w:fill="DDDDDD"/>
          </w:tcPr>
          <w:p>
            <w:pPr>
              <w:spacing w:after="0"/>
              <w:rPr>
                <w:sz w:val="15"/>
                <w:szCs w:val="15"/>
                <w:color w:val="auto"/>
              </w:rPr>
            </w:pPr>
          </w:p>
        </w:tc>
        <w:tc>
          <w:tcPr>
            <w:tcW w:w="280" w:type="dxa"/>
            <w:vAlign w:val="bottom"/>
            <w:shd w:val="clear" w:color="auto" w:fill="DDDDDD"/>
          </w:tcPr>
          <w:p>
            <w:pPr>
              <w:spacing w:after="0"/>
              <w:rPr>
                <w:sz w:val="15"/>
                <w:szCs w:val="15"/>
                <w:color w:val="auto"/>
              </w:rPr>
            </w:pPr>
          </w:p>
        </w:tc>
        <w:tc>
          <w:tcPr>
            <w:tcW w:w="104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140" w:type="dxa"/>
            <w:vAlign w:val="bottom"/>
            <w:shd w:val="clear" w:color="auto" w:fill="DDDDDD"/>
          </w:tcPr>
          <w:p>
            <w:pPr>
              <w:spacing w:after="0"/>
              <w:rPr>
                <w:sz w:val="15"/>
                <w:szCs w:val="15"/>
                <w:color w:val="auto"/>
              </w:rPr>
            </w:pPr>
          </w:p>
        </w:tc>
        <w:tc>
          <w:tcPr>
            <w:tcW w:w="1180" w:type="dxa"/>
            <w:vAlign w:val="bottom"/>
            <w:shd w:val="clear" w:color="auto" w:fill="DDDDDD"/>
          </w:tcPr>
          <w:p>
            <w:pPr>
              <w:spacing w:after="0"/>
              <w:rPr>
                <w:sz w:val="15"/>
                <w:szCs w:val="15"/>
                <w:color w:val="auto"/>
              </w:rPr>
            </w:pPr>
          </w:p>
        </w:tc>
        <w:tc>
          <w:tcPr>
            <w:tcW w:w="120" w:type="dxa"/>
            <w:vAlign w:val="bottom"/>
            <w:shd w:val="clear" w:color="auto" w:fill="DDDDDD"/>
          </w:tcPr>
          <w:p>
            <w:pPr>
              <w:spacing w:after="0"/>
              <w:rPr>
                <w:sz w:val="15"/>
                <w:szCs w:val="15"/>
                <w:color w:val="auto"/>
              </w:rPr>
            </w:pPr>
          </w:p>
        </w:tc>
        <w:tc>
          <w:tcPr>
            <w:tcW w:w="540" w:type="dxa"/>
            <w:vAlign w:val="bottom"/>
            <w:shd w:val="clear" w:color="auto" w:fill="DDDDDD"/>
          </w:tcPr>
          <w:p>
            <w:pPr>
              <w:spacing w:after="0"/>
              <w:rPr>
                <w:sz w:val="15"/>
                <w:szCs w:val="15"/>
                <w:color w:val="auto"/>
              </w:rPr>
            </w:pPr>
          </w:p>
        </w:tc>
        <w:tc>
          <w:tcPr>
            <w:tcW w:w="780" w:type="dxa"/>
            <w:vAlign w:val="bottom"/>
            <w:shd w:val="clear" w:color="auto" w:fill="DDDDDD"/>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460" w:type="dxa"/>
            <w:vAlign w:val="bottom"/>
            <w:gridSpan w:val="2"/>
            <w:shd w:val="clear" w:color="auto" w:fill="DDDDDD"/>
          </w:tcPr>
          <w:p>
            <w:pPr>
              <w:ind w:left="360"/>
              <w:spacing w:after="0"/>
              <w:rPr>
                <w:sz w:val="20"/>
                <w:szCs w:val="20"/>
                <w:color w:val="auto"/>
              </w:rPr>
            </w:pPr>
            <w:r>
              <w:rPr>
                <w:rFonts w:ascii="Arial" w:cs="Arial" w:eastAsia="Arial" w:hAnsi="Arial"/>
                <w:sz w:val="18"/>
                <w:szCs w:val="18"/>
                <w:color w:val="auto"/>
              </w:rPr>
              <w:t>approach</w:t>
            </w:r>
          </w:p>
        </w:tc>
        <w:tc>
          <w:tcPr>
            <w:tcW w:w="1180" w:type="dxa"/>
            <w:vAlign w:val="bottom"/>
            <w:gridSpan w:val="2"/>
            <w:shd w:val="clear" w:color="auto" w:fill="DDDDDD"/>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DDDDDD"/>
          </w:tcPr>
          <w:p>
            <w:pPr>
              <w:spacing w:after="0"/>
              <w:rPr>
                <w:sz w:val="18"/>
                <w:szCs w:val="18"/>
                <w:color w:val="auto"/>
              </w:rPr>
            </w:pPr>
          </w:p>
        </w:tc>
        <w:tc>
          <w:tcPr>
            <w:tcW w:w="980" w:type="dxa"/>
            <w:vAlign w:val="bottom"/>
            <w:gridSpan w:val="2"/>
            <w:shd w:val="clear" w:color="auto" w:fill="DDDDDD"/>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DDDDDD"/>
          </w:tcPr>
          <w:p>
            <w:pPr>
              <w:spacing w:after="0"/>
              <w:rPr>
                <w:sz w:val="18"/>
                <w:szCs w:val="18"/>
                <w:color w:val="auto"/>
              </w:rPr>
            </w:pPr>
          </w:p>
        </w:tc>
        <w:tc>
          <w:tcPr>
            <w:tcW w:w="1140" w:type="dxa"/>
            <w:vAlign w:val="bottom"/>
            <w:gridSpan w:val="2"/>
            <w:shd w:val="clear" w:color="auto" w:fill="DDDDDD"/>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DDDDDD"/>
          </w:tcPr>
          <w:p>
            <w:pPr>
              <w:spacing w:after="0"/>
              <w:rPr>
                <w:sz w:val="18"/>
                <w:szCs w:val="18"/>
                <w:color w:val="auto"/>
              </w:rPr>
            </w:pPr>
          </w:p>
        </w:tc>
        <w:tc>
          <w:tcPr>
            <w:tcW w:w="1300" w:type="dxa"/>
            <w:vAlign w:val="bottom"/>
            <w:gridSpan w:val="2"/>
            <w:shd w:val="clear" w:color="auto" w:fill="DDDDDD"/>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DDDDDD"/>
          </w:tcPr>
          <w:p>
            <w:pPr>
              <w:spacing w:after="0"/>
              <w:rPr>
                <w:sz w:val="18"/>
                <w:szCs w:val="18"/>
                <w:color w:val="auto"/>
              </w:rPr>
            </w:pPr>
          </w:p>
        </w:tc>
        <w:tc>
          <w:tcPr>
            <w:tcW w:w="7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75"/>
        </w:trPr>
        <w:tc>
          <w:tcPr>
            <w:tcW w:w="4460" w:type="dxa"/>
            <w:vAlign w:val="bottom"/>
            <w:gridSpan w:val="2"/>
          </w:tcPr>
          <w:p>
            <w:pPr>
              <w:ind w:left="20"/>
              <w:spacing w:after="0" w:line="176" w:lineRule="exact"/>
              <w:rPr>
                <w:sz w:val="20"/>
                <w:szCs w:val="20"/>
                <w:color w:val="auto"/>
              </w:rPr>
            </w:pPr>
            <w:r>
              <w:rPr>
                <w:rFonts w:ascii="Arial" w:cs="Arial" w:eastAsia="Arial" w:hAnsi="Arial"/>
                <w:sz w:val="18"/>
                <w:szCs w:val="18"/>
                <w:b w:val="1"/>
                <w:bCs w:val="1"/>
                <w:color w:val="auto"/>
              </w:rPr>
              <w:t>Gain or (loss) on derivatives not designated as</w:t>
            </w: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460" w:type="dxa"/>
            <w:vAlign w:val="bottom"/>
            <w:gridSpan w:val="2"/>
          </w:tcPr>
          <w:p>
            <w:pPr>
              <w:ind w:left="20"/>
              <w:spacing w:after="0"/>
              <w:rPr>
                <w:sz w:val="20"/>
                <w:szCs w:val="20"/>
                <w:color w:val="auto"/>
              </w:rPr>
            </w:pPr>
            <w:r>
              <w:rPr>
                <w:rFonts w:ascii="Arial" w:cs="Arial" w:eastAsia="Arial" w:hAnsi="Arial"/>
                <w:sz w:val="18"/>
                <w:szCs w:val="18"/>
                <w:b w:val="1"/>
                <w:bCs w:val="1"/>
                <w:color w:val="auto"/>
              </w:rPr>
              <w:t>hedging instruments:</w:t>
            </w: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gridSpan w:val="2"/>
            <w:shd w:val="clear" w:color="auto" w:fill="DDDDDD"/>
          </w:tcPr>
          <w:p>
            <w:pPr>
              <w:ind w:left="360"/>
              <w:spacing w:after="0"/>
              <w:rPr>
                <w:sz w:val="20"/>
                <w:szCs w:val="20"/>
                <w:color w:val="auto"/>
              </w:rPr>
            </w:pPr>
            <w:r>
              <w:rPr>
                <w:rFonts w:ascii="Arial" w:cs="Arial" w:eastAsia="Arial" w:hAnsi="Arial"/>
                <w:sz w:val="18"/>
                <w:szCs w:val="18"/>
                <w:color w:val="auto"/>
              </w:rPr>
              <w:t>Foreign currency exchange contracts</w:t>
            </w:r>
          </w:p>
        </w:tc>
        <w:tc>
          <w:tcPr>
            <w:tcW w:w="1180" w:type="dxa"/>
            <w:vAlign w:val="bottom"/>
            <w:gridSpan w:val="2"/>
            <w:shd w:val="clear" w:color="auto" w:fill="DDDDDD"/>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DDDDDD"/>
          </w:tcPr>
          <w:p>
            <w:pPr>
              <w:spacing w:after="0"/>
              <w:rPr>
                <w:sz w:val="19"/>
                <w:szCs w:val="19"/>
                <w:color w:val="auto"/>
              </w:rPr>
            </w:pPr>
          </w:p>
        </w:tc>
        <w:tc>
          <w:tcPr>
            <w:tcW w:w="980" w:type="dxa"/>
            <w:vAlign w:val="bottom"/>
            <w:gridSpan w:val="2"/>
            <w:shd w:val="clear" w:color="auto" w:fill="DDDDDD"/>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DDDDDD"/>
          </w:tcPr>
          <w:p>
            <w:pPr>
              <w:spacing w:after="0"/>
              <w:rPr>
                <w:sz w:val="19"/>
                <w:szCs w:val="19"/>
                <w:color w:val="auto"/>
              </w:rPr>
            </w:pPr>
          </w:p>
        </w:tc>
        <w:tc>
          <w:tcPr>
            <w:tcW w:w="1140" w:type="dxa"/>
            <w:vAlign w:val="bottom"/>
            <w:gridSpan w:val="2"/>
            <w:shd w:val="clear" w:color="auto" w:fill="DDDDDD"/>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DDDDDD"/>
          </w:tcPr>
          <w:p>
            <w:pPr>
              <w:spacing w:after="0"/>
              <w:rPr>
                <w:sz w:val="19"/>
                <w:szCs w:val="19"/>
                <w:color w:val="auto"/>
              </w:rPr>
            </w:pPr>
          </w:p>
        </w:tc>
        <w:tc>
          <w:tcPr>
            <w:tcW w:w="11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DDDDDD"/>
          </w:tcPr>
          <w:p>
            <w:pPr>
              <w:spacing w:after="0"/>
              <w:rPr>
                <w:sz w:val="19"/>
                <w:szCs w:val="19"/>
                <w:color w:val="auto"/>
              </w:rPr>
            </w:pPr>
          </w:p>
        </w:tc>
        <w:tc>
          <w:tcPr>
            <w:tcW w:w="540" w:type="dxa"/>
            <w:vAlign w:val="bottom"/>
            <w:shd w:val="clear" w:color="auto" w:fill="DDDDDD"/>
          </w:tcPr>
          <w:p>
            <w:pPr>
              <w:spacing w:after="0"/>
              <w:rPr>
                <w:sz w:val="19"/>
                <w:szCs w:val="19"/>
                <w:color w:val="auto"/>
              </w:rPr>
            </w:pPr>
          </w:p>
        </w:tc>
        <w:tc>
          <w:tcPr>
            <w:tcW w:w="7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18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97" w:lineRule="exact"/>
        <w:rPr>
          <w:sz w:val="20"/>
          <w:szCs w:val="20"/>
          <w:color w:val="auto"/>
        </w:rPr>
      </w:pPr>
    </w:p>
    <w:p>
      <w:pPr>
        <w:ind w:left="6320"/>
        <w:spacing w:after="0"/>
        <w:rPr>
          <w:sz w:val="20"/>
          <w:szCs w:val="20"/>
          <w:color w:val="auto"/>
        </w:rPr>
      </w:pPr>
      <w:r>
        <w:rPr>
          <w:rFonts w:ascii="Arial" w:cs="Arial" w:eastAsia="Arial" w:hAnsi="Arial"/>
          <w:sz w:val="14"/>
          <w:szCs w:val="14"/>
          <w:b w:val="1"/>
          <w:bCs w:val="1"/>
          <w:color w:val="auto"/>
        </w:rPr>
        <w:t>Three Months Ended September 30, 2020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220" w:type="dxa"/>
            <w:vAlign w:val="bottom"/>
          </w:tcPr>
          <w:p>
            <w:pPr>
              <w:spacing w:after="0"/>
              <w:rPr>
                <w:sz w:val="13"/>
                <w:szCs w:val="13"/>
                <w:color w:val="auto"/>
              </w:rPr>
            </w:pPr>
          </w:p>
        </w:tc>
        <w:tc>
          <w:tcPr>
            <w:tcW w:w="240" w:type="dxa"/>
            <w:vAlign w:val="bottom"/>
            <w:tcBorders>
              <w:top w:val="single" w:sz="8" w:color="DC202E"/>
            </w:tcBorders>
          </w:tcPr>
          <w:p>
            <w:pPr>
              <w:spacing w:after="0"/>
              <w:rPr>
                <w:sz w:val="13"/>
                <w:szCs w:val="13"/>
                <w:color w:val="auto"/>
              </w:rPr>
            </w:pPr>
          </w:p>
        </w:tc>
        <w:tc>
          <w:tcPr>
            <w:tcW w:w="1060" w:type="dxa"/>
            <w:vAlign w:val="bottom"/>
            <w:tcBorders>
              <w:top w:val="single" w:sz="8" w:color="DC202E"/>
            </w:tcBorders>
            <w:vMerge w:val="restart"/>
          </w:tcPr>
          <w:p>
            <w:pPr>
              <w:jc w:val="right"/>
              <w:ind w:right="252"/>
              <w:spacing w:after="0"/>
              <w:rPr>
                <w:sz w:val="20"/>
                <w:szCs w:val="20"/>
                <w:color w:val="auto"/>
              </w:rPr>
            </w:pPr>
            <w:r>
              <w:rPr>
                <w:rFonts w:ascii="Arial" w:cs="Arial" w:eastAsia="Arial" w:hAnsi="Arial"/>
                <w:sz w:val="14"/>
                <w:szCs w:val="14"/>
                <w:b w:val="1"/>
                <w:bCs w:val="1"/>
                <w:color w:val="auto"/>
              </w:rPr>
              <w:t>Revenue</w:t>
            </w:r>
          </w:p>
        </w:tc>
        <w:tc>
          <w:tcPr>
            <w:tcW w:w="120" w:type="dxa"/>
            <w:vAlign w:val="bottom"/>
            <w:tcBorders>
              <w:top w:val="single" w:sz="8" w:color="DC202E"/>
            </w:tcBorders>
            <w:gridSpan w:val="2"/>
            <w:vMerge w:val="restart"/>
          </w:tcPr>
          <w:p>
            <w:pPr>
              <w:spacing w:after="0"/>
              <w:rPr>
                <w:sz w:val="13"/>
                <w:szCs w:val="13"/>
                <w:color w:val="auto"/>
              </w:rPr>
            </w:pPr>
          </w:p>
        </w:tc>
        <w:tc>
          <w:tcPr>
            <w:tcW w:w="20" w:type="dxa"/>
            <w:vAlign w:val="bottom"/>
            <w:tcBorders>
              <w:top w:val="single" w:sz="8" w:color="DC202E"/>
            </w:tcBorders>
          </w:tcPr>
          <w:p>
            <w:pPr>
              <w:spacing w:after="0"/>
              <w:rPr>
                <w:sz w:val="13"/>
                <w:szCs w:val="13"/>
                <w:color w:val="auto"/>
              </w:rPr>
            </w:pPr>
          </w:p>
        </w:tc>
        <w:tc>
          <w:tcPr>
            <w:tcW w:w="1400" w:type="dxa"/>
            <w:vAlign w:val="bottom"/>
            <w:tcBorders>
              <w:top w:val="single" w:sz="8" w:color="DC202E"/>
            </w:tcBorders>
            <w:gridSpan w:val="4"/>
          </w:tcPr>
          <w:p>
            <w:pPr>
              <w:jc w:val="center"/>
              <w:ind w:right="120"/>
              <w:spacing w:after="0" w:line="155" w:lineRule="exact"/>
              <w:rPr>
                <w:sz w:val="20"/>
                <w:szCs w:val="20"/>
                <w:color w:val="auto"/>
              </w:rPr>
            </w:pPr>
            <w:r>
              <w:rPr>
                <w:rFonts w:ascii="Arial" w:cs="Arial" w:eastAsia="Arial" w:hAnsi="Arial"/>
                <w:sz w:val="14"/>
                <w:szCs w:val="14"/>
                <w:b w:val="1"/>
                <w:bCs w:val="1"/>
                <w:color w:val="auto"/>
              </w:rPr>
              <w:t>Cost of Products</w:t>
            </w:r>
          </w:p>
        </w:tc>
        <w:tc>
          <w:tcPr>
            <w:tcW w:w="280" w:type="dxa"/>
            <w:vAlign w:val="bottom"/>
            <w:tcBorders>
              <w:top w:val="single" w:sz="8" w:color="DC202E"/>
            </w:tcBorders>
          </w:tcPr>
          <w:p>
            <w:pPr>
              <w:spacing w:after="0"/>
              <w:rPr>
                <w:sz w:val="13"/>
                <w:szCs w:val="13"/>
                <w:color w:val="auto"/>
              </w:rPr>
            </w:pPr>
          </w:p>
        </w:tc>
        <w:tc>
          <w:tcPr>
            <w:tcW w:w="1040" w:type="dxa"/>
            <w:vAlign w:val="bottom"/>
            <w:tcBorders>
              <w:top w:val="single" w:sz="8" w:color="DC202E"/>
            </w:tcBorders>
            <w:vMerge w:val="restart"/>
          </w:tcPr>
          <w:p>
            <w:pPr>
              <w:jc w:val="center"/>
              <w:ind w:right="212"/>
              <w:spacing w:after="0"/>
              <w:rPr>
                <w:sz w:val="20"/>
                <w:szCs w:val="20"/>
                <w:color w:val="auto"/>
              </w:rPr>
            </w:pPr>
            <w:r>
              <w:rPr>
                <w:rFonts w:ascii="Arial" w:cs="Arial" w:eastAsia="Arial" w:hAnsi="Arial"/>
                <w:sz w:val="14"/>
                <w:szCs w:val="14"/>
                <w:b w:val="1"/>
                <w:bCs w:val="1"/>
                <w:color w:val="auto"/>
              </w:rPr>
              <w:t>SG&amp;A</w:t>
            </w:r>
          </w:p>
        </w:tc>
        <w:tc>
          <w:tcPr>
            <w:tcW w:w="100" w:type="dxa"/>
            <w:vAlign w:val="bottom"/>
            <w:tcBorders>
              <w:top w:val="single" w:sz="8" w:color="DC202E"/>
            </w:tcBorders>
            <w:gridSpan w:val="2"/>
            <w:vMerge w:val="restart"/>
          </w:tcPr>
          <w:p>
            <w:pPr>
              <w:spacing w:after="0"/>
              <w:rPr>
                <w:sz w:val="13"/>
                <w:szCs w:val="13"/>
                <w:color w:val="auto"/>
              </w:rPr>
            </w:pPr>
          </w:p>
        </w:tc>
        <w:tc>
          <w:tcPr>
            <w:tcW w:w="20" w:type="dxa"/>
            <w:vAlign w:val="bottom"/>
            <w:tcBorders>
              <w:top w:val="single" w:sz="8" w:color="DC202E"/>
            </w:tcBorders>
          </w:tcPr>
          <w:p>
            <w:pPr>
              <w:spacing w:after="0"/>
              <w:rPr>
                <w:sz w:val="13"/>
                <w:szCs w:val="13"/>
                <w:color w:val="auto"/>
              </w:rPr>
            </w:pPr>
          </w:p>
        </w:tc>
        <w:tc>
          <w:tcPr>
            <w:tcW w:w="120" w:type="dxa"/>
            <w:vAlign w:val="bottom"/>
            <w:tcBorders>
              <w:top w:val="single" w:sz="8" w:color="DC202E"/>
            </w:tcBorders>
          </w:tcPr>
          <w:p>
            <w:pPr>
              <w:spacing w:after="0"/>
              <w:rPr>
                <w:sz w:val="13"/>
                <w:szCs w:val="13"/>
                <w:color w:val="auto"/>
              </w:rPr>
            </w:pPr>
          </w:p>
        </w:tc>
        <w:tc>
          <w:tcPr>
            <w:tcW w:w="1300" w:type="dxa"/>
            <w:vAlign w:val="bottom"/>
            <w:tcBorders>
              <w:top w:val="single" w:sz="8" w:color="DC202E"/>
            </w:tcBorders>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rPr>
              <w:t>Other (Income)</w:t>
            </w:r>
          </w:p>
        </w:tc>
        <w:tc>
          <w:tcPr>
            <w:tcW w:w="1320" w:type="dxa"/>
            <w:vAlign w:val="bottom"/>
            <w:tcBorders>
              <w:top w:val="single" w:sz="8" w:color="DC202E"/>
            </w:tcBorders>
            <w:gridSpan w:val="2"/>
          </w:tcPr>
          <w:p>
            <w:pPr>
              <w:ind w:left="40"/>
              <w:spacing w:after="0" w:line="155" w:lineRule="exact"/>
              <w:rPr>
                <w:sz w:val="20"/>
                <w:szCs w:val="20"/>
                <w:color w:val="auto"/>
              </w:rPr>
            </w:pPr>
            <w:r>
              <w:rPr>
                <w:rFonts w:ascii="Arial" w:cs="Arial" w:eastAsia="Arial" w:hAnsi="Arial"/>
                <w:sz w:val="14"/>
                <w:szCs w:val="14"/>
                <w:b w:val="1"/>
                <w:bCs w:val="1"/>
                <w:color w:val="auto"/>
              </w:rPr>
              <w:t>Interest and Other</w:t>
            </w:r>
          </w:p>
        </w:tc>
        <w:tc>
          <w:tcPr>
            <w:tcW w:w="0" w:type="dxa"/>
            <w:vAlign w:val="bottom"/>
          </w:tcPr>
          <w:p>
            <w:pPr>
              <w:spacing w:after="0"/>
              <w:rPr>
                <w:sz w:val="1"/>
                <w:szCs w:val="1"/>
                <w:color w:val="auto"/>
              </w:rPr>
            </w:pPr>
          </w:p>
        </w:tc>
      </w:tr>
      <w:tr>
        <w:trPr>
          <w:trHeight w:val="183"/>
        </w:trPr>
        <w:tc>
          <w:tcPr>
            <w:tcW w:w="4220" w:type="dxa"/>
            <w:vAlign w:val="bottom"/>
            <w:tcBorders>
              <w:bottom w:val="single" w:sz="8" w:color="DDDDDD"/>
            </w:tcBorders>
          </w:tcPr>
          <w:p>
            <w:pPr>
              <w:spacing w:after="0"/>
              <w:rPr>
                <w:sz w:val="15"/>
                <w:szCs w:val="15"/>
                <w:color w:val="auto"/>
              </w:rPr>
            </w:pPr>
          </w:p>
        </w:tc>
        <w:tc>
          <w:tcPr>
            <w:tcW w:w="240" w:type="dxa"/>
            <w:vAlign w:val="bottom"/>
            <w:tcBorders>
              <w:bottom w:val="single" w:sz="8" w:color="DC202E"/>
            </w:tcBorders>
          </w:tcPr>
          <w:p>
            <w:pPr>
              <w:spacing w:after="0"/>
              <w:rPr>
                <w:sz w:val="15"/>
                <w:szCs w:val="15"/>
                <w:color w:val="auto"/>
              </w:rPr>
            </w:pPr>
          </w:p>
        </w:tc>
        <w:tc>
          <w:tcPr>
            <w:tcW w:w="1060" w:type="dxa"/>
            <w:vAlign w:val="bottom"/>
            <w:tcBorders>
              <w:bottom w:val="single" w:sz="8" w:color="DC202E"/>
            </w:tcBorders>
            <w:vMerge w:val="continue"/>
          </w:tcPr>
          <w:p>
            <w:pPr>
              <w:spacing w:after="0"/>
              <w:rPr>
                <w:sz w:val="15"/>
                <w:szCs w:val="15"/>
                <w:color w:val="auto"/>
              </w:rPr>
            </w:pPr>
          </w:p>
        </w:tc>
        <w:tc>
          <w:tcPr>
            <w:tcW w:w="120" w:type="dxa"/>
            <w:vAlign w:val="bottom"/>
            <w:tcBorders>
              <w:bottom w:val="single" w:sz="8" w:color="DDDDDD"/>
            </w:tcBorders>
            <w:gridSpan w:val="2"/>
            <w:vMerge w:val="continue"/>
          </w:tcPr>
          <w:p>
            <w:pPr>
              <w:spacing w:after="0"/>
              <w:rPr>
                <w:sz w:val="15"/>
                <w:szCs w:val="15"/>
                <w:color w:val="auto"/>
              </w:rPr>
            </w:pPr>
          </w:p>
        </w:tc>
        <w:tc>
          <w:tcPr>
            <w:tcW w:w="20" w:type="dxa"/>
            <w:vAlign w:val="bottom"/>
            <w:tcBorders>
              <w:bottom w:val="single" w:sz="8" w:color="DC202E"/>
            </w:tcBorders>
          </w:tcPr>
          <w:p>
            <w:pPr>
              <w:spacing w:after="0"/>
              <w:rPr>
                <w:sz w:val="15"/>
                <w:szCs w:val="15"/>
                <w:color w:val="auto"/>
              </w:rPr>
            </w:pPr>
          </w:p>
        </w:tc>
        <w:tc>
          <w:tcPr>
            <w:tcW w:w="1280" w:type="dxa"/>
            <w:vAlign w:val="bottom"/>
            <w:tcBorders>
              <w:bottom w:val="single" w:sz="8" w:color="DC202E"/>
            </w:tcBorders>
            <w:gridSpan w:val="2"/>
          </w:tcPr>
          <w:p>
            <w:pPr>
              <w:jc w:val="center"/>
              <w:spacing w:after="0"/>
              <w:rPr>
                <w:sz w:val="20"/>
                <w:szCs w:val="20"/>
                <w:color w:val="auto"/>
              </w:rPr>
            </w:pPr>
            <w:r>
              <w:rPr>
                <w:rFonts w:ascii="Arial" w:cs="Arial" w:eastAsia="Arial" w:hAnsi="Arial"/>
                <w:sz w:val="14"/>
                <w:szCs w:val="14"/>
                <w:b w:val="1"/>
                <w:bCs w:val="1"/>
                <w:color w:val="auto"/>
              </w:rPr>
              <w:t>and Services Sold</w:t>
            </w:r>
          </w:p>
        </w:tc>
        <w:tc>
          <w:tcPr>
            <w:tcW w:w="120" w:type="dxa"/>
            <w:vAlign w:val="bottom"/>
            <w:tcBorders>
              <w:bottom w:val="single" w:sz="8" w:color="DDDDDD"/>
            </w:tcBorders>
            <w:gridSpan w:val="2"/>
          </w:tcPr>
          <w:p>
            <w:pPr>
              <w:spacing w:after="0"/>
              <w:rPr>
                <w:sz w:val="15"/>
                <w:szCs w:val="15"/>
                <w:color w:val="auto"/>
              </w:rPr>
            </w:pPr>
          </w:p>
        </w:tc>
        <w:tc>
          <w:tcPr>
            <w:tcW w:w="280" w:type="dxa"/>
            <w:vAlign w:val="bottom"/>
            <w:tcBorders>
              <w:bottom w:val="single" w:sz="8" w:color="DC202E"/>
            </w:tcBorders>
          </w:tcPr>
          <w:p>
            <w:pPr>
              <w:spacing w:after="0"/>
              <w:rPr>
                <w:sz w:val="15"/>
                <w:szCs w:val="15"/>
                <w:color w:val="auto"/>
              </w:rPr>
            </w:pPr>
          </w:p>
        </w:tc>
        <w:tc>
          <w:tcPr>
            <w:tcW w:w="1040" w:type="dxa"/>
            <w:vAlign w:val="bottom"/>
            <w:tcBorders>
              <w:bottom w:val="single" w:sz="8" w:color="DC202E"/>
            </w:tcBorders>
            <w:vMerge w:val="continue"/>
          </w:tcPr>
          <w:p>
            <w:pPr>
              <w:spacing w:after="0"/>
              <w:rPr>
                <w:sz w:val="15"/>
                <w:szCs w:val="15"/>
                <w:color w:val="auto"/>
              </w:rPr>
            </w:pPr>
          </w:p>
        </w:tc>
        <w:tc>
          <w:tcPr>
            <w:tcW w:w="100" w:type="dxa"/>
            <w:vAlign w:val="bottom"/>
            <w:tcBorders>
              <w:bottom w:val="single" w:sz="8" w:color="DDDDDD"/>
            </w:tcBorders>
            <w:gridSpan w:val="2"/>
            <w:vMerge w:val="continue"/>
          </w:tcPr>
          <w:p>
            <w:pPr>
              <w:spacing w:after="0"/>
              <w:rPr>
                <w:sz w:val="15"/>
                <w:szCs w:val="15"/>
                <w:color w:val="auto"/>
              </w:rPr>
            </w:pPr>
          </w:p>
        </w:tc>
        <w:tc>
          <w:tcPr>
            <w:tcW w:w="20" w:type="dxa"/>
            <w:vAlign w:val="bottom"/>
            <w:tcBorders>
              <w:bottom w:val="single" w:sz="8" w:color="DC202E"/>
            </w:tcBorders>
          </w:tcPr>
          <w:p>
            <w:pPr>
              <w:spacing w:after="0"/>
              <w:rPr>
                <w:sz w:val="15"/>
                <w:szCs w:val="15"/>
                <w:color w:val="auto"/>
              </w:rPr>
            </w:pPr>
          </w:p>
        </w:tc>
        <w:tc>
          <w:tcPr>
            <w:tcW w:w="120" w:type="dxa"/>
            <w:vAlign w:val="bottom"/>
            <w:tcBorders>
              <w:bottom w:val="single" w:sz="8" w:color="DC202E"/>
            </w:tcBorders>
          </w:tcPr>
          <w:p>
            <w:pPr>
              <w:spacing w:after="0"/>
              <w:rPr>
                <w:sz w:val="15"/>
                <w:szCs w:val="15"/>
                <w:color w:val="auto"/>
              </w:rPr>
            </w:pPr>
          </w:p>
        </w:tc>
        <w:tc>
          <w:tcPr>
            <w:tcW w:w="1180" w:type="dxa"/>
            <w:vAlign w:val="bottom"/>
            <w:tcBorders>
              <w:bottom w:val="single" w:sz="8" w:color="DC202E"/>
            </w:tcBorders>
          </w:tcPr>
          <w:p>
            <w:pPr>
              <w:jc w:val="center"/>
              <w:ind w:right="34"/>
              <w:spacing w:after="0"/>
              <w:rPr>
                <w:sz w:val="20"/>
                <w:szCs w:val="20"/>
                <w:color w:val="auto"/>
              </w:rPr>
            </w:pPr>
            <w:r>
              <w:rPr>
                <w:rFonts w:ascii="Arial" w:cs="Arial" w:eastAsia="Arial" w:hAnsi="Arial"/>
                <w:sz w:val="14"/>
                <w:szCs w:val="14"/>
                <w:b w:val="1"/>
                <w:bCs w:val="1"/>
                <w:color w:val="auto"/>
              </w:rPr>
              <w:t>Expense</w:t>
            </w:r>
          </w:p>
        </w:tc>
        <w:tc>
          <w:tcPr>
            <w:tcW w:w="120" w:type="dxa"/>
            <w:vAlign w:val="bottom"/>
            <w:tcBorders>
              <w:bottom w:val="single" w:sz="8" w:color="DDDDDD"/>
            </w:tcBorders>
          </w:tcPr>
          <w:p>
            <w:pPr>
              <w:spacing w:after="0"/>
              <w:rPr>
                <w:sz w:val="15"/>
                <w:szCs w:val="15"/>
                <w:color w:val="auto"/>
              </w:rPr>
            </w:pPr>
          </w:p>
        </w:tc>
        <w:tc>
          <w:tcPr>
            <w:tcW w:w="1320" w:type="dxa"/>
            <w:vAlign w:val="bottom"/>
            <w:tcBorders>
              <w:bottom w:val="single" w:sz="8" w:color="DC202E"/>
            </w:tcBorders>
            <w:gridSpan w:val="2"/>
          </w:tcPr>
          <w:p>
            <w:pPr>
              <w:ind w:left="40"/>
              <w:spacing w:after="0"/>
              <w:rPr>
                <w:sz w:val="20"/>
                <w:szCs w:val="20"/>
                <w:color w:val="auto"/>
              </w:rPr>
            </w:pPr>
            <w:r>
              <w:rPr>
                <w:rFonts w:ascii="Arial" w:cs="Arial" w:eastAsia="Arial" w:hAnsi="Arial"/>
                <w:sz w:val="14"/>
                <w:szCs w:val="14"/>
                <w:b w:val="1"/>
                <w:bCs w:val="1"/>
                <w:color w:val="auto"/>
              </w:rPr>
              <w:t>Financial Charges</w:t>
            </w:r>
          </w:p>
        </w:tc>
        <w:tc>
          <w:tcPr>
            <w:tcW w:w="0" w:type="dxa"/>
            <w:vAlign w:val="bottom"/>
          </w:tcPr>
          <w:p>
            <w:pPr>
              <w:spacing w:after="0"/>
              <w:rPr>
                <w:sz w:val="1"/>
                <w:szCs w:val="1"/>
                <w:color w:val="auto"/>
              </w:rPr>
            </w:pPr>
          </w:p>
        </w:tc>
      </w:tr>
      <w:tr>
        <w:trPr>
          <w:trHeight w:val="229"/>
        </w:trPr>
        <w:tc>
          <w:tcPr>
            <w:tcW w:w="4460" w:type="dxa"/>
            <w:vAlign w:val="bottom"/>
            <w:gridSpan w:val="2"/>
            <w:shd w:val="clear" w:color="auto" w:fill="DDDDDD"/>
          </w:tcPr>
          <w:p>
            <w:pPr>
              <w:ind w:left="42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7,797</w:t>
            </w:r>
          </w:p>
        </w:tc>
        <w:tc>
          <w:tcPr>
            <w:tcW w:w="2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400" w:type="dxa"/>
            <w:vAlign w:val="bottom"/>
            <w:gridSpan w:val="2"/>
            <w:shd w:val="clear" w:color="auto" w:fill="DDDDDD"/>
          </w:tcPr>
          <w:p>
            <w:pPr>
              <w:jc w:val="right"/>
              <w:ind w:right="208"/>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5,383</w:t>
            </w:r>
          </w:p>
        </w:tc>
        <w:tc>
          <w:tcPr>
            <w:tcW w:w="2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280" w:type="dxa"/>
            <w:vAlign w:val="bottom"/>
            <w:shd w:val="clear" w:color="auto" w:fill="DDDDDD"/>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1,103</w:t>
            </w:r>
          </w:p>
        </w:tc>
        <w:tc>
          <w:tcPr>
            <w:tcW w:w="20" w:type="dxa"/>
            <w:vAlign w:val="bottom"/>
            <w:shd w:val="clear" w:color="auto" w:fill="DDDDDD"/>
          </w:tcPr>
          <w:p>
            <w:pPr>
              <w:spacing w:after="0"/>
              <w:rPr>
                <w:sz w:val="19"/>
                <w:szCs w:val="19"/>
                <w:color w:val="auto"/>
              </w:rPr>
            </w:pPr>
          </w:p>
        </w:tc>
        <w:tc>
          <w:tcPr>
            <w:tcW w:w="80" w:type="dxa"/>
            <w:vAlign w:val="bottom"/>
            <w:shd w:val="clear" w:color="auto" w:fill="DDDDDD"/>
          </w:tcPr>
          <w:p>
            <w:pPr>
              <w:spacing w:after="0"/>
              <w:rPr>
                <w:sz w:val="19"/>
                <w:szCs w:val="19"/>
                <w:color w:val="auto"/>
              </w:rPr>
            </w:pPr>
          </w:p>
        </w:tc>
        <w:tc>
          <w:tcPr>
            <w:tcW w:w="140" w:type="dxa"/>
            <w:vAlign w:val="bottom"/>
            <w:gridSpan w:val="2"/>
            <w:shd w:val="clear" w:color="auto" w:fill="DDDDDD"/>
          </w:tcPr>
          <w:p>
            <w:pPr>
              <w:jc w:val="right"/>
              <w:ind w:right="2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DDDDDD"/>
          </w:tcPr>
          <w:p>
            <w:pPr>
              <w:spacing w:after="0"/>
              <w:rPr>
                <w:sz w:val="19"/>
                <w:szCs w:val="19"/>
                <w:color w:val="auto"/>
              </w:rPr>
            </w:pPr>
          </w:p>
        </w:tc>
        <w:tc>
          <w:tcPr>
            <w:tcW w:w="520" w:type="dxa"/>
            <w:vAlign w:val="bottom"/>
            <w:shd w:val="clear" w:color="auto" w:fill="DDDDDD"/>
          </w:tcPr>
          <w:p>
            <w:pPr>
              <w:ind w:lef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30"/>
        </w:trPr>
        <w:tc>
          <w:tcPr>
            <w:tcW w:w="4460" w:type="dxa"/>
            <w:vAlign w:val="bottom"/>
            <w:gridSpan w:val="2"/>
          </w:tcPr>
          <w:p>
            <w:pPr>
              <w:ind w:left="20"/>
              <w:spacing w:after="0"/>
              <w:rPr>
                <w:sz w:val="20"/>
                <w:szCs w:val="20"/>
                <w:color w:val="auto"/>
              </w:rPr>
            </w:pPr>
            <w:r>
              <w:rPr>
                <w:rFonts w:ascii="Arial" w:cs="Arial" w:eastAsia="Arial" w:hAnsi="Arial"/>
                <w:sz w:val="18"/>
                <w:szCs w:val="18"/>
                <w:b w:val="1"/>
                <w:bCs w:val="1"/>
                <w:color w:val="auto"/>
              </w:rPr>
              <w:t>Gain or (loss) on cash flow hedges:</w:t>
            </w: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gridSpan w:val="2"/>
            <w:shd w:val="clear" w:color="auto" w:fill="DDDDDD"/>
          </w:tcPr>
          <w:p>
            <w:pPr>
              <w:ind w:left="140"/>
              <w:spacing w:after="0"/>
              <w:rPr>
                <w:sz w:val="20"/>
                <w:szCs w:val="20"/>
                <w:color w:val="auto"/>
              </w:rPr>
            </w:pPr>
            <w:r>
              <w:rPr>
                <w:rFonts w:ascii="Arial" w:cs="Arial" w:eastAsia="Arial" w:hAnsi="Arial"/>
                <w:sz w:val="18"/>
                <w:szCs w:val="18"/>
                <w:color w:val="auto"/>
              </w:rPr>
              <w:t>Foreign Currency Exchange Contracts:</w:t>
            </w:r>
          </w:p>
        </w:tc>
        <w:tc>
          <w:tcPr>
            <w:tcW w:w="106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380" w:type="dxa"/>
            <w:vAlign w:val="bottom"/>
            <w:shd w:val="clear" w:color="auto" w:fill="DDDDDD"/>
          </w:tcPr>
          <w:p>
            <w:pPr>
              <w:spacing w:after="0"/>
              <w:rPr>
                <w:sz w:val="19"/>
                <w:szCs w:val="19"/>
                <w:color w:val="auto"/>
              </w:rPr>
            </w:pPr>
          </w:p>
        </w:tc>
        <w:tc>
          <w:tcPr>
            <w:tcW w:w="90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280" w:type="dxa"/>
            <w:vAlign w:val="bottom"/>
            <w:shd w:val="clear" w:color="auto" w:fill="DDDDDD"/>
          </w:tcPr>
          <w:p>
            <w:pPr>
              <w:spacing w:after="0"/>
              <w:rPr>
                <w:sz w:val="19"/>
                <w:szCs w:val="19"/>
                <w:color w:val="auto"/>
              </w:rPr>
            </w:pPr>
          </w:p>
        </w:tc>
        <w:tc>
          <w:tcPr>
            <w:tcW w:w="10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8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118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520" w:type="dxa"/>
            <w:vAlign w:val="bottom"/>
            <w:shd w:val="clear" w:color="auto" w:fill="DDDDDD"/>
          </w:tcPr>
          <w:p>
            <w:pPr>
              <w:spacing w:after="0"/>
              <w:rPr>
                <w:sz w:val="19"/>
                <w:szCs w:val="19"/>
                <w:color w:val="auto"/>
              </w:rPr>
            </w:pPr>
          </w:p>
        </w:tc>
        <w:tc>
          <w:tcPr>
            <w:tcW w:w="80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460" w:type="dxa"/>
            <w:vAlign w:val="bottom"/>
            <w:gridSpan w:val="2"/>
          </w:tcPr>
          <w:p>
            <w:pPr>
              <w:ind w:left="360"/>
              <w:spacing w:after="0" w:line="189" w:lineRule="exact"/>
              <w:rPr>
                <w:sz w:val="20"/>
                <w:szCs w:val="20"/>
                <w:color w:val="auto"/>
              </w:rPr>
            </w:pPr>
            <w:r>
              <w:rPr>
                <w:rFonts w:ascii="Arial" w:cs="Arial" w:eastAsia="Arial" w:hAnsi="Arial"/>
                <w:sz w:val="18"/>
                <w:szCs w:val="18"/>
                <w:color w:val="auto"/>
              </w:rPr>
              <w:t>Amount reclassified from accumulated other</w:t>
            </w: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460" w:type="dxa"/>
            <w:vAlign w:val="bottom"/>
            <w:gridSpan w:val="2"/>
          </w:tcPr>
          <w:p>
            <w:pPr>
              <w:ind w:left="360"/>
              <w:spacing w:after="0"/>
              <w:rPr>
                <w:sz w:val="20"/>
                <w:szCs w:val="20"/>
                <w:color w:val="auto"/>
              </w:rPr>
            </w:pPr>
            <w:r>
              <w:rPr>
                <w:rFonts w:ascii="Arial" w:cs="Arial" w:eastAsia="Arial" w:hAnsi="Arial"/>
                <w:sz w:val="18"/>
                <w:szCs w:val="18"/>
                <w:color w:val="auto"/>
              </w:rPr>
              <w:t>comprehensive income into income</w:t>
            </w: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4460" w:type="dxa"/>
            <w:vAlign w:val="bottom"/>
            <w:gridSpan w:val="2"/>
            <w:shd w:val="clear" w:color="auto" w:fill="DDDDDD"/>
          </w:tcPr>
          <w:p>
            <w:pPr>
              <w:ind w:left="360"/>
              <w:spacing w:after="0" w:line="189" w:lineRule="exact"/>
              <w:rPr>
                <w:sz w:val="20"/>
                <w:szCs w:val="20"/>
                <w:color w:val="auto"/>
              </w:rPr>
            </w:pPr>
            <w:r>
              <w:rPr>
                <w:rFonts w:ascii="Arial" w:cs="Arial" w:eastAsia="Arial" w:hAnsi="Arial"/>
                <w:sz w:val="18"/>
                <w:szCs w:val="18"/>
                <w:color w:val="auto"/>
              </w:rPr>
              <w:t>Amount excluded from effectiveness testing</w:t>
            </w:r>
          </w:p>
        </w:tc>
        <w:tc>
          <w:tcPr>
            <w:tcW w:w="1060" w:type="dxa"/>
            <w:vAlign w:val="bottom"/>
            <w:shd w:val="clear" w:color="auto" w:fill="DDDDDD"/>
          </w:tcPr>
          <w:p>
            <w:pPr>
              <w:spacing w:after="0"/>
              <w:rPr>
                <w:sz w:val="16"/>
                <w:szCs w:val="16"/>
                <w:color w:val="auto"/>
              </w:rPr>
            </w:pPr>
          </w:p>
        </w:tc>
        <w:tc>
          <w:tcPr>
            <w:tcW w:w="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0" w:type="dxa"/>
            <w:vAlign w:val="bottom"/>
            <w:shd w:val="clear" w:color="auto" w:fill="DDDDDD"/>
          </w:tcPr>
          <w:p>
            <w:pPr>
              <w:spacing w:after="0"/>
              <w:rPr>
                <w:sz w:val="16"/>
                <w:szCs w:val="16"/>
                <w:color w:val="auto"/>
              </w:rPr>
            </w:pPr>
          </w:p>
        </w:tc>
        <w:tc>
          <w:tcPr>
            <w:tcW w:w="380" w:type="dxa"/>
            <w:vAlign w:val="bottom"/>
            <w:shd w:val="clear" w:color="auto" w:fill="DDDDDD"/>
          </w:tcPr>
          <w:p>
            <w:pPr>
              <w:spacing w:after="0"/>
              <w:rPr>
                <w:sz w:val="16"/>
                <w:szCs w:val="16"/>
                <w:color w:val="auto"/>
              </w:rPr>
            </w:pPr>
          </w:p>
        </w:tc>
        <w:tc>
          <w:tcPr>
            <w:tcW w:w="900" w:type="dxa"/>
            <w:vAlign w:val="bottom"/>
            <w:shd w:val="clear" w:color="auto" w:fill="DDDDDD"/>
          </w:tcPr>
          <w:p>
            <w:pPr>
              <w:spacing w:after="0"/>
              <w:rPr>
                <w:sz w:val="16"/>
                <w:szCs w:val="16"/>
                <w:color w:val="auto"/>
              </w:rPr>
            </w:pPr>
          </w:p>
        </w:tc>
        <w:tc>
          <w:tcPr>
            <w:tcW w:w="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80" w:type="dxa"/>
            <w:vAlign w:val="bottom"/>
            <w:shd w:val="clear" w:color="auto" w:fill="DDDDDD"/>
          </w:tcPr>
          <w:p>
            <w:pPr>
              <w:spacing w:after="0"/>
              <w:rPr>
                <w:sz w:val="16"/>
                <w:szCs w:val="16"/>
                <w:color w:val="auto"/>
              </w:rPr>
            </w:pPr>
          </w:p>
        </w:tc>
        <w:tc>
          <w:tcPr>
            <w:tcW w:w="1040" w:type="dxa"/>
            <w:vAlign w:val="bottom"/>
            <w:shd w:val="clear" w:color="auto" w:fill="DDDDDD"/>
          </w:tcPr>
          <w:p>
            <w:pPr>
              <w:spacing w:after="0"/>
              <w:rPr>
                <w:sz w:val="16"/>
                <w:szCs w:val="16"/>
                <w:color w:val="auto"/>
              </w:rPr>
            </w:pPr>
          </w:p>
        </w:tc>
        <w:tc>
          <w:tcPr>
            <w:tcW w:w="20" w:type="dxa"/>
            <w:vAlign w:val="bottom"/>
            <w:shd w:val="clear" w:color="auto" w:fill="DDDDDD"/>
          </w:tcPr>
          <w:p>
            <w:pPr>
              <w:spacing w:after="0"/>
              <w:rPr>
                <w:sz w:val="16"/>
                <w:szCs w:val="16"/>
                <w:color w:val="auto"/>
              </w:rPr>
            </w:pPr>
          </w:p>
        </w:tc>
        <w:tc>
          <w:tcPr>
            <w:tcW w:w="80" w:type="dxa"/>
            <w:vAlign w:val="bottom"/>
            <w:shd w:val="clear" w:color="auto" w:fill="DDDDDD"/>
          </w:tcPr>
          <w:p>
            <w:pPr>
              <w:spacing w:after="0"/>
              <w:rPr>
                <w:sz w:val="16"/>
                <w:szCs w:val="16"/>
                <w:color w:val="auto"/>
              </w:rPr>
            </w:pPr>
          </w:p>
        </w:tc>
        <w:tc>
          <w:tcPr>
            <w:tcW w:w="2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118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520" w:type="dxa"/>
            <w:vAlign w:val="bottom"/>
            <w:shd w:val="clear" w:color="auto" w:fill="DDDDDD"/>
          </w:tcPr>
          <w:p>
            <w:pPr>
              <w:spacing w:after="0"/>
              <w:rPr>
                <w:sz w:val="16"/>
                <w:szCs w:val="16"/>
                <w:color w:val="auto"/>
              </w:rPr>
            </w:pPr>
          </w:p>
        </w:tc>
        <w:tc>
          <w:tcPr>
            <w:tcW w:w="80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460" w:type="dxa"/>
            <w:vAlign w:val="bottom"/>
            <w:gridSpan w:val="2"/>
            <w:shd w:val="clear" w:color="auto" w:fill="DDDDDD"/>
          </w:tcPr>
          <w:p>
            <w:pPr>
              <w:ind w:left="360"/>
              <w:spacing w:after="0" w:line="176" w:lineRule="exact"/>
              <w:rPr>
                <w:sz w:val="20"/>
                <w:szCs w:val="20"/>
                <w:color w:val="auto"/>
              </w:rPr>
            </w:pPr>
            <w:r>
              <w:rPr>
                <w:rFonts w:ascii="Arial" w:cs="Arial" w:eastAsia="Arial" w:hAnsi="Arial"/>
                <w:sz w:val="18"/>
                <w:szCs w:val="18"/>
                <w:color w:val="auto"/>
              </w:rPr>
              <w:t>recognized in earnings using an amortization</w:t>
            </w:r>
          </w:p>
        </w:tc>
        <w:tc>
          <w:tcPr>
            <w:tcW w:w="106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380" w:type="dxa"/>
            <w:vAlign w:val="bottom"/>
            <w:shd w:val="clear" w:color="auto" w:fill="DDDDDD"/>
          </w:tcPr>
          <w:p>
            <w:pPr>
              <w:spacing w:after="0"/>
              <w:rPr>
                <w:sz w:val="15"/>
                <w:szCs w:val="15"/>
                <w:color w:val="auto"/>
              </w:rPr>
            </w:pPr>
          </w:p>
        </w:tc>
        <w:tc>
          <w:tcPr>
            <w:tcW w:w="90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280" w:type="dxa"/>
            <w:vAlign w:val="bottom"/>
            <w:shd w:val="clear" w:color="auto" w:fill="DDDDDD"/>
          </w:tcPr>
          <w:p>
            <w:pPr>
              <w:spacing w:after="0"/>
              <w:rPr>
                <w:sz w:val="15"/>
                <w:szCs w:val="15"/>
                <w:color w:val="auto"/>
              </w:rPr>
            </w:pPr>
          </w:p>
        </w:tc>
        <w:tc>
          <w:tcPr>
            <w:tcW w:w="104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8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120" w:type="dxa"/>
            <w:vAlign w:val="bottom"/>
            <w:shd w:val="clear" w:color="auto" w:fill="DDDDDD"/>
          </w:tcPr>
          <w:p>
            <w:pPr>
              <w:spacing w:after="0"/>
              <w:rPr>
                <w:sz w:val="15"/>
                <w:szCs w:val="15"/>
                <w:color w:val="auto"/>
              </w:rPr>
            </w:pPr>
          </w:p>
        </w:tc>
        <w:tc>
          <w:tcPr>
            <w:tcW w:w="1180" w:type="dxa"/>
            <w:vAlign w:val="bottom"/>
            <w:shd w:val="clear" w:color="auto" w:fill="DDDDDD"/>
          </w:tcPr>
          <w:p>
            <w:pPr>
              <w:spacing w:after="0"/>
              <w:rPr>
                <w:sz w:val="15"/>
                <w:szCs w:val="15"/>
                <w:color w:val="auto"/>
              </w:rPr>
            </w:pPr>
          </w:p>
        </w:tc>
        <w:tc>
          <w:tcPr>
            <w:tcW w:w="120" w:type="dxa"/>
            <w:vAlign w:val="bottom"/>
            <w:shd w:val="clear" w:color="auto" w:fill="DDDDDD"/>
          </w:tcPr>
          <w:p>
            <w:pPr>
              <w:spacing w:after="0"/>
              <w:rPr>
                <w:sz w:val="15"/>
                <w:szCs w:val="15"/>
                <w:color w:val="auto"/>
              </w:rPr>
            </w:pPr>
          </w:p>
        </w:tc>
        <w:tc>
          <w:tcPr>
            <w:tcW w:w="520" w:type="dxa"/>
            <w:vAlign w:val="bottom"/>
            <w:shd w:val="clear" w:color="auto" w:fill="DDDDDD"/>
          </w:tcPr>
          <w:p>
            <w:pPr>
              <w:spacing w:after="0"/>
              <w:rPr>
                <w:sz w:val="15"/>
                <w:szCs w:val="15"/>
                <w:color w:val="auto"/>
              </w:rPr>
            </w:pPr>
          </w:p>
        </w:tc>
        <w:tc>
          <w:tcPr>
            <w:tcW w:w="800" w:type="dxa"/>
            <w:vAlign w:val="bottom"/>
            <w:shd w:val="clear" w:color="auto" w:fill="DDDDDD"/>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460" w:type="dxa"/>
            <w:vAlign w:val="bottom"/>
            <w:gridSpan w:val="2"/>
            <w:shd w:val="clear" w:color="auto" w:fill="DDDDDD"/>
          </w:tcPr>
          <w:p>
            <w:pPr>
              <w:ind w:left="360"/>
              <w:spacing w:after="0"/>
              <w:rPr>
                <w:sz w:val="20"/>
                <w:szCs w:val="20"/>
                <w:color w:val="auto"/>
              </w:rPr>
            </w:pPr>
            <w:r>
              <w:rPr>
                <w:rFonts w:ascii="Arial" w:cs="Arial" w:eastAsia="Arial" w:hAnsi="Arial"/>
                <w:sz w:val="18"/>
                <w:szCs w:val="18"/>
                <w:color w:val="auto"/>
              </w:rPr>
              <w:t>approach</w:t>
            </w:r>
          </w:p>
        </w:tc>
        <w:tc>
          <w:tcPr>
            <w:tcW w:w="1180" w:type="dxa"/>
            <w:vAlign w:val="bottom"/>
            <w:gridSpan w:val="3"/>
            <w:shd w:val="clear" w:color="auto" w:fill="DDDDDD"/>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DDDDDD"/>
          </w:tcPr>
          <w:p>
            <w:pPr>
              <w:spacing w:after="0"/>
              <w:rPr>
                <w:sz w:val="18"/>
                <w:szCs w:val="18"/>
                <w:color w:val="auto"/>
              </w:rPr>
            </w:pPr>
          </w:p>
        </w:tc>
        <w:tc>
          <w:tcPr>
            <w:tcW w:w="380" w:type="dxa"/>
            <w:vAlign w:val="bottom"/>
            <w:shd w:val="clear" w:color="auto" w:fill="DDDDDD"/>
          </w:tcPr>
          <w:p>
            <w:pPr>
              <w:spacing w:after="0"/>
              <w:rPr>
                <w:sz w:val="18"/>
                <w:szCs w:val="18"/>
                <w:color w:val="auto"/>
              </w:rPr>
            </w:pPr>
          </w:p>
        </w:tc>
        <w:tc>
          <w:tcPr>
            <w:tcW w:w="9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4</w:t>
            </w:r>
          </w:p>
        </w:tc>
        <w:tc>
          <w:tcPr>
            <w:tcW w:w="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280" w:type="dxa"/>
            <w:vAlign w:val="bottom"/>
            <w:shd w:val="clear" w:color="auto" w:fill="DDDDDD"/>
          </w:tcPr>
          <w:p>
            <w:pPr>
              <w:spacing w:after="0"/>
              <w:rPr>
                <w:sz w:val="18"/>
                <w:szCs w:val="18"/>
                <w:color w:val="auto"/>
              </w:rPr>
            </w:pPr>
          </w:p>
        </w:tc>
        <w:tc>
          <w:tcPr>
            <w:tcW w:w="1140" w:type="dxa"/>
            <w:vAlign w:val="bottom"/>
            <w:gridSpan w:val="3"/>
            <w:shd w:val="clear" w:color="auto" w:fill="DDDDDD"/>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1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DDDDDD"/>
          </w:tcPr>
          <w:p>
            <w:pPr>
              <w:spacing w:after="0"/>
              <w:rPr>
                <w:sz w:val="18"/>
                <w:szCs w:val="18"/>
                <w:color w:val="auto"/>
              </w:rPr>
            </w:pPr>
          </w:p>
        </w:tc>
        <w:tc>
          <w:tcPr>
            <w:tcW w:w="520" w:type="dxa"/>
            <w:vAlign w:val="bottom"/>
            <w:shd w:val="clear" w:color="auto" w:fill="DDDDDD"/>
          </w:tcPr>
          <w:p>
            <w:pPr>
              <w:spacing w:after="0"/>
              <w:rPr>
                <w:sz w:val="18"/>
                <w:szCs w:val="18"/>
                <w:color w:val="auto"/>
              </w:rPr>
            </w:pPr>
          </w:p>
        </w:tc>
        <w:tc>
          <w:tcPr>
            <w:tcW w:w="8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60" w:type="dxa"/>
            <w:vAlign w:val="bottom"/>
            <w:gridSpan w:val="2"/>
          </w:tcPr>
          <w:p>
            <w:pPr>
              <w:ind w:left="20"/>
              <w:spacing w:after="0"/>
              <w:rPr>
                <w:sz w:val="20"/>
                <w:szCs w:val="20"/>
                <w:color w:val="auto"/>
              </w:rPr>
            </w:pPr>
            <w:r>
              <w:rPr>
                <w:rFonts w:ascii="Arial" w:cs="Arial" w:eastAsia="Arial" w:hAnsi="Arial"/>
                <w:sz w:val="18"/>
                <w:szCs w:val="18"/>
                <w:b w:val="1"/>
                <w:bCs w:val="1"/>
                <w:color w:val="auto"/>
              </w:rPr>
              <w:t>Gain or (loss) on fair value hedges:</w:t>
            </w: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gridSpan w:val="2"/>
            <w:shd w:val="clear" w:color="auto" w:fill="DDDDDD"/>
          </w:tcPr>
          <w:p>
            <w:pPr>
              <w:ind w:left="140"/>
              <w:spacing w:after="0"/>
              <w:rPr>
                <w:sz w:val="20"/>
                <w:szCs w:val="20"/>
                <w:color w:val="auto"/>
              </w:rPr>
            </w:pPr>
            <w:r>
              <w:rPr>
                <w:rFonts w:ascii="Arial" w:cs="Arial" w:eastAsia="Arial" w:hAnsi="Arial"/>
                <w:sz w:val="18"/>
                <w:szCs w:val="18"/>
                <w:color w:val="auto"/>
              </w:rPr>
              <w:t>Interest Rate Swap Agreements:</w:t>
            </w:r>
          </w:p>
        </w:tc>
        <w:tc>
          <w:tcPr>
            <w:tcW w:w="106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380" w:type="dxa"/>
            <w:vAlign w:val="bottom"/>
            <w:shd w:val="clear" w:color="auto" w:fill="DDDDDD"/>
          </w:tcPr>
          <w:p>
            <w:pPr>
              <w:spacing w:after="0"/>
              <w:rPr>
                <w:sz w:val="19"/>
                <w:szCs w:val="19"/>
                <w:color w:val="auto"/>
              </w:rPr>
            </w:pPr>
          </w:p>
        </w:tc>
        <w:tc>
          <w:tcPr>
            <w:tcW w:w="90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280" w:type="dxa"/>
            <w:vAlign w:val="bottom"/>
            <w:shd w:val="clear" w:color="auto" w:fill="DDDDDD"/>
          </w:tcPr>
          <w:p>
            <w:pPr>
              <w:spacing w:after="0"/>
              <w:rPr>
                <w:sz w:val="19"/>
                <w:szCs w:val="19"/>
                <w:color w:val="auto"/>
              </w:rPr>
            </w:pPr>
          </w:p>
        </w:tc>
        <w:tc>
          <w:tcPr>
            <w:tcW w:w="10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8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118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520" w:type="dxa"/>
            <w:vAlign w:val="bottom"/>
            <w:shd w:val="clear" w:color="auto" w:fill="DDDDDD"/>
          </w:tcPr>
          <w:p>
            <w:pPr>
              <w:spacing w:after="0"/>
              <w:rPr>
                <w:sz w:val="19"/>
                <w:szCs w:val="19"/>
                <w:color w:val="auto"/>
              </w:rPr>
            </w:pPr>
          </w:p>
        </w:tc>
        <w:tc>
          <w:tcPr>
            <w:tcW w:w="80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gridSpan w:val="2"/>
          </w:tcPr>
          <w:p>
            <w:pPr>
              <w:ind w:left="360"/>
              <w:spacing w:after="0"/>
              <w:rPr>
                <w:sz w:val="20"/>
                <w:szCs w:val="20"/>
                <w:color w:val="auto"/>
              </w:rPr>
            </w:pPr>
            <w:r>
              <w:rPr>
                <w:rFonts w:ascii="Arial" w:cs="Arial" w:eastAsia="Arial" w:hAnsi="Arial"/>
                <w:sz w:val="18"/>
                <w:szCs w:val="18"/>
                <w:color w:val="auto"/>
              </w:rPr>
              <w:t>Hedged items</w:t>
            </w: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4460" w:type="dxa"/>
            <w:vAlign w:val="bottom"/>
            <w:gridSpan w:val="2"/>
            <w:shd w:val="clear" w:color="auto" w:fill="DDDDDD"/>
          </w:tcPr>
          <w:p>
            <w:pPr>
              <w:ind w:left="360"/>
              <w:spacing w:after="0"/>
              <w:rPr>
                <w:sz w:val="20"/>
                <w:szCs w:val="20"/>
                <w:color w:val="auto"/>
              </w:rPr>
            </w:pPr>
            <w:r>
              <w:rPr>
                <w:rFonts w:ascii="Arial" w:cs="Arial" w:eastAsia="Arial" w:hAnsi="Arial"/>
                <w:sz w:val="18"/>
                <w:szCs w:val="18"/>
                <w:color w:val="auto"/>
              </w:rPr>
              <w:t>Derivatives designated as hedges</w:t>
            </w:r>
          </w:p>
        </w:tc>
        <w:tc>
          <w:tcPr>
            <w:tcW w:w="1180" w:type="dxa"/>
            <w:vAlign w:val="bottom"/>
            <w:gridSpan w:val="3"/>
            <w:shd w:val="clear" w:color="auto" w:fill="DDDDDD"/>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DDDDDD"/>
          </w:tcPr>
          <w:p>
            <w:pPr>
              <w:spacing w:after="0"/>
              <w:rPr>
                <w:sz w:val="19"/>
                <w:szCs w:val="19"/>
                <w:color w:val="auto"/>
              </w:rPr>
            </w:pPr>
          </w:p>
        </w:tc>
        <w:tc>
          <w:tcPr>
            <w:tcW w:w="380" w:type="dxa"/>
            <w:vAlign w:val="bottom"/>
            <w:shd w:val="clear" w:color="auto" w:fill="DDDDDD"/>
          </w:tcPr>
          <w:p>
            <w:pPr>
              <w:spacing w:after="0"/>
              <w:rPr>
                <w:sz w:val="19"/>
                <w:szCs w:val="19"/>
                <w:color w:val="auto"/>
              </w:rPr>
            </w:pPr>
          </w:p>
        </w:tc>
        <w:tc>
          <w:tcPr>
            <w:tcW w:w="1020" w:type="dxa"/>
            <w:vAlign w:val="bottom"/>
            <w:gridSpan w:val="3"/>
            <w:shd w:val="clear" w:color="auto" w:fill="DDDDDD"/>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DDDDDD"/>
          </w:tcPr>
          <w:p>
            <w:pPr>
              <w:spacing w:after="0"/>
              <w:rPr>
                <w:sz w:val="19"/>
                <w:szCs w:val="19"/>
                <w:color w:val="auto"/>
              </w:rPr>
            </w:pPr>
          </w:p>
        </w:tc>
        <w:tc>
          <w:tcPr>
            <w:tcW w:w="1140" w:type="dxa"/>
            <w:vAlign w:val="bottom"/>
            <w:gridSpan w:val="3"/>
            <w:shd w:val="clear" w:color="auto" w:fill="DDDDDD"/>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1300" w:type="dxa"/>
            <w:vAlign w:val="bottom"/>
            <w:gridSpan w:val="2"/>
            <w:shd w:val="clear" w:color="auto" w:fill="DDDDDD"/>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DDDDDD"/>
          </w:tcPr>
          <w:p>
            <w:pPr>
              <w:spacing w:after="0"/>
              <w:rPr>
                <w:sz w:val="19"/>
                <w:szCs w:val="19"/>
                <w:color w:val="auto"/>
              </w:rPr>
            </w:pPr>
          </w:p>
        </w:tc>
        <w:tc>
          <w:tcPr>
            <w:tcW w:w="8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4460" w:type="dxa"/>
            <w:vAlign w:val="bottom"/>
            <w:gridSpan w:val="2"/>
          </w:tcPr>
          <w:p>
            <w:pPr>
              <w:ind w:left="20"/>
              <w:spacing w:after="0"/>
              <w:rPr>
                <w:sz w:val="20"/>
                <w:szCs w:val="20"/>
                <w:color w:val="auto"/>
              </w:rPr>
            </w:pPr>
            <w:r>
              <w:rPr>
                <w:rFonts w:ascii="Arial" w:cs="Arial" w:eastAsia="Arial" w:hAnsi="Arial"/>
                <w:sz w:val="18"/>
                <w:szCs w:val="18"/>
                <w:b w:val="1"/>
                <w:bCs w:val="1"/>
                <w:color w:val="auto"/>
              </w:rPr>
              <w:t>Gain or (loss) on net investment hedges:</w:t>
            </w: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Foreign Currency Exchange Contracts:</w:t>
            </w:r>
          </w:p>
        </w:tc>
        <w:tc>
          <w:tcPr>
            <w:tcW w:w="106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9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8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460" w:type="dxa"/>
            <w:vAlign w:val="bottom"/>
            <w:gridSpan w:val="2"/>
          </w:tcPr>
          <w:p>
            <w:pPr>
              <w:ind w:left="360"/>
              <w:spacing w:after="0" w:line="189" w:lineRule="exact"/>
              <w:rPr>
                <w:sz w:val="20"/>
                <w:szCs w:val="20"/>
                <w:color w:val="auto"/>
              </w:rPr>
            </w:pPr>
            <w:r>
              <w:rPr>
                <w:rFonts w:ascii="Arial" w:cs="Arial" w:eastAsia="Arial" w:hAnsi="Arial"/>
                <w:sz w:val="18"/>
                <w:szCs w:val="18"/>
                <w:color w:val="auto"/>
              </w:rPr>
              <w:t>Amount excluded from effectiveness testing</w:t>
            </w: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460" w:type="dxa"/>
            <w:vAlign w:val="bottom"/>
            <w:gridSpan w:val="2"/>
          </w:tcPr>
          <w:p>
            <w:pPr>
              <w:ind w:left="360"/>
              <w:spacing w:after="0" w:line="176" w:lineRule="exact"/>
              <w:rPr>
                <w:sz w:val="20"/>
                <w:szCs w:val="20"/>
                <w:color w:val="auto"/>
              </w:rPr>
            </w:pPr>
            <w:r>
              <w:rPr>
                <w:rFonts w:ascii="Arial" w:cs="Arial" w:eastAsia="Arial" w:hAnsi="Arial"/>
                <w:sz w:val="18"/>
                <w:szCs w:val="18"/>
                <w:color w:val="auto"/>
              </w:rPr>
              <w:t>recognized in earnings using an amortization</w:t>
            </w: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460" w:type="dxa"/>
            <w:vAlign w:val="bottom"/>
            <w:gridSpan w:val="2"/>
          </w:tcPr>
          <w:p>
            <w:pPr>
              <w:ind w:left="360"/>
              <w:spacing w:after="0"/>
              <w:rPr>
                <w:sz w:val="20"/>
                <w:szCs w:val="20"/>
                <w:color w:val="auto"/>
              </w:rPr>
            </w:pPr>
            <w:r>
              <w:rPr>
                <w:rFonts w:ascii="Arial" w:cs="Arial" w:eastAsia="Arial" w:hAnsi="Arial"/>
                <w:sz w:val="18"/>
                <w:szCs w:val="18"/>
                <w:color w:val="auto"/>
              </w:rPr>
              <w:t>approach</w:t>
            </w: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76"/>
        </w:trPr>
        <w:tc>
          <w:tcPr>
            <w:tcW w:w="4460" w:type="dxa"/>
            <w:vAlign w:val="bottom"/>
            <w:gridSpan w:val="2"/>
            <w:shd w:val="clear" w:color="auto" w:fill="DBDBDB"/>
          </w:tcPr>
          <w:p>
            <w:pPr>
              <w:ind w:left="20"/>
              <w:spacing w:after="0" w:line="176" w:lineRule="exact"/>
              <w:rPr>
                <w:sz w:val="20"/>
                <w:szCs w:val="20"/>
                <w:color w:val="auto"/>
              </w:rPr>
            </w:pPr>
            <w:r>
              <w:rPr>
                <w:rFonts w:ascii="Arial" w:cs="Arial" w:eastAsia="Arial" w:hAnsi="Arial"/>
                <w:sz w:val="18"/>
                <w:szCs w:val="18"/>
                <w:b w:val="1"/>
                <w:bCs w:val="1"/>
                <w:color w:val="auto"/>
              </w:rPr>
              <w:t>Gain or (loss) on derivatives not designated as</w:t>
            </w:r>
          </w:p>
        </w:tc>
        <w:tc>
          <w:tcPr>
            <w:tcW w:w="1060" w:type="dxa"/>
            <w:vAlign w:val="bottom"/>
            <w:shd w:val="clear" w:color="auto" w:fill="DBDBDB"/>
          </w:tcPr>
          <w:p>
            <w:pPr>
              <w:spacing w:after="0"/>
              <w:rPr>
                <w:sz w:val="15"/>
                <w:szCs w:val="15"/>
                <w:color w:val="auto"/>
              </w:rPr>
            </w:pPr>
          </w:p>
        </w:tc>
        <w:tc>
          <w:tcPr>
            <w:tcW w:w="2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20" w:type="dxa"/>
            <w:vAlign w:val="bottom"/>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c>
          <w:tcPr>
            <w:tcW w:w="900" w:type="dxa"/>
            <w:vAlign w:val="bottom"/>
            <w:shd w:val="clear" w:color="auto" w:fill="DBDBDB"/>
          </w:tcPr>
          <w:p>
            <w:pPr>
              <w:spacing w:after="0"/>
              <w:rPr>
                <w:sz w:val="15"/>
                <w:szCs w:val="15"/>
                <w:color w:val="auto"/>
              </w:rPr>
            </w:pPr>
          </w:p>
        </w:tc>
        <w:tc>
          <w:tcPr>
            <w:tcW w:w="2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1040" w:type="dxa"/>
            <w:vAlign w:val="bottom"/>
            <w:shd w:val="clear" w:color="auto" w:fill="DBDBDB"/>
          </w:tcPr>
          <w:p>
            <w:pPr>
              <w:spacing w:after="0"/>
              <w:rPr>
                <w:sz w:val="15"/>
                <w:szCs w:val="15"/>
                <w:color w:val="auto"/>
              </w:rPr>
            </w:pPr>
          </w:p>
        </w:tc>
        <w:tc>
          <w:tcPr>
            <w:tcW w:w="2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18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520" w:type="dxa"/>
            <w:vAlign w:val="bottom"/>
            <w:shd w:val="clear" w:color="auto" w:fill="DBDBDB"/>
          </w:tcPr>
          <w:p>
            <w:pPr>
              <w:spacing w:after="0"/>
              <w:rPr>
                <w:sz w:val="15"/>
                <w:szCs w:val="15"/>
                <w:color w:val="auto"/>
              </w:rPr>
            </w:pPr>
          </w:p>
        </w:tc>
        <w:tc>
          <w:tcPr>
            <w:tcW w:w="80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46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hedging instruments:</w:t>
            </w:r>
          </w:p>
        </w:tc>
        <w:tc>
          <w:tcPr>
            <w:tcW w:w="106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9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8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gridSpan w:val="2"/>
          </w:tcPr>
          <w:p>
            <w:pPr>
              <w:ind w:left="360"/>
              <w:spacing w:after="0"/>
              <w:rPr>
                <w:sz w:val="20"/>
                <w:szCs w:val="20"/>
                <w:color w:val="auto"/>
              </w:rPr>
            </w:pPr>
            <w:r>
              <w:rPr>
                <w:rFonts w:ascii="Arial" w:cs="Arial" w:eastAsia="Arial" w:hAnsi="Arial"/>
                <w:sz w:val="18"/>
                <w:szCs w:val="18"/>
                <w:color w:val="auto"/>
              </w:rPr>
              <w:t>Foreign currency exchange contracts</w:t>
            </w: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01"/>
        </w:trPr>
        <w:tc>
          <w:tcPr>
            <w:tcW w:w="4220" w:type="dxa"/>
            <w:vAlign w:val="bottom"/>
          </w:tcPr>
          <w:p>
            <w:pPr>
              <w:spacing w:after="0"/>
              <w:rPr>
                <w:sz w:val="24"/>
                <w:szCs w:val="24"/>
                <w:color w:val="auto"/>
              </w:rPr>
            </w:pPr>
          </w:p>
        </w:tc>
        <w:tc>
          <w:tcPr>
            <w:tcW w:w="240" w:type="dxa"/>
            <w:vAlign w:val="bottom"/>
            <w:tcBorders>
              <w:bottom w:val="single" w:sz="8" w:color="DC202E"/>
            </w:tcBorders>
          </w:tcPr>
          <w:p>
            <w:pPr>
              <w:spacing w:after="0"/>
              <w:rPr>
                <w:sz w:val="24"/>
                <w:szCs w:val="24"/>
                <w:color w:val="auto"/>
              </w:rPr>
            </w:pPr>
          </w:p>
        </w:tc>
        <w:tc>
          <w:tcPr>
            <w:tcW w:w="1060" w:type="dxa"/>
            <w:vAlign w:val="bottom"/>
            <w:tcBorders>
              <w:bottom w:val="single" w:sz="8" w:color="DC202E"/>
            </w:tcBorders>
          </w:tcPr>
          <w:p>
            <w:pPr>
              <w:spacing w:after="0"/>
              <w:rPr>
                <w:sz w:val="24"/>
                <w:szCs w:val="24"/>
                <w:color w:val="auto"/>
              </w:rPr>
            </w:pPr>
          </w:p>
        </w:tc>
        <w:tc>
          <w:tcPr>
            <w:tcW w:w="20" w:type="dxa"/>
            <w:vAlign w:val="bottom"/>
            <w:tcBorders>
              <w:bottom w:val="single" w:sz="8" w:color="DC202E"/>
            </w:tcBorders>
          </w:tcPr>
          <w:p>
            <w:pPr>
              <w:spacing w:after="0"/>
              <w:rPr>
                <w:sz w:val="24"/>
                <w:szCs w:val="24"/>
                <w:color w:val="auto"/>
              </w:rPr>
            </w:pPr>
          </w:p>
        </w:tc>
        <w:tc>
          <w:tcPr>
            <w:tcW w:w="100" w:type="dxa"/>
            <w:vAlign w:val="bottom"/>
            <w:tcBorders>
              <w:bottom w:val="single" w:sz="8" w:color="DC202E"/>
            </w:tcBorders>
          </w:tcPr>
          <w:p>
            <w:pPr>
              <w:spacing w:after="0"/>
              <w:rPr>
                <w:sz w:val="24"/>
                <w:szCs w:val="24"/>
                <w:color w:val="auto"/>
              </w:rPr>
            </w:pPr>
          </w:p>
        </w:tc>
        <w:tc>
          <w:tcPr>
            <w:tcW w:w="20" w:type="dxa"/>
            <w:vAlign w:val="bottom"/>
            <w:tcBorders>
              <w:bottom w:val="single" w:sz="8" w:color="DC202E"/>
            </w:tcBorders>
          </w:tcPr>
          <w:p>
            <w:pPr>
              <w:spacing w:after="0"/>
              <w:rPr>
                <w:sz w:val="24"/>
                <w:szCs w:val="24"/>
                <w:color w:val="auto"/>
              </w:rPr>
            </w:pPr>
          </w:p>
        </w:tc>
        <w:tc>
          <w:tcPr>
            <w:tcW w:w="380" w:type="dxa"/>
            <w:vAlign w:val="bottom"/>
            <w:tcBorders>
              <w:bottom w:val="single" w:sz="8" w:color="DC202E"/>
            </w:tcBorders>
          </w:tcPr>
          <w:p>
            <w:pPr>
              <w:spacing w:after="0"/>
              <w:rPr>
                <w:sz w:val="24"/>
                <w:szCs w:val="24"/>
                <w:color w:val="auto"/>
              </w:rPr>
            </w:pPr>
          </w:p>
        </w:tc>
        <w:tc>
          <w:tcPr>
            <w:tcW w:w="3880" w:type="dxa"/>
            <w:vAlign w:val="bottom"/>
            <w:tcBorders>
              <w:bottom w:val="single" w:sz="8" w:color="DC202E"/>
            </w:tcBorders>
            <w:gridSpan w:val="11"/>
          </w:tcPr>
          <w:p>
            <w:pPr>
              <w:jc w:val="center"/>
              <w:ind w:right="500"/>
              <w:spacing w:after="0"/>
              <w:rPr>
                <w:sz w:val="20"/>
                <w:szCs w:val="20"/>
                <w:color w:val="auto"/>
              </w:rPr>
            </w:pPr>
            <w:r>
              <w:rPr>
                <w:rFonts w:ascii="Arial" w:cs="Arial" w:eastAsia="Arial" w:hAnsi="Arial"/>
                <w:sz w:val="14"/>
                <w:szCs w:val="14"/>
                <w:b w:val="1"/>
                <w:bCs w:val="1"/>
                <w:color w:val="auto"/>
              </w:rPr>
              <w:t>Nine Months Ended September 30, 2021</w:t>
            </w:r>
          </w:p>
        </w:tc>
        <w:tc>
          <w:tcPr>
            <w:tcW w:w="520" w:type="dxa"/>
            <w:vAlign w:val="bottom"/>
            <w:tcBorders>
              <w:bottom w:val="single" w:sz="8" w:color="DC202E"/>
            </w:tcBorders>
          </w:tcPr>
          <w:p>
            <w:pPr>
              <w:spacing w:after="0"/>
              <w:rPr>
                <w:sz w:val="24"/>
                <w:szCs w:val="24"/>
                <w:color w:val="auto"/>
              </w:rPr>
            </w:pPr>
          </w:p>
        </w:tc>
        <w:tc>
          <w:tcPr>
            <w:tcW w:w="800" w:type="dxa"/>
            <w:vAlign w:val="bottom"/>
            <w:tcBorders>
              <w:bottom w:val="single" w:sz="8" w:color="DC202E"/>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Revenue</w:t>
            </w:r>
          </w:p>
        </w:tc>
        <w:tc>
          <w:tcPr>
            <w:tcW w:w="10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rPr>
              <w:t>Cost of Products</w:t>
            </w:r>
          </w:p>
        </w:tc>
        <w:tc>
          <w:tcPr>
            <w:tcW w:w="280" w:type="dxa"/>
            <w:vAlign w:val="bottom"/>
          </w:tcPr>
          <w:p>
            <w:pPr>
              <w:spacing w:after="0"/>
              <w:rPr>
                <w:sz w:val="12"/>
                <w:szCs w:val="12"/>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SG&amp;A</w:t>
            </w:r>
          </w:p>
        </w:tc>
        <w:tc>
          <w:tcPr>
            <w:tcW w:w="8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Other (Income)</w:t>
            </w:r>
          </w:p>
        </w:tc>
        <w:tc>
          <w:tcPr>
            <w:tcW w:w="13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Interest and Other</w:t>
            </w:r>
          </w:p>
        </w:tc>
        <w:tc>
          <w:tcPr>
            <w:tcW w:w="0" w:type="dxa"/>
            <w:vAlign w:val="bottom"/>
          </w:tcPr>
          <w:p>
            <w:pPr>
              <w:spacing w:after="0"/>
              <w:rPr>
                <w:sz w:val="1"/>
                <w:szCs w:val="1"/>
                <w:color w:val="auto"/>
              </w:rPr>
            </w:pPr>
          </w:p>
        </w:tc>
      </w:tr>
      <w:tr>
        <w:trPr>
          <w:trHeight w:val="183"/>
        </w:trPr>
        <w:tc>
          <w:tcPr>
            <w:tcW w:w="4220" w:type="dxa"/>
            <w:vAlign w:val="bottom"/>
            <w:tcBorders>
              <w:bottom w:val="single" w:sz="8" w:color="DBDBDB"/>
            </w:tcBorders>
          </w:tcPr>
          <w:p>
            <w:pPr>
              <w:spacing w:after="0"/>
              <w:rPr>
                <w:sz w:val="15"/>
                <w:szCs w:val="15"/>
                <w:color w:val="auto"/>
              </w:rPr>
            </w:pPr>
          </w:p>
        </w:tc>
        <w:tc>
          <w:tcPr>
            <w:tcW w:w="240" w:type="dxa"/>
            <w:vAlign w:val="bottom"/>
            <w:tcBorders>
              <w:bottom w:val="single" w:sz="8" w:color="DC202E"/>
            </w:tcBorders>
          </w:tcPr>
          <w:p>
            <w:pPr>
              <w:spacing w:after="0"/>
              <w:rPr>
                <w:sz w:val="15"/>
                <w:szCs w:val="15"/>
                <w:color w:val="auto"/>
              </w:rPr>
            </w:pPr>
          </w:p>
        </w:tc>
        <w:tc>
          <w:tcPr>
            <w:tcW w:w="1080" w:type="dxa"/>
            <w:vAlign w:val="bottom"/>
            <w:tcBorders>
              <w:bottom w:val="single" w:sz="8" w:color="DC202E"/>
            </w:tcBorders>
            <w:gridSpan w:val="2"/>
            <w:vMerge w:val="continue"/>
          </w:tcPr>
          <w:p>
            <w:pPr>
              <w:spacing w:after="0"/>
              <w:rPr>
                <w:sz w:val="15"/>
                <w:szCs w:val="15"/>
                <w:color w:val="auto"/>
              </w:rPr>
            </w:pPr>
          </w:p>
        </w:tc>
        <w:tc>
          <w:tcPr>
            <w:tcW w:w="100" w:type="dxa"/>
            <w:vAlign w:val="bottom"/>
            <w:tcBorders>
              <w:bottom w:val="single" w:sz="8" w:color="DBDBDB"/>
            </w:tcBorders>
            <w:vMerge w:val="continue"/>
          </w:tcPr>
          <w:p>
            <w:pPr>
              <w:spacing w:after="0"/>
              <w:rPr>
                <w:sz w:val="15"/>
                <w:szCs w:val="15"/>
                <w:color w:val="auto"/>
              </w:rPr>
            </w:pPr>
          </w:p>
        </w:tc>
        <w:tc>
          <w:tcPr>
            <w:tcW w:w="20" w:type="dxa"/>
            <w:vAlign w:val="bottom"/>
            <w:tcBorders>
              <w:bottom w:val="single" w:sz="8" w:color="DBDBDB"/>
            </w:tcBorders>
          </w:tcPr>
          <w:p>
            <w:pPr>
              <w:spacing w:after="0"/>
              <w:rPr>
                <w:sz w:val="15"/>
                <w:szCs w:val="15"/>
                <w:color w:val="auto"/>
              </w:rPr>
            </w:pPr>
          </w:p>
        </w:tc>
        <w:tc>
          <w:tcPr>
            <w:tcW w:w="1300" w:type="dxa"/>
            <w:vAlign w:val="bottom"/>
            <w:tcBorders>
              <w:bottom w:val="single" w:sz="8" w:color="DC202E"/>
            </w:tcBorders>
            <w:gridSpan w:val="3"/>
          </w:tcPr>
          <w:p>
            <w:pPr>
              <w:jc w:val="center"/>
              <w:ind w:right="20"/>
              <w:spacing w:after="0"/>
              <w:rPr>
                <w:sz w:val="20"/>
                <w:szCs w:val="20"/>
                <w:color w:val="auto"/>
              </w:rPr>
            </w:pPr>
            <w:r>
              <w:rPr>
                <w:rFonts w:ascii="Arial" w:cs="Arial" w:eastAsia="Arial" w:hAnsi="Arial"/>
                <w:sz w:val="14"/>
                <w:szCs w:val="14"/>
                <w:b w:val="1"/>
                <w:bCs w:val="1"/>
                <w:color w:val="auto"/>
              </w:rPr>
              <w:t>and Services Sold</w:t>
            </w:r>
          </w:p>
        </w:tc>
        <w:tc>
          <w:tcPr>
            <w:tcW w:w="100" w:type="dxa"/>
            <w:vAlign w:val="bottom"/>
            <w:tcBorders>
              <w:bottom w:val="single" w:sz="8" w:color="DBDBDB"/>
            </w:tcBorders>
          </w:tcPr>
          <w:p>
            <w:pPr>
              <w:spacing w:after="0"/>
              <w:rPr>
                <w:sz w:val="15"/>
                <w:szCs w:val="15"/>
                <w:color w:val="auto"/>
              </w:rPr>
            </w:pPr>
          </w:p>
        </w:tc>
        <w:tc>
          <w:tcPr>
            <w:tcW w:w="280" w:type="dxa"/>
            <w:vAlign w:val="bottom"/>
            <w:tcBorders>
              <w:bottom w:val="single" w:sz="8" w:color="DC202E"/>
            </w:tcBorders>
          </w:tcPr>
          <w:p>
            <w:pPr>
              <w:spacing w:after="0"/>
              <w:rPr>
                <w:sz w:val="15"/>
                <w:szCs w:val="15"/>
                <w:color w:val="auto"/>
              </w:rPr>
            </w:pPr>
          </w:p>
        </w:tc>
        <w:tc>
          <w:tcPr>
            <w:tcW w:w="1060" w:type="dxa"/>
            <w:vAlign w:val="bottom"/>
            <w:tcBorders>
              <w:bottom w:val="single" w:sz="8" w:color="DC202E"/>
            </w:tcBorders>
            <w:gridSpan w:val="2"/>
            <w:vMerge w:val="continue"/>
          </w:tcPr>
          <w:p>
            <w:pPr>
              <w:spacing w:after="0"/>
              <w:rPr>
                <w:sz w:val="15"/>
                <w:szCs w:val="15"/>
                <w:color w:val="auto"/>
              </w:rPr>
            </w:pPr>
          </w:p>
        </w:tc>
        <w:tc>
          <w:tcPr>
            <w:tcW w:w="80" w:type="dxa"/>
            <w:vAlign w:val="bottom"/>
            <w:tcBorders>
              <w:bottom w:val="single" w:sz="8" w:color="DBDBDB"/>
            </w:tcBorders>
            <w:vMerge w:val="continue"/>
          </w:tcPr>
          <w:p>
            <w:pPr>
              <w:spacing w:after="0"/>
              <w:rPr>
                <w:sz w:val="15"/>
                <w:szCs w:val="15"/>
                <w:color w:val="auto"/>
              </w:rPr>
            </w:pPr>
          </w:p>
        </w:tc>
        <w:tc>
          <w:tcPr>
            <w:tcW w:w="20" w:type="dxa"/>
            <w:vAlign w:val="bottom"/>
            <w:tcBorders>
              <w:bottom w:val="single" w:sz="8" w:color="DBDBDB"/>
            </w:tcBorders>
          </w:tcPr>
          <w:p>
            <w:pPr>
              <w:spacing w:after="0"/>
              <w:rPr>
                <w:sz w:val="15"/>
                <w:szCs w:val="15"/>
                <w:color w:val="auto"/>
              </w:rPr>
            </w:pPr>
          </w:p>
        </w:tc>
        <w:tc>
          <w:tcPr>
            <w:tcW w:w="120" w:type="dxa"/>
            <w:vAlign w:val="bottom"/>
            <w:tcBorders>
              <w:bottom w:val="single" w:sz="8" w:color="DC202E"/>
            </w:tcBorders>
          </w:tcPr>
          <w:p>
            <w:pPr>
              <w:spacing w:after="0"/>
              <w:rPr>
                <w:sz w:val="15"/>
                <w:szCs w:val="15"/>
                <w:color w:val="auto"/>
              </w:rPr>
            </w:pPr>
          </w:p>
        </w:tc>
        <w:tc>
          <w:tcPr>
            <w:tcW w:w="1180" w:type="dxa"/>
            <w:vAlign w:val="bottom"/>
            <w:tcBorders>
              <w:bottom w:val="single" w:sz="8" w:color="DC202E"/>
            </w:tcBorders>
          </w:tcPr>
          <w:p>
            <w:pPr>
              <w:jc w:val="center"/>
              <w:ind w:right="14"/>
              <w:spacing w:after="0"/>
              <w:rPr>
                <w:sz w:val="20"/>
                <w:szCs w:val="20"/>
                <w:color w:val="auto"/>
              </w:rPr>
            </w:pPr>
            <w:r>
              <w:rPr>
                <w:rFonts w:ascii="Arial" w:cs="Arial" w:eastAsia="Arial" w:hAnsi="Arial"/>
                <w:sz w:val="14"/>
                <w:szCs w:val="14"/>
                <w:b w:val="1"/>
                <w:bCs w:val="1"/>
                <w:color w:val="auto"/>
              </w:rPr>
              <w:t>Expense</w:t>
            </w:r>
          </w:p>
        </w:tc>
        <w:tc>
          <w:tcPr>
            <w:tcW w:w="120" w:type="dxa"/>
            <w:vAlign w:val="bottom"/>
            <w:tcBorders>
              <w:bottom w:val="single" w:sz="8" w:color="DBDBDB"/>
            </w:tcBorders>
          </w:tcPr>
          <w:p>
            <w:pPr>
              <w:spacing w:after="0"/>
              <w:rPr>
                <w:sz w:val="15"/>
                <w:szCs w:val="15"/>
                <w:color w:val="auto"/>
              </w:rPr>
            </w:pPr>
          </w:p>
        </w:tc>
        <w:tc>
          <w:tcPr>
            <w:tcW w:w="1320" w:type="dxa"/>
            <w:vAlign w:val="bottom"/>
            <w:tcBorders>
              <w:bottom w:val="single" w:sz="8" w:color="DC202E"/>
            </w:tcBorders>
            <w:gridSpan w:val="2"/>
          </w:tcPr>
          <w:p>
            <w:pPr>
              <w:ind w:left="40"/>
              <w:spacing w:after="0"/>
              <w:rPr>
                <w:sz w:val="20"/>
                <w:szCs w:val="20"/>
                <w:color w:val="auto"/>
              </w:rPr>
            </w:pPr>
            <w:r>
              <w:rPr>
                <w:rFonts w:ascii="Arial" w:cs="Arial" w:eastAsia="Arial" w:hAnsi="Arial"/>
                <w:sz w:val="14"/>
                <w:szCs w:val="14"/>
                <w:b w:val="1"/>
                <w:bCs w:val="1"/>
                <w:color w:val="auto"/>
              </w:rPr>
              <w:t>Financial Charges</w:t>
            </w:r>
          </w:p>
        </w:tc>
        <w:tc>
          <w:tcPr>
            <w:tcW w:w="0" w:type="dxa"/>
            <w:vAlign w:val="bottom"/>
          </w:tcPr>
          <w:p>
            <w:pPr>
              <w:spacing w:after="0"/>
              <w:rPr>
                <w:sz w:val="1"/>
                <w:szCs w:val="1"/>
                <w:color w:val="auto"/>
              </w:rPr>
            </w:pPr>
          </w:p>
        </w:tc>
      </w:tr>
      <w:tr>
        <w:trPr>
          <w:trHeight w:val="229"/>
        </w:trPr>
        <w:tc>
          <w:tcPr>
            <w:tcW w:w="4460" w:type="dxa"/>
            <w:vAlign w:val="bottom"/>
            <w:gridSpan w:val="2"/>
            <w:shd w:val="clear" w:color="auto" w:fill="DBDBDB"/>
          </w:tcPr>
          <w:p>
            <w:pPr>
              <w:ind w:left="42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25,735</w:t>
            </w:r>
          </w:p>
        </w:tc>
        <w:tc>
          <w:tcPr>
            <w:tcW w:w="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17,458</w:t>
            </w:r>
          </w:p>
        </w:tc>
        <w:tc>
          <w:tcPr>
            <w:tcW w:w="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3,595</w:t>
            </w:r>
          </w:p>
        </w:tc>
        <w:tc>
          <w:tcPr>
            <w:tcW w:w="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(1,023)</w:t>
            </w:r>
          </w:p>
        </w:tc>
        <w:tc>
          <w:tcPr>
            <w:tcW w:w="120" w:type="dxa"/>
            <w:vAlign w:val="bottom"/>
            <w:shd w:val="clear" w:color="auto" w:fill="DBDBDB"/>
          </w:tcPr>
          <w:p>
            <w:pPr>
              <w:spacing w:after="0"/>
              <w:rPr>
                <w:sz w:val="19"/>
                <w:szCs w:val="19"/>
                <w:color w:val="auto"/>
              </w:rPr>
            </w:pPr>
          </w:p>
        </w:tc>
        <w:tc>
          <w:tcPr>
            <w:tcW w:w="520" w:type="dxa"/>
            <w:vAlign w:val="bottom"/>
            <w:shd w:val="clear" w:color="auto" w:fill="DBDBDB"/>
          </w:tcPr>
          <w:p>
            <w:pPr>
              <w:ind w:lef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30"/>
        </w:trPr>
        <w:tc>
          <w:tcPr>
            <w:tcW w:w="4460" w:type="dxa"/>
            <w:vAlign w:val="bottom"/>
            <w:gridSpan w:val="2"/>
          </w:tcPr>
          <w:p>
            <w:pPr>
              <w:ind w:left="20"/>
              <w:spacing w:after="0"/>
              <w:rPr>
                <w:sz w:val="20"/>
                <w:szCs w:val="20"/>
                <w:color w:val="auto"/>
              </w:rPr>
            </w:pPr>
            <w:r>
              <w:rPr>
                <w:rFonts w:ascii="Arial" w:cs="Arial" w:eastAsia="Arial" w:hAnsi="Arial"/>
                <w:sz w:val="18"/>
                <w:szCs w:val="18"/>
                <w:b w:val="1"/>
                <w:bCs w:val="1"/>
                <w:color w:val="auto"/>
              </w:rPr>
              <w:t>Gain or (loss) on cash flow hedges:</w:t>
            </w: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Foreign currency exchange contracts:</w:t>
            </w:r>
          </w:p>
        </w:tc>
        <w:tc>
          <w:tcPr>
            <w:tcW w:w="106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9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8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460" w:type="dxa"/>
            <w:vAlign w:val="bottom"/>
            <w:gridSpan w:val="2"/>
          </w:tcPr>
          <w:p>
            <w:pPr>
              <w:ind w:left="480"/>
              <w:spacing w:after="0" w:line="189" w:lineRule="exact"/>
              <w:rPr>
                <w:sz w:val="20"/>
                <w:szCs w:val="20"/>
                <w:color w:val="auto"/>
              </w:rPr>
            </w:pPr>
            <w:r>
              <w:rPr>
                <w:rFonts w:ascii="Arial" w:cs="Arial" w:eastAsia="Arial" w:hAnsi="Arial"/>
                <w:sz w:val="18"/>
                <w:szCs w:val="18"/>
                <w:color w:val="auto"/>
              </w:rPr>
              <w:t>Amount reclassified from accumulated other</w:t>
            </w: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460" w:type="dxa"/>
            <w:vAlign w:val="bottom"/>
            <w:gridSpan w:val="2"/>
          </w:tcPr>
          <w:p>
            <w:pPr>
              <w:ind w:left="480"/>
              <w:spacing w:after="0"/>
              <w:rPr>
                <w:sz w:val="20"/>
                <w:szCs w:val="20"/>
                <w:color w:val="auto"/>
              </w:rPr>
            </w:pPr>
            <w:r>
              <w:rPr>
                <w:rFonts w:ascii="Arial" w:cs="Arial" w:eastAsia="Arial" w:hAnsi="Arial"/>
                <w:sz w:val="18"/>
                <w:szCs w:val="18"/>
                <w:color w:val="auto"/>
              </w:rPr>
              <w:t>comprehensive income into income</w:t>
            </w: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6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Gain or (loss) on fair value hedges:</w:t>
            </w:r>
          </w:p>
        </w:tc>
        <w:tc>
          <w:tcPr>
            <w:tcW w:w="106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9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8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gridSpan w:val="2"/>
          </w:tcPr>
          <w:p>
            <w:pPr>
              <w:ind w:left="220"/>
              <w:spacing w:after="0"/>
              <w:rPr>
                <w:sz w:val="20"/>
                <w:szCs w:val="20"/>
                <w:color w:val="auto"/>
              </w:rPr>
            </w:pPr>
            <w:r>
              <w:rPr>
                <w:rFonts w:ascii="Arial" w:cs="Arial" w:eastAsia="Arial" w:hAnsi="Arial"/>
                <w:sz w:val="18"/>
                <w:szCs w:val="18"/>
                <w:color w:val="auto"/>
              </w:rPr>
              <w:t>Interest rate swap agreements:</w:t>
            </w: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gridSpan w:val="2"/>
            <w:shd w:val="clear" w:color="auto" w:fill="DBDBDB"/>
          </w:tcPr>
          <w:p>
            <w:pPr>
              <w:ind w:left="480"/>
              <w:spacing w:after="0"/>
              <w:rPr>
                <w:sz w:val="20"/>
                <w:szCs w:val="20"/>
                <w:color w:val="auto"/>
              </w:rPr>
            </w:pPr>
            <w:r>
              <w:rPr>
                <w:rFonts w:ascii="Arial" w:cs="Arial" w:eastAsia="Arial" w:hAnsi="Arial"/>
                <w:sz w:val="18"/>
                <w:szCs w:val="18"/>
                <w:color w:val="auto"/>
              </w:rPr>
              <w:t>Hedged items</w:t>
            </w:r>
          </w:p>
        </w:tc>
        <w:tc>
          <w:tcPr>
            <w:tcW w:w="1180" w:type="dxa"/>
            <w:vAlign w:val="bottom"/>
            <w:gridSpan w:val="3"/>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020" w:type="dxa"/>
            <w:vAlign w:val="bottom"/>
            <w:gridSpan w:val="3"/>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DBDBDB"/>
          </w:tcPr>
          <w:p>
            <w:pPr>
              <w:spacing w:after="0"/>
              <w:rPr>
                <w:sz w:val="19"/>
                <w:szCs w:val="19"/>
                <w:color w:val="auto"/>
              </w:rPr>
            </w:pPr>
          </w:p>
        </w:tc>
        <w:tc>
          <w:tcPr>
            <w:tcW w:w="1140" w:type="dxa"/>
            <w:vAlign w:val="bottom"/>
            <w:gridSpan w:val="3"/>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30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30"/>
        </w:trPr>
        <w:tc>
          <w:tcPr>
            <w:tcW w:w="4460" w:type="dxa"/>
            <w:vAlign w:val="bottom"/>
            <w:gridSpan w:val="2"/>
          </w:tcPr>
          <w:p>
            <w:pPr>
              <w:ind w:left="480"/>
              <w:spacing w:after="0"/>
              <w:rPr>
                <w:sz w:val="20"/>
                <w:szCs w:val="20"/>
                <w:color w:val="auto"/>
              </w:rPr>
            </w:pPr>
            <w:r>
              <w:rPr>
                <w:rFonts w:ascii="Arial" w:cs="Arial" w:eastAsia="Arial" w:hAnsi="Arial"/>
                <w:sz w:val="18"/>
                <w:szCs w:val="18"/>
                <w:color w:val="auto"/>
              </w:rPr>
              <w:t>Derivatives designated as hedges</w:t>
            </w: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30"/>
        </w:trPr>
        <w:tc>
          <w:tcPr>
            <w:tcW w:w="446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Gain or (loss) on net investment hedges:</w:t>
            </w:r>
          </w:p>
        </w:tc>
        <w:tc>
          <w:tcPr>
            <w:tcW w:w="106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9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8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gridSpan w:val="2"/>
          </w:tcPr>
          <w:p>
            <w:pPr>
              <w:ind w:left="140"/>
              <w:spacing w:after="0"/>
              <w:rPr>
                <w:sz w:val="20"/>
                <w:szCs w:val="20"/>
                <w:color w:val="auto"/>
              </w:rPr>
            </w:pPr>
            <w:r>
              <w:rPr>
                <w:rFonts w:ascii="Arial" w:cs="Arial" w:eastAsia="Arial" w:hAnsi="Arial"/>
                <w:sz w:val="18"/>
                <w:szCs w:val="18"/>
                <w:color w:val="auto"/>
              </w:rPr>
              <w:t>Foreign Currency Exchange Contracts:</w:t>
            </w: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460" w:type="dxa"/>
            <w:vAlign w:val="bottom"/>
            <w:gridSpan w:val="2"/>
            <w:shd w:val="clear" w:color="auto" w:fill="DBDBDB"/>
          </w:tcPr>
          <w:p>
            <w:pPr>
              <w:ind w:left="360"/>
              <w:spacing w:after="0" w:line="189" w:lineRule="exact"/>
              <w:rPr>
                <w:sz w:val="20"/>
                <w:szCs w:val="20"/>
                <w:color w:val="auto"/>
              </w:rPr>
            </w:pPr>
            <w:r>
              <w:rPr>
                <w:rFonts w:ascii="Arial" w:cs="Arial" w:eastAsia="Arial" w:hAnsi="Arial"/>
                <w:sz w:val="18"/>
                <w:szCs w:val="18"/>
                <w:color w:val="auto"/>
              </w:rPr>
              <w:t>Amount excluded from effectiveness testing</w:t>
            </w:r>
          </w:p>
        </w:tc>
        <w:tc>
          <w:tcPr>
            <w:tcW w:w="106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380" w:type="dxa"/>
            <w:vAlign w:val="bottom"/>
            <w:shd w:val="clear" w:color="auto" w:fill="DBDBDB"/>
          </w:tcPr>
          <w:p>
            <w:pPr>
              <w:spacing w:after="0"/>
              <w:rPr>
                <w:sz w:val="16"/>
                <w:szCs w:val="16"/>
                <w:color w:val="auto"/>
              </w:rPr>
            </w:pPr>
          </w:p>
        </w:tc>
        <w:tc>
          <w:tcPr>
            <w:tcW w:w="90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104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1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520" w:type="dxa"/>
            <w:vAlign w:val="bottom"/>
            <w:shd w:val="clear" w:color="auto" w:fill="DBDBDB"/>
          </w:tcPr>
          <w:p>
            <w:pPr>
              <w:spacing w:after="0"/>
              <w:rPr>
                <w:sz w:val="16"/>
                <w:szCs w:val="16"/>
                <w:color w:val="auto"/>
              </w:rPr>
            </w:pPr>
          </w:p>
        </w:tc>
        <w:tc>
          <w:tcPr>
            <w:tcW w:w="80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460" w:type="dxa"/>
            <w:vAlign w:val="bottom"/>
            <w:gridSpan w:val="2"/>
            <w:shd w:val="clear" w:color="auto" w:fill="DBDBDB"/>
          </w:tcPr>
          <w:p>
            <w:pPr>
              <w:ind w:left="360"/>
              <w:spacing w:after="0" w:line="176" w:lineRule="exact"/>
              <w:rPr>
                <w:sz w:val="20"/>
                <w:szCs w:val="20"/>
                <w:color w:val="auto"/>
              </w:rPr>
            </w:pPr>
            <w:r>
              <w:rPr>
                <w:rFonts w:ascii="Arial" w:cs="Arial" w:eastAsia="Arial" w:hAnsi="Arial"/>
                <w:sz w:val="18"/>
                <w:szCs w:val="18"/>
                <w:color w:val="auto"/>
              </w:rPr>
              <w:t>recognized in earnings using an amortization</w:t>
            </w:r>
          </w:p>
        </w:tc>
        <w:tc>
          <w:tcPr>
            <w:tcW w:w="1060" w:type="dxa"/>
            <w:vAlign w:val="bottom"/>
            <w:shd w:val="clear" w:color="auto" w:fill="DBDBDB"/>
          </w:tcPr>
          <w:p>
            <w:pPr>
              <w:spacing w:after="0"/>
              <w:rPr>
                <w:sz w:val="15"/>
                <w:szCs w:val="15"/>
                <w:color w:val="auto"/>
              </w:rPr>
            </w:pPr>
          </w:p>
        </w:tc>
        <w:tc>
          <w:tcPr>
            <w:tcW w:w="2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20" w:type="dxa"/>
            <w:vAlign w:val="bottom"/>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c>
          <w:tcPr>
            <w:tcW w:w="900" w:type="dxa"/>
            <w:vAlign w:val="bottom"/>
            <w:shd w:val="clear" w:color="auto" w:fill="DBDBDB"/>
          </w:tcPr>
          <w:p>
            <w:pPr>
              <w:spacing w:after="0"/>
              <w:rPr>
                <w:sz w:val="15"/>
                <w:szCs w:val="15"/>
                <w:color w:val="auto"/>
              </w:rPr>
            </w:pPr>
          </w:p>
        </w:tc>
        <w:tc>
          <w:tcPr>
            <w:tcW w:w="2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1040" w:type="dxa"/>
            <w:vAlign w:val="bottom"/>
            <w:shd w:val="clear" w:color="auto" w:fill="DBDBDB"/>
          </w:tcPr>
          <w:p>
            <w:pPr>
              <w:spacing w:after="0"/>
              <w:rPr>
                <w:sz w:val="15"/>
                <w:szCs w:val="15"/>
                <w:color w:val="auto"/>
              </w:rPr>
            </w:pPr>
          </w:p>
        </w:tc>
        <w:tc>
          <w:tcPr>
            <w:tcW w:w="2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18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520" w:type="dxa"/>
            <w:vAlign w:val="bottom"/>
            <w:shd w:val="clear" w:color="auto" w:fill="DBDBDB"/>
          </w:tcPr>
          <w:p>
            <w:pPr>
              <w:spacing w:after="0"/>
              <w:rPr>
                <w:sz w:val="15"/>
                <w:szCs w:val="15"/>
                <w:color w:val="auto"/>
              </w:rPr>
            </w:pPr>
          </w:p>
        </w:tc>
        <w:tc>
          <w:tcPr>
            <w:tcW w:w="80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460" w:type="dxa"/>
            <w:vAlign w:val="bottom"/>
            <w:gridSpan w:val="2"/>
            <w:shd w:val="clear" w:color="auto" w:fill="DBDBDB"/>
          </w:tcPr>
          <w:p>
            <w:pPr>
              <w:ind w:left="360"/>
              <w:spacing w:after="0"/>
              <w:rPr>
                <w:sz w:val="20"/>
                <w:szCs w:val="20"/>
                <w:color w:val="auto"/>
              </w:rPr>
            </w:pPr>
            <w:r>
              <w:rPr>
                <w:rFonts w:ascii="Arial" w:cs="Arial" w:eastAsia="Arial" w:hAnsi="Arial"/>
                <w:sz w:val="18"/>
                <w:szCs w:val="18"/>
                <w:color w:val="auto"/>
              </w:rPr>
              <w:t>approach</w:t>
            </w:r>
          </w:p>
        </w:tc>
        <w:tc>
          <w:tcPr>
            <w:tcW w:w="1180" w:type="dxa"/>
            <w:vAlign w:val="bottom"/>
            <w:gridSpan w:val="3"/>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020" w:type="dxa"/>
            <w:vAlign w:val="bottom"/>
            <w:gridSpan w:val="3"/>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DBDBDB"/>
          </w:tcPr>
          <w:p>
            <w:pPr>
              <w:spacing w:after="0"/>
              <w:rPr>
                <w:sz w:val="18"/>
                <w:szCs w:val="18"/>
                <w:color w:val="auto"/>
              </w:rPr>
            </w:pPr>
          </w:p>
        </w:tc>
        <w:tc>
          <w:tcPr>
            <w:tcW w:w="1140" w:type="dxa"/>
            <w:vAlign w:val="bottom"/>
            <w:gridSpan w:val="3"/>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30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DBDBDB"/>
          </w:tcPr>
          <w:p>
            <w:pPr>
              <w:spacing w:after="0"/>
              <w:rPr>
                <w:sz w:val="18"/>
                <w:szCs w:val="18"/>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75"/>
        </w:trPr>
        <w:tc>
          <w:tcPr>
            <w:tcW w:w="4460" w:type="dxa"/>
            <w:vAlign w:val="bottom"/>
            <w:gridSpan w:val="2"/>
          </w:tcPr>
          <w:p>
            <w:pPr>
              <w:ind w:left="20"/>
              <w:spacing w:after="0" w:line="176" w:lineRule="exact"/>
              <w:rPr>
                <w:sz w:val="20"/>
                <w:szCs w:val="20"/>
                <w:color w:val="auto"/>
              </w:rPr>
            </w:pPr>
            <w:r>
              <w:rPr>
                <w:rFonts w:ascii="Arial" w:cs="Arial" w:eastAsia="Arial" w:hAnsi="Arial"/>
                <w:sz w:val="18"/>
                <w:szCs w:val="18"/>
                <w:b w:val="1"/>
                <w:bCs w:val="1"/>
                <w:color w:val="auto"/>
              </w:rPr>
              <w:t>Gain or (loss) on derivatives not designated as</w:t>
            </w: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460" w:type="dxa"/>
            <w:vAlign w:val="bottom"/>
            <w:gridSpan w:val="2"/>
          </w:tcPr>
          <w:p>
            <w:pPr>
              <w:ind w:left="20"/>
              <w:spacing w:after="0"/>
              <w:rPr>
                <w:sz w:val="20"/>
                <w:szCs w:val="20"/>
                <w:color w:val="auto"/>
              </w:rPr>
            </w:pPr>
            <w:r>
              <w:rPr>
                <w:rFonts w:ascii="Arial" w:cs="Arial" w:eastAsia="Arial" w:hAnsi="Arial"/>
                <w:sz w:val="18"/>
                <w:szCs w:val="18"/>
                <w:b w:val="1"/>
                <w:bCs w:val="1"/>
                <w:color w:val="auto"/>
              </w:rPr>
              <w:t>hedging instruments:</w:t>
            </w: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gridSpan w:val="2"/>
            <w:shd w:val="clear" w:color="auto" w:fill="DBDBDB"/>
          </w:tcPr>
          <w:p>
            <w:pPr>
              <w:ind w:left="360"/>
              <w:spacing w:after="0"/>
              <w:rPr>
                <w:sz w:val="20"/>
                <w:szCs w:val="20"/>
                <w:color w:val="auto"/>
              </w:rPr>
            </w:pPr>
            <w:r>
              <w:rPr>
                <w:rFonts w:ascii="Arial" w:cs="Arial" w:eastAsia="Arial" w:hAnsi="Arial"/>
                <w:sz w:val="18"/>
                <w:szCs w:val="18"/>
                <w:color w:val="auto"/>
              </w:rPr>
              <w:t>Foreign currency exchange contracts</w:t>
            </w:r>
          </w:p>
        </w:tc>
        <w:tc>
          <w:tcPr>
            <w:tcW w:w="1180" w:type="dxa"/>
            <w:vAlign w:val="bottom"/>
            <w:gridSpan w:val="3"/>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020" w:type="dxa"/>
            <w:vAlign w:val="bottom"/>
            <w:gridSpan w:val="3"/>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DBDBDB"/>
          </w:tcPr>
          <w:p>
            <w:pPr>
              <w:spacing w:after="0"/>
              <w:rPr>
                <w:sz w:val="19"/>
                <w:szCs w:val="19"/>
                <w:color w:val="auto"/>
              </w:rPr>
            </w:pPr>
          </w:p>
        </w:tc>
        <w:tc>
          <w:tcPr>
            <w:tcW w:w="1140" w:type="dxa"/>
            <w:vAlign w:val="bottom"/>
            <w:gridSpan w:val="3"/>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19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381" w:lineRule="exact"/>
        <w:rPr>
          <w:sz w:val="20"/>
          <w:szCs w:val="20"/>
          <w:color w:val="auto"/>
        </w:rPr>
      </w:pPr>
    </w:p>
    <w:p>
      <w:pPr>
        <w:ind w:left="6360"/>
        <w:spacing w:after="0"/>
        <w:rPr>
          <w:sz w:val="20"/>
          <w:szCs w:val="20"/>
          <w:color w:val="auto"/>
        </w:rPr>
      </w:pPr>
      <w:r>
        <w:rPr>
          <w:rFonts w:ascii="Arial" w:cs="Arial" w:eastAsia="Arial" w:hAnsi="Arial"/>
          <w:sz w:val="14"/>
          <w:szCs w:val="14"/>
          <w:b w:val="1"/>
          <w:bCs w:val="1"/>
          <w:color w:val="auto"/>
        </w:rPr>
        <w:t>Nine Months Ended September 30, 2020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220" w:type="dxa"/>
            <w:vAlign w:val="bottom"/>
          </w:tcPr>
          <w:p>
            <w:pPr>
              <w:spacing w:after="0"/>
              <w:rPr>
                <w:sz w:val="13"/>
                <w:szCs w:val="13"/>
                <w:color w:val="auto"/>
              </w:rPr>
            </w:pPr>
          </w:p>
        </w:tc>
        <w:tc>
          <w:tcPr>
            <w:tcW w:w="240" w:type="dxa"/>
            <w:vAlign w:val="bottom"/>
            <w:tcBorders>
              <w:top w:val="single" w:sz="8" w:color="DC202E"/>
            </w:tcBorders>
          </w:tcPr>
          <w:p>
            <w:pPr>
              <w:spacing w:after="0"/>
              <w:rPr>
                <w:sz w:val="13"/>
                <w:szCs w:val="13"/>
                <w:color w:val="auto"/>
              </w:rPr>
            </w:pPr>
          </w:p>
        </w:tc>
        <w:tc>
          <w:tcPr>
            <w:tcW w:w="1060" w:type="dxa"/>
            <w:vAlign w:val="bottom"/>
            <w:tcBorders>
              <w:top w:val="single" w:sz="8" w:color="DC202E"/>
            </w:tcBorders>
            <w:vMerge w:val="restart"/>
          </w:tcPr>
          <w:p>
            <w:pPr>
              <w:jc w:val="right"/>
              <w:ind w:right="252"/>
              <w:spacing w:after="0"/>
              <w:rPr>
                <w:sz w:val="20"/>
                <w:szCs w:val="20"/>
                <w:color w:val="auto"/>
              </w:rPr>
            </w:pPr>
            <w:r>
              <w:rPr>
                <w:rFonts w:ascii="Arial" w:cs="Arial" w:eastAsia="Arial" w:hAnsi="Arial"/>
                <w:sz w:val="14"/>
                <w:szCs w:val="14"/>
                <w:b w:val="1"/>
                <w:bCs w:val="1"/>
                <w:color w:val="auto"/>
              </w:rPr>
              <w:t>Revenue</w:t>
            </w:r>
          </w:p>
        </w:tc>
        <w:tc>
          <w:tcPr>
            <w:tcW w:w="120" w:type="dxa"/>
            <w:vAlign w:val="bottom"/>
            <w:tcBorders>
              <w:top w:val="single" w:sz="8" w:color="DC202E"/>
            </w:tcBorders>
            <w:vMerge w:val="restart"/>
          </w:tcPr>
          <w:p>
            <w:pPr>
              <w:spacing w:after="0"/>
              <w:rPr>
                <w:sz w:val="13"/>
                <w:szCs w:val="13"/>
                <w:color w:val="auto"/>
              </w:rPr>
            </w:pPr>
          </w:p>
        </w:tc>
        <w:tc>
          <w:tcPr>
            <w:tcW w:w="1420" w:type="dxa"/>
            <w:vAlign w:val="bottom"/>
            <w:tcBorders>
              <w:top w:val="single" w:sz="8" w:color="DC202E"/>
            </w:tcBorders>
            <w:gridSpan w:val="3"/>
          </w:tcPr>
          <w:p>
            <w:pPr>
              <w:ind w:left="80"/>
              <w:spacing w:after="0" w:line="155" w:lineRule="exact"/>
              <w:rPr>
                <w:sz w:val="20"/>
                <w:szCs w:val="20"/>
                <w:color w:val="auto"/>
              </w:rPr>
            </w:pPr>
            <w:r>
              <w:rPr>
                <w:rFonts w:ascii="Arial" w:cs="Arial" w:eastAsia="Arial" w:hAnsi="Arial"/>
                <w:sz w:val="14"/>
                <w:szCs w:val="14"/>
                <w:b w:val="1"/>
                <w:bCs w:val="1"/>
                <w:color w:val="auto"/>
              </w:rPr>
              <w:t>Cost of Products</w:t>
            </w:r>
          </w:p>
        </w:tc>
        <w:tc>
          <w:tcPr>
            <w:tcW w:w="300" w:type="dxa"/>
            <w:vAlign w:val="bottom"/>
            <w:tcBorders>
              <w:top w:val="single" w:sz="8" w:color="DC202E"/>
            </w:tcBorders>
          </w:tcPr>
          <w:p>
            <w:pPr>
              <w:spacing w:after="0"/>
              <w:rPr>
                <w:sz w:val="13"/>
                <w:szCs w:val="13"/>
                <w:color w:val="auto"/>
              </w:rPr>
            </w:pPr>
          </w:p>
        </w:tc>
        <w:tc>
          <w:tcPr>
            <w:tcW w:w="1020" w:type="dxa"/>
            <w:vAlign w:val="bottom"/>
            <w:tcBorders>
              <w:top w:val="single" w:sz="8" w:color="DC202E"/>
            </w:tcBorders>
            <w:vMerge w:val="restart"/>
          </w:tcPr>
          <w:p>
            <w:pPr>
              <w:jc w:val="right"/>
              <w:ind w:right="352"/>
              <w:spacing w:after="0"/>
              <w:rPr>
                <w:sz w:val="20"/>
                <w:szCs w:val="20"/>
                <w:color w:val="auto"/>
              </w:rPr>
            </w:pPr>
            <w:r>
              <w:rPr>
                <w:rFonts w:ascii="Arial" w:cs="Arial" w:eastAsia="Arial" w:hAnsi="Arial"/>
                <w:sz w:val="14"/>
                <w:szCs w:val="14"/>
                <w:b w:val="1"/>
                <w:bCs w:val="1"/>
                <w:color w:val="auto"/>
              </w:rPr>
              <w:t>SG&amp;A</w:t>
            </w:r>
          </w:p>
        </w:tc>
        <w:tc>
          <w:tcPr>
            <w:tcW w:w="100" w:type="dxa"/>
            <w:vAlign w:val="bottom"/>
            <w:tcBorders>
              <w:top w:val="single" w:sz="8" w:color="DC202E"/>
            </w:tcBorders>
            <w:vMerge w:val="restart"/>
          </w:tcPr>
          <w:p>
            <w:pPr>
              <w:spacing w:after="0"/>
              <w:rPr>
                <w:sz w:val="13"/>
                <w:szCs w:val="13"/>
                <w:color w:val="auto"/>
              </w:rPr>
            </w:pPr>
          </w:p>
        </w:tc>
        <w:tc>
          <w:tcPr>
            <w:tcW w:w="140" w:type="dxa"/>
            <w:vAlign w:val="bottom"/>
            <w:tcBorders>
              <w:top w:val="single" w:sz="8" w:color="DC202E"/>
            </w:tcBorders>
          </w:tcPr>
          <w:p>
            <w:pPr>
              <w:spacing w:after="0"/>
              <w:rPr>
                <w:sz w:val="13"/>
                <w:szCs w:val="13"/>
                <w:color w:val="auto"/>
              </w:rPr>
            </w:pPr>
          </w:p>
        </w:tc>
        <w:tc>
          <w:tcPr>
            <w:tcW w:w="1300" w:type="dxa"/>
            <w:vAlign w:val="bottom"/>
            <w:tcBorders>
              <w:top w:val="single" w:sz="8" w:color="DC202E"/>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Other (Income)</w:t>
            </w:r>
          </w:p>
        </w:tc>
        <w:tc>
          <w:tcPr>
            <w:tcW w:w="1320" w:type="dxa"/>
            <w:vAlign w:val="bottom"/>
            <w:tcBorders>
              <w:top w:val="single" w:sz="8" w:color="DC202E"/>
            </w:tcBorders>
            <w:gridSpan w:val="2"/>
          </w:tcPr>
          <w:p>
            <w:pPr>
              <w:ind w:left="40"/>
              <w:spacing w:after="0" w:line="155" w:lineRule="exact"/>
              <w:rPr>
                <w:sz w:val="20"/>
                <w:szCs w:val="20"/>
                <w:color w:val="auto"/>
              </w:rPr>
            </w:pPr>
            <w:r>
              <w:rPr>
                <w:rFonts w:ascii="Arial" w:cs="Arial" w:eastAsia="Arial" w:hAnsi="Arial"/>
                <w:sz w:val="14"/>
                <w:szCs w:val="14"/>
                <w:b w:val="1"/>
                <w:bCs w:val="1"/>
                <w:color w:val="auto"/>
              </w:rPr>
              <w:t>Interest and Other</w:t>
            </w:r>
          </w:p>
        </w:tc>
        <w:tc>
          <w:tcPr>
            <w:tcW w:w="0" w:type="dxa"/>
            <w:vAlign w:val="bottom"/>
          </w:tcPr>
          <w:p>
            <w:pPr>
              <w:spacing w:after="0"/>
              <w:rPr>
                <w:sz w:val="1"/>
                <w:szCs w:val="1"/>
                <w:color w:val="auto"/>
              </w:rPr>
            </w:pPr>
          </w:p>
        </w:tc>
      </w:tr>
      <w:tr>
        <w:trPr>
          <w:trHeight w:val="183"/>
        </w:trPr>
        <w:tc>
          <w:tcPr>
            <w:tcW w:w="4220" w:type="dxa"/>
            <w:vAlign w:val="bottom"/>
            <w:tcBorders>
              <w:bottom w:val="single" w:sz="8" w:color="DBDBDB"/>
            </w:tcBorders>
          </w:tcPr>
          <w:p>
            <w:pPr>
              <w:spacing w:after="0"/>
              <w:rPr>
                <w:sz w:val="15"/>
                <w:szCs w:val="15"/>
                <w:color w:val="auto"/>
              </w:rPr>
            </w:pPr>
          </w:p>
        </w:tc>
        <w:tc>
          <w:tcPr>
            <w:tcW w:w="240" w:type="dxa"/>
            <w:vAlign w:val="bottom"/>
            <w:tcBorders>
              <w:bottom w:val="single" w:sz="8" w:color="DC202E"/>
            </w:tcBorders>
          </w:tcPr>
          <w:p>
            <w:pPr>
              <w:spacing w:after="0"/>
              <w:rPr>
                <w:sz w:val="15"/>
                <w:szCs w:val="15"/>
                <w:color w:val="auto"/>
              </w:rPr>
            </w:pPr>
          </w:p>
        </w:tc>
        <w:tc>
          <w:tcPr>
            <w:tcW w:w="1060" w:type="dxa"/>
            <w:vAlign w:val="bottom"/>
            <w:tcBorders>
              <w:bottom w:val="single" w:sz="8" w:color="DC202E"/>
            </w:tcBorders>
            <w:vMerge w:val="continue"/>
          </w:tcPr>
          <w:p>
            <w:pPr>
              <w:spacing w:after="0"/>
              <w:rPr>
                <w:sz w:val="15"/>
                <w:szCs w:val="15"/>
                <w:color w:val="auto"/>
              </w:rPr>
            </w:pPr>
          </w:p>
        </w:tc>
        <w:tc>
          <w:tcPr>
            <w:tcW w:w="120" w:type="dxa"/>
            <w:vAlign w:val="bottom"/>
            <w:tcBorders>
              <w:bottom w:val="single" w:sz="8" w:color="DBDBDB"/>
            </w:tcBorders>
            <w:vMerge w:val="continue"/>
          </w:tcPr>
          <w:p>
            <w:pPr>
              <w:spacing w:after="0"/>
              <w:rPr>
                <w:sz w:val="15"/>
                <w:szCs w:val="15"/>
                <w:color w:val="auto"/>
              </w:rPr>
            </w:pPr>
          </w:p>
        </w:tc>
        <w:tc>
          <w:tcPr>
            <w:tcW w:w="1320" w:type="dxa"/>
            <w:vAlign w:val="bottom"/>
            <w:tcBorders>
              <w:bottom w:val="single" w:sz="8" w:color="DC202E"/>
            </w:tcBorders>
            <w:gridSpan w:val="2"/>
          </w:tcPr>
          <w:p>
            <w:pPr>
              <w:ind w:left="40"/>
              <w:spacing w:after="0"/>
              <w:rPr>
                <w:sz w:val="20"/>
                <w:szCs w:val="20"/>
                <w:color w:val="auto"/>
              </w:rPr>
            </w:pPr>
            <w:r>
              <w:rPr>
                <w:rFonts w:ascii="Arial" w:cs="Arial" w:eastAsia="Arial" w:hAnsi="Arial"/>
                <w:sz w:val="14"/>
                <w:szCs w:val="14"/>
                <w:b w:val="1"/>
                <w:bCs w:val="1"/>
                <w:color w:val="auto"/>
              </w:rPr>
              <w:t>and Services Sold</w:t>
            </w:r>
          </w:p>
        </w:tc>
        <w:tc>
          <w:tcPr>
            <w:tcW w:w="100" w:type="dxa"/>
            <w:vAlign w:val="bottom"/>
            <w:tcBorders>
              <w:bottom w:val="single" w:sz="8" w:color="DBDBDB"/>
            </w:tcBorders>
          </w:tcPr>
          <w:p>
            <w:pPr>
              <w:spacing w:after="0"/>
              <w:rPr>
                <w:sz w:val="15"/>
                <w:szCs w:val="15"/>
                <w:color w:val="auto"/>
              </w:rPr>
            </w:pPr>
          </w:p>
        </w:tc>
        <w:tc>
          <w:tcPr>
            <w:tcW w:w="300" w:type="dxa"/>
            <w:vAlign w:val="bottom"/>
            <w:tcBorders>
              <w:bottom w:val="single" w:sz="8" w:color="DC202E"/>
            </w:tcBorders>
          </w:tcPr>
          <w:p>
            <w:pPr>
              <w:spacing w:after="0"/>
              <w:rPr>
                <w:sz w:val="15"/>
                <w:szCs w:val="15"/>
                <w:color w:val="auto"/>
              </w:rPr>
            </w:pPr>
          </w:p>
        </w:tc>
        <w:tc>
          <w:tcPr>
            <w:tcW w:w="1020" w:type="dxa"/>
            <w:vAlign w:val="bottom"/>
            <w:tcBorders>
              <w:bottom w:val="single" w:sz="8" w:color="DC202E"/>
            </w:tcBorders>
            <w:vMerge w:val="continue"/>
          </w:tcPr>
          <w:p>
            <w:pPr>
              <w:spacing w:after="0"/>
              <w:rPr>
                <w:sz w:val="15"/>
                <w:szCs w:val="15"/>
                <w:color w:val="auto"/>
              </w:rPr>
            </w:pPr>
          </w:p>
        </w:tc>
        <w:tc>
          <w:tcPr>
            <w:tcW w:w="100" w:type="dxa"/>
            <w:vAlign w:val="bottom"/>
            <w:tcBorders>
              <w:bottom w:val="single" w:sz="8" w:color="DBDBDB"/>
            </w:tcBorders>
            <w:vMerge w:val="continue"/>
          </w:tcPr>
          <w:p>
            <w:pPr>
              <w:spacing w:after="0"/>
              <w:rPr>
                <w:sz w:val="15"/>
                <w:szCs w:val="15"/>
                <w:color w:val="auto"/>
              </w:rPr>
            </w:pPr>
          </w:p>
        </w:tc>
        <w:tc>
          <w:tcPr>
            <w:tcW w:w="140" w:type="dxa"/>
            <w:vAlign w:val="bottom"/>
            <w:tcBorders>
              <w:bottom w:val="single" w:sz="8" w:color="DC202E"/>
            </w:tcBorders>
          </w:tcPr>
          <w:p>
            <w:pPr>
              <w:spacing w:after="0"/>
              <w:rPr>
                <w:sz w:val="15"/>
                <w:szCs w:val="15"/>
                <w:color w:val="auto"/>
              </w:rPr>
            </w:pPr>
          </w:p>
        </w:tc>
        <w:tc>
          <w:tcPr>
            <w:tcW w:w="1180" w:type="dxa"/>
            <w:vAlign w:val="bottom"/>
            <w:tcBorders>
              <w:bottom w:val="single" w:sz="8" w:color="DC202E"/>
            </w:tcBorders>
          </w:tcPr>
          <w:p>
            <w:pPr>
              <w:jc w:val="right"/>
              <w:ind w:right="274"/>
              <w:spacing w:after="0"/>
              <w:rPr>
                <w:sz w:val="20"/>
                <w:szCs w:val="20"/>
                <w:color w:val="auto"/>
              </w:rPr>
            </w:pPr>
            <w:r>
              <w:rPr>
                <w:rFonts w:ascii="Arial" w:cs="Arial" w:eastAsia="Arial" w:hAnsi="Arial"/>
                <w:sz w:val="14"/>
                <w:szCs w:val="14"/>
                <w:b w:val="1"/>
                <w:bCs w:val="1"/>
                <w:color w:val="auto"/>
              </w:rPr>
              <w:t>Expense</w:t>
            </w:r>
          </w:p>
        </w:tc>
        <w:tc>
          <w:tcPr>
            <w:tcW w:w="120" w:type="dxa"/>
            <w:vAlign w:val="bottom"/>
            <w:tcBorders>
              <w:bottom w:val="single" w:sz="8" w:color="DBDBDB"/>
            </w:tcBorders>
          </w:tcPr>
          <w:p>
            <w:pPr>
              <w:spacing w:after="0"/>
              <w:rPr>
                <w:sz w:val="15"/>
                <w:szCs w:val="15"/>
                <w:color w:val="auto"/>
              </w:rPr>
            </w:pPr>
          </w:p>
        </w:tc>
        <w:tc>
          <w:tcPr>
            <w:tcW w:w="1320" w:type="dxa"/>
            <w:vAlign w:val="bottom"/>
            <w:tcBorders>
              <w:bottom w:val="single" w:sz="8" w:color="DC202E"/>
            </w:tcBorders>
            <w:gridSpan w:val="2"/>
          </w:tcPr>
          <w:p>
            <w:pPr>
              <w:ind w:left="40"/>
              <w:spacing w:after="0"/>
              <w:rPr>
                <w:sz w:val="20"/>
                <w:szCs w:val="20"/>
                <w:color w:val="auto"/>
              </w:rPr>
            </w:pPr>
            <w:r>
              <w:rPr>
                <w:rFonts w:ascii="Arial" w:cs="Arial" w:eastAsia="Arial" w:hAnsi="Arial"/>
                <w:sz w:val="14"/>
                <w:szCs w:val="14"/>
                <w:b w:val="1"/>
                <w:bCs w:val="1"/>
                <w:color w:val="auto"/>
              </w:rPr>
              <w:t>Financial Charges</w:t>
            </w:r>
          </w:p>
        </w:tc>
        <w:tc>
          <w:tcPr>
            <w:tcW w:w="0" w:type="dxa"/>
            <w:vAlign w:val="bottom"/>
          </w:tcPr>
          <w:p>
            <w:pPr>
              <w:spacing w:after="0"/>
              <w:rPr>
                <w:sz w:val="1"/>
                <w:szCs w:val="1"/>
                <w:color w:val="auto"/>
              </w:rPr>
            </w:pPr>
          </w:p>
        </w:tc>
      </w:tr>
      <w:tr>
        <w:trPr>
          <w:trHeight w:val="229"/>
        </w:trPr>
        <w:tc>
          <w:tcPr>
            <w:tcW w:w="4460" w:type="dxa"/>
            <w:vAlign w:val="bottom"/>
            <w:gridSpan w:val="2"/>
            <w:shd w:val="clear" w:color="auto" w:fill="DBDBDB"/>
          </w:tcPr>
          <w:p>
            <w:pPr>
              <w:ind w:left="42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23,737</w:t>
            </w: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ind w:lef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16,193</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3,524</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(546)</w:t>
            </w:r>
          </w:p>
        </w:tc>
        <w:tc>
          <w:tcPr>
            <w:tcW w:w="120" w:type="dxa"/>
            <w:vAlign w:val="bottom"/>
            <w:shd w:val="clear" w:color="auto" w:fill="DBDBDB"/>
          </w:tcPr>
          <w:p>
            <w:pPr>
              <w:spacing w:after="0"/>
              <w:rPr>
                <w:sz w:val="19"/>
                <w:szCs w:val="19"/>
                <w:color w:val="auto"/>
              </w:rPr>
            </w:pPr>
          </w:p>
        </w:tc>
        <w:tc>
          <w:tcPr>
            <w:tcW w:w="500" w:type="dxa"/>
            <w:vAlign w:val="bottom"/>
            <w:shd w:val="clear" w:color="auto" w:fill="DBDBDB"/>
          </w:tcPr>
          <w:p>
            <w:pPr>
              <w:ind w:lef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29"/>
        </w:trPr>
        <w:tc>
          <w:tcPr>
            <w:tcW w:w="4460" w:type="dxa"/>
            <w:vAlign w:val="bottom"/>
            <w:gridSpan w:val="2"/>
          </w:tcPr>
          <w:p>
            <w:pPr>
              <w:ind w:left="20"/>
              <w:spacing w:after="0"/>
              <w:rPr>
                <w:sz w:val="20"/>
                <w:szCs w:val="20"/>
                <w:color w:val="auto"/>
              </w:rPr>
            </w:pPr>
            <w:r>
              <w:rPr>
                <w:rFonts w:ascii="Arial" w:cs="Arial" w:eastAsia="Arial" w:hAnsi="Arial"/>
                <w:sz w:val="18"/>
                <w:szCs w:val="18"/>
                <w:b w:val="1"/>
                <w:bCs w:val="1"/>
                <w:color w:val="auto"/>
              </w:rPr>
              <w:t>Gain or (loss) on cash flow hedges:</w:t>
            </w: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Foreign currency exchange contracts:</w:t>
            </w:r>
          </w:p>
        </w:tc>
        <w:tc>
          <w:tcPr>
            <w:tcW w:w="10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00" w:type="dxa"/>
            <w:vAlign w:val="bottom"/>
            <w:shd w:val="clear" w:color="auto" w:fill="DBDBDB"/>
          </w:tcPr>
          <w:p>
            <w:pPr>
              <w:spacing w:after="0"/>
              <w:rPr>
                <w:sz w:val="19"/>
                <w:szCs w:val="19"/>
                <w:color w:val="auto"/>
              </w:rPr>
            </w:pPr>
          </w:p>
        </w:tc>
        <w:tc>
          <w:tcPr>
            <w:tcW w:w="82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460" w:type="dxa"/>
            <w:vAlign w:val="bottom"/>
            <w:gridSpan w:val="2"/>
          </w:tcPr>
          <w:p>
            <w:pPr>
              <w:ind w:left="480"/>
              <w:spacing w:after="0" w:line="189" w:lineRule="exact"/>
              <w:rPr>
                <w:sz w:val="20"/>
                <w:szCs w:val="20"/>
                <w:color w:val="auto"/>
              </w:rPr>
            </w:pPr>
            <w:r>
              <w:rPr>
                <w:rFonts w:ascii="Arial" w:cs="Arial" w:eastAsia="Arial" w:hAnsi="Arial"/>
                <w:sz w:val="18"/>
                <w:szCs w:val="18"/>
                <w:color w:val="auto"/>
              </w:rPr>
              <w:t>Amount reclassified from accumulated other</w:t>
            </w: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460" w:type="dxa"/>
            <w:vAlign w:val="bottom"/>
            <w:gridSpan w:val="2"/>
          </w:tcPr>
          <w:p>
            <w:pPr>
              <w:ind w:left="480"/>
              <w:spacing w:after="0"/>
              <w:rPr>
                <w:sz w:val="20"/>
                <w:szCs w:val="20"/>
                <w:color w:val="auto"/>
              </w:rPr>
            </w:pPr>
            <w:r>
              <w:rPr>
                <w:rFonts w:ascii="Arial" w:cs="Arial" w:eastAsia="Arial" w:hAnsi="Arial"/>
                <w:sz w:val="18"/>
                <w:szCs w:val="18"/>
                <w:color w:val="auto"/>
              </w:rPr>
              <w:t>comprehensive income into income</w:t>
            </w: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4460" w:type="dxa"/>
            <w:vAlign w:val="bottom"/>
            <w:gridSpan w:val="2"/>
            <w:shd w:val="clear" w:color="auto" w:fill="DBDBDB"/>
          </w:tcPr>
          <w:p>
            <w:pPr>
              <w:ind w:left="480"/>
              <w:spacing w:after="0" w:line="189" w:lineRule="exact"/>
              <w:rPr>
                <w:sz w:val="20"/>
                <w:szCs w:val="20"/>
                <w:color w:val="auto"/>
              </w:rPr>
            </w:pPr>
            <w:r>
              <w:rPr>
                <w:rFonts w:ascii="Arial" w:cs="Arial" w:eastAsia="Arial" w:hAnsi="Arial"/>
                <w:sz w:val="18"/>
                <w:szCs w:val="18"/>
                <w:color w:val="auto"/>
              </w:rPr>
              <w:t>Amount excluded from effectiveness testing</w:t>
            </w:r>
          </w:p>
        </w:tc>
        <w:tc>
          <w:tcPr>
            <w:tcW w:w="106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400" w:type="dxa"/>
            <w:vAlign w:val="bottom"/>
            <w:shd w:val="clear" w:color="auto" w:fill="DBDBDB"/>
          </w:tcPr>
          <w:p>
            <w:pPr>
              <w:spacing w:after="0"/>
              <w:rPr>
                <w:sz w:val="16"/>
                <w:szCs w:val="16"/>
                <w:color w:val="auto"/>
              </w:rPr>
            </w:pPr>
          </w:p>
        </w:tc>
        <w:tc>
          <w:tcPr>
            <w:tcW w:w="92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102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11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500" w:type="dxa"/>
            <w:vAlign w:val="bottom"/>
            <w:shd w:val="clear" w:color="auto" w:fill="DBDBDB"/>
          </w:tcPr>
          <w:p>
            <w:pPr>
              <w:spacing w:after="0"/>
              <w:rPr>
                <w:sz w:val="16"/>
                <w:szCs w:val="16"/>
                <w:color w:val="auto"/>
              </w:rPr>
            </w:pPr>
          </w:p>
        </w:tc>
        <w:tc>
          <w:tcPr>
            <w:tcW w:w="82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460" w:type="dxa"/>
            <w:vAlign w:val="bottom"/>
            <w:gridSpan w:val="2"/>
            <w:shd w:val="clear" w:color="auto" w:fill="DBDBDB"/>
          </w:tcPr>
          <w:p>
            <w:pPr>
              <w:ind w:left="480"/>
              <w:spacing w:after="0" w:line="176" w:lineRule="exact"/>
              <w:rPr>
                <w:sz w:val="20"/>
                <w:szCs w:val="20"/>
                <w:color w:val="auto"/>
              </w:rPr>
            </w:pPr>
            <w:r>
              <w:rPr>
                <w:rFonts w:ascii="Arial" w:cs="Arial" w:eastAsia="Arial" w:hAnsi="Arial"/>
                <w:sz w:val="18"/>
                <w:szCs w:val="18"/>
                <w:color w:val="auto"/>
              </w:rPr>
              <w:t>recognized in earnings using an amortization</w:t>
            </w:r>
          </w:p>
        </w:tc>
        <w:tc>
          <w:tcPr>
            <w:tcW w:w="106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92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300" w:type="dxa"/>
            <w:vAlign w:val="bottom"/>
            <w:shd w:val="clear" w:color="auto" w:fill="DBDBDB"/>
          </w:tcPr>
          <w:p>
            <w:pPr>
              <w:spacing w:after="0"/>
              <w:rPr>
                <w:sz w:val="15"/>
                <w:szCs w:val="15"/>
                <w:color w:val="auto"/>
              </w:rPr>
            </w:pPr>
          </w:p>
        </w:tc>
        <w:tc>
          <w:tcPr>
            <w:tcW w:w="102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18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500" w:type="dxa"/>
            <w:vAlign w:val="bottom"/>
            <w:shd w:val="clear" w:color="auto" w:fill="DBDBDB"/>
          </w:tcPr>
          <w:p>
            <w:pPr>
              <w:spacing w:after="0"/>
              <w:rPr>
                <w:sz w:val="15"/>
                <w:szCs w:val="15"/>
                <w:color w:val="auto"/>
              </w:rPr>
            </w:pPr>
          </w:p>
        </w:tc>
        <w:tc>
          <w:tcPr>
            <w:tcW w:w="82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460" w:type="dxa"/>
            <w:vAlign w:val="bottom"/>
            <w:gridSpan w:val="2"/>
            <w:shd w:val="clear" w:color="auto" w:fill="DBDBDB"/>
          </w:tcPr>
          <w:p>
            <w:pPr>
              <w:ind w:left="480"/>
              <w:spacing w:after="0"/>
              <w:rPr>
                <w:sz w:val="20"/>
                <w:szCs w:val="20"/>
                <w:color w:val="auto"/>
              </w:rPr>
            </w:pPr>
            <w:r>
              <w:rPr>
                <w:rFonts w:ascii="Arial" w:cs="Arial" w:eastAsia="Arial" w:hAnsi="Arial"/>
                <w:sz w:val="18"/>
                <w:szCs w:val="18"/>
                <w:color w:val="auto"/>
              </w:rPr>
              <w:t>approach</w:t>
            </w:r>
          </w:p>
        </w:tc>
        <w:tc>
          <w:tcPr>
            <w:tcW w:w="118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DBDBDB"/>
          </w:tcPr>
          <w:p>
            <w:pPr>
              <w:spacing w:after="0"/>
              <w:rPr>
                <w:sz w:val="18"/>
                <w:szCs w:val="18"/>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12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DBDBDB"/>
          </w:tcPr>
          <w:p>
            <w:pPr>
              <w:spacing w:after="0"/>
              <w:rPr>
                <w:sz w:val="18"/>
                <w:szCs w:val="18"/>
                <w:color w:val="auto"/>
              </w:rPr>
            </w:pPr>
          </w:p>
        </w:tc>
        <w:tc>
          <w:tcPr>
            <w:tcW w:w="500" w:type="dxa"/>
            <w:vAlign w:val="bottom"/>
            <w:shd w:val="clear" w:color="auto" w:fill="DBDBDB"/>
          </w:tcPr>
          <w:p>
            <w:pPr>
              <w:spacing w:after="0"/>
              <w:rPr>
                <w:sz w:val="18"/>
                <w:szCs w:val="18"/>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60" w:type="dxa"/>
            <w:vAlign w:val="bottom"/>
            <w:gridSpan w:val="2"/>
          </w:tcPr>
          <w:p>
            <w:pPr>
              <w:ind w:left="20"/>
              <w:spacing w:after="0"/>
              <w:rPr>
                <w:sz w:val="20"/>
                <w:szCs w:val="20"/>
                <w:color w:val="auto"/>
              </w:rPr>
            </w:pPr>
            <w:r>
              <w:rPr>
                <w:rFonts w:ascii="Arial" w:cs="Arial" w:eastAsia="Arial" w:hAnsi="Arial"/>
                <w:sz w:val="18"/>
                <w:szCs w:val="18"/>
                <w:b w:val="1"/>
                <w:bCs w:val="1"/>
                <w:color w:val="auto"/>
              </w:rPr>
              <w:t>Gain or (loss) on fair value hedges:</w:t>
            </w: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Interest rate swap agreements:</w:t>
            </w:r>
          </w:p>
        </w:tc>
        <w:tc>
          <w:tcPr>
            <w:tcW w:w="10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00" w:type="dxa"/>
            <w:vAlign w:val="bottom"/>
            <w:shd w:val="clear" w:color="auto" w:fill="DBDBDB"/>
          </w:tcPr>
          <w:p>
            <w:pPr>
              <w:spacing w:after="0"/>
              <w:rPr>
                <w:sz w:val="19"/>
                <w:szCs w:val="19"/>
                <w:color w:val="auto"/>
              </w:rPr>
            </w:pPr>
          </w:p>
        </w:tc>
        <w:tc>
          <w:tcPr>
            <w:tcW w:w="82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gridSpan w:val="2"/>
          </w:tcPr>
          <w:p>
            <w:pPr>
              <w:ind w:left="480"/>
              <w:spacing w:after="0"/>
              <w:rPr>
                <w:sz w:val="20"/>
                <w:szCs w:val="20"/>
                <w:color w:val="auto"/>
              </w:rPr>
            </w:pPr>
            <w:r>
              <w:rPr>
                <w:rFonts w:ascii="Arial" w:cs="Arial" w:eastAsia="Arial" w:hAnsi="Arial"/>
                <w:sz w:val="18"/>
                <w:szCs w:val="18"/>
                <w:color w:val="auto"/>
              </w:rPr>
              <w:t>Hedged items</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30"/>
        </w:trPr>
        <w:tc>
          <w:tcPr>
            <w:tcW w:w="4460" w:type="dxa"/>
            <w:vAlign w:val="bottom"/>
            <w:gridSpan w:val="2"/>
            <w:shd w:val="clear" w:color="auto" w:fill="DBDBDB"/>
          </w:tcPr>
          <w:p>
            <w:pPr>
              <w:ind w:left="480"/>
              <w:spacing w:after="0"/>
              <w:rPr>
                <w:sz w:val="20"/>
                <w:szCs w:val="20"/>
                <w:color w:val="auto"/>
              </w:rPr>
            </w:pPr>
            <w:r>
              <w:rPr>
                <w:rFonts w:ascii="Arial" w:cs="Arial" w:eastAsia="Arial" w:hAnsi="Arial"/>
                <w:sz w:val="18"/>
                <w:szCs w:val="18"/>
                <w:color w:val="auto"/>
              </w:rPr>
              <w:t>Derivatives designated as hedges</w:t>
            </w:r>
          </w:p>
        </w:tc>
        <w:tc>
          <w:tcPr>
            <w:tcW w:w="118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DBDBDB"/>
          </w:tcPr>
          <w:p>
            <w:pPr>
              <w:spacing w:after="0"/>
              <w:rPr>
                <w:sz w:val="19"/>
                <w:szCs w:val="19"/>
                <w:color w:val="auto"/>
              </w:rPr>
            </w:pPr>
          </w:p>
        </w:tc>
        <w:tc>
          <w:tcPr>
            <w:tcW w:w="102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DBDBDB"/>
          </w:tcPr>
          <w:p>
            <w:pPr>
              <w:spacing w:after="0"/>
              <w:rPr>
                <w:sz w:val="19"/>
                <w:szCs w:val="19"/>
                <w:color w:val="auto"/>
              </w:rPr>
            </w:pPr>
          </w:p>
        </w:tc>
        <w:tc>
          <w:tcPr>
            <w:tcW w:w="112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DBDBDB"/>
          </w:tcPr>
          <w:p>
            <w:pPr>
              <w:spacing w:after="0"/>
              <w:rPr>
                <w:sz w:val="19"/>
                <w:szCs w:val="19"/>
                <w:color w:val="auto"/>
              </w:rPr>
            </w:pPr>
          </w:p>
        </w:tc>
        <w:tc>
          <w:tcPr>
            <w:tcW w:w="130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29"/>
        </w:trPr>
        <w:tc>
          <w:tcPr>
            <w:tcW w:w="4460" w:type="dxa"/>
            <w:vAlign w:val="bottom"/>
            <w:gridSpan w:val="2"/>
          </w:tcPr>
          <w:p>
            <w:pPr>
              <w:ind w:left="20"/>
              <w:spacing w:after="0"/>
              <w:rPr>
                <w:sz w:val="20"/>
                <w:szCs w:val="20"/>
                <w:color w:val="auto"/>
              </w:rPr>
            </w:pPr>
            <w:r>
              <w:rPr>
                <w:rFonts w:ascii="Arial" w:cs="Arial" w:eastAsia="Arial" w:hAnsi="Arial"/>
                <w:sz w:val="18"/>
                <w:szCs w:val="18"/>
                <w:b w:val="1"/>
                <w:bCs w:val="1"/>
                <w:color w:val="auto"/>
              </w:rPr>
              <w:t>Gain or (loss) on net investment hedges:</w:t>
            </w: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Foreign Currency Exchange Contracts:</w:t>
            </w:r>
          </w:p>
        </w:tc>
        <w:tc>
          <w:tcPr>
            <w:tcW w:w="10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00" w:type="dxa"/>
            <w:vAlign w:val="bottom"/>
            <w:shd w:val="clear" w:color="auto" w:fill="DBDBDB"/>
          </w:tcPr>
          <w:p>
            <w:pPr>
              <w:spacing w:after="0"/>
              <w:rPr>
                <w:sz w:val="19"/>
                <w:szCs w:val="19"/>
                <w:color w:val="auto"/>
              </w:rPr>
            </w:pPr>
          </w:p>
        </w:tc>
        <w:tc>
          <w:tcPr>
            <w:tcW w:w="82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460" w:type="dxa"/>
            <w:vAlign w:val="bottom"/>
            <w:gridSpan w:val="2"/>
          </w:tcPr>
          <w:p>
            <w:pPr>
              <w:ind w:left="360"/>
              <w:spacing w:after="0" w:line="189" w:lineRule="exact"/>
              <w:rPr>
                <w:sz w:val="20"/>
                <w:szCs w:val="20"/>
                <w:color w:val="auto"/>
              </w:rPr>
            </w:pPr>
            <w:r>
              <w:rPr>
                <w:rFonts w:ascii="Arial" w:cs="Arial" w:eastAsia="Arial" w:hAnsi="Arial"/>
                <w:sz w:val="18"/>
                <w:szCs w:val="18"/>
                <w:color w:val="auto"/>
              </w:rPr>
              <w:t>Amount excluded from effectiveness testing</w:t>
            </w: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460" w:type="dxa"/>
            <w:vAlign w:val="bottom"/>
            <w:gridSpan w:val="2"/>
          </w:tcPr>
          <w:p>
            <w:pPr>
              <w:ind w:left="360"/>
              <w:spacing w:after="0" w:line="176" w:lineRule="exact"/>
              <w:rPr>
                <w:sz w:val="20"/>
                <w:szCs w:val="20"/>
                <w:color w:val="auto"/>
              </w:rPr>
            </w:pPr>
            <w:r>
              <w:rPr>
                <w:rFonts w:ascii="Arial" w:cs="Arial" w:eastAsia="Arial" w:hAnsi="Arial"/>
                <w:sz w:val="18"/>
                <w:szCs w:val="18"/>
                <w:color w:val="auto"/>
              </w:rPr>
              <w:t>recognized in earnings using an amortization</w:t>
            </w: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460" w:type="dxa"/>
            <w:vAlign w:val="bottom"/>
            <w:gridSpan w:val="2"/>
          </w:tcPr>
          <w:p>
            <w:pPr>
              <w:ind w:left="360"/>
              <w:spacing w:after="0"/>
              <w:rPr>
                <w:sz w:val="20"/>
                <w:szCs w:val="20"/>
                <w:color w:val="auto"/>
              </w:rPr>
            </w:pPr>
            <w:r>
              <w:rPr>
                <w:rFonts w:ascii="Arial" w:cs="Arial" w:eastAsia="Arial" w:hAnsi="Arial"/>
                <w:sz w:val="18"/>
                <w:szCs w:val="18"/>
                <w:color w:val="auto"/>
              </w:rPr>
              <w:t>approach</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76"/>
        </w:trPr>
        <w:tc>
          <w:tcPr>
            <w:tcW w:w="4460" w:type="dxa"/>
            <w:vAlign w:val="bottom"/>
            <w:gridSpan w:val="2"/>
            <w:shd w:val="clear" w:color="auto" w:fill="DBDBDB"/>
          </w:tcPr>
          <w:p>
            <w:pPr>
              <w:ind w:left="20"/>
              <w:spacing w:after="0" w:line="176" w:lineRule="exact"/>
              <w:rPr>
                <w:sz w:val="20"/>
                <w:szCs w:val="20"/>
                <w:color w:val="auto"/>
              </w:rPr>
            </w:pPr>
            <w:r>
              <w:rPr>
                <w:rFonts w:ascii="Arial" w:cs="Arial" w:eastAsia="Arial" w:hAnsi="Arial"/>
                <w:sz w:val="18"/>
                <w:szCs w:val="18"/>
                <w:b w:val="1"/>
                <w:bCs w:val="1"/>
                <w:color w:val="auto"/>
              </w:rPr>
              <w:t>Gain or (loss) on derivatives not designated as</w:t>
            </w:r>
          </w:p>
        </w:tc>
        <w:tc>
          <w:tcPr>
            <w:tcW w:w="106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92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300" w:type="dxa"/>
            <w:vAlign w:val="bottom"/>
            <w:shd w:val="clear" w:color="auto" w:fill="DBDBDB"/>
          </w:tcPr>
          <w:p>
            <w:pPr>
              <w:spacing w:after="0"/>
              <w:rPr>
                <w:sz w:val="15"/>
                <w:szCs w:val="15"/>
                <w:color w:val="auto"/>
              </w:rPr>
            </w:pPr>
          </w:p>
        </w:tc>
        <w:tc>
          <w:tcPr>
            <w:tcW w:w="102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18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500" w:type="dxa"/>
            <w:vAlign w:val="bottom"/>
            <w:shd w:val="clear" w:color="auto" w:fill="DBDBDB"/>
          </w:tcPr>
          <w:p>
            <w:pPr>
              <w:spacing w:after="0"/>
              <w:rPr>
                <w:sz w:val="15"/>
                <w:szCs w:val="15"/>
                <w:color w:val="auto"/>
              </w:rPr>
            </w:pPr>
          </w:p>
        </w:tc>
        <w:tc>
          <w:tcPr>
            <w:tcW w:w="82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46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hedging instruments:</w:t>
            </w:r>
          </w:p>
        </w:tc>
        <w:tc>
          <w:tcPr>
            <w:tcW w:w="10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00" w:type="dxa"/>
            <w:vAlign w:val="bottom"/>
            <w:shd w:val="clear" w:color="auto" w:fill="DBDBDB"/>
          </w:tcPr>
          <w:p>
            <w:pPr>
              <w:spacing w:after="0"/>
              <w:rPr>
                <w:sz w:val="19"/>
                <w:szCs w:val="19"/>
                <w:color w:val="auto"/>
              </w:rPr>
            </w:pPr>
          </w:p>
        </w:tc>
        <w:tc>
          <w:tcPr>
            <w:tcW w:w="82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gridSpan w:val="2"/>
          </w:tcPr>
          <w:p>
            <w:pPr>
              <w:ind w:left="360"/>
              <w:spacing w:after="0"/>
              <w:rPr>
                <w:sz w:val="20"/>
                <w:szCs w:val="20"/>
                <w:color w:val="auto"/>
              </w:rPr>
            </w:pPr>
            <w:r>
              <w:rPr>
                <w:rFonts w:ascii="Arial" w:cs="Arial" w:eastAsia="Arial" w:hAnsi="Arial"/>
                <w:sz w:val="18"/>
                <w:szCs w:val="18"/>
                <w:color w:val="auto"/>
              </w:rPr>
              <w:t>Foreign currency exchange contracts</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summarizes the amounts of gain or (loss) on net investment hedges recognized in Accumulated other comprehensive income (loss):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2620" w:type="dxa"/>
            <w:vAlign w:val="bottom"/>
            <w:gridSpan w:val="4"/>
          </w:tcPr>
          <w:p>
            <w:pPr>
              <w:ind w:left="480"/>
              <w:spacing w:after="0"/>
              <w:rPr>
                <w:sz w:val="20"/>
                <w:szCs w:val="20"/>
                <w:color w:val="auto"/>
              </w:rPr>
            </w:pPr>
            <w:r>
              <w:rPr>
                <w:rFonts w:ascii="Arial" w:cs="Arial" w:eastAsia="Arial" w:hAnsi="Arial"/>
                <w:sz w:val="14"/>
                <w:szCs w:val="14"/>
                <w:b w:val="1"/>
                <w:bCs w:val="1"/>
                <w:color w:val="auto"/>
              </w:rPr>
              <w:t>Nine Months Ended</w:t>
            </w:r>
          </w:p>
        </w:tc>
      </w:tr>
      <w:tr>
        <w:trPr>
          <w:trHeight w:val="183"/>
        </w:trPr>
        <w:tc>
          <w:tcPr>
            <w:tcW w:w="5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rPr>
              <w:t>September 30, 2021</w:t>
            </w:r>
          </w:p>
        </w:tc>
        <w:tc>
          <w:tcPr>
            <w:tcW w:w="340" w:type="dxa"/>
            <w:vAlign w:val="bottom"/>
          </w:tcPr>
          <w:p>
            <w:pPr>
              <w:spacing w:after="0"/>
              <w:rPr>
                <w:sz w:val="15"/>
                <w:szCs w:val="15"/>
                <w:color w:val="auto"/>
              </w:rPr>
            </w:pPr>
          </w:p>
        </w:tc>
        <w:tc>
          <w:tcPr>
            <w:tcW w:w="2620" w:type="dxa"/>
            <w:vAlign w:val="bottom"/>
            <w:gridSpan w:val="4"/>
          </w:tcPr>
          <w:p>
            <w:pPr>
              <w:ind w:left="480"/>
              <w:spacing w:after="0"/>
              <w:rPr>
                <w:sz w:val="20"/>
                <w:szCs w:val="20"/>
                <w:color w:val="auto"/>
              </w:rPr>
            </w:pPr>
            <w:r>
              <w:rPr>
                <w:rFonts w:ascii="Arial" w:cs="Arial" w:eastAsia="Arial" w:hAnsi="Arial"/>
                <w:sz w:val="14"/>
                <w:szCs w:val="14"/>
                <w:b w:val="1"/>
                <w:bCs w:val="1"/>
                <w:color w:val="auto"/>
              </w:rPr>
              <w:t>September 30, 2021</w:t>
            </w:r>
          </w:p>
        </w:tc>
      </w:tr>
      <w:tr>
        <w:trPr>
          <w:trHeight w:val="196"/>
        </w:trPr>
        <w:tc>
          <w:tcPr>
            <w:tcW w:w="5140" w:type="dxa"/>
            <w:vAlign w:val="bottom"/>
            <w:tcBorders>
              <w:bottom w:val="single" w:sz="8" w:color="DDDDDD"/>
            </w:tcBorders>
          </w:tcPr>
          <w:p>
            <w:pPr>
              <w:ind w:left="20"/>
              <w:spacing w:after="0"/>
              <w:rPr>
                <w:sz w:val="20"/>
                <w:szCs w:val="20"/>
                <w:color w:val="auto"/>
              </w:rPr>
            </w:pPr>
            <w:r>
              <w:rPr>
                <w:rFonts w:ascii="Arial" w:cs="Arial" w:eastAsia="Arial" w:hAnsi="Arial"/>
                <w:sz w:val="14"/>
                <w:szCs w:val="14"/>
                <w:b w:val="1"/>
                <w:bCs w:val="1"/>
                <w:color w:val="auto"/>
              </w:rPr>
              <w:t>Derivatives Net Investment Hedging Relationships</w:t>
            </w:r>
          </w:p>
        </w:tc>
        <w:tc>
          <w:tcPr>
            <w:tcW w:w="340" w:type="dxa"/>
            <w:vAlign w:val="bottom"/>
            <w:tcBorders>
              <w:top w:val="single" w:sz="8" w:color="DC202E"/>
              <w:bottom w:val="single" w:sz="8" w:color="DC202E"/>
            </w:tcBorders>
          </w:tcPr>
          <w:p>
            <w:pPr>
              <w:spacing w:after="0"/>
              <w:rPr>
                <w:sz w:val="17"/>
                <w:szCs w:val="17"/>
                <w:color w:val="auto"/>
              </w:rPr>
            </w:pPr>
          </w:p>
        </w:tc>
        <w:tc>
          <w:tcPr>
            <w:tcW w:w="1080" w:type="dxa"/>
            <w:vAlign w:val="bottom"/>
            <w:tcBorders>
              <w:top w:val="single" w:sz="8" w:color="DC202E"/>
              <w:bottom w:val="single" w:sz="8" w:color="DC202E"/>
            </w:tcBorders>
          </w:tcPr>
          <w:p>
            <w:pPr>
              <w:jc w:val="right"/>
              <w:ind w:right="45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DC202E"/>
              <w:bottom w:val="single" w:sz="8" w:color="DDDDDD"/>
            </w:tcBorders>
          </w:tcPr>
          <w:p>
            <w:pPr>
              <w:spacing w:after="0"/>
              <w:rPr>
                <w:sz w:val="17"/>
                <w:szCs w:val="17"/>
                <w:color w:val="auto"/>
              </w:rPr>
            </w:pPr>
          </w:p>
        </w:tc>
        <w:tc>
          <w:tcPr>
            <w:tcW w:w="340" w:type="dxa"/>
            <w:vAlign w:val="bottom"/>
            <w:tcBorders>
              <w:top w:val="single" w:sz="8" w:color="DC202E"/>
              <w:bottom w:val="single" w:sz="8" w:color="DC202E"/>
            </w:tcBorders>
          </w:tcPr>
          <w:p>
            <w:pPr>
              <w:spacing w:after="0"/>
              <w:rPr>
                <w:sz w:val="17"/>
                <w:szCs w:val="17"/>
                <w:color w:val="auto"/>
              </w:rPr>
            </w:pPr>
          </w:p>
        </w:tc>
        <w:tc>
          <w:tcPr>
            <w:tcW w:w="1080" w:type="dxa"/>
            <w:vAlign w:val="bottom"/>
            <w:tcBorders>
              <w:top w:val="single" w:sz="8" w:color="DC202E"/>
              <w:bottom w:val="single" w:sz="8" w:color="DC202E"/>
            </w:tcBorders>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DDDDDD"/>
            </w:tcBorders>
          </w:tcPr>
          <w:p>
            <w:pPr>
              <w:spacing w:after="0"/>
              <w:rPr>
                <w:sz w:val="17"/>
                <w:szCs w:val="17"/>
                <w:color w:val="auto"/>
              </w:rPr>
            </w:pPr>
          </w:p>
        </w:tc>
        <w:tc>
          <w:tcPr>
            <w:tcW w:w="340" w:type="dxa"/>
            <w:vAlign w:val="bottom"/>
            <w:tcBorders>
              <w:top w:val="single" w:sz="8" w:color="DC202E"/>
              <w:bottom w:val="single" w:sz="8" w:color="DC202E"/>
            </w:tcBorders>
          </w:tcPr>
          <w:p>
            <w:pPr>
              <w:spacing w:after="0"/>
              <w:rPr>
                <w:sz w:val="17"/>
                <w:szCs w:val="17"/>
                <w:color w:val="auto"/>
              </w:rPr>
            </w:pPr>
          </w:p>
        </w:tc>
        <w:tc>
          <w:tcPr>
            <w:tcW w:w="1100" w:type="dxa"/>
            <w:vAlign w:val="bottom"/>
            <w:tcBorders>
              <w:top w:val="single" w:sz="8" w:color="DC202E"/>
              <w:bottom w:val="single" w:sz="8" w:color="DC202E"/>
            </w:tcBorders>
          </w:tcPr>
          <w:p>
            <w:pPr>
              <w:jc w:val="right"/>
              <w:ind w:right="478"/>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DC202E"/>
              <w:bottom w:val="single" w:sz="8" w:color="DDDDDD"/>
            </w:tcBorders>
          </w:tcPr>
          <w:p>
            <w:pPr>
              <w:spacing w:after="0"/>
              <w:rPr>
                <w:sz w:val="17"/>
                <w:szCs w:val="17"/>
                <w:color w:val="auto"/>
              </w:rPr>
            </w:pPr>
          </w:p>
        </w:tc>
        <w:tc>
          <w:tcPr>
            <w:tcW w:w="340" w:type="dxa"/>
            <w:vAlign w:val="bottom"/>
            <w:tcBorders>
              <w:top w:val="single" w:sz="8" w:color="DC202E"/>
              <w:bottom w:val="single" w:sz="8" w:color="DC202E"/>
            </w:tcBorders>
          </w:tcPr>
          <w:p>
            <w:pPr>
              <w:spacing w:after="0"/>
              <w:rPr>
                <w:sz w:val="17"/>
                <w:szCs w:val="17"/>
                <w:color w:val="auto"/>
              </w:rPr>
            </w:pPr>
          </w:p>
        </w:tc>
        <w:tc>
          <w:tcPr>
            <w:tcW w:w="1100" w:type="dxa"/>
            <w:vAlign w:val="bottom"/>
            <w:tcBorders>
              <w:top w:val="single" w:sz="8" w:color="DC202E"/>
              <w:bottom w:val="single" w:sz="8" w:color="DC202E"/>
            </w:tcBorders>
          </w:tcPr>
          <w:p>
            <w:pPr>
              <w:jc w:val="right"/>
              <w:ind w:right="474"/>
              <w:spacing w:after="0"/>
              <w:rPr>
                <w:sz w:val="20"/>
                <w:szCs w:val="20"/>
                <w:color w:val="auto"/>
              </w:rPr>
            </w:pPr>
            <w:r>
              <w:rPr>
                <w:rFonts w:ascii="Arial" w:cs="Arial" w:eastAsia="Arial" w:hAnsi="Arial"/>
                <w:sz w:val="14"/>
                <w:szCs w:val="14"/>
                <w:b w:val="1"/>
                <w:bCs w:val="1"/>
                <w:color w:val="auto"/>
              </w:rPr>
              <w:t>2020</w:t>
            </w:r>
          </w:p>
        </w:tc>
      </w:tr>
      <w:tr>
        <w:trPr>
          <w:trHeight w:val="230"/>
        </w:trPr>
        <w:tc>
          <w:tcPr>
            <w:tcW w:w="5140" w:type="dxa"/>
            <w:vAlign w:val="bottom"/>
            <w:shd w:val="clear" w:color="auto" w:fill="DDDDDD"/>
          </w:tcPr>
          <w:p>
            <w:pPr>
              <w:ind w:left="20"/>
              <w:spacing w:after="0"/>
              <w:rPr>
                <w:sz w:val="20"/>
                <w:szCs w:val="20"/>
                <w:color w:val="auto"/>
              </w:rPr>
            </w:pPr>
            <w:r>
              <w:rPr>
                <w:rFonts w:ascii="Arial" w:cs="Arial" w:eastAsia="Arial" w:hAnsi="Arial"/>
                <w:sz w:val="18"/>
                <w:szCs w:val="18"/>
                <w:color w:val="auto"/>
              </w:rPr>
              <w:t>Euro-denominated long-term debt</w:t>
            </w:r>
          </w:p>
        </w:tc>
        <w:tc>
          <w:tcPr>
            <w:tcW w:w="3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DDDDDD"/>
          </w:tcPr>
          <w:p>
            <w:pPr>
              <w:spacing w:after="0"/>
              <w:rPr>
                <w:sz w:val="19"/>
                <w:szCs w:val="19"/>
                <w:color w:val="auto"/>
              </w:rPr>
            </w:pPr>
          </w:p>
        </w:tc>
        <w:tc>
          <w:tcPr>
            <w:tcW w:w="3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(126)</w:t>
            </w:r>
          </w:p>
        </w:tc>
        <w:tc>
          <w:tcPr>
            <w:tcW w:w="180" w:type="dxa"/>
            <w:vAlign w:val="bottom"/>
            <w:shd w:val="clear" w:color="auto" w:fill="DDDDDD"/>
          </w:tcPr>
          <w:p>
            <w:pPr>
              <w:spacing w:after="0"/>
              <w:rPr>
                <w:sz w:val="19"/>
                <w:szCs w:val="19"/>
                <w:color w:val="auto"/>
              </w:rPr>
            </w:pPr>
          </w:p>
        </w:tc>
        <w:tc>
          <w:tcPr>
            <w:tcW w:w="3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202</w:t>
            </w:r>
          </w:p>
        </w:tc>
        <w:tc>
          <w:tcPr>
            <w:tcW w:w="80" w:type="dxa"/>
            <w:vAlign w:val="bottom"/>
            <w:shd w:val="clear" w:color="auto" w:fill="DDDDDD"/>
          </w:tcPr>
          <w:p>
            <w:pPr>
              <w:spacing w:after="0"/>
              <w:rPr>
                <w:sz w:val="19"/>
                <w:szCs w:val="19"/>
                <w:color w:val="auto"/>
              </w:rPr>
            </w:pPr>
          </w:p>
        </w:tc>
        <w:tc>
          <w:tcPr>
            <w:tcW w:w="3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DDDDD"/>
          </w:tcPr>
          <w:p>
            <w:pPr>
              <w:jc w:val="center"/>
              <w:ind w:left="654"/>
              <w:spacing w:after="0"/>
              <w:rPr>
                <w:sz w:val="20"/>
                <w:szCs w:val="20"/>
                <w:color w:val="auto"/>
              </w:rPr>
            </w:pPr>
            <w:r>
              <w:rPr>
                <w:rFonts w:ascii="Arial" w:cs="Arial" w:eastAsia="Arial" w:hAnsi="Arial"/>
                <w:sz w:val="18"/>
                <w:szCs w:val="18"/>
                <w:color w:val="auto"/>
                <w:w w:val="99"/>
              </w:rPr>
              <w:t>(64)</w:t>
            </w: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color w:val="auto"/>
              </w:rPr>
              <w:t>Euro-denominated commercial paper</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center"/>
              <w:ind w:left="654"/>
              <w:spacing w:after="0"/>
              <w:rPr>
                <w:sz w:val="20"/>
                <w:szCs w:val="20"/>
                <w:color w:val="auto"/>
              </w:rPr>
            </w:pPr>
            <w:r>
              <w:rPr>
                <w:rFonts w:ascii="Arial" w:cs="Arial" w:eastAsia="Arial" w:hAnsi="Arial"/>
                <w:sz w:val="18"/>
                <w:szCs w:val="18"/>
                <w:color w:val="auto"/>
                <w:w w:val="99"/>
              </w:rPr>
              <w:t>30</w:t>
            </w:r>
          </w:p>
        </w:tc>
      </w:tr>
      <w:tr>
        <w:trPr>
          <w:trHeight w:val="230"/>
        </w:trPr>
        <w:tc>
          <w:tcPr>
            <w:tcW w:w="5140" w:type="dxa"/>
            <w:vAlign w:val="bottom"/>
            <w:shd w:val="clear" w:color="auto" w:fill="DDDDDD"/>
          </w:tcPr>
          <w:p>
            <w:pPr>
              <w:ind w:left="20"/>
              <w:spacing w:after="0"/>
              <w:rPr>
                <w:sz w:val="20"/>
                <w:szCs w:val="20"/>
                <w:color w:val="auto"/>
              </w:rPr>
            </w:pPr>
            <w:r>
              <w:rPr>
                <w:rFonts w:ascii="Arial" w:cs="Arial" w:eastAsia="Arial" w:hAnsi="Arial"/>
                <w:sz w:val="18"/>
                <w:szCs w:val="18"/>
                <w:color w:val="auto"/>
              </w:rPr>
              <w:t>Cross currency swap</w:t>
            </w:r>
          </w:p>
        </w:tc>
        <w:tc>
          <w:tcPr>
            <w:tcW w:w="340" w:type="dxa"/>
            <w:vAlign w:val="bottom"/>
            <w:shd w:val="clear" w:color="auto" w:fill="DDDDDD"/>
          </w:tcPr>
          <w:p>
            <w:pPr>
              <w:spacing w:after="0"/>
              <w:rPr>
                <w:sz w:val="19"/>
                <w:szCs w:val="19"/>
                <w:color w:val="auto"/>
              </w:rPr>
            </w:pPr>
          </w:p>
        </w:tc>
        <w:tc>
          <w:tcPr>
            <w:tcW w:w="10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0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(42)</w:t>
            </w:r>
          </w:p>
        </w:tc>
        <w:tc>
          <w:tcPr>
            <w:tcW w:w="18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53</w:t>
            </w:r>
          </w:p>
        </w:tc>
        <w:tc>
          <w:tcPr>
            <w:tcW w:w="8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center"/>
              <w:ind w:left="654"/>
              <w:spacing w:after="0"/>
              <w:rPr>
                <w:sz w:val="20"/>
                <w:szCs w:val="20"/>
                <w:color w:val="auto"/>
              </w:rPr>
            </w:pPr>
            <w:r>
              <w:rPr>
                <w:rFonts w:ascii="Arial" w:cs="Arial" w:eastAsia="Arial" w:hAnsi="Arial"/>
                <w:sz w:val="18"/>
                <w:szCs w:val="18"/>
                <w:color w:val="auto"/>
                <w:w w:val="99"/>
              </w:rPr>
              <w:t>(61)</w:t>
            </w: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color w:val="auto"/>
              </w:rPr>
              <w:t>Foreign currency exchange contracts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center"/>
              <w:ind w:left="654"/>
              <w:spacing w:after="0"/>
              <w:rPr>
                <w:sz w:val="20"/>
                <w:szCs w:val="20"/>
                <w:color w:val="auto"/>
              </w:rPr>
            </w:pPr>
            <w:r>
              <w:rPr>
                <w:rFonts w:ascii="Arial" w:cs="Arial" w:eastAsia="Arial" w:hAnsi="Arial"/>
                <w:sz w:val="18"/>
                <w:szCs w:val="18"/>
                <w:color w:val="auto"/>
                <w:w w:val="99"/>
              </w:rPr>
              <w:t>(46)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20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9"/>
          <w:szCs w:val="29"/>
          <w:b w:val="1"/>
          <w:bCs w:val="1"/>
          <w:color w:val="DC202E"/>
        </w:rPr>
        <w:t>NOTE 12. FAIR VALUE MEASUREMENTS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accounting guidance for fair value measurements and disclosures establishes a three-level fair value hierarchy:</w:t>
      </w:r>
    </w:p>
    <w:p>
      <w:pPr>
        <w:spacing w:after="0" w:line="11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 Inputs are based on quoted prices in active markets for identical assets and liabilities.</w:t>
      </w:r>
    </w:p>
    <w:p>
      <w:pPr>
        <w:spacing w:after="0" w:line="117" w:lineRule="exact"/>
        <w:rPr>
          <w:rFonts w:ascii="Arial" w:cs="Arial" w:eastAsia="Arial" w:hAnsi="Arial"/>
          <w:sz w:val="18"/>
          <w:szCs w:val="18"/>
          <w:color w:val="auto"/>
        </w:rPr>
      </w:pPr>
    </w:p>
    <w:p>
      <w:pPr>
        <w:ind w:left="660" w:right="74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2 - Inputs are based on observable inputs other than quoted prices in active markets for identical or similar assets and liabilities.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3 - One or more inputs are unobservable and significant.</w:t>
      </w:r>
    </w:p>
    <w:p>
      <w:pPr>
        <w:spacing w:after="0" w:line="117"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Financial and nonfinancial assets and liabilities are classified in their entirety based on the lowest level of input that is significant to the fair value measurement.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Company’s financial assets and liabilities accounted for at fair value on a recurring basis: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2021</w:t>
            </w:r>
          </w:p>
        </w:tc>
        <w:tc>
          <w:tcPr>
            <w:tcW w:w="180" w:type="dxa"/>
            <w:vAlign w:val="bottom"/>
          </w:tcPr>
          <w:p>
            <w:pPr>
              <w:spacing w:after="0"/>
              <w:rPr>
                <w:sz w:val="17"/>
                <w:szCs w:val="17"/>
                <w:color w:val="auto"/>
              </w:rPr>
            </w:pPr>
          </w:p>
        </w:tc>
        <w:tc>
          <w:tcPr>
            <w:tcW w:w="1600" w:type="dxa"/>
            <w:vAlign w:val="bottom"/>
          </w:tcPr>
          <w:p>
            <w:pPr>
              <w:jc w:val="right"/>
              <w:ind w:right="152"/>
              <w:spacing w:after="0"/>
              <w:rPr>
                <w:sz w:val="20"/>
                <w:szCs w:val="20"/>
                <w:color w:val="auto"/>
              </w:rPr>
            </w:pPr>
            <w:r>
              <w:rPr>
                <w:rFonts w:ascii="Arial" w:cs="Arial" w:eastAsia="Arial" w:hAnsi="Arial"/>
                <w:sz w:val="14"/>
                <w:szCs w:val="14"/>
                <w:b w:val="1"/>
                <w:bCs w:val="1"/>
                <w:color w:val="auto"/>
              </w:rPr>
              <w:t>December 31, 2020</w:t>
            </w:r>
          </w:p>
        </w:tc>
      </w:tr>
      <w:tr>
        <w:trPr>
          <w:trHeight w:val="229"/>
        </w:trPr>
        <w:tc>
          <w:tcPr>
            <w:tcW w:w="75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DC202E"/>
            </w:tcBorders>
            <w:shd w:val="clear" w:color="auto" w:fill="DBDBDB"/>
          </w:tcPr>
          <w:p>
            <w:pPr>
              <w:spacing w:after="0"/>
              <w:rPr>
                <w:sz w:val="19"/>
                <w:szCs w:val="19"/>
                <w:color w:val="auto"/>
              </w:rPr>
            </w:pPr>
          </w:p>
        </w:tc>
        <w:tc>
          <w:tcPr>
            <w:tcW w:w="1600" w:type="dxa"/>
            <w:vAlign w:val="bottom"/>
            <w:tcBorders>
              <w:top w:val="single" w:sz="8" w:color="DC202E"/>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DC202E"/>
            </w:tcBorders>
            <w:shd w:val="clear" w:color="auto" w:fill="DBDBDB"/>
          </w:tcPr>
          <w:p>
            <w:pPr>
              <w:spacing w:after="0"/>
              <w:rPr>
                <w:sz w:val="19"/>
                <w:szCs w:val="19"/>
                <w:color w:val="auto"/>
              </w:rPr>
            </w:pPr>
          </w:p>
        </w:tc>
        <w:tc>
          <w:tcPr>
            <w:tcW w:w="1600" w:type="dxa"/>
            <w:vAlign w:val="bottom"/>
            <w:tcBorders>
              <w:top w:val="single" w:sz="8" w:color="DC202E"/>
            </w:tcBorders>
            <w:shd w:val="clear" w:color="auto" w:fill="DBDBDB"/>
          </w:tcPr>
          <w:p>
            <w:pPr>
              <w:spacing w:after="0"/>
              <w:rPr>
                <w:sz w:val="19"/>
                <w:szCs w:val="19"/>
                <w:color w:val="auto"/>
              </w:rPr>
            </w:pP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Foreign currency exchange contracts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202</w:t>
            </w:r>
          </w:p>
        </w:tc>
      </w:tr>
      <w:tr>
        <w:trPr>
          <w:trHeight w:val="229"/>
        </w:trPr>
        <w:tc>
          <w:tcPr>
            <w:tcW w:w="7580" w:type="dxa"/>
            <w:vAlign w:val="bottom"/>
            <w:shd w:val="clear" w:color="auto" w:fill="DBDBDB"/>
          </w:tcPr>
          <w:p>
            <w:pPr>
              <w:ind w:left="20"/>
              <w:spacing w:after="0"/>
              <w:rPr>
                <w:sz w:val="20"/>
                <w:szCs w:val="20"/>
                <w:color w:val="auto"/>
              </w:rPr>
            </w:pPr>
            <w:r>
              <w:rPr>
                <w:rFonts w:ascii="Arial" w:cs="Arial" w:eastAsia="Arial" w:hAnsi="Arial"/>
                <w:sz w:val="18"/>
                <w:szCs w:val="18"/>
                <w:color w:val="auto"/>
              </w:rPr>
              <w:t>Available for sale investments</w:t>
            </w:r>
          </w:p>
        </w:tc>
        <w:tc>
          <w:tcPr>
            <w:tcW w:w="160" w:type="dxa"/>
            <w:vAlign w:val="bottom"/>
            <w:shd w:val="clear" w:color="auto" w:fill="DBDBDB"/>
          </w:tcPr>
          <w:p>
            <w:pPr>
              <w:spacing w:after="0"/>
              <w:rPr>
                <w:sz w:val="19"/>
                <w:szCs w:val="19"/>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994</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1,118</w:t>
            </w: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Interest rate swap agreements</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194</w:t>
            </w:r>
          </w:p>
        </w:tc>
      </w:tr>
      <w:tr>
        <w:trPr>
          <w:trHeight w:val="230"/>
        </w:trPr>
        <w:tc>
          <w:tcPr>
            <w:tcW w:w="75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Cross currency swap agreements</w:t>
            </w:r>
          </w:p>
        </w:tc>
        <w:tc>
          <w:tcPr>
            <w:tcW w:w="160" w:type="dxa"/>
            <w:vAlign w:val="bottom"/>
            <w:shd w:val="clear" w:color="auto" w:fill="DBDBDB"/>
          </w:tcPr>
          <w:p>
            <w:pPr>
              <w:spacing w:after="0"/>
              <w:rPr>
                <w:sz w:val="19"/>
                <w:szCs w:val="19"/>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Investments in equity securities</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758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Liabilities:</w:t>
            </w:r>
          </w:p>
        </w:tc>
        <w:tc>
          <w:tcPr>
            <w:tcW w:w="160" w:type="dxa"/>
            <w:vAlign w:val="bottom"/>
            <w:shd w:val="clear" w:color="auto" w:fill="DBDBDB"/>
          </w:tcPr>
          <w:p>
            <w:pPr>
              <w:spacing w:after="0"/>
              <w:rPr>
                <w:sz w:val="19"/>
                <w:szCs w:val="19"/>
                <w:color w:val="auto"/>
              </w:rPr>
            </w:pPr>
          </w:p>
        </w:tc>
        <w:tc>
          <w:tcPr>
            <w:tcW w:w="16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600" w:type="dxa"/>
            <w:vAlign w:val="bottom"/>
            <w:shd w:val="clear" w:color="auto" w:fill="DBDBDB"/>
          </w:tcPr>
          <w:p>
            <w:pPr>
              <w:spacing w:after="0"/>
              <w:rPr>
                <w:sz w:val="19"/>
                <w:szCs w:val="19"/>
                <w:color w:val="auto"/>
              </w:rPr>
            </w:pP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Foreign currency exchange contracts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30"/>
        </w:trPr>
        <w:tc>
          <w:tcPr>
            <w:tcW w:w="75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Cross currency swap agreements</w:t>
            </w:r>
          </w:p>
        </w:tc>
        <w:tc>
          <w:tcPr>
            <w:tcW w:w="160" w:type="dxa"/>
            <w:vAlign w:val="bottom"/>
            <w:shd w:val="clear" w:color="auto" w:fill="DBDBDB"/>
          </w:tcPr>
          <w:p>
            <w:pPr>
              <w:spacing w:after="0"/>
              <w:rPr>
                <w:sz w:val="19"/>
                <w:szCs w:val="19"/>
                <w:color w:val="auto"/>
              </w:rPr>
            </w:pPr>
          </w:p>
        </w:tc>
        <w:tc>
          <w:tcPr>
            <w:tcW w:w="172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w:t>
            </w:r>
          </w:p>
        </w:tc>
      </w:tr>
    </w:tbl>
    <w:p>
      <w:pPr>
        <w:spacing w:after="0" w:line="3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foreign currency exchange contracts, interest rate swap agreements, and cross currency swap agreements are valued using broker quotations or market transactions in either the listed or over-the-counter markets. As such, these derivative instruments are classified within level 2. The Company also holds investments in commercial paper, certificates of deposits, and time deposits that are designated as available for sale, as well as investments in equity securities, which are valued using published prices based off observable market data. As such, these investments are classified within level 2.</w:t>
      </w:r>
    </w:p>
    <w:p>
      <w:pPr>
        <w:spacing w:after="0" w:line="9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holds certain available for sale investments in U.S. government and corporate debt securities, as well as investments in equity securities, which are valued utilizing published prices based on quoted market pricing, which are classified within level 1.</w:t>
      </w:r>
    </w:p>
    <w:p>
      <w:pPr>
        <w:spacing w:after="0" w:line="9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carrying value of cash and cash equivalents, trade accounts and notes receivables, payables, commercial paper, and short-term borrowings approximates fair value.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Company’s financial assets and liabilities that were not carried at fair value:</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440" w:type="dxa"/>
            <w:vAlign w:val="bottom"/>
          </w:tcPr>
          <w:p>
            <w:pPr>
              <w:spacing w:after="0"/>
              <w:rPr>
                <w:sz w:val="17"/>
                <w:szCs w:val="17"/>
                <w:color w:val="auto"/>
              </w:rPr>
            </w:pPr>
          </w:p>
        </w:tc>
        <w:tc>
          <w:tcPr>
            <w:tcW w:w="240" w:type="dxa"/>
            <w:vAlign w:val="bottom"/>
            <w:tcBorders>
              <w:bottom w:val="single" w:sz="8" w:color="DC202E"/>
            </w:tcBorders>
          </w:tcPr>
          <w:p>
            <w:pPr>
              <w:spacing w:after="0"/>
              <w:rPr>
                <w:sz w:val="17"/>
                <w:szCs w:val="17"/>
                <w:color w:val="auto"/>
              </w:rPr>
            </w:pPr>
          </w:p>
        </w:tc>
        <w:tc>
          <w:tcPr>
            <w:tcW w:w="2580" w:type="dxa"/>
            <w:vAlign w:val="bottom"/>
            <w:tcBorders>
              <w:bottom w:val="single" w:sz="8" w:color="DC202E"/>
            </w:tcBorders>
            <w:gridSpan w:val="4"/>
          </w:tcPr>
          <w:p>
            <w:pPr>
              <w:jc w:val="right"/>
              <w:ind w:right="656"/>
              <w:spacing w:after="0"/>
              <w:rPr>
                <w:sz w:val="20"/>
                <w:szCs w:val="20"/>
                <w:color w:val="auto"/>
              </w:rPr>
            </w:pPr>
            <w:r>
              <w:rPr>
                <w:rFonts w:ascii="Arial" w:cs="Arial" w:eastAsia="Arial" w:hAnsi="Arial"/>
                <w:sz w:val="14"/>
                <w:szCs w:val="14"/>
                <w:b w:val="1"/>
                <w:bCs w:val="1"/>
                <w:color w:val="auto"/>
              </w:rPr>
              <w:t>September 30, 2021</w:t>
            </w:r>
          </w:p>
        </w:tc>
        <w:tc>
          <w:tcPr>
            <w:tcW w:w="120" w:type="dxa"/>
            <w:vAlign w:val="bottom"/>
          </w:tcPr>
          <w:p>
            <w:pPr>
              <w:spacing w:after="0"/>
              <w:rPr>
                <w:sz w:val="17"/>
                <w:szCs w:val="17"/>
                <w:color w:val="auto"/>
              </w:rPr>
            </w:pPr>
          </w:p>
        </w:tc>
        <w:tc>
          <w:tcPr>
            <w:tcW w:w="260" w:type="dxa"/>
            <w:vAlign w:val="bottom"/>
            <w:tcBorders>
              <w:bottom w:val="single" w:sz="8" w:color="DC202E"/>
            </w:tcBorders>
          </w:tcPr>
          <w:p>
            <w:pPr>
              <w:spacing w:after="0"/>
              <w:rPr>
                <w:sz w:val="17"/>
                <w:szCs w:val="17"/>
                <w:color w:val="auto"/>
              </w:rPr>
            </w:pPr>
          </w:p>
        </w:tc>
        <w:tc>
          <w:tcPr>
            <w:tcW w:w="2600" w:type="dxa"/>
            <w:vAlign w:val="bottom"/>
            <w:tcBorders>
              <w:bottom w:val="single" w:sz="8" w:color="DC202E"/>
            </w:tcBorders>
            <w:gridSpan w:val="4"/>
          </w:tcPr>
          <w:p>
            <w:pPr>
              <w:jc w:val="right"/>
              <w:ind w:right="696"/>
              <w:spacing w:after="0"/>
              <w:rPr>
                <w:sz w:val="20"/>
                <w:szCs w:val="20"/>
                <w:color w:val="auto"/>
              </w:rPr>
            </w:pPr>
            <w:r>
              <w:rPr>
                <w:rFonts w:ascii="Arial" w:cs="Arial" w:eastAsia="Arial" w:hAnsi="Arial"/>
                <w:sz w:val="14"/>
                <w:szCs w:val="14"/>
                <w:b w:val="1"/>
                <w:bCs w:val="1"/>
                <w:color w:val="auto"/>
              </w:rPr>
              <w:t>December 31, 2020</w:t>
            </w:r>
          </w:p>
        </w:tc>
      </w:tr>
      <w:tr>
        <w:trPr>
          <w:trHeight w:val="149"/>
        </w:trPr>
        <w:tc>
          <w:tcPr>
            <w:tcW w:w="5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Carrying</w:t>
            </w:r>
          </w:p>
        </w:tc>
        <w:tc>
          <w:tcPr>
            <w:tcW w:w="320" w:type="dxa"/>
            <w:vAlign w:val="bottom"/>
          </w:tcPr>
          <w:p>
            <w:pPr>
              <w:spacing w:after="0"/>
              <w:rPr>
                <w:sz w:val="12"/>
                <w:szCs w:val="12"/>
                <w:color w:val="auto"/>
              </w:rPr>
            </w:pPr>
          </w:p>
        </w:tc>
        <w:tc>
          <w:tcPr>
            <w:tcW w:w="11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rPr>
              <w:t>Fair</w:t>
            </w:r>
          </w:p>
        </w:tc>
        <w:tc>
          <w:tcPr>
            <w:tcW w:w="26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rPr>
              <w:t>Carrying</w:t>
            </w:r>
          </w:p>
        </w:tc>
        <w:tc>
          <w:tcPr>
            <w:tcW w:w="320" w:type="dxa"/>
            <w:vAlign w:val="bottom"/>
          </w:tcPr>
          <w:p>
            <w:pPr>
              <w:spacing w:after="0"/>
              <w:rPr>
                <w:sz w:val="12"/>
                <w:szCs w:val="12"/>
                <w:color w:val="auto"/>
              </w:rPr>
            </w:pPr>
          </w:p>
        </w:tc>
        <w:tc>
          <w:tcPr>
            <w:tcW w:w="1060" w:type="dxa"/>
            <w:vAlign w:val="bottom"/>
          </w:tcPr>
          <w:p>
            <w:pPr>
              <w:jc w:val="right"/>
              <w:ind w:right="476"/>
              <w:spacing w:after="0" w:line="149" w:lineRule="exact"/>
              <w:rPr>
                <w:sz w:val="20"/>
                <w:szCs w:val="20"/>
                <w:color w:val="auto"/>
              </w:rPr>
            </w:pPr>
            <w:r>
              <w:rPr>
                <w:rFonts w:ascii="Arial" w:cs="Arial" w:eastAsia="Arial" w:hAnsi="Arial"/>
                <w:sz w:val="14"/>
                <w:szCs w:val="14"/>
                <w:b w:val="1"/>
                <w:bCs w:val="1"/>
                <w:color w:val="auto"/>
              </w:rPr>
              <w:t>Fair</w:t>
            </w:r>
          </w:p>
        </w:tc>
      </w:tr>
      <w:tr>
        <w:trPr>
          <w:trHeight w:val="183"/>
        </w:trPr>
        <w:tc>
          <w:tcPr>
            <w:tcW w:w="5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Value</w:t>
            </w:r>
          </w:p>
        </w:tc>
        <w:tc>
          <w:tcPr>
            <w:tcW w:w="320" w:type="dxa"/>
            <w:vAlign w:val="bottom"/>
          </w:tcPr>
          <w:p>
            <w:pPr>
              <w:spacing w:after="0"/>
              <w:rPr>
                <w:sz w:val="15"/>
                <w:szCs w:val="15"/>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Value</w:t>
            </w:r>
          </w:p>
        </w:tc>
        <w:tc>
          <w:tcPr>
            <w:tcW w:w="260" w:type="dxa"/>
            <w:vAlign w:val="bottom"/>
          </w:tcPr>
          <w:p>
            <w:pPr>
              <w:spacing w:after="0"/>
              <w:rPr>
                <w:sz w:val="15"/>
                <w:szCs w:val="15"/>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Value</w:t>
            </w:r>
          </w:p>
        </w:tc>
        <w:tc>
          <w:tcPr>
            <w:tcW w:w="320" w:type="dxa"/>
            <w:vAlign w:val="bottom"/>
          </w:tcPr>
          <w:p>
            <w:pPr>
              <w:spacing w:after="0"/>
              <w:rPr>
                <w:sz w:val="15"/>
                <w:szCs w:val="15"/>
                <w:color w:val="auto"/>
              </w:rPr>
            </w:pPr>
          </w:p>
        </w:tc>
        <w:tc>
          <w:tcPr>
            <w:tcW w:w="1060" w:type="dxa"/>
            <w:vAlign w:val="bottom"/>
          </w:tcPr>
          <w:p>
            <w:pPr>
              <w:jc w:val="right"/>
              <w:ind w:right="416"/>
              <w:spacing w:after="0"/>
              <w:rPr>
                <w:sz w:val="20"/>
                <w:szCs w:val="20"/>
                <w:color w:val="auto"/>
              </w:rPr>
            </w:pPr>
            <w:r>
              <w:rPr>
                <w:rFonts w:ascii="Arial" w:cs="Arial" w:eastAsia="Arial" w:hAnsi="Arial"/>
                <w:sz w:val="14"/>
                <w:szCs w:val="14"/>
                <w:b w:val="1"/>
                <w:bCs w:val="1"/>
                <w:color w:val="auto"/>
              </w:rPr>
              <w:t>Value</w:t>
            </w:r>
          </w:p>
        </w:tc>
      </w:tr>
      <w:tr>
        <w:trPr>
          <w:trHeight w:val="229"/>
        </w:trPr>
        <w:tc>
          <w:tcPr>
            <w:tcW w:w="54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DC202E"/>
            </w:tcBorders>
            <w:shd w:val="clear" w:color="auto" w:fill="DBDBDB"/>
          </w:tcPr>
          <w:p>
            <w:pPr>
              <w:spacing w:after="0"/>
              <w:rPr>
                <w:sz w:val="19"/>
                <w:szCs w:val="19"/>
                <w:color w:val="auto"/>
              </w:rPr>
            </w:pPr>
          </w:p>
        </w:tc>
        <w:tc>
          <w:tcPr>
            <w:tcW w:w="1120" w:type="dxa"/>
            <w:vAlign w:val="bottom"/>
            <w:tcBorders>
              <w:top w:val="single" w:sz="8" w:color="DC202E"/>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320" w:type="dxa"/>
            <w:vAlign w:val="bottom"/>
            <w:tcBorders>
              <w:top w:val="single" w:sz="8" w:color="DC202E"/>
            </w:tcBorders>
            <w:shd w:val="clear" w:color="auto" w:fill="DBDBDB"/>
          </w:tcPr>
          <w:p>
            <w:pPr>
              <w:spacing w:after="0"/>
              <w:rPr>
                <w:sz w:val="19"/>
                <w:szCs w:val="19"/>
                <w:color w:val="auto"/>
              </w:rPr>
            </w:pPr>
          </w:p>
        </w:tc>
        <w:tc>
          <w:tcPr>
            <w:tcW w:w="1040" w:type="dxa"/>
            <w:vAlign w:val="bottom"/>
            <w:tcBorders>
              <w:top w:val="single" w:sz="8" w:color="DC202E"/>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DC202E"/>
            </w:tcBorders>
            <w:shd w:val="clear" w:color="auto" w:fill="DBDBDB"/>
          </w:tcPr>
          <w:p>
            <w:pPr>
              <w:spacing w:after="0"/>
              <w:rPr>
                <w:sz w:val="19"/>
                <w:szCs w:val="19"/>
                <w:color w:val="auto"/>
              </w:rPr>
            </w:pPr>
          </w:p>
        </w:tc>
        <w:tc>
          <w:tcPr>
            <w:tcW w:w="1120" w:type="dxa"/>
            <w:vAlign w:val="bottom"/>
            <w:tcBorders>
              <w:top w:val="single" w:sz="8" w:color="DC202E"/>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320" w:type="dxa"/>
            <w:vAlign w:val="bottom"/>
            <w:tcBorders>
              <w:top w:val="single" w:sz="8" w:color="DC202E"/>
            </w:tcBorders>
            <w:shd w:val="clear" w:color="auto" w:fill="DBDBDB"/>
          </w:tcPr>
          <w:p>
            <w:pPr>
              <w:spacing w:after="0"/>
              <w:rPr>
                <w:sz w:val="19"/>
                <w:szCs w:val="19"/>
                <w:color w:val="auto"/>
              </w:rPr>
            </w:pPr>
          </w:p>
        </w:tc>
        <w:tc>
          <w:tcPr>
            <w:tcW w:w="1060" w:type="dxa"/>
            <w:vAlign w:val="bottom"/>
            <w:tcBorders>
              <w:top w:val="single" w:sz="8" w:color="DC202E"/>
            </w:tcBorders>
            <w:shd w:val="clear" w:color="auto" w:fill="DBDBDB"/>
          </w:tcPr>
          <w:p>
            <w:pPr>
              <w:spacing w:after="0"/>
              <w:rPr>
                <w:sz w:val="19"/>
                <w:szCs w:val="19"/>
                <w:color w:val="auto"/>
              </w:rPr>
            </w:pP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Short-term investment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440" w:type="dxa"/>
            <w:vAlign w:val="bottom"/>
            <w:shd w:val="clear" w:color="auto" w:fill="DBDBDB"/>
          </w:tcPr>
          <w:p>
            <w:pPr>
              <w:ind w:left="20"/>
              <w:spacing w:after="0"/>
              <w:rPr>
                <w:sz w:val="20"/>
                <w:szCs w:val="20"/>
                <w:color w:val="auto"/>
              </w:rPr>
            </w:pPr>
            <w:r>
              <w:rPr>
                <w:rFonts w:ascii="Arial" w:cs="Arial" w:eastAsia="Arial" w:hAnsi="Arial"/>
                <w:sz w:val="18"/>
                <w:szCs w:val="18"/>
                <w:color w:val="auto"/>
              </w:rPr>
              <w:t>Long-term receivables</w:t>
            </w: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DBDBDB"/>
          </w:tcPr>
          <w:p>
            <w:pPr>
              <w:spacing w:after="0"/>
              <w:rPr>
                <w:sz w:val="19"/>
                <w:szCs w:val="19"/>
                <w:color w:val="auto"/>
              </w:rPr>
            </w:pPr>
          </w:p>
        </w:tc>
        <w:tc>
          <w:tcPr>
            <w:tcW w:w="260" w:type="dxa"/>
            <w:vAlign w:val="bottom"/>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132</w:t>
            </w: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Long-term investment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44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Liabilities</w:t>
            </w:r>
          </w:p>
        </w:tc>
        <w:tc>
          <w:tcPr>
            <w:tcW w:w="2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060" w:type="dxa"/>
            <w:vAlign w:val="bottom"/>
            <w:shd w:val="clear" w:color="auto" w:fill="DBDBDB"/>
          </w:tcPr>
          <w:p>
            <w:pPr>
              <w:spacing w:after="0"/>
              <w:rPr>
                <w:sz w:val="19"/>
                <w:szCs w:val="19"/>
                <w:color w:val="auto"/>
              </w:rPr>
            </w:pP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Long-term debt and related current maturities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17,690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18,888</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18,787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20,176</w:t>
            </w:r>
          </w:p>
        </w:tc>
      </w:tr>
    </w:tbl>
    <w:p>
      <w:pPr>
        <w:spacing w:after="0" w:line="18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determined the fair value of the long-term receivables by utilizing transactions in the listed markets for identical or similar assets. As such, the fair values of these receivables are considered level 2.</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21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4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fair value of the short-term and long-term investments are based on the present value of the mandatory redemptions as reflected within Garrett Motion Inc.'s (Garrett) Series B Preferred Stock (Series B Preferred Stock) Certificate of Designation, as amended. Fair Value of the Series B Preferred Stock is not impacted by early redemptions until receipt of payment. The investment is designated as held to maturity and was initially recognized at fair value. The fair value of Garrett's Series B Preferred Stock was determined using observable market data and is considered level 2. Refer to Note 15 Commitments and Contingencies for further discussion of the Company’s investment in Garrett's Series B Preferred Stock.</w:t>
      </w:r>
    </w:p>
    <w:p>
      <w:pPr>
        <w:spacing w:after="0" w:line="10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Company determined the fair value of the long-term debt and related current maturities utilizing transactions in the listed markets for identical or similar liabilities. As such, the fair value of the long-term debt and related current maturities is considered level 2.</w:t>
      </w:r>
    </w:p>
    <w:p>
      <w:pPr>
        <w:spacing w:after="0" w:line="294" w:lineRule="exact"/>
        <w:rPr>
          <w:sz w:val="20"/>
          <w:szCs w:val="20"/>
          <w:color w:val="auto"/>
        </w:rPr>
      </w:pPr>
    </w:p>
    <w:p>
      <w:pPr>
        <w:spacing w:after="0"/>
        <w:rPr>
          <w:sz w:val="20"/>
          <w:szCs w:val="20"/>
          <w:color w:val="auto"/>
        </w:rPr>
      </w:pPr>
      <w:r>
        <w:rPr>
          <w:rFonts w:ascii="Arial" w:cs="Arial" w:eastAsia="Arial" w:hAnsi="Arial"/>
          <w:sz w:val="29"/>
          <w:szCs w:val="29"/>
          <w:b w:val="1"/>
          <w:bCs w:val="1"/>
          <w:color w:val="DC202E"/>
        </w:rPr>
        <w:t>NOTE 13. EARNINGS PER SHARE</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274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7"/>
                <w:szCs w:val="17"/>
                <w:color w:val="auto"/>
              </w:rPr>
            </w:pPr>
          </w:p>
        </w:tc>
        <w:tc>
          <w:tcPr>
            <w:tcW w:w="2540" w:type="dxa"/>
            <w:vAlign w:val="bottom"/>
            <w:gridSpan w:val="4"/>
          </w:tcPr>
          <w:p>
            <w:pPr>
              <w:jc w:val="right"/>
              <w:ind w:right="74"/>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20" w:type="dxa"/>
            <w:vAlign w:val="bottom"/>
          </w:tcPr>
          <w:p>
            <w:pPr>
              <w:spacing w:after="0"/>
              <w:rPr>
                <w:sz w:val="17"/>
                <w:szCs w:val="17"/>
                <w:color w:val="auto"/>
              </w:rPr>
            </w:pPr>
          </w:p>
        </w:tc>
        <w:tc>
          <w:tcPr>
            <w:tcW w:w="5800" w:type="dxa"/>
            <w:vAlign w:val="bottom"/>
            <w:gridSpan w:val="4"/>
          </w:tcPr>
          <w:p>
            <w:pPr>
              <w:spacing w:after="0"/>
              <w:rPr>
                <w:sz w:val="20"/>
                <w:szCs w:val="20"/>
                <w:color w:val="auto"/>
              </w:rPr>
            </w:pPr>
            <w:r>
              <w:rPr>
                <w:rFonts w:ascii="Arial" w:cs="Arial" w:eastAsia="Arial" w:hAnsi="Arial"/>
                <w:sz w:val="14"/>
                <w:szCs w:val="14"/>
                <w:b w:val="1"/>
                <w:bCs w:val="1"/>
                <w:color w:val="auto"/>
              </w:rPr>
              <w:t>Basic</w:t>
            </w:r>
          </w:p>
        </w:tc>
        <w:tc>
          <w:tcPr>
            <w:tcW w:w="280" w:type="dxa"/>
            <w:vAlign w:val="bottom"/>
            <w:tcBorders>
              <w:top w:val="single" w:sz="8" w:color="DC202E"/>
            </w:tcBorders>
          </w:tcPr>
          <w:p>
            <w:pPr>
              <w:spacing w:after="0"/>
              <w:rPr>
                <w:sz w:val="17"/>
                <w:szCs w:val="17"/>
                <w:color w:val="auto"/>
              </w:rPr>
            </w:pPr>
          </w:p>
        </w:tc>
        <w:tc>
          <w:tcPr>
            <w:tcW w:w="980" w:type="dxa"/>
            <w:vAlign w:val="bottom"/>
            <w:tcBorders>
              <w:top w:val="single" w:sz="8" w:color="DC202E"/>
            </w:tcBorders>
          </w:tcPr>
          <w:p>
            <w:pPr>
              <w:jc w:val="right"/>
              <w:ind w:right="39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DC202E"/>
            </w:tcBorders>
          </w:tcPr>
          <w:p>
            <w:pPr>
              <w:spacing w:after="0"/>
              <w:rPr>
                <w:sz w:val="17"/>
                <w:szCs w:val="17"/>
                <w:color w:val="auto"/>
              </w:rPr>
            </w:pPr>
          </w:p>
        </w:tc>
        <w:tc>
          <w:tcPr>
            <w:tcW w:w="300" w:type="dxa"/>
            <w:vAlign w:val="bottom"/>
            <w:tcBorders>
              <w:top w:val="single" w:sz="8" w:color="DC202E"/>
            </w:tcBorders>
          </w:tcPr>
          <w:p>
            <w:pPr>
              <w:spacing w:after="0"/>
              <w:rPr>
                <w:sz w:val="17"/>
                <w:szCs w:val="17"/>
                <w:color w:val="auto"/>
              </w:rPr>
            </w:pPr>
          </w:p>
        </w:tc>
        <w:tc>
          <w:tcPr>
            <w:tcW w:w="980" w:type="dxa"/>
            <w:vAlign w:val="bottom"/>
            <w:tcBorders>
              <w:top w:val="single" w:sz="8" w:color="DC202E"/>
            </w:tcBorders>
          </w:tcPr>
          <w:p>
            <w:pPr>
              <w:jc w:val="right"/>
              <w:ind w:right="39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140" w:type="dxa"/>
            <w:vAlign w:val="bottom"/>
            <w:tcBorders>
              <w:top w:val="single" w:sz="8" w:color="DC202E"/>
            </w:tcBorders>
          </w:tcPr>
          <w:p>
            <w:pPr>
              <w:spacing w:after="0"/>
              <w:rPr>
                <w:sz w:val="17"/>
                <w:szCs w:val="17"/>
                <w:color w:val="auto"/>
              </w:rPr>
            </w:pPr>
          </w:p>
        </w:tc>
        <w:tc>
          <w:tcPr>
            <w:tcW w:w="1140" w:type="dxa"/>
            <w:vAlign w:val="bottom"/>
            <w:tcBorders>
              <w:top w:val="single" w:sz="8" w:color="DC202E"/>
            </w:tcBorders>
          </w:tcPr>
          <w:p>
            <w:pPr>
              <w:jc w:val="right"/>
              <w:ind w:right="39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DC202E"/>
            </w:tcBorders>
          </w:tcPr>
          <w:p>
            <w:pPr>
              <w:spacing w:after="0"/>
              <w:rPr>
                <w:sz w:val="17"/>
                <w:szCs w:val="17"/>
                <w:color w:val="auto"/>
              </w:rPr>
            </w:pPr>
          </w:p>
        </w:tc>
        <w:tc>
          <w:tcPr>
            <w:tcW w:w="300" w:type="dxa"/>
            <w:vAlign w:val="bottom"/>
            <w:tcBorders>
              <w:top w:val="single" w:sz="8" w:color="DC202E"/>
            </w:tcBorders>
          </w:tcPr>
          <w:p>
            <w:pPr>
              <w:spacing w:after="0"/>
              <w:rPr>
                <w:sz w:val="17"/>
                <w:szCs w:val="17"/>
                <w:color w:val="auto"/>
              </w:rPr>
            </w:pPr>
          </w:p>
        </w:tc>
        <w:tc>
          <w:tcPr>
            <w:tcW w:w="980" w:type="dxa"/>
            <w:vAlign w:val="bottom"/>
            <w:tcBorders>
              <w:top w:val="single" w:sz="8" w:color="DC202E"/>
            </w:tcBorders>
          </w:tcPr>
          <w:p>
            <w:pPr>
              <w:jc w:val="right"/>
              <w:ind w:right="394"/>
              <w:spacing w:after="0"/>
              <w:rPr>
                <w:sz w:val="20"/>
                <w:szCs w:val="20"/>
                <w:color w:val="auto"/>
              </w:rPr>
            </w:pPr>
            <w:r>
              <w:rPr>
                <w:rFonts w:ascii="Arial" w:cs="Arial" w:eastAsia="Arial" w:hAnsi="Arial"/>
                <w:sz w:val="14"/>
                <w:szCs w:val="14"/>
                <w:b w:val="1"/>
                <w:bCs w:val="1"/>
                <w:color w:val="auto"/>
              </w:rPr>
              <w:t>2020</w:t>
            </w:r>
          </w:p>
        </w:tc>
      </w:tr>
      <w:tr>
        <w:trPr>
          <w:trHeight w:val="20"/>
        </w:trPr>
        <w:tc>
          <w:tcPr>
            <w:tcW w:w="20" w:type="dxa"/>
            <w:vAlign w:val="bottom"/>
            <w:shd w:val="clear" w:color="auto" w:fill="DBDBDB"/>
          </w:tcPr>
          <w:p>
            <w:pPr>
              <w:spacing w:after="0" w:line="20" w:lineRule="exact"/>
              <w:rPr>
                <w:sz w:val="1"/>
                <w:szCs w:val="1"/>
                <w:color w:val="auto"/>
              </w:rPr>
            </w:pPr>
          </w:p>
        </w:tc>
        <w:tc>
          <w:tcPr>
            <w:tcW w:w="380" w:type="dxa"/>
            <w:vAlign w:val="bottom"/>
            <w:tcBorders>
              <w:top w:val="single" w:sz="8" w:color="auto"/>
            </w:tcBorders>
            <w:shd w:val="clear" w:color="auto" w:fill="DBDBDB"/>
          </w:tcPr>
          <w:p>
            <w:pPr>
              <w:spacing w:after="0" w:line="20" w:lineRule="exact"/>
              <w:rPr>
                <w:sz w:val="1"/>
                <w:szCs w:val="1"/>
                <w:color w:val="auto"/>
              </w:rPr>
            </w:pPr>
          </w:p>
        </w:tc>
        <w:tc>
          <w:tcPr>
            <w:tcW w:w="700" w:type="dxa"/>
            <w:vAlign w:val="bottom"/>
            <w:shd w:val="clear" w:color="auto" w:fill="DBDBDB"/>
          </w:tcPr>
          <w:p>
            <w:pPr>
              <w:spacing w:after="0" w:line="20" w:lineRule="exact"/>
              <w:rPr>
                <w:sz w:val="1"/>
                <w:szCs w:val="1"/>
                <w:color w:val="auto"/>
              </w:rPr>
            </w:pPr>
          </w:p>
        </w:tc>
        <w:tc>
          <w:tcPr>
            <w:tcW w:w="200" w:type="dxa"/>
            <w:vAlign w:val="bottom"/>
            <w:shd w:val="clear" w:color="auto" w:fill="DBDBDB"/>
          </w:tcPr>
          <w:p>
            <w:pPr>
              <w:spacing w:after="0" w:line="20" w:lineRule="exact"/>
              <w:rPr>
                <w:sz w:val="1"/>
                <w:szCs w:val="1"/>
                <w:color w:val="auto"/>
              </w:rPr>
            </w:pPr>
          </w:p>
        </w:tc>
        <w:tc>
          <w:tcPr>
            <w:tcW w:w="4520" w:type="dxa"/>
            <w:vAlign w:val="bottom"/>
            <w:shd w:val="clear" w:color="auto" w:fill="DBDBDB"/>
          </w:tcPr>
          <w:p>
            <w:pPr>
              <w:spacing w:after="0" w:line="20" w:lineRule="exact"/>
              <w:rPr>
                <w:sz w:val="1"/>
                <w:szCs w:val="1"/>
                <w:color w:val="auto"/>
              </w:rPr>
            </w:pPr>
          </w:p>
        </w:tc>
        <w:tc>
          <w:tcPr>
            <w:tcW w:w="280" w:type="dxa"/>
            <w:vAlign w:val="bottom"/>
            <w:tcBorders>
              <w:top w:val="single" w:sz="8" w:color="DC202E"/>
            </w:tcBorders>
            <w:shd w:val="clear" w:color="auto" w:fill="DC202E"/>
          </w:tcPr>
          <w:p>
            <w:pPr>
              <w:spacing w:after="0" w:line="20" w:lineRule="exact"/>
              <w:rPr>
                <w:sz w:val="1"/>
                <w:szCs w:val="1"/>
                <w:color w:val="auto"/>
              </w:rPr>
            </w:pPr>
          </w:p>
        </w:tc>
        <w:tc>
          <w:tcPr>
            <w:tcW w:w="980" w:type="dxa"/>
            <w:vAlign w:val="bottom"/>
            <w:tcBorders>
              <w:top w:val="single" w:sz="8" w:color="DC202E"/>
            </w:tcBorders>
            <w:shd w:val="clear" w:color="auto" w:fill="DC202E"/>
          </w:tcPr>
          <w:p>
            <w:pPr>
              <w:spacing w:after="0" w:line="20" w:lineRule="exact"/>
              <w:rPr>
                <w:sz w:val="1"/>
                <w:szCs w:val="1"/>
                <w:color w:val="auto"/>
              </w:rPr>
            </w:pPr>
          </w:p>
        </w:tc>
        <w:tc>
          <w:tcPr>
            <w:tcW w:w="100" w:type="dxa"/>
            <w:vAlign w:val="bottom"/>
            <w:shd w:val="clear" w:color="auto" w:fill="DBDBDB"/>
          </w:tcPr>
          <w:p>
            <w:pPr>
              <w:spacing w:after="0" w:line="20" w:lineRule="exact"/>
              <w:rPr>
                <w:sz w:val="1"/>
                <w:szCs w:val="1"/>
                <w:color w:val="auto"/>
              </w:rPr>
            </w:pPr>
          </w:p>
        </w:tc>
        <w:tc>
          <w:tcPr>
            <w:tcW w:w="300" w:type="dxa"/>
            <w:vAlign w:val="bottom"/>
            <w:tcBorders>
              <w:top w:val="single" w:sz="8" w:color="DC202E"/>
            </w:tcBorders>
            <w:shd w:val="clear" w:color="auto" w:fill="DC202E"/>
          </w:tcPr>
          <w:p>
            <w:pPr>
              <w:spacing w:after="0" w:line="20" w:lineRule="exact"/>
              <w:rPr>
                <w:sz w:val="1"/>
                <w:szCs w:val="1"/>
                <w:color w:val="auto"/>
              </w:rPr>
            </w:pPr>
          </w:p>
        </w:tc>
        <w:tc>
          <w:tcPr>
            <w:tcW w:w="980" w:type="dxa"/>
            <w:vAlign w:val="bottom"/>
            <w:tcBorders>
              <w:top w:val="single" w:sz="8" w:color="DC202E"/>
            </w:tcBorders>
            <w:shd w:val="clear" w:color="auto" w:fill="DC202E"/>
          </w:tcPr>
          <w:p>
            <w:pPr>
              <w:spacing w:after="0" w:line="20" w:lineRule="exact"/>
              <w:rPr>
                <w:sz w:val="1"/>
                <w:szCs w:val="1"/>
                <w:color w:val="auto"/>
              </w:rPr>
            </w:pPr>
          </w:p>
        </w:tc>
        <w:tc>
          <w:tcPr>
            <w:tcW w:w="100" w:type="dxa"/>
            <w:vAlign w:val="bottom"/>
            <w:shd w:val="clear" w:color="auto" w:fill="DBDBDB"/>
          </w:tcPr>
          <w:p>
            <w:pPr>
              <w:spacing w:after="0" w:line="20" w:lineRule="exact"/>
              <w:rPr>
                <w:sz w:val="1"/>
                <w:szCs w:val="1"/>
                <w:color w:val="auto"/>
              </w:rPr>
            </w:pPr>
          </w:p>
        </w:tc>
        <w:tc>
          <w:tcPr>
            <w:tcW w:w="140" w:type="dxa"/>
            <w:vAlign w:val="bottom"/>
            <w:tcBorders>
              <w:top w:val="single" w:sz="8" w:color="DC202E"/>
            </w:tcBorders>
            <w:shd w:val="clear" w:color="auto" w:fill="DC202E"/>
          </w:tcPr>
          <w:p>
            <w:pPr>
              <w:spacing w:after="0" w:line="20" w:lineRule="exact"/>
              <w:rPr>
                <w:sz w:val="1"/>
                <w:szCs w:val="1"/>
                <w:color w:val="auto"/>
              </w:rPr>
            </w:pPr>
          </w:p>
        </w:tc>
        <w:tc>
          <w:tcPr>
            <w:tcW w:w="1140" w:type="dxa"/>
            <w:vAlign w:val="bottom"/>
            <w:tcBorders>
              <w:top w:val="single" w:sz="8" w:color="DC202E"/>
            </w:tcBorders>
            <w:shd w:val="clear" w:color="auto" w:fill="DC202E"/>
          </w:tcPr>
          <w:p>
            <w:pPr>
              <w:spacing w:after="0" w:line="20" w:lineRule="exact"/>
              <w:rPr>
                <w:sz w:val="1"/>
                <w:szCs w:val="1"/>
                <w:color w:val="auto"/>
              </w:rPr>
            </w:pPr>
          </w:p>
        </w:tc>
        <w:tc>
          <w:tcPr>
            <w:tcW w:w="120" w:type="dxa"/>
            <w:vAlign w:val="bottom"/>
            <w:shd w:val="clear" w:color="auto" w:fill="DBDBDB"/>
          </w:tcPr>
          <w:p>
            <w:pPr>
              <w:spacing w:after="0" w:line="20" w:lineRule="exact"/>
              <w:rPr>
                <w:sz w:val="1"/>
                <w:szCs w:val="1"/>
                <w:color w:val="auto"/>
              </w:rPr>
            </w:pPr>
          </w:p>
        </w:tc>
        <w:tc>
          <w:tcPr>
            <w:tcW w:w="300" w:type="dxa"/>
            <w:vAlign w:val="bottom"/>
            <w:tcBorders>
              <w:top w:val="single" w:sz="8" w:color="DC202E"/>
            </w:tcBorders>
            <w:shd w:val="clear" w:color="auto" w:fill="DC202E"/>
          </w:tcPr>
          <w:p>
            <w:pPr>
              <w:spacing w:after="0" w:line="20" w:lineRule="exact"/>
              <w:rPr>
                <w:sz w:val="1"/>
                <w:szCs w:val="1"/>
                <w:color w:val="auto"/>
              </w:rPr>
            </w:pPr>
          </w:p>
        </w:tc>
        <w:tc>
          <w:tcPr>
            <w:tcW w:w="980" w:type="dxa"/>
            <w:vAlign w:val="bottom"/>
            <w:tcBorders>
              <w:top w:val="single" w:sz="8" w:color="DC202E"/>
            </w:tcBorders>
            <w:shd w:val="clear" w:color="auto" w:fill="DC202E"/>
          </w:tcPr>
          <w:p>
            <w:pPr>
              <w:spacing w:after="0" w:line="20" w:lineRule="exact"/>
              <w:rPr>
                <w:sz w:val="1"/>
                <w:szCs w:val="1"/>
                <w:color w:val="auto"/>
              </w:rPr>
            </w:pPr>
          </w:p>
        </w:tc>
      </w:tr>
      <w:tr>
        <w:trPr>
          <w:trHeight w:val="210"/>
        </w:trPr>
        <w:tc>
          <w:tcPr>
            <w:tcW w:w="20" w:type="dxa"/>
            <w:vAlign w:val="bottom"/>
            <w:shd w:val="clear" w:color="auto" w:fill="DBDBDB"/>
          </w:tcPr>
          <w:p>
            <w:pPr>
              <w:spacing w:after="0"/>
              <w:rPr>
                <w:sz w:val="18"/>
                <w:szCs w:val="18"/>
                <w:color w:val="auto"/>
              </w:rPr>
            </w:pPr>
          </w:p>
        </w:tc>
        <w:tc>
          <w:tcPr>
            <w:tcW w:w="5800" w:type="dxa"/>
            <w:vAlign w:val="bottom"/>
            <w:gridSpan w:val="4"/>
            <w:shd w:val="clear" w:color="auto" w:fill="DBDBDB"/>
          </w:tcPr>
          <w:p>
            <w:pPr>
              <w:spacing w:after="0"/>
              <w:rPr>
                <w:sz w:val="20"/>
                <w:szCs w:val="20"/>
                <w:color w:val="auto"/>
              </w:rPr>
            </w:pPr>
            <w:r>
              <w:rPr>
                <w:rFonts w:ascii="Arial" w:cs="Arial" w:eastAsia="Arial" w:hAnsi="Arial"/>
                <w:sz w:val="18"/>
                <w:szCs w:val="18"/>
                <w:color w:val="auto"/>
              </w:rPr>
              <w:t>Net income attributable to Honeywell</w:t>
            </w:r>
          </w:p>
        </w:tc>
        <w:tc>
          <w:tcPr>
            <w:tcW w:w="280" w:type="dxa"/>
            <w:vAlign w:val="bottom"/>
            <w:shd w:val="clear" w:color="auto" w:fill="DBDBDB"/>
          </w:tcPr>
          <w:p>
            <w:pPr>
              <w:jc w:val="right"/>
              <w:ind w:right="76"/>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1,257</w:t>
            </w:r>
          </w:p>
        </w:tc>
        <w:tc>
          <w:tcPr>
            <w:tcW w:w="100" w:type="dxa"/>
            <w:vAlign w:val="bottom"/>
            <w:shd w:val="clear" w:color="auto" w:fill="DBDBDB"/>
          </w:tcPr>
          <w:p>
            <w:pPr>
              <w:spacing w:after="0"/>
              <w:rPr>
                <w:sz w:val="18"/>
                <w:szCs w:val="18"/>
                <w:color w:val="auto"/>
              </w:rPr>
            </w:pP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758</w:t>
            </w:r>
          </w:p>
        </w:tc>
        <w:tc>
          <w:tcPr>
            <w:tcW w:w="100" w:type="dxa"/>
            <w:vAlign w:val="bottom"/>
            <w:shd w:val="clear" w:color="auto" w:fill="DBDBDB"/>
          </w:tcPr>
          <w:p>
            <w:pPr>
              <w:spacing w:after="0"/>
              <w:rPr>
                <w:sz w:val="18"/>
                <w:szCs w:val="18"/>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4,114</w:t>
            </w:r>
          </w:p>
        </w:tc>
        <w:tc>
          <w:tcPr>
            <w:tcW w:w="120" w:type="dxa"/>
            <w:vAlign w:val="bottom"/>
            <w:shd w:val="clear" w:color="auto" w:fill="DBDBDB"/>
          </w:tcPr>
          <w:p>
            <w:pPr>
              <w:spacing w:after="0"/>
              <w:rPr>
                <w:sz w:val="18"/>
                <w:szCs w:val="18"/>
                <w:color w:val="auto"/>
              </w:rPr>
            </w:pP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3,420</w:t>
            </w:r>
          </w:p>
        </w:tc>
      </w:tr>
      <w:tr>
        <w:trPr>
          <w:trHeight w:val="229"/>
        </w:trPr>
        <w:tc>
          <w:tcPr>
            <w:tcW w:w="20" w:type="dxa"/>
            <w:vAlign w:val="bottom"/>
          </w:tcPr>
          <w:p>
            <w:pPr>
              <w:spacing w:after="0"/>
              <w:rPr>
                <w:sz w:val="19"/>
                <w:szCs w:val="19"/>
                <w:color w:val="auto"/>
              </w:rPr>
            </w:pPr>
          </w:p>
        </w:tc>
        <w:tc>
          <w:tcPr>
            <w:tcW w:w="5800" w:type="dxa"/>
            <w:vAlign w:val="bottom"/>
            <w:gridSpan w:val="4"/>
          </w:tcPr>
          <w:p>
            <w:pPr>
              <w:spacing w:after="0"/>
              <w:rPr>
                <w:sz w:val="20"/>
                <w:szCs w:val="20"/>
                <w:color w:val="auto"/>
              </w:rPr>
            </w:pPr>
            <w:r>
              <w:rPr>
                <w:rFonts w:ascii="Arial" w:cs="Arial" w:eastAsia="Arial" w:hAnsi="Arial"/>
                <w:sz w:val="18"/>
                <w:szCs w:val="18"/>
                <w:color w:val="auto"/>
              </w:rPr>
              <w:t>Weighted average shares outstanding</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690.6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693.6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704.8</w:t>
            </w:r>
          </w:p>
        </w:tc>
      </w:tr>
      <w:tr>
        <w:trPr>
          <w:trHeight w:val="229"/>
        </w:trPr>
        <w:tc>
          <w:tcPr>
            <w:tcW w:w="20" w:type="dxa"/>
            <w:vAlign w:val="bottom"/>
            <w:shd w:val="clear" w:color="auto" w:fill="DBDBDB"/>
          </w:tcPr>
          <w:p>
            <w:pPr>
              <w:spacing w:after="0"/>
              <w:rPr>
                <w:sz w:val="19"/>
                <w:szCs w:val="19"/>
                <w:color w:val="auto"/>
              </w:rPr>
            </w:pPr>
          </w:p>
        </w:tc>
        <w:tc>
          <w:tcPr>
            <w:tcW w:w="5800" w:type="dxa"/>
            <w:vAlign w:val="bottom"/>
            <w:gridSpan w:val="4"/>
            <w:shd w:val="clear" w:color="auto" w:fill="DBDBDB"/>
          </w:tcPr>
          <w:p>
            <w:pPr>
              <w:spacing w:after="0"/>
              <w:rPr>
                <w:sz w:val="20"/>
                <w:szCs w:val="20"/>
                <w:color w:val="auto"/>
              </w:rPr>
            </w:pPr>
            <w:r>
              <w:rPr>
                <w:rFonts w:ascii="Arial" w:cs="Arial" w:eastAsia="Arial" w:hAnsi="Arial"/>
                <w:sz w:val="18"/>
                <w:szCs w:val="18"/>
                <w:color w:val="auto"/>
              </w:rPr>
              <w:t>Earnings per share of common stock - basic</w:t>
            </w:r>
          </w:p>
        </w:tc>
        <w:tc>
          <w:tcPr>
            <w:tcW w:w="280" w:type="dxa"/>
            <w:vAlign w:val="bottom"/>
            <w:shd w:val="clear" w:color="auto" w:fill="DBDBDB"/>
          </w:tcPr>
          <w:p>
            <w:pPr>
              <w:jc w:val="right"/>
              <w:ind w:right="76"/>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5.93</w:t>
            </w:r>
          </w:p>
        </w:tc>
        <w:tc>
          <w:tcPr>
            <w:tcW w:w="120" w:type="dxa"/>
            <w:vAlign w:val="bottom"/>
            <w:shd w:val="clear" w:color="auto" w:fill="DBDBDB"/>
          </w:tcPr>
          <w:p>
            <w:pPr>
              <w:spacing w:after="0"/>
              <w:rPr>
                <w:sz w:val="19"/>
                <w:szCs w:val="19"/>
                <w:color w:val="auto"/>
              </w:rPr>
            </w:pP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4.85</w:t>
            </w:r>
          </w:p>
        </w:tc>
      </w:tr>
      <w:tr>
        <w:trPr>
          <w:trHeight w:val="439"/>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74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24"/>
                <w:szCs w:val="24"/>
                <w:color w:val="auto"/>
              </w:rPr>
            </w:pPr>
          </w:p>
        </w:tc>
        <w:tc>
          <w:tcPr>
            <w:tcW w:w="2540" w:type="dxa"/>
            <w:vAlign w:val="bottom"/>
            <w:gridSpan w:val="4"/>
          </w:tcPr>
          <w:p>
            <w:pPr>
              <w:jc w:val="right"/>
              <w:ind w:right="74"/>
              <w:spacing w:after="0"/>
              <w:rPr>
                <w:sz w:val="20"/>
                <w:szCs w:val="20"/>
                <w:color w:val="auto"/>
              </w:rPr>
            </w:pPr>
            <w:r>
              <w:rPr>
                <w:rFonts w:ascii="Arial" w:cs="Arial" w:eastAsia="Arial" w:hAnsi="Arial"/>
                <w:sz w:val="14"/>
                <w:szCs w:val="14"/>
                <w:b w:val="1"/>
                <w:bCs w:val="1"/>
                <w:color w:val="auto"/>
              </w:rPr>
              <w:t>Nine Months Ended September 30,</w:t>
            </w:r>
          </w:p>
        </w:tc>
      </w:tr>
      <w:tr>
        <w:trPr>
          <w:trHeight w:val="216"/>
        </w:trPr>
        <w:tc>
          <w:tcPr>
            <w:tcW w:w="20" w:type="dxa"/>
            <w:vAlign w:val="bottom"/>
            <w:tcBorders>
              <w:bottom w:val="single" w:sz="8" w:color="DBDBDB"/>
            </w:tcBorders>
          </w:tcPr>
          <w:p>
            <w:pPr>
              <w:spacing w:after="0"/>
              <w:rPr>
                <w:sz w:val="18"/>
                <w:szCs w:val="18"/>
                <w:color w:val="auto"/>
              </w:rPr>
            </w:pPr>
          </w:p>
        </w:tc>
        <w:tc>
          <w:tcPr>
            <w:tcW w:w="12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Assuming Dilution</w:t>
            </w:r>
          </w:p>
        </w:tc>
        <w:tc>
          <w:tcPr>
            <w:tcW w:w="4520" w:type="dxa"/>
            <w:vAlign w:val="bottom"/>
            <w:tcBorders>
              <w:bottom w:val="single" w:sz="8" w:color="DBDBDB"/>
            </w:tcBorders>
          </w:tcPr>
          <w:p>
            <w:pPr>
              <w:spacing w:after="0"/>
              <w:rPr>
                <w:sz w:val="18"/>
                <w:szCs w:val="18"/>
                <w:color w:val="auto"/>
              </w:rPr>
            </w:pPr>
          </w:p>
        </w:tc>
        <w:tc>
          <w:tcPr>
            <w:tcW w:w="280" w:type="dxa"/>
            <w:vAlign w:val="bottom"/>
            <w:tcBorders>
              <w:top w:val="single" w:sz="8" w:color="DC202E"/>
              <w:bottom w:val="single" w:sz="8" w:color="DC202E"/>
            </w:tcBorders>
          </w:tcPr>
          <w:p>
            <w:pPr>
              <w:spacing w:after="0"/>
              <w:rPr>
                <w:sz w:val="18"/>
                <w:szCs w:val="18"/>
                <w:color w:val="auto"/>
              </w:rPr>
            </w:pPr>
          </w:p>
        </w:tc>
        <w:tc>
          <w:tcPr>
            <w:tcW w:w="980" w:type="dxa"/>
            <w:vAlign w:val="bottom"/>
            <w:tcBorders>
              <w:top w:val="single" w:sz="8" w:color="DC202E"/>
              <w:bottom w:val="single" w:sz="8" w:color="DC202E"/>
            </w:tcBorders>
          </w:tcPr>
          <w:p>
            <w:pPr>
              <w:jc w:val="right"/>
              <w:ind w:right="39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DC202E"/>
              <w:bottom w:val="single" w:sz="8" w:color="DBDBDB"/>
            </w:tcBorders>
          </w:tcPr>
          <w:p>
            <w:pPr>
              <w:spacing w:after="0"/>
              <w:rPr>
                <w:sz w:val="18"/>
                <w:szCs w:val="18"/>
                <w:color w:val="auto"/>
              </w:rPr>
            </w:pPr>
          </w:p>
        </w:tc>
        <w:tc>
          <w:tcPr>
            <w:tcW w:w="300" w:type="dxa"/>
            <w:vAlign w:val="bottom"/>
            <w:tcBorders>
              <w:top w:val="single" w:sz="8" w:color="DC202E"/>
              <w:bottom w:val="single" w:sz="8" w:color="DC202E"/>
            </w:tcBorders>
          </w:tcPr>
          <w:p>
            <w:pPr>
              <w:spacing w:after="0"/>
              <w:rPr>
                <w:sz w:val="18"/>
                <w:szCs w:val="18"/>
                <w:color w:val="auto"/>
              </w:rPr>
            </w:pPr>
          </w:p>
        </w:tc>
        <w:tc>
          <w:tcPr>
            <w:tcW w:w="980" w:type="dxa"/>
            <w:vAlign w:val="bottom"/>
            <w:tcBorders>
              <w:top w:val="single" w:sz="8" w:color="DC202E"/>
              <w:bottom w:val="single" w:sz="8" w:color="DC202E"/>
            </w:tcBorders>
          </w:tcPr>
          <w:p>
            <w:pPr>
              <w:jc w:val="right"/>
              <w:ind w:right="39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DBDBDB"/>
            </w:tcBorders>
          </w:tcPr>
          <w:p>
            <w:pPr>
              <w:spacing w:after="0"/>
              <w:rPr>
                <w:sz w:val="18"/>
                <w:szCs w:val="18"/>
                <w:color w:val="auto"/>
              </w:rPr>
            </w:pPr>
          </w:p>
        </w:tc>
        <w:tc>
          <w:tcPr>
            <w:tcW w:w="140" w:type="dxa"/>
            <w:vAlign w:val="bottom"/>
            <w:tcBorders>
              <w:top w:val="single" w:sz="8" w:color="DC202E"/>
              <w:bottom w:val="single" w:sz="8" w:color="DC202E"/>
            </w:tcBorders>
          </w:tcPr>
          <w:p>
            <w:pPr>
              <w:spacing w:after="0"/>
              <w:rPr>
                <w:sz w:val="18"/>
                <w:szCs w:val="18"/>
                <w:color w:val="auto"/>
              </w:rPr>
            </w:pPr>
          </w:p>
        </w:tc>
        <w:tc>
          <w:tcPr>
            <w:tcW w:w="1140" w:type="dxa"/>
            <w:vAlign w:val="bottom"/>
            <w:tcBorders>
              <w:top w:val="single" w:sz="8" w:color="DC202E"/>
              <w:bottom w:val="single" w:sz="8" w:color="DC202E"/>
            </w:tcBorders>
          </w:tcPr>
          <w:p>
            <w:pPr>
              <w:jc w:val="right"/>
              <w:ind w:right="39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DC202E"/>
              <w:bottom w:val="single" w:sz="8" w:color="DBDBDB"/>
            </w:tcBorders>
          </w:tcPr>
          <w:p>
            <w:pPr>
              <w:spacing w:after="0"/>
              <w:rPr>
                <w:sz w:val="18"/>
                <w:szCs w:val="18"/>
                <w:color w:val="auto"/>
              </w:rPr>
            </w:pPr>
          </w:p>
        </w:tc>
        <w:tc>
          <w:tcPr>
            <w:tcW w:w="300" w:type="dxa"/>
            <w:vAlign w:val="bottom"/>
            <w:tcBorders>
              <w:top w:val="single" w:sz="8" w:color="DC202E"/>
              <w:bottom w:val="single" w:sz="8" w:color="DC202E"/>
            </w:tcBorders>
          </w:tcPr>
          <w:p>
            <w:pPr>
              <w:spacing w:after="0"/>
              <w:rPr>
                <w:sz w:val="18"/>
                <w:szCs w:val="18"/>
                <w:color w:val="auto"/>
              </w:rPr>
            </w:pPr>
          </w:p>
        </w:tc>
        <w:tc>
          <w:tcPr>
            <w:tcW w:w="980" w:type="dxa"/>
            <w:vAlign w:val="bottom"/>
            <w:tcBorders>
              <w:top w:val="single" w:sz="8" w:color="DC202E"/>
              <w:bottom w:val="single" w:sz="8" w:color="DC202E"/>
            </w:tcBorders>
          </w:tcPr>
          <w:p>
            <w:pPr>
              <w:jc w:val="right"/>
              <w:ind w:right="394"/>
              <w:spacing w:after="0"/>
              <w:rPr>
                <w:sz w:val="20"/>
                <w:szCs w:val="20"/>
                <w:color w:val="auto"/>
              </w:rPr>
            </w:pPr>
            <w:r>
              <w:rPr>
                <w:rFonts w:ascii="Arial" w:cs="Arial" w:eastAsia="Arial" w:hAnsi="Arial"/>
                <w:sz w:val="14"/>
                <w:szCs w:val="14"/>
                <w:b w:val="1"/>
                <w:bCs w:val="1"/>
                <w:color w:val="auto"/>
              </w:rPr>
              <w:t>2020</w:t>
            </w:r>
          </w:p>
        </w:tc>
      </w:tr>
      <w:tr>
        <w:trPr>
          <w:trHeight w:val="210"/>
        </w:trPr>
        <w:tc>
          <w:tcPr>
            <w:tcW w:w="20" w:type="dxa"/>
            <w:vAlign w:val="bottom"/>
            <w:shd w:val="clear" w:color="auto" w:fill="DBDBDB"/>
          </w:tcPr>
          <w:p>
            <w:pPr>
              <w:spacing w:after="0"/>
              <w:rPr>
                <w:sz w:val="18"/>
                <w:szCs w:val="18"/>
                <w:color w:val="auto"/>
              </w:rPr>
            </w:pPr>
          </w:p>
        </w:tc>
        <w:tc>
          <w:tcPr>
            <w:tcW w:w="5800" w:type="dxa"/>
            <w:vAlign w:val="bottom"/>
            <w:gridSpan w:val="4"/>
            <w:shd w:val="clear" w:color="auto" w:fill="DBDBDB"/>
          </w:tcPr>
          <w:p>
            <w:pPr>
              <w:spacing w:after="0"/>
              <w:rPr>
                <w:sz w:val="20"/>
                <w:szCs w:val="20"/>
                <w:color w:val="auto"/>
              </w:rPr>
            </w:pPr>
            <w:r>
              <w:rPr>
                <w:rFonts w:ascii="Arial" w:cs="Arial" w:eastAsia="Arial" w:hAnsi="Arial"/>
                <w:sz w:val="18"/>
                <w:szCs w:val="18"/>
                <w:color w:val="auto"/>
              </w:rPr>
              <w:t>Net income attributable to Honeywell</w:t>
            </w:r>
          </w:p>
        </w:tc>
        <w:tc>
          <w:tcPr>
            <w:tcW w:w="280" w:type="dxa"/>
            <w:vAlign w:val="bottom"/>
            <w:shd w:val="clear" w:color="auto" w:fill="DBDBDB"/>
          </w:tcPr>
          <w:p>
            <w:pPr>
              <w:jc w:val="right"/>
              <w:ind w:right="76"/>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1,257</w:t>
            </w:r>
          </w:p>
        </w:tc>
        <w:tc>
          <w:tcPr>
            <w:tcW w:w="100" w:type="dxa"/>
            <w:vAlign w:val="bottom"/>
            <w:shd w:val="clear" w:color="auto" w:fill="DBDBDB"/>
          </w:tcPr>
          <w:p>
            <w:pPr>
              <w:spacing w:after="0"/>
              <w:rPr>
                <w:sz w:val="18"/>
                <w:szCs w:val="18"/>
                <w:color w:val="auto"/>
              </w:rPr>
            </w:pP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758</w:t>
            </w:r>
          </w:p>
        </w:tc>
        <w:tc>
          <w:tcPr>
            <w:tcW w:w="100" w:type="dxa"/>
            <w:vAlign w:val="bottom"/>
            <w:shd w:val="clear" w:color="auto" w:fill="DBDBDB"/>
          </w:tcPr>
          <w:p>
            <w:pPr>
              <w:spacing w:after="0"/>
              <w:rPr>
                <w:sz w:val="18"/>
                <w:szCs w:val="18"/>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4,114</w:t>
            </w:r>
          </w:p>
        </w:tc>
        <w:tc>
          <w:tcPr>
            <w:tcW w:w="120" w:type="dxa"/>
            <w:vAlign w:val="bottom"/>
            <w:shd w:val="clear" w:color="auto" w:fill="DBDBDB"/>
          </w:tcPr>
          <w:p>
            <w:pPr>
              <w:spacing w:after="0"/>
              <w:rPr>
                <w:sz w:val="18"/>
                <w:szCs w:val="18"/>
                <w:color w:val="auto"/>
              </w:rPr>
            </w:pP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3,420</w:t>
            </w:r>
          </w:p>
        </w:tc>
      </w:tr>
      <w:tr>
        <w:trPr>
          <w:trHeight w:val="162"/>
        </w:trPr>
        <w:tc>
          <w:tcPr>
            <w:tcW w:w="20" w:type="dxa"/>
            <w:vAlign w:val="bottom"/>
          </w:tcPr>
          <w:p>
            <w:pPr>
              <w:spacing w:after="0"/>
              <w:rPr>
                <w:sz w:val="14"/>
                <w:szCs w:val="14"/>
                <w:color w:val="auto"/>
              </w:rPr>
            </w:pPr>
          </w:p>
        </w:tc>
        <w:tc>
          <w:tcPr>
            <w:tcW w:w="5800" w:type="dxa"/>
            <w:vAlign w:val="bottom"/>
            <w:gridSpan w:val="4"/>
          </w:tcPr>
          <w:p>
            <w:pPr>
              <w:spacing w:after="0"/>
              <w:rPr>
                <w:sz w:val="20"/>
                <w:szCs w:val="20"/>
                <w:color w:val="auto"/>
              </w:rPr>
            </w:pPr>
            <w:r>
              <w:rPr>
                <w:rFonts w:ascii="Arial" w:cs="Arial" w:eastAsia="Arial" w:hAnsi="Arial"/>
                <w:sz w:val="14"/>
                <w:szCs w:val="14"/>
                <w:b w:val="1"/>
                <w:bCs w:val="1"/>
                <w:color w:val="auto"/>
              </w:rPr>
              <w:t>Average Shares</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0"/>
        </w:trPr>
        <w:tc>
          <w:tcPr>
            <w:tcW w:w="20" w:type="dxa"/>
            <w:vAlign w:val="bottom"/>
            <w:shd w:val="clear" w:color="auto" w:fill="DBDBDB"/>
          </w:tcPr>
          <w:p>
            <w:pPr>
              <w:spacing w:after="0"/>
              <w:rPr>
                <w:sz w:val="19"/>
                <w:szCs w:val="19"/>
                <w:color w:val="auto"/>
              </w:rPr>
            </w:pPr>
          </w:p>
        </w:tc>
        <w:tc>
          <w:tcPr>
            <w:tcW w:w="5800" w:type="dxa"/>
            <w:vAlign w:val="bottom"/>
            <w:gridSpan w:val="4"/>
            <w:shd w:val="clear" w:color="auto" w:fill="DBDBDB"/>
          </w:tcPr>
          <w:p>
            <w:pPr>
              <w:spacing w:after="0"/>
              <w:rPr>
                <w:sz w:val="20"/>
                <w:szCs w:val="20"/>
                <w:color w:val="auto"/>
              </w:rPr>
            </w:pPr>
            <w:r>
              <w:rPr>
                <w:rFonts w:ascii="Arial" w:cs="Arial" w:eastAsia="Arial" w:hAnsi="Arial"/>
                <w:sz w:val="18"/>
                <w:szCs w:val="18"/>
                <w:color w:val="auto"/>
              </w:rPr>
              <w:t>Weighted average shares outstanding</w:t>
            </w:r>
          </w:p>
        </w:tc>
        <w:tc>
          <w:tcPr>
            <w:tcW w:w="28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690.6</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702.6</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693.6</w:t>
            </w:r>
          </w:p>
        </w:tc>
        <w:tc>
          <w:tcPr>
            <w:tcW w:w="1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704.8</w:t>
            </w:r>
          </w:p>
        </w:tc>
      </w:tr>
      <w:tr>
        <w:trPr>
          <w:trHeight w:val="229"/>
        </w:trPr>
        <w:tc>
          <w:tcPr>
            <w:tcW w:w="20" w:type="dxa"/>
            <w:vAlign w:val="bottom"/>
            <w:tcBorders>
              <w:bottom w:val="single" w:sz="8" w:color="DBDBDB"/>
            </w:tcBorders>
          </w:tcPr>
          <w:p>
            <w:pPr>
              <w:spacing w:after="0"/>
              <w:rPr>
                <w:sz w:val="19"/>
                <w:szCs w:val="19"/>
                <w:color w:val="auto"/>
              </w:rPr>
            </w:pPr>
          </w:p>
        </w:tc>
        <w:tc>
          <w:tcPr>
            <w:tcW w:w="5800" w:type="dxa"/>
            <w:vAlign w:val="bottom"/>
            <w:tcBorders>
              <w:bottom w:val="single" w:sz="8" w:color="DBDBDB"/>
            </w:tcBorders>
            <w:gridSpan w:val="4"/>
          </w:tcPr>
          <w:p>
            <w:pPr>
              <w:spacing w:after="0"/>
              <w:rPr>
                <w:sz w:val="20"/>
                <w:szCs w:val="20"/>
                <w:color w:val="auto"/>
              </w:rPr>
            </w:pPr>
            <w:r>
              <w:rPr>
                <w:rFonts w:ascii="Arial" w:cs="Arial" w:eastAsia="Arial" w:hAnsi="Arial"/>
                <w:sz w:val="18"/>
                <w:szCs w:val="18"/>
                <w:color w:val="auto"/>
              </w:rPr>
              <w:t>Dilutive securities issuable - stock plans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r>
      <w:tr>
        <w:trPr>
          <w:trHeight w:val="248"/>
        </w:trPr>
        <w:tc>
          <w:tcPr>
            <w:tcW w:w="20" w:type="dxa"/>
            <w:vAlign w:val="bottom"/>
            <w:tcBorders>
              <w:bottom w:val="single" w:sz="8" w:color="DBDBDB"/>
            </w:tcBorders>
            <w:shd w:val="clear" w:color="auto" w:fill="DBDBDB"/>
          </w:tcPr>
          <w:p>
            <w:pPr>
              <w:spacing w:after="0"/>
              <w:rPr>
                <w:sz w:val="21"/>
                <w:szCs w:val="21"/>
                <w:color w:val="auto"/>
              </w:rPr>
            </w:pPr>
          </w:p>
        </w:tc>
        <w:tc>
          <w:tcPr>
            <w:tcW w:w="5800" w:type="dxa"/>
            <w:vAlign w:val="bottom"/>
            <w:tcBorders>
              <w:bottom w:val="single" w:sz="8" w:color="DBDBDB"/>
            </w:tcBorders>
            <w:gridSpan w:val="4"/>
            <w:shd w:val="clear" w:color="auto" w:fill="DBDBDB"/>
          </w:tcPr>
          <w:p>
            <w:pPr>
              <w:spacing w:after="0"/>
              <w:rPr>
                <w:sz w:val="20"/>
                <w:szCs w:val="20"/>
                <w:color w:val="auto"/>
              </w:rPr>
            </w:pPr>
            <w:r>
              <w:rPr>
                <w:rFonts w:ascii="Arial" w:cs="Arial" w:eastAsia="Arial" w:hAnsi="Arial"/>
                <w:sz w:val="18"/>
                <w:szCs w:val="18"/>
                <w:color w:val="auto"/>
              </w:rPr>
              <w:t>Total weighted average diluted shares outstanding</w:t>
            </w:r>
          </w:p>
        </w:tc>
        <w:tc>
          <w:tcPr>
            <w:tcW w:w="280" w:type="dxa"/>
            <w:vAlign w:val="bottom"/>
            <w:tcBorders>
              <w:bottom w:val="single" w:sz="8" w:color="auto"/>
            </w:tcBorders>
            <w:shd w:val="clear" w:color="auto" w:fill="DBDBDB"/>
          </w:tcPr>
          <w:p>
            <w:pPr>
              <w:spacing w:after="0"/>
              <w:rPr>
                <w:sz w:val="21"/>
                <w:szCs w:val="21"/>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698.9</w:t>
            </w:r>
          </w:p>
        </w:tc>
        <w:tc>
          <w:tcPr>
            <w:tcW w:w="100" w:type="dxa"/>
            <w:vAlign w:val="bottom"/>
            <w:tcBorders>
              <w:bottom w:val="single" w:sz="8" w:color="DBDBDB"/>
            </w:tcBorders>
            <w:shd w:val="clear" w:color="auto" w:fill="DBDBDB"/>
          </w:tcPr>
          <w:p>
            <w:pPr>
              <w:spacing w:after="0"/>
              <w:rPr>
                <w:sz w:val="21"/>
                <w:szCs w:val="21"/>
                <w:color w:val="auto"/>
              </w:rPr>
            </w:pPr>
          </w:p>
        </w:tc>
        <w:tc>
          <w:tcPr>
            <w:tcW w:w="300" w:type="dxa"/>
            <w:vAlign w:val="bottom"/>
            <w:tcBorders>
              <w:bottom w:val="single" w:sz="8" w:color="auto"/>
            </w:tcBorders>
            <w:shd w:val="clear" w:color="auto" w:fill="DBDBDB"/>
          </w:tcPr>
          <w:p>
            <w:pPr>
              <w:spacing w:after="0"/>
              <w:rPr>
                <w:sz w:val="21"/>
                <w:szCs w:val="21"/>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709.6</w:t>
            </w:r>
          </w:p>
        </w:tc>
        <w:tc>
          <w:tcPr>
            <w:tcW w:w="100" w:type="dxa"/>
            <w:vAlign w:val="bottom"/>
            <w:tcBorders>
              <w:bottom w:val="single" w:sz="8" w:color="DBDBDB"/>
            </w:tcBorders>
            <w:shd w:val="clear" w:color="auto" w:fill="DBDBDB"/>
          </w:tcPr>
          <w:p>
            <w:pPr>
              <w:spacing w:after="0"/>
              <w:rPr>
                <w:sz w:val="21"/>
                <w:szCs w:val="21"/>
                <w:color w:val="auto"/>
              </w:rPr>
            </w:pPr>
          </w:p>
        </w:tc>
        <w:tc>
          <w:tcPr>
            <w:tcW w:w="140" w:type="dxa"/>
            <w:vAlign w:val="bottom"/>
            <w:tcBorders>
              <w:bottom w:val="single" w:sz="8" w:color="auto"/>
            </w:tcBorders>
            <w:shd w:val="clear" w:color="auto" w:fill="DBDBDB"/>
          </w:tcPr>
          <w:p>
            <w:pPr>
              <w:spacing w:after="0"/>
              <w:rPr>
                <w:sz w:val="21"/>
                <w:szCs w:val="21"/>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702.0</w:t>
            </w:r>
          </w:p>
        </w:tc>
        <w:tc>
          <w:tcPr>
            <w:tcW w:w="120" w:type="dxa"/>
            <w:vAlign w:val="bottom"/>
            <w:tcBorders>
              <w:bottom w:val="single" w:sz="8" w:color="DBDBDB"/>
            </w:tcBorders>
            <w:shd w:val="clear" w:color="auto" w:fill="DBDBDB"/>
          </w:tcPr>
          <w:p>
            <w:pPr>
              <w:spacing w:after="0"/>
              <w:rPr>
                <w:sz w:val="21"/>
                <w:szCs w:val="21"/>
                <w:color w:val="auto"/>
              </w:rPr>
            </w:pPr>
          </w:p>
        </w:tc>
        <w:tc>
          <w:tcPr>
            <w:tcW w:w="300" w:type="dxa"/>
            <w:vAlign w:val="bottom"/>
            <w:tcBorders>
              <w:bottom w:val="single" w:sz="8" w:color="auto"/>
            </w:tcBorders>
            <w:shd w:val="clear" w:color="auto" w:fill="DBDBDB"/>
          </w:tcPr>
          <w:p>
            <w:pPr>
              <w:spacing w:after="0"/>
              <w:rPr>
                <w:sz w:val="21"/>
                <w:szCs w:val="21"/>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711.6</w:t>
            </w:r>
          </w:p>
        </w:tc>
      </w:tr>
      <w:tr>
        <w:trPr>
          <w:trHeight w:val="20"/>
        </w:trPr>
        <w:tc>
          <w:tcPr>
            <w:tcW w:w="20" w:type="dxa"/>
            <w:vAlign w:val="bottom"/>
            <w:tcBorders>
              <w:top w:val="single" w:sz="8" w:color="DBDBDB"/>
            </w:tcBorders>
          </w:tcPr>
          <w:p>
            <w:pPr>
              <w:spacing w:after="0" w:line="20" w:lineRule="exact"/>
              <w:rPr>
                <w:sz w:val="1"/>
                <w:szCs w:val="1"/>
                <w:color w:val="auto"/>
              </w:rPr>
            </w:pPr>
          </w:p>
        </w:tc>
        <w:tc>
          <w:tcPr>
            <w:tcW w:w="1080" w:type="dxa"/>
            <w:vAlign w:val="bottom"/>
            <w:tcBorders>
              <w:top w:val="single" w:sz="8" w:color="DBDBDB"/>
            </w:tcBorders>
            <w:gridSpan w:val="2"/>
          </w:tcPr>
          <w:p>
            <w:pPr>
              <w:spacing w:after="0" w:line="20" w:lineRule="exact"/>
              <w:rPr>
                <w:sz w:val="1"/>
                <w:szCs w:val="1"/>
                <w:color w:val="auto"/>
              </w:rPr>
            </w:pPr>
          </w:p>
        </w:tc>
        <w:tc>
          <w:tcPr>
            <w:tcW w:w="200" w:type="dxa"/>
            <w:vAlign w:val="bottom"/>
            <w:tcBorders>
              <w:top w:val="single" w:sz="8" w:color="DBDBDB"/>
            </w:tcBorders>
          </w:tcPr>
          <w:p>
            <w:pPr>
              <w:spacing w:after="0" w:line="20" w:lineRule="exact"/>
              <w:rPr>
                <w:sz w:val="1"/>
                <w:szCs w:val="1"/>
                <w:color w:val="auto"/>
              </w:rPr>
            </w:pPr>
          </w:p>
        </w:tc>
        <w:tc>
          <w:tcPr>
            <w:tcW w:w="45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9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14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980" w:type="dxa"/>
            <w:vAlign w:val="bottom"/>
            <w:tcBorders>
              <w:top w:val="single" w:sz="8" w:color="DBDBDB"/>
              <w:bottom w:val="single" w:sz="8" w:color="auto"/>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gridSpan w:val="4"/>
          </w:tcPr>
          <w:p>
            <w:pPr>
              <w:spacing w:after="0" w:line="203" w:lineRule="exact"/>
              <w:rPr>
                <w:sz w:val="20"/>
                <w:szCs w:val="20"/>
                <w:color w:val="auto"/>
              </w:rPr>
            </w:pPr>
            <w:r>
              <w:rPr>
                <w:rFonts w:ascii="Arial" w:cs="Arial" w:eastAsia="Arial" w:hAnsi="Arial"/>
                <w:sz w:val="18"/>
                <w:szCs w:val="18"/>
                <w:color w:val="auto"/>
              </w:rPr>
              <w:t>Earnings per share of common stock - assuming dilution</w:t>
            </w:r>
          </w:p>
        </w:tc>
        <w:tc>
          <w:tcPr>
            <w:tcW w:w="280" w:type="dxa"/>
            <w:vAlign w:val="bottom"/>
          </w:tcPr>
          <w:p>
            <w:pPr>
              <w:jc w:val="right"/>
              <w:ind w:right="76"/>
              <w:spacing w:after="0" w:line="203" w:lineRule="exact"/>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1.80</w:t>
            </w:r>
          </w:p>
        </w:tc>
        <w:tc>
          <w:tcPr>
            <w:tcW w:w="100" w:type="dxa"/>
            <w:vAlign w:val="bottom"/>
          </w:tcPr>
          <w:p>
            <w:pPr>
              <w:spacing w:after="0"/>
              <w:rPr>
                <w:sz w:val="17"/>
                <w:szCs w:val="17"/>
                <w:color w:val="auto"/>
              </w:rPr>
            </w:pPr>
          </w:p>
        </w:tc>
        <w:tc>
          <w:tcPr>
            <w:tcW w:w="300" w:type="dxa"/>
            <w:vAlign w:val="bottom"/>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1.07</w:t>
            </w:r>
          </w:p>
        </w:tc>
        <w:tc>
          <w:tcPr>
            <w:tcW w:w="100" w:type="dxa"/>
            <w:vAlign w:val="bottom"/>
          </w:tcPr>
          <w:p>
            <w:pPr>
              <w:spacing w:after="0"/>
              <w:rPr>
                <w:sz w:val="17"/>
                <w:szCs w:val="17"/>
                <w:color w:val="auto"/>
              </w:rPr>
            </w:pPr>
          </w:p>
        </w:tc>
        <w:tc>
          <w:tcPr>
            <w:tcW w:w="14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5.86</w:t>
            </w:r>
          </w:p>
        </w:tc>
        <w:tc>
          <w:tcPr>
            <w:tcW w:w="120" w:type="dxa"/>
            <w:vAlign w:val="bottom"/>
          </w:tcPr>
          <w:p>
            <w:pPr>
              <w:spacing w:after="0"/>
              <w:rPr>
                <w:sz w:val="17"/>
                <w:szCs w:val="17"/>
                <w:color w:val="auto"/>
              </w:rPr>
            </w:pPr>
          </w:p>
        </w:tc>
        <w:tc>
          <w:tcPr>
            <w:tcW w:w="300" w:type="dxa"/>
            <w:vAlign w:val="bottom"/>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4.81</w:t>
            </w:r>
          </w:p>
        </w:tc>
      </w:tr>
    </w:tbl>
    <w:p>
      <w:pPr>
        <w:spacing w:after="0" w:line="3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diluted earnings per share calculations exclude the effect of stock options when the options’ exercise price exceed the average market price of the common shares during the period. For the three and nine months ended September 30, 2021, the weighted average number of stock options excluded from the computations were 1.9 million and 1.6 million, respectively. These stock options were outstanding at the end of each of the respective periods. For the three and nine months ended September 30, 2020, the weighted average number of stock options excluded from the computations were 7.1 million and 6.4 million, respectively.</w:t>
      </w:r>
    </w:p>
    <w:p>
      <w:pPr>
        <w:spacing w:after="0" w:line="9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of September 30, 2021 and 2020, total shares outstanding were 688.4 million and 701.7 million, respectively, and as of September 30, 2021 and 2020, total shares issued were 957.6 million.</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22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9"/>
          <w:szCs w:val="29"/>
          <w:b w:val="1"/>
          <w:bCs w:val="1"/>
          <w:color w:val="DC202E"/>
        </w:rPr>
        <w:t>NOTE 14. ACCUMULATED OTHER COMPREHENSIVE INCOME (LOSS)</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CHANGES IN ACCUMULATED OTHER COMPREHENSIVE INCOME (LOSS) BY COMPONENT</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rPr>
              <w:t>Foreign</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Pension</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Changes in Fair</w:t>
            </w:r>
          </w:p>
        </w:tc>
        <w:tc>
          <w:tcPr>
            <w:tcW w:w="200" w:type="dxa"/>
            <w:vAlign w:val="bottom"/>
          </w:tcPr>
          <w:p>
            <w:pPr>
              <w:spacing w:after="0"/>
              <w:rPr>
                <w:sz w:val="14"/>
                <w:szCs w:val="14"/>
                <w:color w:val="auto"/>
              </w:rPr>
            </w:pPr>
          </w:p>
        </w:tc>
        <w:tc>
          <w:tcPr>
            <w:tcW w:w="13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Changes in</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and Other</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gridSpan w:val="3"/>
          </w:tcPr>
          <w:p>
            <w:pPr>
              <w:jc w:val="center"/>
              <w:ind w:right="340"/>
              <w:spacing w:after="0" w:line="135" w:lineRule="exact"/>
              <w:rPr>
                <w:sz w:val="20"/>
                <w:szCs w:val="20"/>
                <w:color w:val="auto"/>
              </w:rPr>
            </w:pPr>
            <w:r>
              <w:rPr>
                <w:rFonts w:ascii="Arial" w:cs="Arial" w:eastAsia="Arial" w:hAnsi="Arial"/>
                <w:sz w:val="14"/>
                <w:szCs w:val="14"/>
                <w:b w:val="1"/>
                <w:bCs w:val="1"/>
                <w:color w:val="auto"/>
              </w:rPr>
              <w:t>Exchange</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Postretirement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tcPr>
          <w:p>
            <w:pPr>
              <w:ind w:left="300"/>
              <w:spacing w:after="0" w:line="135" w:lineRule="exact"/>
              <w:rPr>
                <w:sz w:val="20"/>
                <w:szCs w:val="20"/>
                <w:color w:val="auto"/>
              </w:rPr>
            </w:pPr>
            <w:r>
              <w:rPr>
                <w:rFonts w:ascii="Arial" w:cs="Arial" w:eastAsia="Arial" w:hAnsi="Arial"/>
                <w:sz w:val="14"/>
                <w:szCs w:val="14"/>
                <w:b w:val="1"/>
                <w:bCs w:val="1"/>
                <w:color w:val="auto"/>
              </w:rPr>
              <w:t>Value of</w:t>
            </w:r>
          </w:p>
        </w:tc>
        <w:tc>
          <w:tcPr>
            <w:tcW w:w="200" w:type="dxa"/>
            <w:vAlign w:val="bottom"/>
          </w:tcPr>
          <w:p>
            <w:pPr>
              <w:spacing w:after="0"/>
              <w:rPr>
                <w:sz w:val="11"/>
                <w:szCs w:val="11"/>
                <w:color w:val="auto"/>
              </w:rPr>
            </w:pPr>
          </w:p>
        </w:tc>
        <w:tc>
          <w:tcPr>
            <w:tcW w:w="13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Fair Value</w:t>
            </w: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gridSpan w:val="3"/>
          </w:tcPr>
          <w:p>
            <w:pPr>
              <w:jc w:val="center"/>
              <w:ind w:right="340"/>
              <w:spacing w:after="0" w:line="135" w:lineRule="exact"/>
              <w:rPr>
                <w:sz w:val="20"/>
                <w:szCs w:val="20"/>
                <w:color w:val="auto"/>
              </w:rPr>
            </w:pPr>
            <w:r>
              <w:rPr>
                <w:rFonts w:ascii="Arial" w:cs="Arial" w:eastAsia="Arial" w:hAnsi="Arial"/>
                <w:sz w:val="14"/>
                <w:szCs w:val="14"/>
                <w:b w:val="1"/>
                <w:bCs w:val="1"/>
                <w:color w:val="auto"/>
              </w:rPr>
              <w:t>Translation</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Benefits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Available for Sale</w:t>
            </w:r>
          </w:p>
        </w:tc>
        <w:tc>
          <w:tcPr>
            <w:tcW w:w="200" w:type="dxa"/>
            <w:vAlign w:val="bottom"/>
          </w:tcPr>
          <w:p>
            <w:pPr>
              <w:spacing w:after="0"/>
              <w:rPr>
                <w:sz w:val="11"/>
                <w:szCs w:val="11"/>
                <w:color w:val="auto"/>
              </w:rPr>
            </w:pPr>
          </w:p>
        </w:tc>
        <w:tc>
          <w:tcPr>
            <w:tcW w:w="13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of Cash Flow</w:t>
            </w:r>
          </w:p>
        </w:tc>
        <w:tc>
          <w:tcPr>
            <w:tcW w:w="340" w:type="dxa"/>
            <w:vAlign w:val="bottom"/>
          </w:tcPr>
          <w:p>
            <w:pPr>
              <w:spacing w:after="0"/>
              <w:rPr>
                <w:sz w:val="11"/>
                <w:szCs w:val="11"/>
                <w:color w:val="auto"/>
              </w:rPr>
            </w:pPr>
          </w:p>
        </w:tc>
        <w:tc>
          <w:tcPr>
            <w:tcW w:w="110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3660" w:type="dxa"/>
            <w:vAlign w:val="bottom"/>
            <w:tcBorders>
              <w:bottom w:val="single" w:sz="8" w:color="DBDBDB"/>
            </w:tcBorders>
          </w:tcPr>
          <w:p>
            <w:pPr>
              <w:spacing w:after="0"/>
              <w:rPr>
                <w:sz w:val="15"/>
                <w:szCs w:val="15"/>
                <w:color w:val="auto"/>
              </w:rPr>
            </w:pPr>
          </w:p>
        </w:tc>
        <w:tc>
          <w:tcPr>
            <w:tcW w:w="20" w:type="dxa"/>
            <w:vAlign w:val="bottom"/>
            <w:tcBorders>
              <w:bottom w:val="single" w:sz="8" w:color="DC202E"/>
            </w:tcBorders>
          </w:tcPr>
          <w:p>
            <w:pPr>
              <w:spacing w:after="0"/>
              <w:rPr>
                <w:sz w:val="15"/>
                <w:szCs w:val="15"/>
                <w:color w:val="auto"/>
              </w:rPr>
            </w:pPr>
          </w:p>
        </w:tc>
        <w:tc>
          <w:tcPr>
            <w:tcW w:w="220" w:type="dxa"/>
            <w:vAlign w:val="bottom"/>
            <w:tcBorders>
              <w:bottom w:val="single" w:sz="8" w:color="DC202E"/>
            </w:tcBorders>
          </w:tcPr>
          <w:p>
            <w:pPr>
              <w:spacing w:after="0"/>
              <w:rPr>
                <w:sz w:val="15"/>
                <w:szCs w:val="15"/>
                <w:color w:val="auto"/>
              </w:rPr>
            </w:pPr>
          </w:p>
        </w:tc>
        <w:tc>
          <w:tcPr>
            <w:tcW w:w="1200" w:type="dxa"/>
            <w:vAlign w:val="bottom"/>
            <w:tcBorders>
              <w:bottom w:val="single" w:sz="8" w:color="DC202E"/>
            </w:tcBorders>
          </w:tcPr>
          <w:p>
            <w:pPr>
              <w:jc w:val="center"/>
              <w:ind w:right="158"/>
              <w:spacing w:after="0"/>
              <w:rPr>
                <w:sz w:val="20"/>
                <w:szCs w:val="20"/>
                <w:color w:val="auto"/>
              </w:rPr>
            </w:pPr>
            <w:r>
              <w:rPr>
                <w:rFonts w:ascii="Arial" w:cs="Arial" w:eastAsia="Arial" w:hAnsi="Arial"/>
                <w:sz w:val="14"/>
                <w:szCs w:val="14"/>
                <w:b w:val="1"/>
                <w:bCs w:val="1"/>
                <w:color w:val="auto"/>
              </w:rPr>
              <w:t>Adjustment</w:t>
            </w:r>
          </w:p>
        </w:tc>
        <w:tc>
          <w:tcPr>
            <w:tcW w:w="100" w:type="dxa"/>
            <w:vAlign w:val="bottom"/>
            <w:tcBorders>
              <w:bottom w:val="single" w:sz="8" w:color="DBDBDB"/>
            </w:tcBorders>
            <w:gridSpan w:val="2"/>
          </w:tcPr>
          <w:p>
            <w:pPr>
              <w:spacing w:after="0"/>
              <w:rPr>
                <w:sz w:val="15"/>
                <w:szCs w:val="15"/>
                <w:color w:val="auto"/>
              </w:rPr>
            </w:pPr>
          </w:p>
        </w:tc>
        <w:tc>
          <w:tcPr>
            <w:tcW w:w="20" w:type="dxa"/>
            <w:vAlign w:val="bottom"/>
            <w:tcBorders>
              <w:bottom w:val="single" w:sz="8" w:color="DC202E"/>
            </w:tcBorders>
          </w:tcPr>
          <w:p>
            <w:pPr>
              <w:spacing w:after="0"/>
              <w:rPr>
                <w:sz w:val="15"/>
                <w:szCs w:val="15"/>
                <w:color w:val="auto"/>
              </w:rPr>
            </w:pPr>
          </w:p>
        </w:tc>
        <w:tc>
          <w:tcPr>
            <w:tcW w:w="160" w:type="dxa"/>
            <w:vAlign w:val="bottom"/>
            <w:tcBorders>
              <w:bottom w:val="single" w:sz="8" w:color="DC202E"/>
            </w:tcBorders>
          </w:tcPr>
          <w:p>
            <w:pPr>
              <w:spacing w:after="0"/>
              <w:rPr>
                <w:sz w:val="15"/>
                <w:szCs w:val="15"/>
                <w:color w:val="auto"/>
              </w:rPr>
            </w:pPr>
          </w:p>
        </w:tc>
        <w:tc>
          <w:tcPr>
            <w:tcW w:w="1260" w:type="dxa"/>
            <w:vAlign w:val="bottom"/>
            <w:tcBorders>
              <w:bottom w:val="single" w:sz="8" w:color="DC202E"/>
            </w:tcBorders>
          </w:tcPr>
          <w:p>
            <w:pPr>
              <w:jc w:val="center"/>
              <w:ind w:right="99"/>
              <w:spacing w:after="0"/>
              <w:rPr>
                <w:sz w:val="20"/>
                <w:szCs w:val="20"/>
                <w:color w:val="auto"/>
              </w:rPr>
            </w:pPr>
            <w:r>
              <w:rPr>
                <w:rFonts w:ascii="Arial" w:cs="Arial" w:eastAsia="Arial" w:hAnsi="Arial"/>
                <w:sz w:val="14"/>
                <w:szCs w:val="14"/>
                <w:b w:val="1"/>
                <w:bCs w:val="1"/>
                <w:color w:val="auto"/>
              </w:rPr>
              <w:t>Adjustments</w:t>
            </w:r>
          </w:p>
        </w:tc>
        <w:tc>
          <w:tcPr>
            <w:tcW w:w="100" w:type="dxa"/>
            <w:vAlign w:val="bottom"/>
            <w:tcBorders>
              <w:bottom w:val="single" w:sz="8" w:color="DBDBDB"/>
            </w:tcBorders>
          </w:tcPr>
          <w:p>
            <w:pPr>
              <w:spacing w:after="0"/>
              <w:rPr>
                <w:sz w:val="15"/>
                <w:szCs w:val="15"/>
                <w:color w:val="auto"/>
              </w:rPr>
            </w:pPr>
          </w:p>
        </w:tc>
        <w:tc>
          <w:tcPr>
            <w:tcW w:w="20" w:type="dxa"/>
            <w:vAlign w:val="bottom"/>
            <w:tcBorders>
              <w:bottom w:val="single" w:sz="8" w:color="DC202E"/>
            </w:tcBorders>
          </w:tcPr>
          <w:p>
            <w:pPr>
              <w:spacing w:after="0"/>
              <w:rPr>
                <w:sz w:val="15"/>
                <w:szCs w:val="15"/>
                <w:color w:val="auto"/>
              </w:rPr>
            </w:pPr>
          </w:p>
        </w:tc>
        <w:tc>
          <w:tcPr>
            <w:tcW w:w="120" w:type="dxa"/>
            <w:vAlign w:val="bottom"/>
            <w:tcBorders>
              <w:bottom w:val="single" w:sz="8" w:color="DC202E"/>
            </w:tcBorders>
          </w:tcPr>
          <w:p>
            <w:pPr>
              <w:spacing w:after="0"/>
              <w:rPr>
                <w:sz w:val="15"/>
                <w:szCs w:val="15"/>
                <w:color w:val="auto"/>
              </w:rPr>
            </w:pPr>
          </w:p>
        </w:tc>
        <w:tc>
          <w:tcPr>
            <w:tcW w:w="1300" w:type="dxa"/>
            <w:vAlign w:val="bottom"/>
            <w:tcBorders>
              <w:bottom w:val="single" w:sz="8" w:color="DC202E"/>
            </w:tcBorders>
          </w:tcPr>
          <w:p>
            <w:pPr>
              <w:jc w:val="center"/>
              <w:ind w:right="18"/>
              <w:spacing w:after="0"/>
              <w:rPr>
                <w:sz w:val="20"/>
                <w:szCs w:val="20"/>
                <w:color w:val="auto"/>
              </w:rPr>
            </w:pPr>
            <w:r>
              <w:rPr>
                <w:rFonts w:ascii="Arial" w:cs="Arial" w:eastAsia="Arial" w:hAnsi="Arial"/>
                <w:sz w:val="14"/>
                <w:szCs w:val="14"/>
                <w:b w:val="1"/>
                <w:bCs w:val="1"/>
                <w:color w:val="auto"/>
              </w:rPr>
              <w:t>Investments</w:t>
            </w:r>
          </w:p>
        </w:tc>
        <w:tc>
          <w:tcPr>
            <w:tcW w:w="100" w:type="dxa"/>
            <w:vAlign w:val="bottom"/>
            <w:tcBorders>
              <w:bottom w:val="single" w:sz="8" w:color="DBDBDB"/>
            </w:tcBorders>
          </w:tcPr>
          <w:p>
            <w:pPr>
              <w:spacing w:after="0"/>
              <w:rPr>
                <w:sz w:val="15"/>
                <w:szCs w:val="15"/>
                <w:color w:val="auto"/>
              </w:rPr>
            </w:pPr>
          </w:p>
        </w:tc>
        <w:tc>
          <w:tcPr>
            <w:tcW w:w="200" w:type="dxa"/>
            <w:vAlign w:val="bottom"/>
            <w:tcBorders>
              <w:bottom w:val="single" w:sz="8" w:color="DC202E"/>
            </w:tcBorders>
          </w:tcPr>
          <w:p>
            <w:pPr>
              <w:spacing w:after="0"/>
              <w:rPr>
                <w:sz w:val="15"/>
                <w:szCs w:val="15"/>
                <w:color w:val="auto"/>
              </w:rPr>
            </w:pPr>
          </w:p>
        </w:tc>
        <w:tc>
          <w:tcPr>
            <w:tcW w:w="1220" w:type="dxa"/>
            <w:vAlign w:val="bottom"/>
            <w:tcBorders>
              <w:bottom w:val="single" w:sz="8" w:color="DC202E"/>
            </w:tcBorders>
          </w:tcPr>
          <w:p>
            <w:pPr>
              <w:jc w:val="right"/>
              <w:ind w:right="398"/>
              <w:spacing w:after="0"/>
              <w:rPr>
                <w:sz w:val="20"/>
                <w:szCs w:val="20"/>
                <w:color w:val="auto"/>
              </w:rPr>
            </w:pPr>
            <w:r>
              <w:rPr>
                <w:rFonts w:ascii="Arial" w:cs="Arial" w:eastAsia="Arial" w:hAnsi="Arial"/>
                <w:sz w:val="14"/>
                <w:szCs w:val="14"/>
                <w:b w:val="1"/>
                <w:bCs w:val="1"/>
                <w:color w:val="auto"/>
              </w:rPr>
              <w:t>Hedges</w:t>
            </w:r>
          </w:p>
        </w:tc>
        <w:tc>
          <w:tcPr>
            <w:tcW w:w="100" w:type="dxa"/>
            <w:vAlign w:val="bottom"/>
            <w:tcBorders>
              <w:bottom w:val="single" w:sz="8" w:color="DBDBDB"/>
            </w:tcBorders>
          </w:tcPr>
          <w:p>
            <w:pPr>
              <w:spacing w:after="0"/>
              <w:rPr>
                <w:sz w:val="15"/>
                <w:szCs w:val="15"/>
                <w:color w:val="auto"/>
              </w:rPr>
            </w:pPr>
          </w:p>
        </w:tc>
        <w:tc>
          <w:tcPr>
            <w:tcW w:w="340" w:type="dxa"/>
            <w:vAlign w:val="bottom"/>
            <w:tcBorders>
              <w:bottom w:val="single" w:sz="8" w:color="DC202E"/>
            </w:tcBorders>
          </w:tcPr>
          <w:p>
            <w:pPr>
              <w:spacing w:after="0"/>
              <w:rPr>
                <w:sz w:val="15"/>
                <w:szCs w:val="15"/>
                <w:color w:val="auto"/>
              </w:rPr>
            </w:pPr>
          </w:p>
        </w:tc>
        <w:tc>
          <w:tcPr>
            <w:tcW w:w="1100" w:type="dxa"/>
            <w:vAlign w:val="bottom"/>
            <w:tcBorders>
              <w:bottom w:val="single" w:sz="8" w:color="DC202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DBDBDB"/>
          </w:tcPr>
          <w:p>
            <w:pPr>
              <w:ind w:left="20"/>
              <w:spacing w:after="0"/>
              <w:rPr>
                <w:sz w:val="20"/>
                <w:szCs w:val="20"/>
                <w:color w:val="auto"/>
              </w:rPr>
            </w:pPr>
            <w:r>
              <w:rPr>
                <w:rFonts w:ascii="Arial" w:cs="Arial" w:eastAsia="Arial" w:hAnsi="Arial"/>
                <w:sz w:val="18"/>
                <w:szCs w:val="18"/>
                <w:color w:val="auto"/>
              </w:rPr>
              <w:t>Balance at December 31, 2020</w:t>
            </w:r>
          </w:p>
        </w:tc>
        <w:tc>
          <w:tcPr>
            <w:tcW w:w="240" w:type="dxa"/>
            <w:vAlign w:val="bottom"/>
            <w:gridSpan w:val="2"/>
            <w:shd w:val="clear" w:color="auto" w:fill="DBDBDB"/>
          </w:tcPr>
          <w:p>
            <w:pPr>
              <w:jc w:val="right"/>
              <w:ind w:right="12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(2,780)</w:t>
            </w:r>
          </w:p>
        </w:tc>
        <w:tc>
          <w:tcPr>
            <w:tcW w:w="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80" w:type="dxa"/>
            <w:vAlign w:val="bottom"/>
            <w:gridSpan w:val="2"/>
            <w:shd w:val="clear" w:color="auto" w:fill="DBDBDB"/>
          </w:tcPr>
          <w:p>
            <w:pPr>
              <w:jc w:val="right"/>
              <w:ind w:right="6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(601)</w:t>
            </w:r>
          </w:p>
        </w:tc>
        <w:tc>
          <w:tcPr>
            <w:tcW w:w="100" w:type="dxa"/>
            <w:vAlign w:val="bottom"/>
            <w:shd w:val="clear" w:color="auto" w:fill="DBDBDB"/>
          </w:tcPr>
          <w:p>
            <w:pPr>
              <w:spacing w:after="0"/>
              <w:rPr>
                <w:sz w:val="19"/>
                <w:szCs w:val="19"/>
                <w:color w:val="auto"/>
              </w:rPr>
            </w:pPr>
          </w:p>
        </w:tc>
        <w:tc>
          <w:tcPr>
            <w:tcW w:w="140" w:type="dxa"/>
            <w:vAlign w:val="bottom"/>
            <w:gridSpan w:val="2"/>
            <w:shd w:val="clear" w:color="auto" w:fill="DBDBDB"/>
          </w:tcPr>
          <w:p>
            <w:pPr>
              <w:jc w:val="right"/>
              <w:ind w:right="2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(3,377)</w:t>
            </w:r>
          </w:p>
        </w:tc>
        <w:tc>
          <w:tcPr>
            <w:tcW w:w="0" w:type="dxa"/>
            <w:vAlign w:val="bottom"/>
          </w:tcPr>
          <w:p>
            <w:pPr>
              <w:spacing w:after="0"/>
              <w:rPr>
                <w:sz w:val="1"/>
                <w:szCs w:val="1"/>
                <w:color w:val="auto"/>
              </w:rPr>
            </w:pPr>
          </w:p>
        </w:tc>
      </w:tr>
      <w:tr>
        <w:trPr>
          <w:trHeight w:val="188"/>
        </w:trPr>
        <w:tc>
          <w:tcPr>
            <w:tcW w:w="3660" w:type="dxa"/>
            <w:vAlign w:val="bottom"/>
          </w:tcPr>
          <w:p>
            <w:pPr>
              <w:ind w:left="20"/>
              <w:spacing w:after="0" w:line="189" w:lineRule="exact"/>
              <w:rPr>
                <w:sz w:val="20"/>
                <w:szCs w:val="20"/>
                <w:color w:val="auto"/>
              </w:rPr>
            </w:pPr>
            <w:r>
              <w:rPr>
                <w:rFonts w:ascii="Arial" w:cs="Arial" w:eastAsia="Arial" w:hAnsi="Arial"/>
                <w:sz w:val="18"/>
                <w:szCs w:val="18"/>
                <w:color w:val="auto"/>
              </w:rPr>
              <w:t>Other comprehensive income (loss) before</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660" w:type="dxa"/>
            <w:vAlign w:val="bottom"/>
          </w:tcPr>
          <w:p>
            <w:pPr>
              <w:ind w:left="180"/>
              <w:spacing w:after="0"/>
              <w:rPr>
                <w:sz w:val="20"/>
                <w:szCs w:val="20"/>
                <w:color w:val="auto"/>
              </w:rPr>
            </w:pPr>
            <w:r>
              <w:rPr>
                <w:rFonts w:ascii="Arial" w:cs="Arial" w:eastAsia="Arial" w:hAnsi="Arial"/>
                <w:sz w:val="18"/>
                <w:szCs w:val="18"/>
                <w:color w:val="auto"/>
              </w:rPr>
              <w:t>reclassifications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ind w:left="104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188"/>
        </w:trPr>
        <w:tc>
          <w:tcPr>
            <w:tcW w:w="3660" w:type="dxa"/>
            <w:vAlign w:val="bottom"/>
            <w:shd w:val="clear" w:color="auto" w:fill="DBDBDB"/>
          </w:tcPr>
          <w:p>
            <w:pPr>
              <w:ind w:left="20"/>
              <w:spacing w:after="0" w:line="189" w:lineRule="exact"/>
              <w:rPr>
                <w:sz w:val="20"/>
                <w:szCs w:val="20"/>
                <w:color w:val="auto"/>
              </w:rPr>
            </w:pPr>
            <w:r>
              <w:rPr>
                <w:rFonts w:ascii="Arial" w:cs="Arial" w:eastAsia="Arial" w:hAnsi="Arial"/>
                <w:sz w:val="18"/>
                <w:szCs w:val="18"/>
                <w:color w:val="auto"/>
              </w:rPr>
              <w:t>Amounts reclassified from accumulated other</w:t>
            </w:r>
          </w:p>
        </w:tc>
        <w:tc>
          <w:tcPr>
            <w:tcW w:w="2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120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126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3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122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340" w:type="dxa"/>
            <w:vAlign w:val="bottom"/>
            <w:shd w:val="clear" w:color="auto" w:fill="DBDBDB"/>
          </w:tcPr>
          <w:p>
            <w:pPr>
              <w:spacing w:after="0"/>
              <w:rPr>
                <w:sz w:val="16"/>
                <w:szCs w:val="16"/>
                <w:color w:val="auto"/>
              </w:rPr>
            </w:pPr>
          </w:p>
        </w:tc>
        <w:tc>
          <w:tcPr>
            <w:tcW w:w="110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660" w:type="dxa"/>
            <w:vAlign w:val="bottom"/>
            <w:shd w:val="clear" w:color="auto" w:fill="DBDBDB"/>
          </w:tcPr>
          <w:p>
            <w:pPr>
              <w:ind w:left="180"/>
              <w:spacing w:after="0"/>
              <w:rPr>
                <w:sz w:val="20"/>
                <w:szCs w:val="20"/>
                <w:color w:val="auto"/>
              </w:rPr>
            </w:pPr>
            <w:r>
              <w:rPr>
                <w:rFonts w:ascii="Arial" w:cs="Arial" w:eastAsia="Arial" w:hAnsi="Arial"/>
                <w:sz w:val="18"/>
                <w:szCs w:val="18"/>
                <w:color w:val="auto"/>
              </w:rPr>
              <w:t>comprehensive income</w:t>
            </w:r>
          </w:p>
        </w:tc>
        <w:tc>
          <w:tcPr>
            <w:tcW w:w="2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300" w:type="dxa"/>
            <w:vAlign w:val="bottom"/>
            <w:gridSpan w:val="3"/>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DBDBDB"/>
          </w:tcPr>
          <w:p>
            <w:pPr>
              <w:spacing w:after="0"/>
              <w:rPr>
                <w:sz w:val="18"/>
                <w:szCs w:val="18"/>
                <w:color w:val="auto"/>
              </w:rPr>
            </w:pPr>
          </w:p>
        </w:tc>
        <w:tc>
          <w:tcPr>
            <w:tcW w:w="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40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68"/>
        </w:trPr>
        <w:tc>
          <w:tcPr>
            <w:tcW w:w="3660" w:type="dxa"/>
            <w:vAlign w:val="bottom"/>
          </w:tcPr>
          <w:p>
            <w:pPr>
              <w:ind w:left="20"/>
              <w:spacing w:after="0" w:line="168" w:lineRule="exact"/>
              <w:rPr>
                <w:sz w:val="20"/>
                <w:szCs w:val="20"/>
                <w:color w:val="auto"/>
              </w:rPr>
            </w:pPr>
            <w:r>
              <w:rPr>
                <w:rFonts w:ascii="Arial" w:cs="Arial" w:eastAsia="Arial" w:hAnsi="Arial"/>
                <w:sz w:val="18"/>
                <w:szCs w:val="18"/>
                <w:color w:val="auto"/>
              </w:rPr>
              <w:t>Net current period other comprehensive</w:t>
            </w:r>
          </w:p>
        </w:tc>
        <w:tc>
          <w:tcPr>
            <w:tcW w:w="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660" w:type="dxa"/>
            <w:vAlign w:val="bottom"/>
            <w:tcBorders>
              <w:bottom w:val="single" w:sz="8" w:color="DBDBDB"/>
            </w:tcBorders>
          </w:tcPr>
          <w:p>
            <w:pPr>
              <w:ind w:left="180"/>
              <w:spacing w:after="0"/>
              <w:rPr>
                <w:sz w:val="20"/>
                <w:szCs w:val="20"/>
                <w:color w:val="auto"/>
              </w:rPr>
            </w:pPr>
            <w:r>
              <w:rPr>
                <w:rFonts w:ascii="Arial" w:cs="Arial" w:eastAsia="Arial" w:hAnsi="Arial"/>
                <w:sz w:val="18"/>
                <w:szCs w:val="18"/>
                <w:color w:val="auto"/>
              </w:rPr>
              <w:t>income (loss)</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20" w:type="dxa"/>
            <w:vAlign w:val="bottom"/>
            <w:tcBorders>
              <w:bottom w:val="single" w:sz="8" w:color="DBDBDB"/>
            </w:tcBorders>
          </w:tcPr>
          <w:p>
            <w:pPr>
              <w:spacing w:after="0"/>
              <w:rPr>
                <w:sz w:val="18"/>
                <w:szCs w:val="18"/>
                <w:color w:val="auto"/>
              </w:rPr>
            </w:pPr>
          </w:p>
        </w:tc>
        <w:tc>
          <w:tcPr>
            <w:tcW w:w="80" w:type="dxa"/>
            <w:vAlign w:val="bottom"/>
            <w:tcBorders>
              <w:bottom w:val="single" w:sz="8" w:color="DBDBDB"/>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DBDBDB"/>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DBDBDB"/>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DBDBDB"/>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48"/>
        </w:trPr>
        <w:tc>
          <w:tcPr>
            <w:tcW w:w="3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Balance at September 30, 2021</w:t>
            </w:r>
          </w:p>
        </w:tc>
        <w:tc>
          <w:tcPr>
            <w:tcW w:w="240" w:type="dxa"/>
            <w:vAlign w:val="bottom"/>
            <w:tcBorders>
              <w:bottom w:val="single" w:sz="8" w:color="auto"/>
            </w:tcBorders>
            <w:gridSpan w:val="2"/>
            <w:shd w:val="clear" w:color="auto" w:fill="DBDBDB"/>
          </w:tcPr>
          <w:p>
            <w:pPr>
              <w:jc w:val="right"/>
              <w:ind w:right="12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(2,530)</w:t>
            </w:r>
          </w:p>
        </w:tc>
        <w:tc>
          <w:tcPr>
            <w:tcW w:w="20" w:type="dxa"/>
            <w:vAlign w:val="bottom"/>
            <w:tcBorders>
              <w:bottom w:val="single" w:sz="8" w:color="DBDBDB"/>
            </w:tcBorders>
            <w:shd w:val="clear" w:color="auto" w:fill="DBDBDB"/>
          </w:tcPr>
          <w:p>
            <w:pPr>
              <w:spacing w:after="0"/>
              <w:rPr>
                <w:sz w:val="21"/>
                <w:szCs w:val="21"/>
                <w:color w:val="auto"/>
              </w:rPr>
            </w:pPr>
          </w:p>
        </w:tc>
        <w:tc>
          <w:tcPr>
            <w:tcW w:w="80" w:type="dxa"/>
            <w:vAlign w:val="bottom"/>
            <w:tcBorders>
              <w:bottom w:val="single" w:sz="8" w:color="DBDBDB"/>
            </w:tcBorders>
            <w:shd w:val="clear" w:color="auto" w:fill="DBDBDB"/>
          </w:tcPr>
          <w:p>
            <w:pPr>
              <w:spacing w:after="0"/>
              <w:rPr>
                <w:sz w:val="21"/>
                <w:szCs w:val="21"/>
                <w:color w:val="auto"/>
              </w:rPr>
            </w:pPr>
          </w:p>
        </w:tc>
        <w:tc>
          <w:tcPr>
            <w:tcW w:w="180" w:type="dxa"/>
            <w:vAlign w:val="bottom"/>
            <w:tcBorders>
              <w:bottom w:val="single" w:sz="8" w:color="auto"/>
            </w:tcBorders>
            <w:gridSpan w:val="2"/>
            <w:shd w:val="clear" w:color="auto" w:fill="DBDBDB"/>
          </w:tcPr>
          <w:p>
            <w:pPr>
              <w:jc w:val="right"/>
              <w:ind w:right="6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(666)</w:t>
            </w:r>
          </w:p>
        </w:tc>
        <w:tc>
          <w:tcPr>
            <w:tcW w:w="100" w:type="dxa"/>
            <w:vAlign w:val="bottom"/>
            <w:tcBorders>
              <w:bottom w:val="single" w:sz="8" w:color="DBDBDB"/>
            </w:tcBorders>
            <w:shd w:val="clear" w:color="auto" w:fill="DBDBDB"/>
          </w:tcPr>
          <w:p>
            <w:pPr>
              <w:spacing w:after="0"/>
              <w:rPr>
                <w:sz w:val="21"/>
                <w:szCs w:val="21"/>
                <w:color w:val="auto"/>
              </w:rPr>
            </w:pPr>
          </w:p>
        </w:tc>
        <w:tc>
          <w:tcPr>
            <w:tcW w:w="140" w:type="dxa"/>
            <w:vAlign w:val="bottom"/>
            <w:tcBorders>
              <w:bottom w:val="single" w:sz="8" w:color="auto"/>
            </w:tcBorders>
            <w:gridSpan w:val="2"/>
            <w:shd w:val="clear" w:color="auto" w:fill="DBDBDB"/>
          </w:tcPr>
          <w:p>
            <w:pPr>
              <w:jc w:val="right"/>
              <w:ind w:right="2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DBDBDB"/>
            </w:tcBorders>
            <w:shd w:val="clear" w:color="auto" w:fill="DBDBDB"/>
          </w:tcPr>
          <w:p>
            <w:pPr>
              <w:spacing w:after="0"/>
              <w:rPr>
                <w:sz w:val="21"/>
                <w:szCs w:val="21"/>
                <w:color w:val="auto"/>
              </w:rPr>
            </w:pPr>
          </w:p>
        </w:tc>
        <w:tc>
          <w:tcPr>
            <w:tcW w:w="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DBDBDB"/>
            </w:tcBorders>
            <w:shd w:val="clear" w:color="auto" w:fill="DBDBDB"/>
          </w:tcPr>
          <w:p>
            <w:pPr>
              <w:spacing w:after="0"/>
              <w:rPr>
                <w:sz w:val="21"/>
                <w:szCs w:val="21"/>
                <w:color w:val="auto"/>
              </w:rPr>
            </w:pPr>
          </w:p>
        </w:tc>
        <w:tc>
          <w:tcPr>
            <w:tcW w:w="340" w:type="dxa"/>
            <w:vAlign w:val="bottom"/>
            <w:tcBorders>
              <w:bottom w:val="single" w:sz="8" w:color="auto"/>
            </w:tcBorders>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(3,193)</w:t>
            </w:r>
          </w:p>
        </w:tc>
        <w:tc>
          <w:tcPr>
            <w:tcW w:w="0" w:type="dxa"/>
            <w:vAlign w:val="bottom"/>
          </w:tcPr>
          <w:p>
            <w:pPr>
              <w:spacing w:after="0"/>
              <w:rPr>
                <w:sz w:val="1"/>
                <w:szCs w:val="1"/>
                <w:color w:val="auto"/>
              </w:rPr>
            </w:pPr>
          </w:p>
        </w:tc>
      </w:tr>
      <w:tr>
        <w:trPr>
          <w:trHeight w:val="20"/>
        </w:trPr>
        <w:tc>
          <w:tcPr>
            <w:tcW w:w="3660" w:type="dxa"/>
            <w:vAlign w:val="bottom"/>
            <w:tcBorders>
              <w:top w:val="single" w:sz="8" w:color="DBDBDB"/>
            </w:tcBorders>
          </w:tcPr>
          <w:p>
            <w:pPr>
              <w:spacing w:after="0" w:line="20" w:lineRule="exact"/>
              <w:rPr>
                <w:sz w:val="1"/>
                <w:szCs w:val="1"/>
                <w:color w:val="auto"/>
              </w:rPr>
            </w:pPr>
          </w:p>
        </w:tc>
        <w:tc>
          <w:tcPr>
            <w:tcW w:w="20" w:type="dxa"/>
            <w:vAlign w:val="bottom"/>
            <w:tcBorders>
              <w:top w:val="single" w:sz="8" w:color="DBDBDB"/>
              <w:bottom w:val="single" w:sz="8" w:color="auto"/>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20" w:type="dxa"/>
            <w:vAlign w:val="bottom"/>
            <w:tcBorders>
              <w:top w:val="single" w:sz="8" w:color="DBDBDB"/>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0" w:type="dxa"/>
            <w:vAlign w:val="bottom"/>
            <w:tcBorders>
              <w:top w:val="single" w:sz="8" w:color="DBDBDB"/>
              <w:bottom w:val="single" w:sz="8" w:color="auto"/>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3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2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3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rPr>
              <w:t>Foreign</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Pension</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Changes in Fair</w:t>
            </w:r>
          </w:p>
        </w:tc>
        <w:tc>
          <w:tcPr>
            <w:tcW w:w="200" w:type="dxa"/>
            <w:vAlign w:val="bottom"/>
          </w:tcPr>
          <w:p>
            <w:pPr>
              <w:spacing w:after="0"/>
              <w:rPr>
                <w:sz w:val="24"/>
                <w:szCs w:val="24"/>
                <w:color w:val="auto"/>
              </w:rPr>
            </w:pPr>
          </w:p>
        </w:tc>
        <w:tc>
          <w:tcPr>
            <w:tcW w:w="13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Changes in</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and Other</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gridSpan w:val="3"/>
          </w:tcPr>
          <w:p>
            <w:pPr>
              <w:jc w:val="center"/>
              <w:ind w:right="300"/>
              <w:spacing w:after="0" w:line="135" w:lineRule="exact"/>
              <w:rPr>
                <w:sz w:val="20"/>
                <w:szCs w:val="20"/>
                <w:color w:val="auto"/>
              </w:rPr>
            </w:pPr>
            <w:r>
              <w:rPr>
                <w:rFonts w:ascii="Arial" w:cs="Arial" w:eastAsia="Arial" w:hAnsi="Arial"/>
                <w:sz w:val="14"/>
                <w:szCs w:val="14"/>
                <w:b w:val="1"/>
                <w:bCs w:val="1"/>
                <w:color w:val="auto"/>
              </w:rPr>
              <w:t>Exchange</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Postretirement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9"/>
              </w:rPr>
              <w:t>Value of</w:t>
            </w:r>
          </w:p>
        </w:tc>
        <w:tc>
          <w:tcPr>
            <w:tcW w:w="200" w:type="dxa"/>
            <w:vAlign w:val="bottom"/>
          </w:tcPr>
          <w:p>
            <w:pPr>
              <w:spacing w:after="0"/>
              <w:rPr>
                <w:sz w:val="11"/>
                <w:szCs w:val="11"/>
                <w:color w:val="auto"/>
              </w:rPr>
            </w:pPr>
          </w:p>
        </w:tc>
        <w:tc>
          <w:tcPr>
            <w:tcW w:w="13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Fair Value</w:t>
            </w: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gridSpan w:val="3"/>
          </w:tcPr>
          <w:p>
            <w:pPr>
              <w:jc w:val="center"/>
              <w:ind w:right="300"/>
              <w:spacing w:after="0" w:line="135" w:lineRule="exact"/>
              <w:rPr>
                <w:sz w:val="20"/>
                <w:szCs w:val="20"/>
                <w:color w:val="auto"/>
              </w:rPr>
            </w:pPr>
            <w:r>
              <w:rPr>
                <w:rFonts w:ascii="Arial" w:cs="Arial" w:eastAsia="Arial" w:hAnsi="Arial"/>
                <w:sz w:val="14"/>
                <w:szCs w:val="14"/>
                <w:b w:val="1"/>
                <w:bCs w:val="1"/>
                <w:color w:val="auto"/>
              </w:rPr>
              <w:t>Translation</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Benefits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rPr>
              <w:t>Available for Sale</w:t>
            </w:r>
          </w:p>
        </w:tc>
        <w:tc>
          <w:tcPr>
            <w:tcW w:w="200" w:type="dxa"/>
            <w:vAlign w:val="bottom"/>
          </w:tcPr>
          <w:p>
            <w:pPr>
              <w:spacing w:after="0"/>
              <w:rPr>
                <w:sz w:val="11"/>
                <w:szCs w:val="11"/>
                <w:color w:val="auto"/>
              </w:rPr>
            </w:pPr>
          </w:p>
        </w:tc>
        <w:tc>
          <w:tcPr>
            <w:tcW w:w="13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of Cash Flow</w:t>
            </w:r>
          </w:p>
        </w:tc>
        <w:tc>
          <w:tcPr>
            <w:tcW w:w="340" w:type="dxa"/>
            <w:vAlign w:val="bottom"/>
          </w:tcPr>
          <w:p>
            <w:pPr>
              <w:spacing w:after="0"/>
              <w:rPr>
                <w:sz w:val="11"/>
                <w:szCs w:val="11"/>
                <w:color w:val="auto"/>
              </w:rPr>
            </w:pPr>
          </w:p>
        </w:tc>
        <w:tc>
          <w:tcPr>
            <w:tcW w:w="110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3660" w:type="dxa"/>
            <w:vAlign w:val="bottom"/>
            <w:tcBorders>
              <w:bottom w:val="single" w:sz="8" w:color="DBDBDB"/>
            </w:tcBorders>
          </w:tcPr>
          <w:p>
            <w:pPr>
              <w:spacing w:after="0"/>
              <w:rPr>
                <w:sz w:val="15"/>
                <w:szCs w:val="15"/>
                <w:color w:val="auto"/>
              </w:rPr>
            </w:pPr>
          </w:p>
        </w:tc>
        <w:tc>
          <w:tcPr>
            <w:tcW w:w="20" w:type="dxa"/>
            <w:vAlign w:val="bottom"/>
            <w:tcBorders>
              <w:bottom w:val="single" w:sz="8" w:color="DBDBDB"/>
            </w:tcBorders>
          </w:tcPr>
          <w:p>
            <w:pPr>
              <w:spacing w:after="0"/>
              <w:rPr>
                <w:sz w:val="15"/>
                <w:szCs w:val="15"/>
                <w:color w:val="auto"/>
              </w:rPr>
            </w:pPr>
          </w:p>
        </w:tc>
        <w:tc>
          <w:tcPr>
            <w:tcW w:w="220" w:type="dxa"/>
            <w:vAlign w:val="bottom"/>
            <w:tcBorders>
              <w:bottom w:val="single" w:sz="8" w:color="DC202E"/>
            </w:tcBorders>
          </w:tcPr>
          <w:p>
            <w:pPr>
              <w:spacing w:after="0"/>
              <w:rPr>
                <w:sz w:val="15"/>
                <w:szCs w:val="15"/>
                <w:color w:val="auto"/>
              </w:rPr>
            </w:pPr>
          </w:p>
        </w:tc>
        <w:tc>
          <w:tcPr>
            <w:tcW w:w="1220" w:type="dxa"/>
            <w:vAlign w:val="bottom"/>
            <w:tcBorders>
              <w:bottom w:val="single" w:sz="8" w:color="DC202E"/>
            </w:tcBorders>
            <w:gridSpan w:val="2"/>
          </w:tcPr>
          <w:p>
            <w:pPr>
              <w:jc w:val="center"/>
              <w:ind w:right="220"/>
              <w:spacing w:after="0"/>
              <w:rPr>
                <w:sz w:val="20"/>
                <w:szCs w:val="20"/>
                <w:color w:val="auto"/>
              </w:rPr>
            </w:pPr>
            <w:r>
              <w:rPr>
                <w:rFonts w:ascii="Arial" w:cs="Arial" w:eastAsia="Arial" w:hAnsi="Arial"/>
                <w:sz w:val="14"/>
                <w:szCs w:val="14"/>
                <w:b w:val="1"/>
                <w:bCs w:val="1"/>
                <w:color w:val="auto"/>
              </w:rPr>
              <w:t>Adjustment</w:t>
            </w:r>
          </w:p>
        </w:tc>
        <w:tc>
          <w:tcPr>
            <w:tcW w:w="80" w:type="dxa"/>
            <w:vAlign w:val="bottom"/>
            <w:tcBorders>
              <w:bottom w:val="single" w:sz="8" w:color="DBDBDB"/>
            </w:tcBorders>
          </w:tcPr>
          <w:p>
            <w:pPr>
              <w:spacing w:after="0"/>
              <w:rPr>
                <w:sz w:val="15"/>
                <w:szCs w:val="15"/>
                <w:color w:val="auto"/>
              </w:rPr>
            </w:pPr>
          </w:p>
        </w:tc>
        <w:tc>
          <w:tcPr>
            <w:tcW w:w="20" w:type="dxa"/>
            <w:vAlign w:val="bottom"/>
            <w:tcBorders>
              <w:bottom w:val="single" w:sz="8" w:color="DBDBDB"/>
            </w:tcBorders>
          </w:tcPr>
          <w:p>
            <w:pPr>
              <w:spacing w:after="0"/>
              <w:rPr>
                <w:sz w:val="15"/>
                <w:szCs w:val="15"/>
                <w:color w:val="auto"/>
              </w:rPr>
            </w:pPr>
          </w:p>
        </w:tc>
        <w:tc>
          <w:tcPr>
            <w:tcW w:w="160" w:type="dxa"/>
            <w:vAlign w:val="bottom"/>
            <w:tcBorders>
              <w:bottom w:val="single" w:sz="8" w:color="DC202E"/>
            </w:tcBorders>
          </w:tcPr>
          <w:p>
            <w:pPr>
              <w:spacing w:after="0"/>
              <w:rPr>
                <w:sz w:val="15"/>
                <w:szCs w:val="15"/>
                <w:color w:val="auto"/>
              </w:rPr>
            </w:pPr>
          </w:p>
        </w:tc>
        <w:tc>
          <w:tcPr>
            <w:tcW w:w="1260" w:type="dxa"/>
            <w:vAlign w:val="bottom"/>
            <w:tcBorders>
              <w:bottom w:val="single" w:sz="8" w:color="DC202E"/>
            </w:tcBorders>
          </w:tcPr>
          <w:p>
            <w:pPr>
              <w:jc w:val="right"/>
              <w:ind w:right="219"/>
              <w:spacing w:after="0"/>
              <w:rPr>
                <w:sz w:val="20"/>
                <w:szCs w:val="20"/>
                <w:color w:val="auto"/>
              </w:rPr>
            </w:pPr>
            <w:r>
              <w:rPr>
                <w:rFonts w:ascii="Arial" w:cs="Arial" w:eastAsia="Arial" w:hAnsi="Arial"/>
                <w:sz w:val="14"/>
                <w:szCs w:val="14"/>
                <w:b w:val="1"/>
                <w:bCs w:val="1"/>
                <w:color w:val="auto"/>
              </w:rPr>
              <w:t>Adjustments</w:t>
            </w:r>
          </w:p>
        </w:tc>
        <w:tc>
          <w:tcPr>
            <w:tcW w:w="100" w:type="dxa"/>
            <w:vAlign w:val="bottom"/>
            <w:tcBorders>
              <w:bottom w:val="single" w:sz="8" w:color="DBDBDB"/>
            </w:tcBorders>
          </w:tcPr>
          <w:p>
            <w:pPr>
              <w:spacing w:after="0"/>
              <w:rPr>
                <w:sz w:val="15"/>
                <w:szCs w:val="15"/>
                <w:color w:val="auto"/>
              </w:rPr>
            </w:pPr>
          </w:p>
        </w:tc>
        <w:tc>
          <w:tcPr>
            <w:tcW w:w="20" w:type="dxa"/>
            <w:vAlign w:val="bottom"/>
            <w:tcBorders>
              <w:bottom w:val="single" w:sz="8" w:color="DBDBDB"/>
            </w:tcBorders>
          </w:tcPr>
          <w:p>
            <w:pPr>
              <w:spacing w:after="0"/>
              <w:rPr>
                <w:sz w:val="15"/>
                <w:szCs w:val="15"/>
                <w:color w:val="auto"/>
              </w:rPr>
            </w:pPr>
          </w:p>
        </w:tc>
        <w:tc>
          <w:tcPr>
            <w:tcW w:w="120" w:type="dxa"/>
            <w:vAlign w:val="bottom"/>
            <w:tcBorders>
              <w:bottom w:val="single" w:sz="8" w:color="DC202E"/>
            </w:tcBorders>
          </w:tcPr>
          <w:p>
            <w:pPr>
              <w:spacing w:after="0"/>
              <w:rPr>
                <w:sz w:val="15"/>
                <w:szCs w:val="15"/>
                <w:color w:val="auto"/>
              </w:rPr>
            </w:pPr>
          </w:p>
        </w:tc>
        <w:tc>
          <w:tcPr>
            <w:tcW w:w="1300" w:type="dxa"/>
            <w:vAlign w:val="bottom"/>
            <w:tcBorders>
              <w:bottom w:val="single" w:sz="8" w:color="DC202E"/>
            </w:tcBorders>
          </w:tcPr>
          <w:p>
            <w:pPr>
              <w:jc w:val="center"/>
              <w:spacing w:after="0"/>
              <w:rPr>
                <w:sz w:val="20"/>
                <w:szCs w:val="20"/>
                <w:color w:val="auto"/>
              </w:rPr>
            </w:pPr>
            <w:r>
              <w:rPr>
                <w:rFonts w:ascii="Arial" w:cs="Arial" w:eastAsia="Arial" w:hAnsi="Arial"/>
                <w:sz w:val="14"/>
                <w:szCs w:val="14"/>
                <w:b w:val="1"/>
                <w:bCs w:val="1"/>
                <w:color w:val="auto"/>
              </w:rPr>
              <w:t>Investments</w:t>
            </w:r>
          </w:p>
        </w:tc>
        <w:tc>
          <w:tcPr>
            <w:tcW w:w="100" w:type="dxa"/>
            <w:vAlign w:val="bottom"/>
            <w:tcBorders>
              <w:bottom w:val="single" w:sz="8" w:color="DBDBDB"/>
            </w:tcBorders>
          </w:tcPr>
          <w:p>
            <w:pPr>
              <w:spacing w:after="0"/>
              <w:rPr>
                <w:sz w:val="15"/>
                <w:szCs w:val="15"/>
                <w:color w:val="auto"/>
              </w:rPr>
            </w:pPr>
          </w:p>
        </w:tc>
        <w:tc>
          <w:tcPr>
            <w:tcW w:w="200" w:type="dxa"/>
            <w:vAlign w:val="bottom"/>
            <w:tcBorders>
              <w:bottom w:val="single" w:sz="8" w:color="DC202E"/>
            </w:tcBorders>
          </w:tcPr>
          <w:p>
            <w:pPr>
              <w:spacing w:after="0"/>
              <w:rPr>
                <w:sz w:val="15"/>
                <w:szCs w:val="15"/>
                <w:color w:val="auto"/>
              </w:rPr>
            </w:pPr>
          </w:p>
        </w:tc>
        <w:tc>
          <w:tcPr>
            <w:tcW w:w="1220" w:type="dxa"/>
            <w:vAlign w:val="bottom"/>
            <w:tcBorders>
              <w:bottom w:val="single" w:sz="8" w:color="DC202E"/>
            </w:tcBorders>
          </w:tcPr>
          <w:p>
            <w:pPr>
              <w:jc w:val="center"/>
              <w:ind w:right="98"/>
              <w:spacing w:after="0"/>
              <w:rPr>
                <w:sz w:val="20"/>
                <w:szCs w:val="20"/>
                <w:color w:val="auto"/>
              </w:rPr>
            </w:pPr>
            <w:r>
              <w:rPr>
                <w:rFonts w:ascii="Arial" w:cs="Arial" w:eastAsia="Arial" w:hAnsi="Arial"/>
                <w:sz w:val="14"/>
                <w:szCs w:val="14"/>
                <w:b w:val="1"/>
                <w:bCs w:val="1"/>
                <w:color w:val="auto"/>
              </w:rPr>
              <w:t>Hedges</w:t>
            </w:r>
          </w:p>
        </w:tc>
        <w:tc>
          <w:tcPr>
            <w:tcW w:w="100" w:type="dxa"/>
            <w:vAlign w:val="bottom"/>
            <w:tcBorders>
              <w:bottom w:val="single" w:sz="8" w:color="DBDBDB"/>
            </w:tcBorders>
          </w:tcPr>
          <w:p>
            <w:pPr>
              <w:spacing w:after="0"/>
              <w:rPr>
                <w:sz w:val="15"/>
                <w:szCs w:val="15"/>
                <w:color w:val="auto"/>
              </w:rPr>
            </w:pPr>
          </w:p>
        </w:tc>
        <w:tc>
          <w:tcPr>
            <w:tcW w:w="340" w:type="dxa"/>
            <w:vAlign w:val="bottom"/>
            <w:tcBorders>
              <w:bottom w:val="single" w:sz="8" w:color="DC202E"/>
            </w:tcBorders>
          </w:tcPr>
          <w:p>
            <w:pPr>
              <w:spacing w:after="0"/>
              <w:rPr>
                <w:sz w:val="15"/>
                <w:szCs w:val="15"/>
                <w:color w:val="auto"/>
              </w:rPr>
            </w:pPr>
          </w:p>
        </w:tc>
        <w:tc>
          <w:tcPr>
            <w:tcW w:w="1100" w:type="dxa"/>
            <w:vAlign w:val="bottom"/>
            <w:tcBorders>
              <w:bottom w:val="single" w:sz="8" w:color="DC202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DBDBDB"/>
          </w:tcPr>
          <w:p>
            <w:pPr>
              <w:ind w:left="20"/>
              <w:spacing w:after="0"/>
              <w:rPr>
                <w:sz w:val="20"/>
                <w:szCs w:val="20"/>
                <w:color w:val="auto"/>
              </w:rPr>
            </w:pPr>
            <w:r>
              <w:rPr>
                <w:rFonts w:ascii="Arial" w:cs="Arial" w:eastAsia="Arial" w:hAnsi="Arial"/>
                <w:sz w:val="18"/>
                <w:szCs w:val="18"/>
                <w:color w:val="auto"/>
              </w:rPr>
              <w:t>Balance at December 31, 2019</w:t>
            </w:r>
          </w:p>
        </w:tc>
        <w:tc>
          <w:tcPr>
            <w:tcW w:w="240" w:type="dxa"/>
            <w:vAlign w:val="bottom"/>
            <w:gridSpan w:val="2"/>
            <w:shd w:val="clear" w:color="auto" w:fill="DBDBDB"/>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(2,566)</w:t>
            </w:r>
          </w:p>
        </w:tc>
        <w:tc>
          <w:tcPr>
            <w:tcW w:w="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80" w:type="dxa"/>
            <w:vAlign w:val="bottom"/>
            <w:gridSpan w:val="2"/>
            <w:shd w:val="clear" w:color="auto" w:fill="DBDBDB"/>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(675)</w:t>
            </w:r>
          </w:p>
        </w:tc>
        <w:tc>
          <w:tcPr>
            <w:tcW w:w="100" w:type="dxa"/>
            <w:vAlign w:val="bottom"/>
            <w:shd w:val="clear" w:color="auto" w:fill="DBDBDB"/>
          </w:tcPr>
          <w:p>
            <w:pPr>
              <w:spacing w:after="0"/>
              <w:rPr>
                <w:sz w:val="19"/>
                <w:szCs w:val="19"/>
                <w:color w:val="auto"/>
              </w:rPr>
            </w:pPr>
          </w:p>
        </w:tc>
        <w:tc>
          <w:tcPr>
            <w:tcW w:w="14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DBDBDB"/>
          </w:tcPr>
          <w:p>
            <w:pPr>
              <w:ind w:left="1060"/>
              <w:spacing w:after="0"/>
              <w:rPr>
                <w:sz w:val="20"/>
                <w:szCs w:val="20"/>
                <w:color w:val="auto"/>
              </w:rPr>
            </w:pPr>
            <w:r>
              <w:rPr>
                <w:rFonts w:ascii="Arial" w:cs="Arial" w:eastAsia="Arial" w:hAnsi="Arial"/>
                <w:sz w:val="18"/>
                <w:szCs w:val="18"/>
                <w:color w:val="auto"/>
              </w:rPr>
              <w:t>—</w:t>
            </w: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(3,197)</w:t>
            </w:r>
          </w:p>
        </w:tc>
        <w:tc>
          <w:tcPr>
            <w:tcW w:w="0" w:type="dxa"/>
            <w:vAlign w:val="bottom"/>
          </w:tcPr>
          <w:p>
            <w:pPr>
              <w:spacing w:after="0"/>
              <w:rPr>
                <w:sz w:val="1"/>
                <w:szCs w:val="1"/>
                <w:color w:val="auto"/>
              </w:rPr>
            </w:pPr>
          </w:p>
        </w:tc>
      </w:tr>
      <w:tr>
        <w:trPr>
          <w:trHeight w:val="188"/>
        </w:trPr>
        <w:tc>
          <w:tcPr>
            <w:tcW w:w="3660" w:type="dxa"/>
            <w:vAlign w:val="bottom"/>
          </w:tcPr>
          <w:p>
            <w:pPr>
              <w:ind w:left="20"/>
              <w:spacing w:after="0" w:line="189" w:lineRule="exact"/>
              <w:rPr>
                <w:sz w:val="20"/>
                <w:szCs w:val="20"/>
                <w:color w:val="auto"/>
              </w:rPr>
            </w:pPr>
            <w:r>
              <w:rPr>
                <w:rFonts w:ascii="Arial" w:cs="Arial" w:eastAsia="Arial" w:hAnsi="Arial"/>
                <w:sz w:val="18"/>
                <w:szCs w:val="18"/>
                <w:color w:val="auto"/>
              </w:rPr>
              <w:t>Other comprehensive income (loss) before</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660" w:type="dxa"/>
            <w:vAlign w:val="bottom"/>
          </w:tcPr>
          <w:p>
            <w:pPr>
              <w:ind w:left="180"/>
              <w:spacing w:after="0"/>
              <w:rPr>
                <w:sz w:val="20"/>
                <w:szCs w:val="20"/>
                <w:color w:val="auto"/>
              </w:rPr>
            </w:pPr>
            <w:r>
              <w:rPr>
                <w:rFonts w:ascii="Arial" w:cs="Arial" w:eastAsia="Arial" w:hAnsi="Arial"/>
                <w:sz w:val="18"/>
                <w:szCs w:val="18"/>
                <w:color w:val="auto"/>
              </w:rPr>
              <w:t>reclassifications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188"/>
        </w:trPr>
        <w:tc>
          <w:tcPr>
            <w:tcW w:w="3660" w:type="dxa"/>
            <w:vAlign w:val="bottom"/>
            <w:shd w:val="clear" w:color="auto" w:fill="DBDBDB"/>
          </w:tcPr>
          <w:p>
            <w:pPr>
              <w:ind w:left="20"/>
              <w:spacing w:after="0" w:line="189" w:lineRule="exact"/>
              <w:rPr>
                <w:sz w:val="20"/>
                <w:szCs w:val="20"/>
                <w:color w:val="auto"/>
              </w:rPr>
            </w:pPr>
            <w:r>
              <w:rPr>
                <w:rFonts w:ascii="Arial" w:cs="Arial" w:eastAsia="Arial" w:hAnsi="Arial"/>
                <w:sz w:val="18"/>
                <w:szCs w:val="18"/>
                <w:color w:val="auto"/>
              </w:rPr>
              <w:t>Amounts reclassified from accumulated other</w:t>
            </w:r>
          </w:p>
        </w:tc>
        <w:tc>
          <w:tcPr>
            <w:tcW w:w="2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120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126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3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122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340" w:type="dxa"/>
            <w:vAlign w:val="bottom"/>
            <w:shd w:val="clear" w:color="auto" w:fill="DBDBDB"/>
          </w:tcPr>
          <w:p>
            <w:pPr>
              <w:spacing w:after="0"/>
              <w:rPr>
                <w:sz w:val="16"/>
                <w:szCs w:val="16"/>
                <w:color w:val="auto"/>
              </w:rPr>
            </w:pPr>
          </w:p>
        </w:tc>
        <w:tc>
          <w:tcPr>
            <w:tcW w:w="110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660" w:type="dxa"/>
            <w:vAlign w:val="bottom"/>
            <w:shd w:val="clear" w:color="auto" w:fill="DBDBDB"/>
          </w:tcPr>
          <w:p>
            <w:pPr>
              <w:ind w:left="180"/>
              <w:spacing w:after="0"/>
              <w:rPr>
                <w:sz w:val="20"/>
                <w:szCs w:val="20"/>
                <w:color w:val="auto"/>
              </w:rPr>
            </w:pPr>
            <w:r>
              <w:rPr>
                <w:rFonts w:ascii="Arial" w:cs="Arial" w:eastAsia="Arial" w:hAnsi="Arial"/>
                <w:sz w:val="18"/>
                <w:szCs w:val="18"/>
                <w:color w:val="auto"/>
              </w:rPr>
              <w:t>comprehensive income</w:t>
            </w:r>
          </w:p>
        </w:tc>
        <w:tc>
          <w:tcPr>
            <w:tcW w:w="2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w:t>
            </w:r>
          </w:p>
        </w:tc>
        <w:tc>
          <w:tcPr>
            <w:tcW w:w="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DBDBDB"/>
          </w:tcPr>
          <w:p>
            <w:pPr>
              <w:spacing w:after="0"/>
              <w:rPr>
                <w:sz w:val="18"/>
                <w:szCs w:val="18"/>
                <w:color w:val="auto"/>
              </w:rPr>
            </w:pPr>
          </w:p>
        </w:tc>
        <w:tc>
          <w:tcPr>
            <w:tcW w:w="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400" w:type="dxa"/>
            <w:vAlign w:val="bottom"/>
            <w:gridSpan w:val="2"/>
            <w:shd w:val="clear" w:color="auto" w:fill="DBDBDB"/>
          </w:tcPr>
          <w:p>
            <w:pPr>
              <w:ind w:left="1060"/>
              <w:spacing w:after="0"/>
              <w:rPr>
                <w:sz w:val="20"/>
                <w:szCs w:val="20"/>
                <w:color w:val="auto"/>
              </w:rPr>
            </w:pPr>
            <w:r>
              <w:rPr>
                <w:rFonts w:ascii="Arial" w:cs="Arial" w:eastAsia="Arial" w:hAnsi="Arial"/>
                <w:sz w:val="18"/>
                <w:szCs w:val="18"/>
                <w:color w:val="auto"/>
              </w:rPr>
              <w:t>—</w:t>
            </w:r>
          </w:p>
        </w:tc>
        <w:tc>
          <w:tcPr>
            <w:tcW w:w="20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68"/>
        </w:trPr>
        <w:tc>
          <w:tcPr>
            <w:tcW w:w="3660" w:type="dxa"/>
            <w:vAlign w:val="bottom"/>
          </w:tcPr>
          <w:p>
            <w:pPr>
              <w:ind w:left="20"/>
              <w:spacing w:after="0" w:line="168" w:lineRule="exact"/>
              <w:rPr>
                <w:sz w:val="20"/>
                <w:szCs w:val="20"/>
                <w:color w:val="auto"/>
              </w:rPr>
            </w:pPr>
            <w:r>
              <w:rPr>
                <w:rFonts w:ascii="Arial" w:cs="Arial" w:eastAsia="Arial" w:hAnsi="Arial"/>
                <w:sz w:val="18"/>
                <w:szCs w:val="18"/>
                <w:color w:val="auto"/>
              </w:rPr>
              <w:t>Net current period other comprehensive</w:t>
            </w:r>
          </w:p>
        </w:tc>
        <w:tc>
          <w:tcPr>
            <w:tcW w:w="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660" w:type="dxa"/>
            <w:vAlign w:val="bottom"/>
            <w:tcBorders>
              <w:bottom w:val="single" w:sz="8" w:color="DBDBDB"/>
            </w:tcBorders>
          </w:tcPr>
          <w:p>
            <w:pPr>
              <w:ind w:left="180"/>
              <w:spacing w:after="0"/>
              <w:rPr>
                <w:sz w:val="20"/>
                <w:szCs w:val="20"/>
                <w:color w:val="auto"/>
              </w:rPr>
            </w:pPr>
            <w:r>
              <w:rPr>
                <w:rFonts w:ascii="Arial" w:cs="Arial" w:eastAsia="Arial" w:hAnsi="Arial"/>
                <w:sz w:val="18"/>
                <w:szCs w:val="18"/>
                <w:color w:val="auto"/>
              </w:rPr>
              <w:t>income (loss)</w:t>
            </w:r>
          </w:p>
        </w:tc>
        <w:tc>
          <w:tcPr>
            <w:tcW w:w="20" w:type="dxa"/>
            <w:vAlign w:val="bottom"/>
            <w:tcBorders>
              <w:bottom w:val="single" w:sz="8" w:color="DBDBDB"/>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DBDBDB"/>
            </w:tcBorders>
          </w:tcPr>
          <w:p>
            <w:pPr>
              <w:spacing w:after="0"/>
              <w:rPr>
                <w:sz w:val="18"/>
                <w:szCs w:val="18"/>
                <w:color w:val="auto"/>
              </w:rPr>
            </w:pPr>
          </w:p>
        </w:tc>
        <w:tc>
          <w:tcPr>
            <w:tcW w:w="20" w:type="dxa"/>
            <w:vAlign w:val="bottom"/>
            <w:tcBorders>
              <w:bottom w:val="single" w:sz="8" w:color="DBDBDB"/>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DBDBDB"/>
            </w:tcBorders>
          </w:tcPr>
          <w:p>
            <w:pPr>
              <w:spacing w:after="0"/>
              <w:rPr>
                <w:sz w:val="18"/>
                <w:szCs w:val="18"/>
                <w:color w:val="auto"/>
              </w:rPr>
            </w:pPr>
          </w:p>
        </w:tc>
        <w:tc>
          <w:tcPr>
            <w:tcW w:w="20" w:type="dxa"/>
            <w:vAlign w:val="bottom"/>
            <w:tcBorders>
              <w:bottom w:val="single" w:sz="8" w:color="DBDBDB"/>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BDBDB"/>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DBDBDB"/>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43"/>
        </w:trPr>
        <w:tc>
          <w:tcPr>
            <w:tcW w:w="3660" w:type="dxa"/>
            <w:vAlign w:val="bottom"/>
            <w:shd w:val="clear" w:color="auto" w:fill="DBDBDB"/>
          </w:tcPr>
          <w:p>
            <w:pPr>
              <w:ind w:left="20"/>
              <w:spacing w:after="0"/>
              <w:rPr>
                <w:sz w:val="20"/>
                <w:szCs w:val="20"/>
                <w:color w:val="auto"/>
              </w:rPr>
            </w:pPr>
            <w:r>
              <w:rPr>
                <w:rFonts w:ascii="Arial" w:cs="Arial" w:eastAsia="Arial" w:hAnsi="Arial"/>
                <w:sz w:val="18"/>
                <w:szCs w:val="18"/>
                <w:color w:val="auto"/>
              </w:rPr>
              <w:t>Balance at September 30, 2020</w:t>
            </w:r>
          </w:p>
        </w:tc>
        <w:tc>
          <w:tcPr>
            <w:tcW w:w="240" w:type="dxa"/>
            <w:vAlign w:val="bottom"/>
            <w:gridSpan w:val="2"/>
            <w:shd w:val="clear" w:color="auto" w:fill="DBDBDB"/>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(2,803)</w:t>
            </w:r>
          </w:p>
        </w:tc>
        <w:tc>
          <w:tcPr>
            <w:tcW w:w="20" w:type="dxa"/>
            <w:vAlign w:val="bottom"/>
            <w:shd w:val="clear" w:color="auto" w:fill="DBDBDB"/>
          </w:tcPr>
          <w:p>
            <w:pPr>
              <w:spacing w:after="0"/>
              <w:rPr>
                <w:sz w:val="21"/>
                <w:szCs w:val="21"/>
                <w:color w:val="auto"/>
              </w:rPr>
            </w:pPr>
          </w:p>
        </w:tc>
        <w:tc>
          <w:tcPr>
            <w:tcW w:w="80" w:type="dxa"/>
            <w:vAlign w:val="bottom"/>
            <w:shd w:val="clear" w:color="auto" w:fill="DBDBDB"/>
          </w:tcPr>
          <w:p>
            <w:pPr>
              <w:spacing w:after="0"/>
              <w:rPr>
                <w:sz w:val="21"/>
                <w:szCs w:val="21"/>
                <w:color w:val="auto"/>
              </w:rPr>
            </w:pPr>
          </w:p>
        </w:tc>
        <w:tc>
          <w:tcPr>
            <w:tcW w:w="180" w:type="dxa"/>
            <w:vAlign w:val="bottom"/>
            <w:gridSpan w:val="2"/>
            <w:shd w:val="clear" w:color="auto" w:fill="DBDBDB"/>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(735)</w:t>
            </w:r>
          </w:p>
        </w:tc>
        <w:tc>
          <w:tcPr>
            <w:tcW w:w="100" w:type="dxa"/>
            <w:vAlign w:val="bottom"/>
            <w:shd w:val="clear" w:color="auto" w:fill="DBDBDB"/>
          </w:tcPr>
          <w:p>
            <w:pPr>
              <w:spacing w:after="0"/>
              <w:rPr>
                <w:sz w:val="21"/>
                <w:szCs w:val="21"/>
                <w:color w:val="auto"/>
              </w:rPr>
            </w:pPr>
          </w:p>
        </w:tc>
        <w:tc>
          <w:tcPr>
            <w:tcW w:w="14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DBDBDB"/>
          </w:tcPr>
          <w:p>
            <w:pPr>
              <w:ind w:left="1060"/>
              <w:spacing w:after="0"/>
              <w:rPr>
                <w:sz w:val="20"/>
                <w:szCs w:val="20"/>
                <w:color w:val="auto"/>
              </w:rPr>
            </w:pPr>
            <w:r>
              <w:rPr>
                <w:rFonts w:ascii="Arial" w:cs="Arial" w:eastAsia="Arial" w:hAnsi="Arial"/>
                <w:sz w:val="18"/>
                <w:szCs w:val="18"/>
                <w:color w:val="auto"/>
              </w:rPr>
              <w:t>—</w:t>
            </w: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DBDBDB"/>
          </w:tcPr>
          <w:p>
            <w:pPr>
              <w:spacing w:after="0"/>
              <w:rPr>
                <w:sz w:val="21"/>
                <w:szCs w:val="21"/>
                <w:color w:val="auto"/>
              </w:rPr>
            </w:pPr>
          </w:p>
        </w:tc>
        <w:tc>
          <w:tcPr>
            <w:tcW w:w="34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(3,436)</w:t>
            </w:r>
          </w:p>
        </w:tc>
        <w:tc>
          <w:tcPr>
            <w:tcW w:w="0" w:type="dxa"/>
            <w:vAlign w:val="bottom"/>
          </w:tcPr>
          <w:p>
            <w:pPr>
              <w:spacing w:after="0"/>
              <w:rPr>
                <w:sz w:val="1"/>
                <w:szCs w:val="1"/>
                <w:color w:val="auto"/>
              </w:rPr>
            </w:pPr>
          </w:p>
        </w:tc>
      </w:tr>
      <w:tr>
        <w:trPr>
          <w:trHeight w:val="20"/>
        </w:trPr>
        <w:tc>
          <w:tcPr>
            <w:tcW w:w="3660" w:type="dxa"/>
            <w:vAlign w:val="bottom"/>
            <w:tcBorders>
              <w:top w:val="single" w:sz="8" w:color="DBDBDB"/>
            </w:tcBorders>
          </w:tcPr>
          <w:p>
            <w:pPr>
              <w:spacing w:after="0" w:line="20" w:lineRule="exact"/>
              <w:rPr>
                <w:sz w:val="1"/>
                <w:szCs w:val="1"/>
                <w:color w:val="auto"/>
              </w:rPr>
            </w:pPr>
          </w:p>
        </w:tc>
        <w:tc>
          <w:tcPr>
            <w:tcW w:w="2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8" w:lineRule="exact"/>
        <w:rPr>
          <w:sz w:val="20"/>
          <w:szCs w:val="20"/>
          <w:color w:val="auto"/>
        </w:rPr>
      </w:pPr>
    </w:p>
    <w:p>
      <w:pPr>
        <w:spacing w:after="0"/>
        <w:rPr>
          <w:sz w:val="20"/>
          <w:szCs w:val="20"/>
          <w:color w:val="auto"/>
        </w:rPr>
      </w:pPr>
      <w:r>
        <w:rPr>
          <w:rFonts w:ascii="Arial" w:cs="Arial" w:eastAsia="Arial" w:hAnsi="Arial"/>
          <w:sz w:val="29"/>
          <w:szCs w:val="29"/>
          <w:b w:val="1"/>
          <w:bCs w:val="1"/>
          <w:color w:val="DC202E"/>
        </w:rPr>
        <w:t>NOTE 15. COMMITMENTS AND CONTINGENCIES</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ENVIRONMENTAL MATTERS</w:t>
      </w:r>
    </w:p>
    <w:p>
      <w:pPr>
        <w:spacing w:after="0" w:line="13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environmental matters are described in Note 20 Commitments and Contingencies of Notes to Consolidated Financial Statements in our 2020 Annual Report on Form 10-K.</w:t>
      </w:r>
    </w:p>
    <w:p>
      <w:pPr>
        <w:sectPr>
          <w:pgSz w:w="11900" w:h="16838" w:orient="portrait"/>
          <w:cols w:equalWidth="0" w:num="1">
            <w:col w:w="11240"/>
          </w:cols>
          <w:pgMar w:left="320" w:top="116" w:right="339" w:bottom="1440" w:gutter="0" w:footer="0" w:header="0"/>
        </w:sectPr>
      </w:pP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concerning our recorded liabilities for environmental costs: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06285"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3" w:lineRule="exact"/>
        <w:rPr>
          <w:sz w:val="20"/>
          <w:szCs w:val="20"/>
          <w:color w:val="auto"/>
        </w:rPr>
      </w:pPr>
    </w:p>
    <w:p>
      <w:pPr>
        <w:ind w:left="140" w:right="2660"/>
        <w:spacing w:after="0" w:line="277" w:lineRule="auto"/>
        <w:rPr>
          <w:sz w:val="20"/>
          <w:szCs w:val="20"/>
          <w:color w:val="auto"/>
        </w:rPr>
      </w:pPr>
      <w:r>
        <w:rPr>
          <w:rFonts w:ascii="Arial" w:cs="Arial" w:eastAsia="Arial" w:hAnsi="Arial"/>
          <w:sz w:val="18"/>
          <w:szCs w:val="18"/>
          <w:color w:val="auto"/>
        </w:rPr>
        <w:t>Accruals for environmental matters deemed probable and reasonably estimable Environmental liability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06285"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2"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September 30, 2021</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ind w:left="960" w:hanging="953"/>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660</w:t>
      </w:r>
    </w:p>
    <w:p>
      <w:pPr>
        <w:spacing w:after="0" w:line="22"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126</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(147)</w:t>
      </w:r>
    </w:p>
    <w:p>
      <w:pPr>
        <w:spacing w:after="0" w:line="36" w:lineRule="exact"/>
        <w:rPr>
          <w:sz w:val="20"/>
          <w:szCs w:val="20"/>
          <w:color w:val="auto"/>
        </w:rPr>
      </w:pPr>
    </w:p>
    <w:p>
      <w:pPr>
        <w:ind w:left="960" w:hanging="953"/>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639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85725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9140" w:space="720"/>
            <w:col w:w="1380"/>
          </w:cols>
          <w:pgMar w:left="320" w:top="116" w:right="339" w:bottom="1440" w:gutter="0" w:footer="0" w:header="0"/>
          <w:type w:val="continuous"/>
        </w:sect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b w:val="1"/>
          <w:bCs w:val="1"/>
          <w:color w:val="DC202E"/>
        </w:rPr>
        <w:t xml:space="preserve">23 </w:t>
      </w:r>
      <w:r>
        <w:rPr>
          <w:rFonts w:ascii="Arial" w:cs="Arial" w:eastAsia="Arial" w:hAnsi="Arial"/>
          <w:sz w:val="17"/>
          <w:szCs w:val="17"/>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237490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26" w:name="page27"/>
    <w:bookmarkEnd w:id="26"/>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Environmental liabilities are included in the following balance sheet accounts: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3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83"/>
        </w:trPr>
        <w:tc>
          <w:tcPr>
            <w:tcW w:w="8440" w:type="dxa"/>
            <w:vAlign w:val="bottom"/>
            <w:tcBorders>
              <w:bottom w:val="single" w:sz="8" w:color="DBDBDB"/>
            </w:tcBorders>
          </w:tcPr>
          <w:p>
            <w:pPr>
              <w:spacing w:after="0"/>
              <w:rPr>
                <w:sz w:val="15"/>
                <w:szCs w:val="15"/>
                <w:color w:val="auto"/>
              </w:rPr>
            </w:pPr>
          </w:p>
        </w:tc>
        <w:tc>
          <w:tcPr>
            <w:tcW w:w="140" w:type="dxa"/>
            <w:vAlign w:val="bottom"/>
            <w:tcBorders>
              <w:bottom w:val="single" w:sz="8" w:color="DC202E"/>
            </w:tcBorders>
          </w:tcPr>
          <w:p>
            <w:pPr>
              <w:spacing w:after="0"/>
              <w:rPr>
                <w:sz w:val="15"/>
                <w:szCs w:val="15"/>
                <w:color w:val="auto"/>
              </w:rPr>
            </w:pPr>
          </w:p>
        </w:tc>
        <w:tc>
          <w:tcPr>
            <w:tcW w:w="1200" w:type="dxa"/>
            <w:vAlign w:val="bottom"/>
            <w:tcBorders>
              <w:bottom w:val="single" w:sz="8" w:color="DC202E"/>
            </w:tcBorders>
          </w:tcPr>
          <w:p>
            <w:pPr>
              <w:jc w:val="right"/>
              <w:ind w:right="43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DBDBDB"/>
            </w:tcBorders>
          </w:tcPr>
          <w:p>
            <w:pPr>
              <w:spacing w:after="0"/>
              <w:rPr>
                <w:sz w:val="15"/>
                <w:szCs w:val="15"/>
                <w:color w:val="auto"/>
              </w:rPr>
            </w:pPr>
          </w:p>
        </w:tc>
        <w:tc>
          <w:tcPr>
            <w:tcW w:w="1360" w:type="dxa"/>
            <w:vAlign w:val="bottom"/>
            <w:tcBorders>
              <w:bottom w:val="single" w:sz="8" w:color="DC202E"/>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DBDBDB"/>
          </w:tcPr>
          <w:p>
            <w:pPr>
              <w:ind w:left="20"/>
              <w:spacing w:after="0"/>
              <w:rPr>
                <w:sz w:val="20"/>
                <w:szCs w:val="20"/>
                <w:color w:val="auto"/>
              </w:rPr>
            </w:pPr>
            <w:r>
              <w:rPr>
                <w:rFonts w:ascii="Arial" w:cs="Arial" w:eastAsia="Arial" w:hAnsi="Arial"/>
                <w:sz w:val="18"/>
                <w:szCs w:val="18"/>
                <w:color w:val="auto"/>
              </w:rPr>
              <w:t>Accrued liabilities</w:t>
            </w: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DBDBDB"/>
          </w:tcPr>
          <w:p>
            <w:pPr>
              <w:spacing w:after="0"/>
              <w:rPr>
                <w:sz w:val="19"/>
                <w:szCs w:val="19"/>
                <w:color w:val="auto"/>
              </w:rPr>
            </w:pPr>
          </w:p>
        </w:tc>
        <w:tc>
          <w:tcPr>
            <w:tcW w:w="560" w:type="dxa"/>
            <w:vAlign w:val="bottom"/>
            <w:shd w:val="clear" w:color="auto" w:fill="DBDBDB"/>
          </w:tcPr>
          <w:p>
            <w:pPr>
              <w:ind w:lef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29"/>
        </w:trPr>
        <w:tc>
          <w:tcPr>
            <w:tcW w:w="84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Other liabilities</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Borders>
              <w:bottom w:val="single" w:sz="8" w:color="DBDBDB"/>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48"/>
        </w:trPr>
        <w:tc>
          <w:tcPr>
            <w:tcW w:w="8440" w:type="dxa"/>
            <w:vAlign w:val="bottom"/>
            <w:tcBorders>
              <w:bottom w:val="single" w:sz="8" w:color="DBDBDB"/>
            </w:tcBorders>
            <w:shd w:val="clear" w:color="auto" w:fill="DBDBDB"/>
          </w:tcPr>
          <w:p>
            <w:pPr>
              <w:spacing w:after="0"/>
              <w:rPr>
                <w:sz w:val="21"/>
                <w:szCs w:val="21"/>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639</w:t>
            </w:r>
          </w:p>
        </w:tc>
        <w:tc>
          <w:tcPr>
            <w:tcW w:w="100" w:type="dxa"/>
            <w:vAlign w:val="bottom"/>
            <w:tcBorders>
              <w:bottom w:val="single" w:sz="8" w:color="DBDBDB"/>
            </w:tcBorders>
            <w:shd w:val="clear" w:color="auto" w:fill="DBDBDB"/>
          </w:tcPr>
          <w:p>
            <w:pPr>
              <w:spacing w:after="0"/>
              <w:rPr>
                <w:sz w:val="21"/>
                <w:szCs w:val="21"/>
                <w:color w:val="auto"/>
              </w:rPr>
            </w:pPr>
          </w:p>
        </w:tc>
        <w:tc>
          <w:tcPr>
            <w:tcW w:w="56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0"/>
        </w:trPr>
        <w:tc>
          <w:tcPr>
            <w:tcW w:w="844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560" w:type="dxa"/>
            <w:vAlign w:val="bottom"/>
            <w:tcBorders>
              <w:top w:val="single" w:sz="8" w:color="DBDBDB"/>
              <w:bottom w:val="single" w:sz="8" w:color="auto"/>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does not currently possess sufficient information to reasonably estimate the amounts of environmental liabilities to be recorded upon future completion of studies, litigation or settlements, and neither the timing nor the amount of the ultimate costs associated with environmental matters can be determined although they could be material to our consolidated results of operations and operating cash flows in the periods recognized or paid. However, considering our past experience and existing reserves, the Company does not expect that environmental matters will have a material adverse effect on its consolidated financial position.</w:t>
      </w:r>
    </w:p>
    <w:p>
      <w:pPr>
        <w:spacing w:after="0" w:line="9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conjunction with the Resideo Technologies, Inc. (Resideo) spin-off, the Company entered into an indemnification and reimbursement agreement with a Resideo subsidiary, pursuant to which Resideo’s subsidiary has an ongoing obligation to make cash payments to Honeywell in amounts equal to 90% of Honeywell’s annual net spending for environmental matters at certain sites as defined in the agreement. The amount payable to Honeywell in any given year is subject to a cap of $140 million, and the obligation will continue until the earlier of December 31, 2043, or December 31, of the third consecutive year during which the annual payment obligation is less than $25 million.</w:t>
      </w:r>
    </w:p>
    <w:p>
      <w:pPr>
        <w:spacing w:after="0" w:line="10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Reimbursements associated with this agreement are collected from Resideo quarterly and were $35 million and $105 million in the three and nine months ended September 30, 2021, respectively, and offset operating cash outflows incurred by the Company. As the Company incurs costs for environmental matters deemed probable and reasonably estimable related to the sites covered by the indemnification and reimbursement agreement, a corresponding receivable from Resideo for 90% of such costs is also recorded. This receivable amount recorded in the nine months ended September 30, 2021, was $111 million. As of September 30, 2021, Other current assets and Other assets included $140 million and $457 million, respectively, for the short-term and long-term portion of the receivable amount due from Resideo under the indemnification and reimbursement agreement.</w:t>
      </w:r>
    </w:p>
    <w:p>
      <w:pPr>
        <w:spacing w:after="0" w:line="2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ASBESTOS MATTERS</w:t>
      </w:r>
    </w:p>
    <w:p>
      <w:pPr>
        <w:spacing w:after="0" w:line="13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Honeywell is named in asbestos-related personal injury claims related to North American Refractories Company (NARCO), which was sold in 1986, and the Bendix Friction Materials (Bendix) business, which was sold in 2014.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information concerning NARCO and Bendix asbestos-related balances:</w:t>
      </w:r>
    </w:p>
    <w:p>
      <w:pPr>
        <w:spacing w:after="0" w:line="3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ASBESTOS-RELATED LIABILITIES</w:t>
      </w:r>
    </w:p>
    <w:p>
      <w:pPr>
        <w:spacing w:after="0" w:line="158" w:lineRule="exact"/>
        <w:rPr>
          <w:sz w:val="20"/>
          <w:szCs w:val="20"/>
          <w:color w:val="auto"/>
        </w:rPr>
      </w:pPr>
    </w:p>
    <w:tbl>
      <w:tblPr>
        <w:tblLayout w:type="fixed"/>
        <w:tblInd w:w="60" w:type="dxa"/>
        <w:tblCellMar>
          <w:top w:w="0" w:type="dxa"/>
          <w:left w:w="0" w:type="dxa"/>
          <w:bottom w:w="0" w:type="dxa"/>
          <w:right w:w="0" w:type="dxa"/>
        </w:tblCellMar>
      </w:tblPr>
      <w:tr>
        <w:trPr>
          <w:trHeight w:val="196"/>
        </w:trPr>
        <w:tc>
          <w:tcPr>
            <w:tcW w:w="6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Bendix</w:t>
            </w:r>
          </w:p>
        </w:tc>
        <w:tc>
          <w:tcPr>
            <w:tcW w:w="260" w:type="dxa"/>
            <w:vAlign w:val="bottom"/>
          </w:tcPr>
          <w:p>
            <w:pPr>
              <w:spacing w:after="0"/>
              <w:rPr>
                <w:sz w:val="17"/>
                <w:szCs w:val="17"/>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NARCO</w:t>
            </w:r>
          </w:p>
        </w:tc>
        <w:tc>
          <w:tcPr>
            <w:tcW w:w="300" w:type="dxa"/>
            <w:vAlign w:val="bottom"/>
          </w:tcPr>
          <w:p>
            <w:pPr>
              <w:spacing w:after="0"/>
              <w:rPr>
                <w:sz w:val="17"/>
                <w:szCs w:val="17"/>
                <w:color w:val="auto"/>
              </w:rPr>
            </w:pPr>
          </w:p>
        </w:tc>
        <w:tc>
          <w:tcPr>
            <w:tcW w:w="1040" w:type="dxa"/>
            <w:vAlign w:val="bottom"/>
          </w:tcPr>
          <w:p>
            <w:pPr>
              <w:jc w:val="right"/>
              <w:ind w:right="414"/>
              <w:spacing w:after="0"/>
              <w:rPr>
                <w:sz w:val="20"/>
                <w:szCs w:val="20"/>
                <w:color w:val="auto"/>
              </w:rPr>
            </w:pPr>
            <w:r>
              <w:rPr>
                <w:rFonts w:ascii="Arial" w:cs="Arial" w:eastAsia="Arial" w:hAnsi="Arial"/>
                <w:sz w:val="14"/>
                <w:szCs w:val="14"/>
                <w:b w:val="1"/>
                <w:bCs w:val="1"/>
                <w:color w:val="auto"/>
              </w:rPr>
              <w:t>Total</w:t>
            </w:r>
          </w:p>
        </w:tc>
      </w:tr>
      <w:tr>
        <w:trPr>
          <w:trHeight w:val="230"/>
        </w:trPr>
        <w:tc>
          <w:tcPr>
            <w:tcW w:w="68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December 31, 2020</w:t>
            </w:r>
          </w:p>
        </w:tc>
        <w:tc>
          <w:tcPr>
            <w:tcW w:w="280" w:type="dxa"/>
            <w:vAlign w:val="bottom"/>
            <w:tcBorders>
              <w:top w:val="single" w:sz="8" w:color="DC202E"/>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DC202E"/>
            </w:tcBorders>
            <w:shd w:val="clear" w:color="auto" w:fill="DBDBDB"/>
          </w:tcPr>
          <w:p>
            <w:pPr>
              <w:jc w:val="right"/>
              <w:spacing w:after="0"/>
              <w:rPr>
                <w:sz w:val="20"/>
                <w:szCs w:val="20"/>
                <w:color w:val="auto"/>
              </w:rPr>
            </w:pPr>
            <w:r>
              <w:rPr>
                <w:rFonts w:ascii="Arial" w:cs="Arial" w:eastAsia="Arial" w:hAnsi="Arial"/>
                <w:sz w:val="18"/>
                <w:szCs w:val="18"/>
                <w:color w:val="auto"/>
              </w:rPr>
              <w:t>1,441</w:t>
            </w:r>
          </w:p>
        </w:tc>
        <w:tc>
          <w:tcPr>
            <w:tcW w:w="12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DC202E"/>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DC202E"/>
            </w:tcBorders>
            <w:shd w:val="clear" w:color="auto" w:fill="DBDBDB"/>
          </w:tcPr>
          <w:p>
            <w:pPr>
              <w:jc w:val="right"/>
              <w:spacing w:after="0"/>
              <w:rPr>
                <w:sz w:val="20"/>
                <w:szCs w:val="20"/>
                <w:color w:val="auto"/>
              </w:rPr>
            </w:pPr>
            <w:r>
              <w:rPr>
                <w:rFonts w:ascii="Arial" w:cs="Arial" w:eastAsia="Arial" w:hAnsi="Arial"/>
                <w:sz w:val="18"/>
                <w:szCs w:val="18"/>
                <w:color w:val="auto"/>
              </w:rPr>
              <w:t>779</w:t>
            </w:r>
          </w:p>
        </w:tc>
        <w:tc>
          <w:tcPr>
            <w:tcW w:w="120" w:type="dxa"/>
            <w:vAlign w:val="bottom"/>
            <w:tcBorders>
              <w:top w:val="single" w:sz="8" w:color="DBDBDB"/>
            </w:tcBorders>
            <w:shd w:val="clear" w:color="auto" w:fill="DBDBDB"/>
          </w:tcPr>
          <w:p>
            <w:pPr>
              <w:spacing w:after="0"/>
              <w:rPr>
                <w:sz w:val="19"/>
                <w:szCs w:val="19"/>
                <w:color w:val="auto"/>
              </w:rPr>
            </w:pPr>
          </w:p>
        </w:tc>
        <w:tc>
          <w:tcPr>
            <w:tcW w:w="300" w:type="dxa"/>
            <w:vAlign w:val="bottom"/>
            <w:tcBorders>
              <w:top w:val="single" w:sz="8" w:color="DC202E"/>
            </w:tcBorders>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DC202E"/>
            </w:tcBorders>
            <w:shd w:val="clear" w:color="auto" w:fill="DBDBDB"/>
          </w:tcPr>
          <w:p>
            <w:pPr>
              <w:jc w:val="right"/>
              <w:spacing w:after="0"/>
              <w:rPr>
                <w:sz w:val="20"/>
                <w:szCs w:val="20"/>
                <w:color w:val="auto"/>
              </w:rPr>
            </w:pPr>
            <w:r>
              <w:rPr>
                <w:rFonts w:ascii="Arial" w:cs="Arial" w:eastAsia="Arial" w:hAnsi="Arial"/>
                <w:sz w:val="18"/>
                <w:szCs w:val="18"/>
                <w:color w:val="auto"/>
              </w:rPr>
              <w:t>2,220</w:t>
            </w:r>
          </w:p>
        </w:tc>
      </w:tr>
      <w:tr>
        <w:trPr>
          <w:trHeight w:val="230"/>
        </w:trPr>
        <w:tc>
          <w:tcPr>
            <w:tcW w:w="6860" w:type="dxa"/>
            <w:vAlign w:val="bottom"/>
          </w:tcPr>
          <w:p>
            <w:pPr>
              <w:ind w:left="140"/>
              <w:spacing w:after="0"/>
              <w:rPr>
                <w:sz w:val="20"/>
                <w:szCs w:val="20"/>
                <w:color w:val="auto"/>
              </w:rPr>
            </w:pPr>
            <w:r>
              <w:rPr>
                <w:rFonts w:ascii="Arial" w:cs="Arial" w:eastAsia="Arial" w:hAnsi="Arial"/>
                <w:sz w:val="18"/>
                <w:szCs w:val="18"/>
                <w:color w:val="auto"/>
              </w:rPr>
              <w:t>Accrual for update to estimated liability</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30"/>
        </w:trPr>
        <w:tc>
          <w:tcPr>
            <w:tcW w:w="68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Asbestos-related liability payments</w:t>
            </w:r>
          </w:p>
        </w:tc>
        <w:tc>
          <w:tcPr>
            <w:tcW w:w="280" w:type="dxa"/>
            <w:vAlign w:val="bottom"/>
            <w:tcBorders>
              <w:bottom w:val="single" w:sz="8" w:color="auto"/>
            </w:tcBorders>
            <w:shd w:val="clear" w:color="auto" w:fill="DBDBDB"/>
          </w:tcPr>
          <w:p>
            <w:pPr>
              <w:spacing w:after="0"/>
              <w:rPr>
                <w:sz w:val="19"/>
                <w:szCs w:val="19"/>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DBDBDB"/>
          </w:tcPr>
          <w:p>
            <w:pPr>
              <w:spacing w:after="0"/>
              <w:rPr>
                <w:sz w:val="19"/>
                <w:szCs w:val="19"/>
                <w:color w:val="auto"/>
              </w:rPr>
            </w:pPr>
          </w:p>
        </w:tc>
        <w:tc>
          <w:tcPr>
            <w:tcW w:w="26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(214)</w:t>
            </w:r>
          </w:p>
        </w:tc>
      </w:tr>
      <w:tr>
        <w:trPr>
          <w:trHeight w:val="223"/>
        </w:trPr>
        <w:tc>
          <w:tcPr>
            <w:tcW w:w="6860" w:type="dxa"/>
            <w:vAlign w:val="bottom"/>
          </w:tcPr>
          <w:p>
            <w:pPr>
              <w:ind w:left="20"/>
              <w:spacing w:after="0"/>
              <w:rPr>
                <w:sz w:val="20"/>
                <w:szCs w:val="20"/>
                <w:color w:val="auto"/>
              </w:rPr>
            </w:pPr>
            <w:r>
              <w:rPr>
                <w:rFonts w:ascii="Arial" w:cs="Arial" w:eastAsia="Arial" w:hAnsi="Arial"/>
                <w:sz w:val="18"/>
                <w:szCs w:val="18"/>
                <w:color w:val="auto"/>
              </w:rPr>
              <w:t>September 30, 2021</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1,374</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2,065</w:t>
            </w:r>
          </w:p>
        </w:tc>
      </w:tr>
      <w:tr>
        <w:trPr>
          <w:trHeight w:val="20"/>
        </w:trPr>
        <w:tc>
          <w:tcPr>
            <w:tcW w:w="6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INSURANCE RECOVERIES FOR ASBESTOS-RELATED LIABILITIES</w:t>
      </w:r>
    </w:p>
    <w:p>
      <w:pPr>
        <w:spacing w:after="0" w:line="50" w:lineRule="exact"/>
        <w:rPr>
          <w:sz w:val="20"/>
          <w:szCs w:val="20"/>
          <w:color w:val="auto"/>
        </w:rPr>
      </w:pPr>
    </w:p>
    <w:tbl>
      <w:tblPr>
        <w:tblLayout w:type="fixed"/>
        <w:tblInd w:w="60" w:type="dxa"/>
        <w:tblCellMar>
          <w:top w:w="0" w:type="dxa"/>
          <w:left w:w="0" w:type="dxa"/>
          <w:bottom w:w="0" w:type="dxa"/>
          <w:right w:w="0" w:type="dxa"/>
        </w:tblCellMar>
      </w:tblPr>
      <w:tr>
        <w:trPr>
          <w:trHeight w:val="196"/>
        </w:trPr>
        <w:tc>
          <w:tcPr>
            <w:tcW w:w="68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Bendix</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NARCO</w:t>
            </w:r>
          </w:p>
        </w:tc>
        <w:tc>
          <w:tcPr>
            <w:tcW w:w="300" w:type="dxa"/>
            <w:vAlign w:val="bottom"/>
          </w:tcPr>
          <w:p>
            <w:pPr>
              <w:spacing w:after="0"/>
              <w:rPr>
                <w:sz w:val="17"/>
                <w:szCs w:val="17"/>
                <w:color w:val="auto"/>
              </w:rPr>
            </w:pPr>
          </w:p>
        </w:tc>
        <w:tc>
          <w:tcPr>
            <w:tcW w:w="1040" w:type="dxa"/>
            <w:vAlign w:val="bottom"/>
          </w:tcPr>
          <w:p>
            <w:pPr>
              <w:jc w:val="right"/>
              <w:ind w:right="413"/>
              <w:spacing w:after="0"/>
              <w:rPr>
                <w:sz w:val="20"/>
                <w:szCs w:val="20"/>
                <w:color w:val="auto"/>
              </w:rPr>
            </w:pPr>
            <w:r>
              <w:rPr>
                <w:rFonts w:ascii="Arial" w:cs="Arial" w:eastAsia="Arial" w:hAnsi="Arial"/>
                <w:sz w:val="14"/>
                <w:szCs w:val="14"/>
                <w:b w:val="1"/>
                <w:bCs w:val="1"/>
                <w:color w:val="auto"/>
              </w:rPr>
              <w:t>Total</w:t>
            </w:r>
          </w:p>
        </w:tc>
      </w:tr>
      <w:tr>
        <w:trPr>
          <w:trHeight w:val="229"/>
        </w:trPr>
        <w:tc>
          <w:tcPr>
            <w:tcW w:w="68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December 31, 2020</w:t>
            </w:r>
          </w:p>
        </w:tc>
        <w:tc>
          <w:tcPr>
            <w:tcW w:w="940" w:type="dxa"/>
            <w:vAlign w:val="bottom"/>
            <w:tcBorders>
              <w:top w:val="single" w:sz="8" w:color="DC202E"/>
            </w:tcBorders>
            <w:shd w:val="clear" w:color="auto" w:fill="DBDBDB"/>
          </w:tcPr>
          <w:p>
            <w:pPr>
              <w:jc w:val="right"/>
              <w:ind w:right="736"/>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DC202E"/>
            </w:tcBorders>
            <w:shd w:val="clear" w:color="auto" w:fill="DBDBDB"/>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DC202E"/>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DC202E"/>
            </w:tcBorders>
            <w:shd w:val="clear" w:color="auto" w:fill="DBDBDB"/>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Borders>
              <w:top w:val="single" w:sz="8" w:color="DBDBDB"/>
            </w:tcBorders>
            <w:shd w:val="clear" w:color="auto" w:fill="DBDBDB"/>
          </w:tcPr>
          <w:p>
            <w:pPr>
              <w:spacing w:after="0"/>
              <w:rPr>
                <w:sz w:val="19"/>
                <w:szCs w:val="19"/>
                <w:color w:val="auto"/>
              </w:rPr>
            </w:pPr>
          </w:p>
        </w:tc>
        <w:tc>
          <w:tcPr>
            <w:tcW w:w="300" w:type="dxa"/>
            <w:vAlign w:val="bottom"/>
            <w:tcBorders>
              <w:top w:val="single" w:sz="8" w:color="DC202E"/>
            </w:tcBorders>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DC202E"/>
            </w:tcBorders>
            <w:shd w:val="clear" w:color="auto" w:fill="DBDBDB"/>
          </w:tcPr>
          <w:p>
            <w:pPr>
              <w:jc w:val="right"/>
              <w:spacing w:after="0"/>
              <w:rPr>
                <w:sz w:val="20"/>
                <w:szCs w:val="20"/>
                <w:color w:val="auto"/>
              </w:rPr>
            </w:pPr>
            <w:r>
              <w:rPr>
                <w:rFonts w:ascii="Arial" w:cs="Arial" w:eastAsia="Arial" w:hAnsi="Arial"/>
                <w:sz w:val="18"/>
                <w:szCs w:val="18"/>
                <w:color w:val="auto"/>
              </w:rPr>
              <w:t>402</w:t>
            </w:r>
          </w:p>
        </w:tc>
      </w:tr>
      <w:tr>
        <w:trPr>
          <w:trHeight w:val="230"/>
        </w:trPr>
        <w:tc>
          <w:tcPr>
            <w:tcW w:w="6860" w:type="dxa"/>
            <w:vAlign w:val="bottom"/>
          </w:tcPr>
          <w:p>
            <w:pPr>
              <w:ind w:left="140"/>
              <w:spacing w:after="0"/>
              <w:rPr>
                <w:sz w:val="20"/>
                <w:szCs w:val="20"/>
                <w:color w:val="auto"/>
              </w:rPr>
            </w:pPr>
            <w:r>
              <w:rPr>
                <w:rFonts w:ascii="Arial" w:cs="Arial" w:eastAsia="Arial" w:hAnsi="Arial"/>
                <w:sz w:val="18"/>
                <w:szCs w:val="18"/>
                <w:color w:val="auto"/>
              </w:rPr>
              <w:t>Probable insurance recoveries related to estimated liability</w:t>
            </w:r>
          </w:p>
        </w:tc>
        <w:tc>
          <w:tcPr>
            <w:tcW w:w="94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8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Insurance receipts for asbestos-related liabilities</w:t>
            </w:r>
          </w:p>
        </w:tc>
        <w:tc>
          <w:tcPr>
            <w:tcW w:w="940" w:type="dxa"/>
            <w:vAlign w:val="bottom"/>
            <w:shd w:val="clear" w:color="auto" w:fill="DBDBDB"/>
          </w:tcPr>
          <w:p>
            <w:pPr>
              <w:spacing w:after="0"/>
              <w:rPr>
                <w:sz w:val="19"/>
                <w:szCs w:val="19"/>
                <w:color w:val="auto"/>
              </w:rPr>
            </w:pPr>
          </w:p>
        </w:tc>
        <w:tc>
          <w:tcPr>
            <w:tcW w:w="4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(37)</w:t>
            </w:r>
          </w:p>
        </w:tc>
      </w:tr>
      <w:tr>
        <w:trPr>
          <w:trHeight w:val="229"/>
        </w:trPr>
        <w:tc>
          <w:tcPr>
            <w:tcW w:w="6860" w:type="dxa"/>
            <w:vAlign w:val="bottom"/>
          </w:tcPr>
          <w:p>
            <w:pPr>
              <w:ind w:left="140"/>
              <w:spacing w:after="0"/>
              <w:rPr>
                <w:sz w:val="20"/>
                <w:szCs w:val="20"/>
                <w:color w:val="auto"/>
              </w:rPr>
            </w:pPr>
            <w:r>
              <w:rPr>
                <w:rFonts w:ascii="Arial" w:cs="Arial" w:eastAsia="Arial" w:hAnsi="Arial"/>
                <w:sz w:val="18"/>
                <w:szCs w:val="18"/>
                <w:color w:val="auto"/>
              </w:rPr>
              <w:t>Insurance receivables settlements</w:t>
            </w:r>
          </w:p>
        </w:tc>
        <w:tc>
          <w:tcPr>
            <w:tcW w:w="94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86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September 30, 2021</w:t>
            </w:r>
          </w:p>
        </w:tc>
        <w:tc>
          <w:tcPr>
            <w:tcW w:w="940" w:type="dxa"/>
            <w:vAlign w:val="bottom"/>
            <w:tcBorders>
              <w:top w:val="single" w:sz="8" w:color="auto"/>
              <w:bottom w:val="single" w:sz="8" w:color="auto"/>
            </w:tcBorders>
            <w:shd w:val="clear" w:color="auto" w:fill="DBDBDB"/>
          </w:tcPr>
          <w:p>
            <w:pPr>
              <w:jc w:val="right"/>
              <w:ind w:right="736"/>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260" w:type="dxa"/>
            <w:vAlign w:val="bottom"/>
            <w:tcBorders>
              <w:top w:val="single" w:sz="8" w:color="auto"/>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300" w:type="dxa"/>
            <w:vAlign w:val="bottom"/>
            <w:tcBorders>
              <w:top w:val="single" w:sz="8" w:color="auto"/>
              <w:bottom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365</w:t>
            </w:r>
          </w:p>
        </w:tc>
      </w:tr>
      <w:tr>
        <w:trPr>
          <w:trHeight w:val="20"/>
        </w:trPr>
        <w:tc>
          <w:tcPr>
            <w:tcW w:w="6860" w:type="dxa"/>
            <w:vAlign w:val="bottom"/>
            <w:tcBorders>
              <w:top w:val="single" w:sz="8" w:color="DBDBDB"/>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108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24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NARCO and Bendix asbestos-related balances are included in the following balance sheet accounts: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40" w:type="dxa"/>
            <w:vAlign w:val="bottom"/>
          </w:tcPr>
          <w:p>
            <w:pPr>
              <w:spacing w:after="0"/>
              <w:rPr>
                <w:sz w:val="17"/>
                <w:szCs w:val="17"/>
                <w:color w:val="auto"/>
              </w:rPr>
            </w:pPr>
          </w:p>
        </w:tc>
        <w:tc>
          <w:tcPr>
            <w:tcW w:w="156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30, 2021</w:t>
            </w:r>
          </w:p>
        </w:tc>
        <w:tc>
          <w:tcPr>
            <w:tcW w:w="144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 2020</w:t>
            </w:r>
          </w:p>
        </w:tc>
      </w:tr>
      <w:tr>
        <w:trPr>
          <w:trHeight w:val="230"/>
        </w:trPr>
        <w:tc>
          <w:tcPr>
            <w:tcW w:w="8240" w:type="dxa"/>
            <w:vAlign w:val="bottom"/>
            <w:tcBorders>
              <w:top w:val="single" w:sz="8" w:color="DDDDDD"/>
            </w:tcBorders>
            <w:shd w:val="clear" w:color="auto" w:fill="DDDDDD"/>
          </w:tcPr>
          <w:p>
            <w:pPr>
              <w:ind w:left="20"/>
              <w:spacing w:after="0"/>
              <w:rPr>
                <w:sz w:val="20"/>
                <w:szCs w:val="20"/>
                <w:color w:val="auto"/>
              </w:rPr>
            </w:pPr>
            <w:r>
              <w:rPr>
                <w:rFonts w:ascii="Arial" w:cs="Arial" w:eastAsia="Arial" w:hAnsi="Arial"/>
                <w:sz w:val="18"/>
                <w:szCs w:val="18"/>
                <w:color w:val="auto"/>
              </w:rPr>
              <w:t>Other current assets</w:t>
            </w:r>
          </w:p>
        </w:tc>
        <w:tc>
          <w:tcPr>
            <w:tcW w:w="520" w:type="dxa"/>
            <w:vAlign w:val="bottom"/>
            <w:tcBorders>
              <w:top w:val="single" w:sz="8" w:color="DC202E"/>
            </w:tcBorders>
            <w:shd w:val="clear" w:color="auto" w:fill="DDDDDD"/>
          </w:tcPr>
          <w:p>
            <w:pPr>
              <w:jc w:val="right"/>
              <w:ind w:right="314"/>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DC202E"/>
            </w:tcBorders>
            <w:shd w:val="clear" w:color="auto" w:fill="DDDDDD"/>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top w:val="single" w:sz="8" w:color="DDDDDD"/>
            </w:tcBorders>
            <w:shd w:val="clear" w:color="auto" w:fill="DDDDDD"/>
          </w:tcPr>
          <w:p>
            <w:pPr>
              <w:spacing w:after="0"/>
              <w:rPr>
                <w:sz w:val="19"/>
                <w:szCs w:val="19"/>
                <w:color w:val="auto"/>
              </w:rPr>
            </w:pPr>
          </w:p>
        </w:tc>
        <w:tc>
          <w:tcPr>
            <w:tcW w:w="520" w:type="dxa"/>
            <w:vAlign w:val="bottom"/>
            <w:tcBorders>
              <w:top w:val="single" w:sz="8" w:color="DC202E"/>
            </w:tcBorders>
            <w:shd w:val="clear" w:color="auto" w:fill="DDDDDD"/>
          </w:tcPr>
          <w:p>
            <w:pPr>
              <w:jc w:val="right"/>
              <w:ind w:right="314"/>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DC202E"/>
            </w:tcBorders>
            <w:shd w:val="clear" w:color="auto" w:fill="DDDDDD"/>
          </w:tcPr>
          <w:p>
            <w:pPr>
              <w:jc w:val="right"/>
              <w:spacing w:after="0"/>
              <w:rPr>
                <w:sz w:val="20"/>
                <w:szCs w:val="20"/>
                <w:color w:val="auto"/>
              </w:rPr>
            </w:pPr>
            <w:r>
              <w:rPr>
                <w:rFonts w:ascii="Arial" w:cs="Arial" w:eastAsia="Arial" w:hAnsi="Arial"/>
                <w:sz w:val="18"/>
                <w:szCs w:val="18"/>
                <w:color w:val="auto"/>
              </w:rPr>
              <w:t>36</w:t>
            </w:r>
          </w:p>
        </w:tc>
      </w:tr>
      <w:tr>
        <w:trPr>
          <w:trHeight w:val="229"/>
        </w:trPr>
        <w:tc>
          <w:tcPr>
            <w:tcW w:w="8240" w:type="dxa"/>
            <w:vAlign w:val="bottom"/>
            <w:tcBorders>
              <w:bottom w:val="single" w:sz="8" w:color="DDDDDD"/>
            </w:tcBorders>
          </w:tcPr>
          <w:p>
            <w:pPr>
              <w:ind w:left="20"/>
              <w:spacing w:after="0"/>
              <w:rPr>
                <w:sz w:val="20"/>
                <w:szCs w:val="20"/>
                <w:color w:val="auto"/>
              </w:rPr>
            </w:pPr>
            <w:r>
              <w:rPr>
                <w:rFonts w:ascii="Arial" w:cs="Arial" w:eastAsia="Arial" w:hAnsi="Arial"/>
                <w:sz w:val="18"/>
                <w:szCs w:val="18"/>
                <w:color w:val="auto"/>
              </w:rPr>
              <w:t>Insurance recoveries for asbestos-related liabilities</w:t>
            </w: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w:t>
            </w:r>
          </w:p>
        </w:tc>
        <w:tc>
          <w:tcPr>
            <w:tcW w:w="120" w:type="dxa"/>
            <w:vAlign w:val="bottom"/>
            <w:tcBorders>
              <w:bottom w:val="single" w:sz="8" w:color="DDDDDD"/>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w:t>
            </w:r>
          </w:p>
        </w:tc>
      </w:tr>
      <w:tr>
        <w:trPr>
          <w:trHeight w:val="248"/>
        </w:trPr>
        <w:tc>
          <w:tcPr>
            <w:tcW w:w="8240" w:type="dxa"/>
            <w:vAlign w:val="bottom"/>
            <w:tcBorders>
              <w:bottom w:val="single" w:sz="8" w:color="DDDDDD"/>
            </w:tcBorders>
            <w:shd w:val="clear" w:color="auto" w:fill="DDDDDD"/>
          </w:tcPr>
          <w:p>
            <w:pPr>
              <w:spacing w:after="0"/>
              <w:rPr>
                <w:sz w:val="21"/>
                <w:szCs w:val="21"/>
                <w:color w:val="auto"/>
              </w:rPr>
            </w:pPr>
          </w:p>
        </w:tc>
        <w:tc>
          <w:tcPr>
            <w:tcW w:w="520" w:type="dxa"/>
            <w:vAlign w:val="bottom"/>
            <w:tcBorders>
              <w:bottom w:val="single" w:sz="8" w:color="auto"/>
            </w:tcBorders>
            <w:shd w:val="clear" w:color="auto" w:fill="DDDDDD"/>
          </w:tcPr>
          <w:p>
            <w:pPr>
              <w:jc w:val="right"/>
              <w:ind w:right="314"/>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365</w:t>
            </w:r>
          </w:p>
        </w:tc>
        <w:tc>
          <w:tcPr>
            <w:tcW w:w="120" w:type="dxa"/>
            <w:vAlign w:val="bottom"/>
            <w:tcBorders>
              <w:bottom w:val="single" w:sz="8" w:color="DDDDDD"/>
            </w:tcBorders>
            <w:shd w:val="clear" w:color="auto" w:fill="DDDDDD"/>
          </w:tcPr>
          <w:p>
            <w:pPr>
              <w:spacing w:after="0"/>
              <w:rPr>
                <w:sz w:val="21"/>
                <w:szCs w:val="21"/>
                <w:color w:val="auto"/>
              </w:rPr>
            </w:pPr>
          </w:p>
        </w:tc>
        <w:tc>
          <w:tcPr>
            <w:tcW w:w="520" w:type="dxa"/>
            <w:vAlign w:val="bottom"/>
            <w:tcBorders>
              <w:bottom w:val="single" w:sz="8" w:color="auto"/>
            </w:tcBorders>
            <w:shd w:val="clear" w:color="auto" w:fill="DDDDDD"/>
          </w:tcPr>
          <w:p>
            <w:pPr>
              <w:jc w:val="right"/>
              <w:ind w:right="314"/>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402</w:t>
            </w:r>
          </w:p>
        </w:tc>
      </w:tr>
      <w:tr>
        <w:trPr>
          <w:trHeight w:val="20"/>
        </w:trPr>
        <w:tc>
          <w:tcPr>
            <w:tcW w:w="8240" w:type="dxa"/>
            <w:vAlign w:val="bottom"/>
            <w:tcBorders>
              <w:top w:val="single" w:sz="8" w:color="DDDDDD"/>
            </w:tcBorders>
          </w:tcPr>
          <w:p>
            <w:pPr>
              <w:spacing w:after="0" w:line="20" w:lineRule="exact"/>
              <w:rPr>
                <w:sz w:val="1"/>
                <w:szCs w:val="1"/>
                <w:color w:val="auto"/>
              </w:rPr>
            </w:pPr>
          </w:p>
        </w:tc>
        <w:tc>
          <w:tcPr>
            <w:tcW w:w="520" w:type="dxa"/>
            <w:vAlign w:val="bottom"/>
            <w:tcBorders>
              <w:top w:val="single" w:sz="8" w:color="DDDDDD"/>
              <w:bottom w:val="single" w:sz="8" w:color="auto"/>
            </w:tcBorders>
          </w:tcPr>
          <w:p>
            <w:pPr>
              <w:spacing w:after="0" w:line="20" w:lineRule="exact"/>
              <w:rPr>
                <w:sz w:val="1"/>
                <w:szCs w:val="1"/>
                <w:color w:val="auto"/>
              </w:rPr>
            </w:pPr>
          </w:p>
        </w:tc>
        <w:tc>
          <w:tcPr>
            <w:tcW w:w="920" w:type="dxa"/>
            <w:vAlign w:val="bottom"/>
            <w:tcBorders>
              <w:top w:val="single" w:sz="8" w:color="DDDDDD"/>
              <w:bottom w:val="single" w:sz="8" w:color="auto"/>
            </w:tcBorders>
          </w:tcPr>
          <w:p>
            <w:pPr>
              <w:spacing w:after="0" w:line="20" w:lineRule="exact"/>
              <w:rPr>
                <w:sz w:val="1"/>
                <w:szCs w:val="1"/>
                <w:color w:val="auto"/>
              </w:rPr>
            </w:pPr>
          </w:p>
        </w:tc>
        <w:tc>
          <w:tcPr>
            <w:tcW w:w="120" w:type="dxa"/>
            <w:vAlign w:val="bottom"/>
            <w:tcBorders>
              <w:top w:val="single" w:sz="8" w:color="DDDDDD"/>
            </w:tcBorders>
          </w:tcPr>
          <w:p>
            <w:pPr>
              <w:spacing w:after="0" w:line="20" w:lineRule="exact"/>
              <w:rPr>
                <w:sz w:val="1"/>
                <w:szCs w:val="1"/>
                <w:color w:val="auto"/>
              </w:rPr>
            </w:pPr>
          </w:p>
        </w:tc>
        <w:tc>
          <w:tcPr>
            <w:tcW w:w="520" w:type="dxa"/>
            <w:vAlign w:val="bottom"/>
            <w:tcBorders>
              <w:top w:val="single" w:sz="8" w:color="DDDDDD"/>
              <w:bottom w:val="single" w:sz="8" w:color="auto"/>
            </w:tcBorders>
          </w:tcPr>
          <w:p>
            <w:pPr>
              <w:spacing w:after="0" w:line="20" w:lineRule="exact"/>
              <w:rPr>
                <w:sz w:val="1"/>
                <w:szCs w:val="1"/>
                <w:color w:val="auto"/>
              </w:rPr>
            </w:pPr>
          </w:p>
        </w:tc>
        <w:tc>
          <w:tcPr>
            <w:tcW w:w="920" w:type="dxa"/>
            <w:vAlign w:val="bottom"/>
            <w:tcBorders>
              <w:top w:val="single" w:sz="8" w:color="DDDDDD"/>
              <w:bottom w:val="single" w:sz="8" w:color="auto"/>
            </w:tcBorders>
          </w:tcPr>
          <w:p>
            <w:pPr>
              <w:spacing w:after="0" w:line="20" w:lineRule="exact"/>
              <w:rPr>
                <w:sz w:val="1"/>
                <w:szCs w:val="1"/>
                <w:color w:val="auto"/>
              </w:rPr>
            </w:pPr>
          </w:p>
        </w:tc>
      </w:tr>
      <w:tr>
        <w:trPr>
          <w:trHeight w:val="203"/>
        </w:trPr>
        <w:tc>
          <w:tcPr>
            <w:tcW w:w="8240" w:type="dxa"/>
            <w:vAlign w:val="bottom"/>
          </w:tcPr>
          <w:p>
            <w:pPr>
              <w:ind w:left="20"/>
              <w:spacing w:after="0" w:line="203" w:lineRule="exact"/>
              <w:rPr>
                <w:sz w:val="20"/>
                <w:szCs w:val="20"/>
                <w:color w:val="auto"/>
              </w:rPr>
            </w:pPr>
            <w:r>
              <w:rPr>
                <w:rFonts w:ascii="Arial" w:cs="Arial" w:eastAsia="Arial" w:hAnsi="Arial"/>
                <w:sz w:val="18"/>
                <w:szCs w:val="18"/>
                <w:color w:val="auto"/>
              </w:rPr>
              <w:t>Accrued liabilities</w:t>
            </w:r>
          </w:p>
        </w:tc>
        <w:tc>
          <w:tcPr>
            <w:tcW w:w="520" w:type="dxa"/>
            <w:vAlign w:val="bottom"/>
          </w:tcPr>
          <w:p>
            <w:pPr>
              <w:jc w:val="right"/>
              <w:ind w:right="314"/>
              <w:spacing w:after="0" w:line="203" w:lineRule="exact"/>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300</w:t>
            </w:r>
          </w:p>
        </w:tc>
        <w:tc>
          <w:tcPr>
            <w:tcW w:w="120" w:type="dxa"/>
            <w:vAlign w:val="bottom"/>
          </w:tcPr>
          <w:p>
            <w:pPr>
              <w:spacing w:after="0"/>
              <w:rPr>
                <w:sz w:val="17"/>
                <w:szCs w:val="17"/>
                <w:color w:val="auto"/>
              </w:rPr>
            </w:pPr>
          </w:p>
        </w:tc>
        <w:tc>
          <w:tcPr>
            <w:tcW w:w="520" w:type="dxa"/>
            <w:vAlign w:val="bottom"/>
          </w:tcPr>
          <w:p>
            <w:pPr>
              <w:jc w:val="right"/>
              <w:ind w:right="314"/>
              <w:spacing w:after="0" w:line="203" w:lineRule="exact"/>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300</w:t>
            </w:r>
          </w:p>
        </w:tc>
      </w:tr>
      <w:tr>
        <w:trPr>
          <w:trHeight w:val="229"/>
        </w:trPr>
        <w:tc>
          <w:tcPr>
            <w:tcW w:w="8240" w:type="dxa"/>
            <w:vAlign w:val="bottom"/>
            <w:shd w:val="clear" w:color="auto" w:fill="DDDDDD"/>
          </w:tcPr>
          <w:p>
            <w:pPr>
              <w:ind w:left="20"/>
              <w:spacing w:after="0"/>
              <w:rPr>
                <w:sz w:val="20"/>
                <w:szCs w:val="20"/>
                <w:color w:val="auto"/>
              </w:rPr>
            </w:pPr>
            <w:r>
              <w:rPr>
                <w:rFonts w:ascii="Arial" w:cs="Arial" w:eastAsia="Arial" w:hAnsi="Arial"/>
                <w:sz w:val="18"/>
                <w:szCs w:val="18"/>
                <w:color w:val="auto"/>
              </w:rPr>
              <w:t>Asbestos-related liabilities</w:t>
            </w:r>
          </w:p>
        </w:tc>
        <w:tc>
          <w:tcPr>
            <w:tcW w:w="520" w:type="dxa"/>
            <w:vAlign w:val="bottom"/>
            <w:tcBorders>
              <w:bottom w:val="single" w:sz="8" w:color="auto"/>
            </w:tcBorders>
            <w:shd w:val="clear" w:color="auto" w:fill="DDDDDD"/>
          </w:tcPr>
          <w:p>
            <w:pPr>
              <w:spacing w:after="0"/>
              <w:rPr>
                <w:sz w:val="19"/>
                <w:szCs w:val="19"/>
                <w:color w:val="auto"/>
              </w:rPr>
            </w:pPr>
          </w:p>
        </w:tc>
        <w:tc>
          <w:tcPr>
            <w:tcW w:w="9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1,765</w:t>
            </w:r>
          </w:p>
        </w:tc>
        <w:tc>
          <w:tcPr>
            <w:tcW w:w="120" w:type="dxa"/>
            <w:vAlign w:val="bottom"/>
            <w:shd w:val="clear" w:color="auto" w:fill="DDDDDD"/>
          </w:tcPr>
          <w:p>
            <w:pPr>
              <w:spacing w:after="0"/>
              <w:rPr>
                <w:sz w:val="19"/>
                <w:szCs w:val="19"/>
                <w:color w:val="auto"/>
              </w:rPr>
            </w:pPr>
          </w:p>
        </w:tc>
        <w:tc>
          <w:tcPr>
            <w:tcW w:w="520" w:type="dxa"/>
            <w:vAlign w:val="bottom"/>
            <w:tcBorders>
              <w:bottom w:val="single" w:sz="8" w:color="auto"/>
            </w:tcBorders>
            <w:shd w:val="clear" w:color="auto" w:fill="DDDDDD"/>
          </w:tcPr>
          <w:p>
            <w:pPr>
              <w:spacing w:after="0"/>
              <w:rPr>
                <w:sz w:val="19"/>
                <w:szCs w:val="19"/>
                <w:color w:val="auto"/>
              </w:rPr>
            </w:pPr>
          </w:p>
        </w:tc>
        <w:tc>
          <w:tcPr>
            <w:tcW w:w="9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1,920</w:t>
            </w:r>
          </w:p>
        </w:tc>
      </w:tr>
      <w:tr>
        <w:trPr>
          <w:trHeight w:val="223"/>
        </w:trPr>
        <w:tc>
          <w:tcPr>
            <w:tcW w:w="8240" w:type="dxa"/>
            <w:vAlign w:val="bottom"/>
          </w:tcPr>
          <w:p>
            <w:pPr>
              <w:spacing w:after="0"/>
              <w:rPr>
                <w:sz w:val="19"/>
                <w:szCs w:val="19"/>
                <w:color w:val="auto"/>
              </w:rPr>
            </w:pPr>
          </w:p>
        </w:tc>
        <w:tc>
          <w:tcPr>
            <w:tcW w:w="520" w:type="dxa"/>
            <w:vAlign w:val="bottom"/>
            <w:tcBorders>
              <w:bottom w:val="single" w:sz="8" w:color="auto"/>
            </w:tcBorders>
          </w:tcPr>
          <w:p>
            <w:pPr>
              <w:jc w:val="right"/>
              <w:ind w:right="314"/>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2,065</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14"/>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2,220</w:t>
            </w:r>
          </w:p>
        </w:tc>
      </w:tr>
      <w:tr>
        <w:trPr>
          <w:trHeight w:val="20"/>
        </w:trPr>
        <w:tc>
          <w:tcPr>
            <w:tcW w:w="8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 xml:space="preserve">NARCO Products </w:t>
      </w:r>
      <w:r>
        <w:rPr>
          <w:rFonts w:ascii="Arial" w:cs="Arial" w:eastAsia="Arial" w:hAnsi="Arial"/>
          <w:sz w:val="18"/>
          <w:szCs w:val="18"/>
          <w:color w:val="auto"/>
        </w:rPr>
        <w:t>– NARCO manufactured high-grade, heat-resistant, refractory products for various industries. Honeywell’s predecessor,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Allied Corporation, owned NARCO from 1979 to 1986. Allied Corporation sold the NARCO business in 1986 and entered into a cross-indemnity agreement which included an obligation to indemnify the purchaser for asbestos claims, arising primarily from alleged occupational exposure to asbestos-containing refractory brick and mortar for high-temperature applications. NARCO ceased manufacturing these products in 1980 and filed for bankruptcy in January 2002, at which point in time all then current and future NARCO asbestos claims were stayed against both NARCO and Honeywell pending the reorganization of NARCO. The Company established its initial liability for NARCO asbestos claims in 2002.</w:t>
      </w:r>
    </w:p>
    <w:p>
      <w:pPr>
        <w:spacing w:after="0" w:line="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NARCO emerged from bankruptcy in April 2013, at which time a federally authorized 524(g) trust was established to evaluate and resolve all existing NARCO asbestos claims (the Trust). Both Honeywell and NARCO are protected by a permanent channeling injunction barring all present and future individual actions in state or federal courts and requiring all asbestos-related claims based on exposure to NARCO asbestos-containing products to be made against the Trust. The NARCO Trust Agreement (TA) and the NARCO Trust Distribution Procedures (TDP) set forth the structure and operating rules of the Trust, and established Honeywell’s evergreen funding obligations.</w:t>
      </w:r>
    </w:p>
    <w:p>
      <w:pPr>
        <w:spacing w:after="0" w:line="9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accordance with the TA, the Trust is eligible to receive cash dividends from Harbison-Walker International Inc. (HWI), the reorganized and renamed entity that emerged from the NARCO bankruptcy. HWI cash dividends are required to be used to pay asbestos-related claims which qualify for payment under the TDP (Annual Contribution Claims) until those funds are exhausted, at which point Honeywell’s funding obligation, subject to an annual cap of $145 million, is triggered. The Company is also required to fund amounts owed pursuant to settlement agreements reached during the pendency of the NARCO bankruptcy proceedings that provide for the right to submit claims to the Trust subject to qualification under the terms of the settlement agreements and TDP (Pre-Established Unliquidated Claims), as well as fund the annual operating costs of the Trust. There is no annual funding cap relative to Pre-Established Unliquidated Claims. In July 2021, HWI paid a dividend of $47 million to the Trust.</w:t>
      </w:r>
    </w:p>
    <w:p>
      <w:pPr>
        <w:spacing w:after="0" w:line="9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operating rules per the TDP defines criteria claimants must meet for a claim to be considered valid and paid, which include adequate medical evidence of the claimant’s asbestos-related condition and credible evidence of exposure to a specific NARCO asbestos-containing product. The TDP allows Honeywell to audit claim support documents against these criteria. Once operational in 2014, the Trust began to receive, process and pay claims. The Company identified several issues with the way the Trust was adhering to the TDP in audits subsequent to the Trust becoming operational. The Company continued to identify and dispute these matters as further claims have been and are processed. In September 2021, Honeywell filed suit against the Trust in Bankruptcy Court alleging, among other claims, breach of certain provisions of the TA and TDP. The Trust also filed suit against Honeywell, alleging Honeywell has breached its obligations under the Trust's governing documents. At this time, we cannot predict the outcome of these matters.</w:t>
      </w:r>
    </w:p>
    <w:p>
      <w:pPr>
        <w:spacing w:after="0" w:line="9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Due to the bankruptcy filing in 2002, claimants were not permitted to file additional claims until the Trust became operative in 2014. As a consequence, there was a large backlog of claims filed with the Trust upon it becoming operative in 2014 through December 31, 2017, the date by which these claims had to be filed or else be barred by the expiration of the statute of limitations. Therefore, the claims filing rate did not start to normalize until 2018 and thereafter. As a result, between 2002 and 2018, the Company lacked a history of sufficiently reliable claims data to derive a reasonable estimate of its NARCO asbestos-related liability, and the Company continued to update its original estimate, as appropriate, using all available information.</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25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4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2020, with three years of sufficiently reliable claims data, the Company updated its estimate of the NARCO asbestos-related liability utilizing claims data from January 1, 2018 through December 31, 2020. The Company utilizes an asbestos liability valuation specialist to support our preparation of the NARCO asbestos-related liability estimates. Our estimates, which involve significant management judgment, consider multiple scenarios, including a scenario adjusting for the impact of the COVID-19 pandemic on the Trust's ability to process claims during 2020. The estimate for the resolution of asserted Annual Contribution Claims and Pre-Established Unliquidated Claims uses average payment values for the relevant historical period. For unasserted claims, the estimate is based on historic and anticipated claims filing experience and payment rates, disease classifications and type of claim, and average payment values by the Trust for the relevant historical period. The Company's estimate also includes all years of epidemiological disease projection through 2059.</w:t>
      </w:r>
    </w:p>
    <w:p>
      <w:pPr>
        <w:spacing w:after="0" w:line="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NARCO asbestos-related liability reflects an estimate for the resolution of Annual Contribution Claims and Pre-Established Unliquidated Claims filed with the Trust, as well as for unasserted Annual Contribution Claims and Pre-Established Unliquidated Claims. The NARCO asbestos-related liability excludes the annual operating expenses of the Trust which are expensed as they are incurred.</w:t>
      </w:r>
    </w:p>
    <w:p>
      <w:pPr>
        <w:spacing w:after="0" w:line="9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Company's NARCO-related insurance receivable reflects coverage which reimburses Honeywell for portions of NARCO-related claims and defense costs. This coverage is provided by a large number of insurance policies written by dozens of insurance companies in both the domestic insurance market and the London excess market. Honeywell's NARCO-related insurance receivable is an estimate of the probable amount of insurance that is recoverable for asbestos claims. Most of our insurance carriers remain solvent. However, select individual insurance carriers are now insolvent, which we have considered in our analysis of probable recoveries. Our judgments related to our insurance carriers and insurance coverages are reasonable and consistent with Honeywell's historical dealings and Honeywell's knowledge of any pertinent solvency issues surrounding insurers.</w:t>
      </w:r>
    </w:p>
    <w:p>
      <w:pPr>
        <w:spacing w:after="0" w:line="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Bendix Products </w:t>
      </w:r>
      <w:r>
        <w:rPr>
          <w:rFonts w:ascii="Arial" w:cs="Arial" w:eastAsia="Arial" w:hAnsi="Arial"/>
          <w:sz w:val="18"/>
          <w:szCs w:val="18"/>
          <w:color w:val="auto"/>
        </w:rPr>
        <w:t>– Bendix manufactured automotive brake linings that contained chrysotile asbestos in an encapsulated form. Claimants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consist largely of individuals who allege exposure to asbestos from brakes from either performing or being in the vicinity of individuals who performed brake replacements. The following tables present information regarding Bendix-related asbestos claims activity:</w:t>
      </w:r>
    </w:p>
    <w:tbl>
      <w:tblPr>
        <w:tblLayout w:type="fixed"/>
        <w:tblInd w:w="0" w:type="dxa"/>
        <w:tblCellMar>
          <w:top w:w="0" w:type="dxa"/>
          <w:left w:w="0" w:type="dxa"/>
          <w:bottom w:w="0" w:type="dxa"/>
          <w:right w:w="0" w:type="dxa"/>
        </w:tblCellMar>
      </w:tblPr>
      <w:tr>
        <w:trPr>
          <w:trHeight w:val="153"/>
        </w:trPr>
        <w:tc>
          <w:tcPr>
            <w:tcW w:w="6700" w:type="dxa"/>
            <w:vAlign w:val="bottom"/>
          </w:tcPr>
          <w:p>
            <w:pPr>
              <w:spacing w:after="0"/>
              <w:rPr>
                <w:sz w:val="13"/>
                <w:szCs w:val="13"/>
                <w:color w:val="auto"/>
              </w:rPr>
            </w:pPr>
          </w:p>
        </w:tc>
        <w:tc>
          <w:tcPr>
            <w:tcW w:w="15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Nine Months Ended</w:t>
            </w:r>
          </w:p>
        </w:tc>
        <w:tc>
          <w:tcPr>
            <w:tcW w:w="2020" w:type="dxa"/>
            <w:vAlign w:val="bottom"/>
            <w:gridSpan w:val="3"/>
          </w:tcPr>
          <w:p>
            <w:pPr>
              <w:ind w:left="1040"/>
              <w:spacing w:after="0" w:line="153" w:lineRule="exact"/>
              <w:rPr>
                <w:sz w:val="20"/>
                <w:szCs w:val="20"/>
                <w:color w:val="auto"/>
              </w:rPr>
            </w:pPr>
            <w:r>
              <w:rPr>
                <w:rFonts w:ascii="Arial" w:cs="Arial" w:eastAsia="Arial" w:hAnsi="Arial"/>
                <w:sz w:val="14"/>
                <w:szCs w:val="14"/>
                <w:b w:val="1"/>
                <w:bCs w:val="1"/>
                <w:color w:val="auto"/>
              </w:rPr>
              <w:t>Years Ended</w:t>
            </w:r>
          </w:p>
        </w:tc>
        <w:tc>
          <w:tcPr>
            <w:tcW w:w="960" w:type="dxa"/>
            <w:vAlign w:val="bottom"/>
          </w:tcPr>
          <w:p>
            <w:pPr>
              <w:spacing w:after="0"/>
              <w:rPr>
                <w:sz w:val="13"/>
                <w:szCs w:val="13"/>
                <w:color w:val="auto"/>
              </w:rPr>
            </w:pPr>
          </w:p>
        </w:tc>
      </w:tr>
      <w:tr>
        <w:trPr>
          <w:trHeight w:val="182"/>
        </w:trPr>
        <w:tc>
          <w:tcPr>
            <w:tcW w:w="6700" w:type="dxa"/>
            <w:vAlign w:val="bottom"/>
          </w:tcPr>
          <w:p>
            <w:pPr>
              <w:spacing w:after="0"/>
              <w:rPr>
                <w:sz w:val="15"/>
                <w:szCs w:val="15"/>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September 30,</w:t>
            </w:r>
          </w:p>
        </w:tc>
        <w:tc>
          <w:tcPr>
            <w:tcW w:w="2020" w:type="dxa"/>
            <w:vAlign w:val="bottom"/>
            <w:gridSpan w:val="3"/>
          </w:tcPr>
          <w:p>
            <w:pPr>
              <w:ind w:left="102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Pr>
          <w:p>
            <w:pPr>
              <w:spacing w:after="0"/>
              <w:rPr>
                <w:sz w:val="15"/>
                <w:szCs w:val="15"/>
                <w:color w:val="auto"/>
              </w:rPr>
            </w:pPr>
          </w:p>
        </w:tc>
      </w:tr>
      <w:tr>
        <w:trPr>
          <w:trHeight w:val="196"/>
        </w:trPr>
        <w:tc>
          <w:tcPr>
            <w:tcW w:w="6700" w:type="dxa"/>
            <w:vAlign w:val="bottom"/>
            <w:tcBorders>
              <w:bottom w:val="single" w:sz="8" w:color="DC202E"/>
            </w:tcBorders>
          </w:tcPr>
          <w:p>
            <w:pPr>
              <w:ind w:left="20"/>
              <w:spacing w:after="0"/>
              <w:rPr>
                <w:sz w:val="20"/>
                <w:szCs w:val="20"/>
                <w:color w:val="auto"/>
              </w:rPr>
            </w:pPr>
            <w:r>
              <w:rPr>
                <w:rFonts w:ascii="Arial" w:cs="Arial" w:eastAsia="Arial" w:hAnsi="Arial"/>
                <w:sz w:val="14"/>
                <w:szCs w:val="14"/>
                <w:b w:val="1"/>
                <w:bCs w:val="1"/>
                <w:color w:val="auto"/>
              </w:rPr>
              <w:t>Claims Activity</w:t>
            </w:r>
          </w:p>
        </w:tc>
        <w:tc>
          <w:tcPr>
            <w:tcW w:w="1440" w:type="dxa"/>
            <w:vAlign w:val="bottom"/>
            <w:tcBorders>
              <w:top w:val="single" w:sz="8" w:color="DC202E"/>
              <w:bottom w:val="single" w:sz="8" w:color="DC202E"/>
            </w:tcBorders>
          </w:tcPr>
          <w:p>
            <w:pPr>
              <w:jc w:val="center"/>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DBDBDB"/>
            </w:tcBorders>
          </w:tcPr>
          <w:p>
            <w:pPr>
              <w:spacing w:after="0"/>
              <w:rPr>
                <w:sz w:val="17"/>
                <w:szCs w:val="17"/>
                <w:color w:val="auto"/>
              </w:rPr>
            </w:pPr>
          </w:p>
        </w:tc>
        <w:tc>
          <w:tcPr>
            <w:tcW w:w="1440" w:type="dxa"/>
            <w:vAlign w:val="bottom"/>
            <w:tcBorders>
              <w:top w:val="single" w:sz="8" w:color="DC202E"/>
              <w:bottom w:val="single" w:sz="8" w:color="DC202E"/>
            </w:tcBorders>
          </w:tcPr>
          <w:p>
            <w:pPr>
              <w:jc w:val="right"/>
              <w:ind w:right="47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DC202E"/>
              <w:bottom w:val="single" w:sz="8" w:color="DBDBDB"/>
            </w:tcBorders>
          </w:tcPr>
          <w:p>
            <w:pPr>
              <w:spacing w:after="0"/>
              <w:rPr>
                <w:sz w:val="17"/>
                <w:szCs w:val="17"/>
                <w:color w:val="auto"/>
              </w:rPr>
            </w:pPr>
          </w:p>
        </w:tc>
        <w:tc>
          <w:tcPr>
            <w:tcW w:w="480" w:type="dxa"/>
            <w:vAlign w:val="bottom"/>
            <w:tcBorders>
              <w:top w:val="single" w:sz="8" w:color="DC202E"/>
              <w:bottom w:val="single" w:sz="8" w:color="DC202E"/>
            </w:tcBorders>
          </w:tcPr>
          <w:p>
            <w:pPr>
              <w:spacing w:after="0"/>
              <w:rPr>
                <w:sz w:val="17"/>
                <w:szCs w:val="17"/>
                <w:color w:val="auto"/>
              </w:rPr>
            </w:pPr>
          </w:p>
        </w:tc>
        <w:tc>
          <w:tcPr>
            <w:tcW w:w="960" w:type="dxa"/>
            <w:vAlign w:val="bottom"/>
            <w:tcBorders>
              <w:top w:val="single" w:sz="8" w:color="DC202E"/>
              <w:bottom w:val="single" w:sz="8" w:color="DC202E"/>
            </w:tcBorders>
          </w:tcPr>
          <w:p>
            <w:pPr>
              <w:jc w:val="right"/>
              <w:ind w:right="474"/>
              <w:spacing w:after="0"/>
              <w:rPr>
                <w:sz w:val="20"/>
                <w:szCs w:val="20"/>
                <w:color w:val="auto"/>
              </w:rPr>
            </w:pPr>
            <w:r>
              <w:rPr>
                <w:rFonts w:ascii="Arial" w:cs="Arial" w:eastAsia="Arial" w:hAnsi="Arial"/>
                <w:sz w:val="14"/>
                <w:szCs w:val="14"/>
                <w:b w:val="1"/>
                <w:bCs w:val="1"/>
                <w:color w:val="auto"/>
              </w:rPr>
              <w:t>2019</w:t>
            </w:r>
          </w:p>
        </w:tc>
      </w:tr>
      <w:tr>
        <w:trPr>
          <w:trHeight w:val="230"/>
        </w:trPr>
        <w:tc>
          <w:tcPr>
            <w:tcW w:w="6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Claims unresolved at the beginning of period</w:t>
            </w:r>
          </w:p>
        </w:tc>
        <w:tc>
          <w:tcPr>
            <w:tcW w:w="1440" w:type="dxa"/>
            <w:vAlign w:val="bottom"/>
            <w:shd w:val="clear" w:color="auto" w:fill="DBDBDB"/>
          </w:tcPr>
          <w:p>
            <w:pPr>
              <w:jc w:val="center"/>
              <w:ind w:left="738"/>
              <w:spacing w:after="0"/>
              <w:rPr>
                <w:sz w:val="20"/>
                <w:szCs w:val="20"/>
                <w:color w:val="auto"/>
              </w:rPr>
            </w:pPr>
            <w:r>
              <w:rPr>
                <w:rFonts w:ascii="Arial" w:cs="Arial" w:eastAsia="Arial" w:hAnsi="Arial"/>
                <w:sz w:val="18"/>
                <w:szCs w:val="18"/>
                <w:color w:val="auto"/>
              </w:rPr>
              <w:t>6,242</w:t>
            </w:r>
          </w:p>
        </w:tc>
        <w:tc>
          <w:tcPr>
            <w:tcW w:w="100" w:type="dxa"/>
            <w:vAlign w:val="bottom"/>
            <w:shd w:val="clear" w:color="auto" w:fill="DBDBDB"/>
          </w:tcPr>
          <w:p>
            <w:pPr>
              <w:spacing w:after="0"/>
              <w:rPr>
                <w:sz w:val="19"/>
                <w:szCs w:val="19"/>
                <w:color w:val="auto"/>
              </w:rPr>
            </w:pPr>
          </w:p>
        </w:tc>
        <w:tc>
          <w:tcPr>
            <w:tcW w:w="1440" w:type="dxa"/>
            <w:vAlign w:val="bottom"/>
            <w:shd w:val="clear" w:color="auto" w:fill="DBDBDB"/>
          </w:tcPr>
          <w:p>
            <w:pPr>
              <w:jc w:val="center"/>
              <w:ind w:left="738"/>
              <w:spacing w:after="0"/>
              <w:rPr>
                <w:sz w:val="20"/>
                <w:szCs w:val="20"/>
                <w:color w:val="auto"/>
              </w:rPr>
            </w:pPr>
            <w:r>
              <w:rPr>
                <w:rFonts w:ascii="Arial" w:cs="Arial" w:eastAsia="Arial" w:hAnsi="Arial"/>
                <w:sz w:val="18"/>
                <w:szCs w:val="18"/>
                <w:color w:val="auto"/>
              </w:rPr>
              <w:t>6,480</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960" w:type="dxa"/>
            <w:vAlign w:val="bottom"/>
            <w:shd w:val="clear" w:color="auto" w:fill="DBDBDB"/>
          </w:tcPr>
          <w:p>
            <w:pPr>
              <w:jc w:val="center"/>
              <w:ind w:left="254"/>
              <w:spacing w:after="0"/>
              <w:rPr>
                <w:sz w:val="20"/>
                <w:szCs w:val="20"/>
                <w:color w:val="auto"/>
              </w:rPr>
            </w:pPr>
            <w:r>
              <w:rPr>
                <w:rFonts w:ascii="Arial" w:cs="Arial" w:eastAsia="Arial" w:hAnsi="Arial"/>
                <w:sz w:val="18"/>
                <w:szCs w:val="18"/>
                <w:color w:val="auto"/>
              </w:rPr>
              <w:t>6,209</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Claims filed</w:t>
            </w:r>
          </w:p>
        </w:tc>
        <w:tc>
          <w:tcPr>
            <w:tcW w:w="1440" w:type="dxa"/>
            <w:vAlign w:val="bottom"/>
          </w:tcPr>
          <w:p>
            <w:pPr>
              <w:jc w:val="center"/>
              <w:ind w:left="738"/>
              <w:spacing w:after="0"/>
              <w:rPr>
                <w:sz w:val="20"/>
                <w:szCs w:val="20"/>
                <w:color w:val="auto"/>
              </w:rPr>
            </w:pPr>
            <w:r>
              <w:rPr>
                <w:rFonts w:ascii="Arial" w:cs="Arial" w:eastAsia="Arial" w:hAnsi="Arial"/>
                <w:sz w:val="18"/>
                <w:szCs w:val="18"/>
                <w:color w:val="auto"/>
              </w:rPr>
              <w:t>1,883</w:t>
            </w:r>
          </w:p>
        </w:tc>
        <w:tc>
          <w:tcPr>
            <w:tcW w:w="100" w:type="dxa"/>
            <w:vAlign w:val="bottom"/>
          </w:tcPr>
          <w:p>
            <w:pPr>
              <w:spacing w:after="0"/>
              <w:rPr>
                <w:sz w:val="19"/>
                <w:szCs w:val="19"/>
                <w:color w:val="auto"/>
              </w:rPr>
            </w:pPr>
          </w:p>
        </w:tc>
        <w:tc>
          <w:tcPr>
            <w:tcW w:w="1440" w:type="dxa"/>
            <w:vAlign w:val="bottom"/>
          </w:tcPr>
          <w:p>
            <w:pPr>
              <w:jc w:val="center"/>
              <w:ind w:left="738"/>
              <w:spacing w:after="0"/>
              <w:rPr>
                <w:sz w:val="20"/>
                <w:szCs w:val="20"/>
                <w:color w:val="auto"/>
              </w:rPr>
            </w:pPr>
            <w:r>
              <w:rPr>
                <w:rFonts w:ascii="Arial" w:cs="Arial" w:eastAsia="Arial" w:hAnsi="Arial"/>
                <w:sz w:val="18"/>
                <w:szCs w:val="18"/>
                <w:color w:val="auto"/>
              </w:rPr>
              <w:t>2,233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center"/>
              <w:ind w:left="254"/>
              <w:spacing w:after="0"/>
              <w:rPr>
                <w:sz w:val="20"/>
                <w:szCs w:val="20"/>
                <w:color w:val="auto"/>
              </w:rPr>
            </w:pPr>
            <w:r>
              <w:rPr>
                <w:rFonts w:ascii="Arial" w:cs="Arial" w:eastAsia="Arial" w:hAnsi="Arial"/>
                <w:sz w:val="18"/>
                <w:szCs w:val="18"/>
                <w:color w:val="auto"/>
              </w:rPr>
              <w:t>2,659</w:t>
            </w:r>
          </w:p>
        </w:tc>
      </w:tr>
      <w:tr>
        <w:trPr>
          <w:trHeight w:val="230"/>
        </w:trPr>
        <w:tc>
          <w:tcPr>
            <w:tcW w:w="6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Claims resolved</w:t>
            </w:r>
          </w:p>
        </w:tc>
        <w:tc>
          <w:tcPr>
            <w:tcW w:w="1440" w:type="dxa"/>
            <w:vAlign w:val="bottom"/>
            <w:tcBorders>
              <w:bottom w:val="single" w:sz="8" w:color="auto"/>
            </w:tcBorders>
            <w:shd w:val="clear" w:color="auto" w:fill="DBDBDB"/>
          </w:tcPr>
          <w:p>
            <w:pPr>
              <w:jc w:val="center"/>
              <w:ind w:left="718"/>
              <w:spacing w:after="0"/>
              <w:rPr>
                <w:sz w:val="20"/>
                <w:szCs w:val="20"/>
                <w:color w:val="auto"/>
              </w:rPr>
            </w:pPr>
            <w:r>
              <w:rPr>
                <w:rFonts w:ascii="Arial" w:cs="Arial" w:eastAsia="Arial" w:hAnsi="Arial"/>
                <w:sz w:val="18"/>
                <w:szCs w:val="18"/>
                <w:color w:val="auto"/>
                <w:w w:val="98"/>
              </w:rPr>
              <w:t>(1,465)</w:t>
            </w:r>
          </w:p>
        </w:tc>
        <w:tc>
          <w:tcPr>
            <w:tcW w:w="100" w:type="dxa"/>
            <w:vAlign w:val="bottom"/>
            <w:shd w:val="clear" w:color="auto" w:fill="DBDBDB"/>
          </w:tcPr>
          <w:p>
            <w:pPr>
              <w:spacing w:after="0"/>
              <w:rPr>
                <w:sz w:val="19"/>
                <w:szCs w:val="19"/>
                <w:color w:val="auto"/>
              </w:rPr>
            </w:pPr>
          </w:p>
        </w:tc>
        <w:tc>
          <w:tcPr>
            <w:tcW w:w="1440" w:type="dxa"/>
            <w:vAlign w:val="bottom"/>
            <w:tcBorders>
              <w:bottom w:val="single" w:sz="8" w:color="auto"/>
            </w:tcBorders>
            <w:shd w:val="clear" w:color="auto" w:fill="DBDBDB"/>
          </w:tcPr>
          <w:p>
            <w:pPr>
              <w:jc w:val="center"/>
              <w:ind w:left="718"/>
              <w:spacing w:after="0"/>
              <w:rPr>
                <w:sz w:val="20"/>
                <w:szCs w:val="20"/>
                <w:color w:val="auto"/>
              </w:rPr>
            </w:pPr>
            <w:r>
              <w:rPr>
                <w:rFonts w:ascii="Arial" w:cs="Arial" w:eastAsia="Arial" w:hAnsi="Arial"/>
                <w:sz w:val="18"/>
                <w:szCs w:val="18"/>
                <w:color w:val="auto"/>
                <w:w w:val="98"/>
              </w:rPr>
              <w:t>(2,471)</w:t>
            </w:r>
          </w:p>
        </w:tc>
        <w:tc>
          <w:tcPr>
            <w:tcW w:w="100" w:type="dxa"/>
            <w:vAlign w:val="bottom"/>
            <w:shd w:val="clear" w:color="auto" w:fill="DBDBDB"/>
          </w:tcPr>
          <w:p>
            <w:pPr>
              <w:spacing w:after="0"/>
              <w:rPr>
                <w:sz w:val="19"/>
                <w:szCs w:val="19"/>
                <w:color w:val="auto"/>
              </w:rPr>
            </w:pPr>
          </w:p>
        </w:tc>
        <w:tc>
          <w:tcPr>
            <w:tcW w:w="48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center"/>
              <w:ind w:left="234"/>
              <w:spacing w:after="0"/>
              <w:rPr>
                <w:sz w:val="20"/>
                <w:szCs w:val="20"/>
                <w:color w:val="auto"/>
              </w:rPr>
            </w:pPr>
            <w:r>
              <w:rPr>
                <w:rFonts w:ascii="Arial" w:cs="Arial" w:eastAsia="Arial" w:hAnsi="Arial"/>
                <w:sz w:val="18"/>
                <w:szCs w:val="18"/>
                <w:color w:val="auto"/>
                <w:w w:val="98"/>
              </w:rPr>
              <w:t>(2,388)</w:t>
            </w: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Claims unresolved at the end of period</w:t>
            </w:r>
          </w:p>
        </w:tc>
        <w:tc>
          <w:tcPr>
            <w:tcW w:w="1440" w:type="dxa"/>
            <w:vAlign w:val="bottom"/>
            <w:tcBorders>
              <w:bottom w:val="single" w:sz="8" w:color="auto"/>
            </w:tcBorders>
          </w:tcPr>
          <w:p>
            <w:pPr>
              <w:jc w:val="center"/>
              <w:ind w:left="738"/>
              <w:spacing w:after="0"/>
              <w:rPr>
                <w:sz w:val="20"/>
                <w:szCs w:val="20"/>
                <w:color w:val="auto"/>
              </w:rPr>
            </w:pPr>
            <w:r>
              <w:rPr>
                <w:rFonts w:ascii="Arial" w:cs="Arial" w:eastAsia="Arial" w:hAnsi="Arial"/>
                <w:sz w:val="18"/>
                <w:szCs w:val="18"/>
                <w:color w:val="auto"/>
              </w:rPr>
              <w:t>6,660</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center"/>
              <w:ind w:left="738"/>
              <w:spacing w:after="0"/>
              <w:rPr>
                <w:sz w:val="20"/>
                <w:szCs w:val="20"/>
                <w:color w:val="auto"/>
              </w:rPr>
            </w:pPr>
            <w:r>
              <w:rPr>
                <w:rFonts w:ascii="Arial" w:cs="Arial" w:eastAsia="Arial" w:hAnsi="Arial"/>
                <w:sz w:val="18"/>
                <w:szCs w:val="18"/>
                <w:color w:val="auto"/>
              </w:rPr>
              <w:t>6,242</w:t>
            </w: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left="254"/>
              <w:spacing w:after="0"/>
              <w:rPr>
                <w:sz w:val="20"/>
                <w:szCs w:val="20"/>
                <w:color w:val="auto"/>
              </w:rPr>
            </w:pPr>
            <w:r>
              <w:rPr>
                <w:rFonts w:ascii="Arial" w:cs="Arial" w:eastAsia="Arial" w:hAnsi="Arial"/>
                <w:sz w:val="18"/>
                <w:szCs w:val="18"/>
                <w:color w:val="auto"/>
              </w:rPr>
              <w:t>6,480</w:t>
            </w:r>
          </w:p>
        </w:tc>
      </w:tr>
      <w:tr>
        <w:trPr>
          <w:trHeight w:val="20"/>
        </w:trPr>
        <w:tc>
          <w:tcPr>
            <w:tcW w:w="67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325"/>
        </w:trPr>
        <w:tc>
          <w:tcPr>
            <w:tcW w:w="6700" w:type="dxa"/>
            <w:vAlign w:val="bottom"/>
          </w:tcPr>
          <w:p>
            <w:pPr>
              <w:spacing w:after="0"/>
              <w:rPr>
                <w:sz w:val="24"/>
                <w:szCs w:val="24"/>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September 30,</w:t>
            </w:r>
          </w:p>
        </w:tc>
        <w:tc>
          <w:tcPr>
            <w:tcW w:w="2020" w:type="dxa"/>
            <w:vAlign w:val="bottom"/>
            <w:gridSpan w:val="3"/>
          </w:tcPr>
          <w:p>
            <w:pPr>
              <w:ind w:left="102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Pr>
          <w:p>
            <w:pPr>
              <w:spacing w:after="0"/>
              <w:rPr>
                <w:sz w:val="24"/>
                <w:szCs w:val="24"/>
                <w:color w:val="auto"/>
              </w:rPr>
            </w:pPr>
          </w:p>
        </w:tc>
      </w:tr>
      <w:tr>
        <w:trPr>
          <w:trHeight w:val="196"/>
        </w:trPr>
        <w:tc>
          <w:tcPr>
            <w:tcW w:w="6700" w:type="dxa"/>
            <w:vAlign w:val="bottom"/>
            <w:tcBorders>
              <w:bottom w:val="single" w:sz="8" w:color="DC202E"/>
            </w:tcBorders>
          </w:tcPr>
          <w:p>
            <w:pPr>
              <w:ind w:left="20"/>
              <w:spacing w:after="0"/>
              <w:rPr>
                <w:sz w:val="20"/>
                <w:szCs w:val="20"/>
                <w:color w:val="auto"/>
              </w:rPr>
            </w:pPr>
            <w:r>
              <w:rPr>
                <w:rFonts w:ascii="Arial" w:cs="Arial" w:eastAsia="Arial" w:hAnsi="Arial"/>
                <w:sz w:val="14"/>
                <w:szCs w:val="14"/>
                <w:b w:val="1"/>
                <w:bCs w:val="1"/>
                <w:color w:val="auto"/>
              </w:rPr>
              <w:t>Disease Distribution of Unresolved Claims</w:t>
            </w:r>
          </w:p>
        </w:tc>
        <w:tc>
          <w:tcPr>
            <w:tcW w:w="1440" w:type="dxa"/>
            <w:vAlign w:val="bottom"/>
            <w:tcBorders>
              <w:top w:val="single" w:sz="8" w:color="DC202E"/>
              <w:bottom w:val="single" w:sz="8" w:color="DC202E"/>
            </w:tcBorders>
          </w:tcPr>
          <w:p>
            <w:pPr>
              <w:jc w:val="center"/>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DBDBDB"/>
            </w:tcBorders>
          </w:tcPr>
          <w:p>
            <w:pPr>
              <w:spacing w:after="0"/>
              <w:rPr>
                <w:sz w:val="17"/>
                <w:szCs w:val="17"/>
                <w:color w:val="auto"/>
              </w:rPr>
            </w:pPr>
          </w:p>
        </w:tc>
        <w:tc>
          <w:tcPr>
            <w:tcW w:w="1440" w:type="dxa"/>
            <w:vAlign w:val="bottom"/>
            <w:tcBorders>
              <w:top w:val="single" w:sz="8" w:color="DC202E"/>
              <w:bottom w:val="single" w:sz="8" w:color="DC202E"/>
            </w:tcBorders>
          </w:tcPr>
          <w:p>
            <w:pPr>
              <w:jc w:val="right"/>
              <w:ind w:right="47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DC202E"/>
              <w:bottom w:val="single" w:sz="8" w:color="DBDBDB"/>
            </w:tcBorders>
          </w:tcPr>
          <w:p>
            <w:pPr>
              <w:spacing w:after="0"/>
              <w:rPr>
                <w:sz w:val="17"/>
                <w:szCs w:val="17"/>
                <w:color w:val="auto"/>
              </w:rPr>
            </w:pPr>
          </w:p>
        </w:tc>
        <w:tc>
          <w:tcPr>
            <w:tcW w:w="480" w:type="dxa"/>
            <w:vAlign w:val="bottom"/>
            <w:tcBorders>
              <w:top w:val="single" w:sz="8" w:color="DC202E"/>
              <w:bottom w:val="single" w:sz="8" w:color="DC202E"/>
            </w:tcBorders>
          </w:tcPr>
          <w:p>
            <w:pPr>
              <w:spacing w:after="0"/>
              <w:rPr>
                <w:sz w:val="17"/>
                <w:szCs w:val="17"/>
                <w:color w:val="auto"/>
              </w:rPr>
            </w:pPr>
          </w:p>
        </w:tc>
        <w:tc>
          <w:tcPr>
            <w:tcW w:w="960" w:type="dxa"/>
            <w:vAlign w:val="bottom"/>
            <w:tcBorders>
              <w:top w:val="single" w:sz="8" w:color="DC202E"/>
              <w:bottom w:val="single" w:sz="8" w:color="DC202E"/>
            </w:tcBorders>
          </w:tcPr>
          <w:p>
            <w:pPr>
              <w:jc w:val="right"/>
              <w:ind w:right="474"/>
              <w:spacing w:after="0"/>
              <w:rPr>
                <w:sz w:val="20"/>
                <w:szCs w:val="20"/>
                <w:color w:val="auto"/>
              </w:rPr>
            </w:pPr>
            <w:r>
              <w:rPr>
                <w:rFonts w:ascii="Arial" w:cs="Arial" w:eastAsia="Arial" w:hAnsi="Arial"/>
                <w:sz w:val="14"/>
                <w:szCs w:val="14"/>
                <w:b w:val="1"/>
                <w:bCs w:val="1"/>
                <w:color w:val="auto"/>
              </w:rPr>
              <w:t>2019</w:t>
            </w:r>
          </w:p>
        </w:tc>
      </w:tr>
      <w:tr>
        <w:trPr>
          <w:trHeight w:val="230"/>
        </w:trPr>
        <w:tc>
          <w:tcPr>
            <w:tcW w:w="6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Mesothelioma and other cancer claims</w:t>
            </w:r>
          </w:p>
        </w:tc>
        <w:tc>
          <w:tcPr>
            <w:tcW w:w="1440" w:type="dxa"/>
            <w:vAlign w:val="bottom"/>
            <w:shd w:val="clear" w:color="auto" w:fill="DBDBDB"/>
          </w:tcPr>
          <w:p>
            <w:pPr>
              <w:jc w:val="center"/>
              <w:ind w:left="738"/>
              <w:spacing w:after="0"/>
              <w:rPr>
                <w:sz w:val="20"/>
                <w:szCs w:val="20"/>
                <w:color w:val="auto"/>
              </w:rPr>
            </w:pPr>
            <w:r>
              <w:rPr>
                <w:rFonts w:ascii="Arial" w:cs="Arial" w:eastAsia="Arial" w:hAnsi="Arial"/>
                <w:sz w:val="18"/>
                <w:szCs w:val="18"/>
                <w:color w:val="auto"/>
              </w:rPr>
              <w:t>3,968</w:t>
            </w:r>
          </w:p>
        </w:tc>
        <w:tc>
          <w:tcPr>
            <w:tcW w:w="100" w:type="dxa"/>
            <w:vAlign w:val="bottom"/>
            <w:shd w:val="clear" w:color="auto" w:fill="DBDBDB"/>
          </w:tcPr>
          <w:p>
            <w:pPr>
              <w:spacing w:after="0"/>
              <w:rPr>
                <w:sz w:val="19"/>
                <w:szCs w:val="19"/>
                <w:color w:val="auto"/>
              </w:rPr>
            </w:pPr>
          </w:p>
        </w:tc>
        <w:tc>
          <w:tcPr>
            <w:tcW w:w="1440" w:type="dxa"/>
            <w:vAlign w:val="bottom"/>
            <w:shd w:val="clear" w:color="auto" w:fill="DBDBDB"/>
          </w:tcPr>
          <w:p>
            <w:pPr>
              <w:jc w:val="center"/>
              <w:ind w:left="738"/>
              <w:spacing w:after="0"/>
              <w:rPr>
                <w:sz w:val="20"/>
                <w:szCs w:val="20"/>
                <w:color w:val="auto"/>
              </w:rPr>
            </w:pPr>
            <w:r>
              <w:rPr>
                <w:rFonts w:ascii="Arial" w:cs="Arial" w:eastAsia="Arial" w:hAnsi="Arial"/>
                <w:sz w:val="18"/>
                <w:szCs w:val="18"/>
                <w:color w:val="auto"/>
              </w:rPr>
              <w:t>3,422</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960" w:type="dxa"/>
            <w:vAlign w:val="bottom"/>
            <w:shd w:val="clear" w:color="auto" w:fill="DBDBDB"/>
          </w:tcPr>
          <w:p>
            <w:pPr>
              <w:jc w:val="center"/>
              <w:ind w:left="254"/>
              <w:spacing w:after="0"/>
              <w:rPr>
                <w:sz w:val="20"/>
                <w:szCs w:val="20"/>
                <w:color w:val="auto"/>
              </w:rPr>
            </w:pPr>
            <w:r>
              <w:rPr>
                <w:rFonts w:ascii="Arial" w:cs="Arial" w:eastAsia="Arial" w:hAnsi="Arial"/>
                <w:sz w:val="18"/>
                <w:szCs w:val="18"/>
                <w:color w:val="auto"/>
              </w:rPr>
              <w:t>3,399</w:t>
            </w:r>
          </w:p>
        </w:tc>
      </w:tr>
      <w:tr>
        <w:trPr>
          <w:trHeight w:val="230"/>
        </w:trPr>
        <w:tc>
          <w:tcPr>
            <w:tcW w:w="670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Nonmalignant claims</w:t>
            </w:r>
          </w:p>
        </w:tc>
        <w:tc>
          <w:tcPr>
            <w:tcW w:w="1440" w:type="dxa"/>
            <w:vAlign w:val="bottom"/>
            <w:tcBorders>
              <w:bottom w:val="single" w:sz="8" w:color="auto"/>
            </w:tcBorders>
          </w:tcPr>
          <w:p>
            <w:pPr>
              <w:jc w:val="center"/>
              <w:ind w:left="738"/>
              <w:spacing w:after="0"/>
              <w:rPr>
                <w:sz w:val="20"/>
                <w:szCs w:val="20"/>
                <w:color w:val="auto"/>
              </w:rPr>
            </w:pPr>
            <w:r>
              <w:rPr>
                <w:rFonts w:ascii="Arial" w:cs="Arial" w:eastAsia="Arial" w:hAnsi="Arial"/>
                <w:sz w:val="18"/>
                <w:szCs w:val="18"/>
                <w:color w:val="auto"/>
              </w:rPr>
              <w:t>2,692</w:t>
            </w:r>
          </w:p>
        </w:tc>
        <w:tc>
          <w:tcPr>
            <w:tcW w:w="100" w:type="dxa"/>
            <w:vAlign w:val="bottom"/>
            <w:tcBorders>
              <w:bottom w:val="single" w:sz="8" w:color="DBDBDB"/>
            </w:tcBorders>
          </w:tcPr>
          <w:p>
            <w:pPr>
              <w:spacing w:after="0"/>
              <w:rPr>
                <w:sz w:val="19"/>
                <w:szCs w:val="19"/>
                <w:color w:val="auto"/>
              </w:rPr>
            </w:pPr>
          </w:p>
        </w:tc>
        <w:tc>
          <w:tcPr>
            <w:tcW w:w="1440" w:type="dxa"/>
            <w:vAlign w:val="bottom"/>
            <w:tcBorders>
              <w:bottom w:val="single" w:sz="8" w:color="auto"/>
            </w:tcBorders>
          </w:tcPr>
          <w:p>
            <w:pPr>
              <w:jc w:val="center"/>
              <w:ind w:left="738"/>
              <w:spacing w:after="0"/>
              <w:rPr>
                <w:sz w:val="20"/>
                <w:szCs w:val="20"/>
                <w:color w:val="auto"/>
              </w:rPr>
            </w:pPr>
            <w:r>
              <w:rPr>
                <w:rFonts w:ascii="Arial" w:cs="Arial" w:eastAsia="Arial" w:hAnsi="Arial"/>
                <w:sz w:val="18"/>
                <w:szCs w:val="18"/>
                <w:color w:val="auto"/>
              </w:rPr>
              <w:t>2,820</w:t>
            </w:r>
          </w:p>
        </w:tc>
        <w:tc>
          <w:tcPr>
            <w:tcW w:w="100" w:type="dxa"/>
            <w:vAlign w:val="bottom"/>
            <w:tcBorders>
              <w:bottom w:val="single" w:sz="8" w:color="DBDBDB"/>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left="254"/>
              <w:spacing w:after="0"/>
              <w:rPr>
                <w:sz w:val="20"/>
                <w:szCs w:val="20"/>
                <w:color w:val="auto"/>
              </w:rPr>
            </w:pPr>
            <w:r>
              <w:rPr>
                <w:rFonts w:ascii="Arial" w:cs="Arial" w:eastAsia="Arial" w:hAnsi="Arial"/>
                <w:sz w:val="18"/>
                <w:szCs w:val="18"/>
                <w:color w:val="auto"/>
              </w:rPr>
              <w:t>3,081</w:t>
            </w:r>
          </w:p>
        </w:tc>
      </w:tr>
      <w:tr>
        <w:trPr>
          <w:trHeight w:val="248"/>
        </w:trPr>
        <w:tc>
          <w:tcPr>
            <w:tcW w:w="67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 claims</w:t>
            </w:r>
          </w:p>
        </w:tc>
        <w:tc>
          <w:tcPr>
            <w:tcW w:w="1440" w:type="dxa"/>
            <w:vAlign w:val="bottom"/>
            <w:tcBorders>
              <w:bottom w:val="single" w:sz="8" w:color="auto"/>
            </w:tcBorders>
            <w:shd w:val="clear" w:color="auto" w:fill="DBDBDB"/>
          </w:tcPr>
          <w:p>
            <w:pPr>
              <w:jc w:val="center"/>
              <w:ind w:left="738"/>
              <w:spacing w:after="0"/>
              <w:rPr>
                <w:sz w:val="20"/>
                <w:szCs w:val="20"/>
                <w:color w:val="auto"/>
              </w:rPr>
            </w:pPr>
            <w:r>
              <w:rPr>
                <w:rFonts w:ascii="Arial" w:cs="Arial" w:eastAsia="Arial" w:hAnsi="Arial"/>
                <w:sz w:val="18"/>
                <w:szCs w:val="18"/>
                <w:color w:val="auto"/>
              </w:rPr>
              <w:t>6,660</w:t>
            </w:r>
          </w:p>
        </w:tc>
        <w:tc>
          <w:tcPr>
            <w:tcW w:w="100" w:type="dxa"/>
            <w:vAlign w:val="bottom"/>
            <w:tcBorders>
              <w:bottom w:val="single" w:sz="8" w:color="DBDBDB"/>
            </w:tcBorders>
            <w:shd w:val="clear" w:color="auto" w:fill="DBDBDB"/>
          </w:tcPr>
          <w:p>
            <w:pPr>
              <w:spacing w:after="0"/>
              <w:rPr>
                <w:sz w:val="21"/>
                <w:szCs w:val="21"/>
                <w:color w:val="auto"/>
              </w:rPr>
            </w:pPr>
          </w:p>
        </w:tc>
        <w:tc>
          <w:tcPr>
            <w:tcW w:w="1440" w:type="dxa"/>
            <w:vAlign w:val="bottom"/>
            <w:tcBorders>
              <w:bottom w:val="single" w:sz="8" w:color="auto"/>
            </w:tcBorders>
            <w:shd w:val="clear" w:color="auto" w:fill="DBDBDB"/>
          </w:tcPr>
          <w:p>
            <w:pPr>
              <w:jc w:val="center"/>
              <w:ind w:left="738"/>
              <w:spacing w:after="0"/>
              <w:rPr>
                <w:sz w:val="20"/>
                <w:szCs w:val="20"/>
                <w:color w:val="auto"/>
              </w:rPr>
            </w:pPr>
            <w:r>
              <w:rPr>
                <w:rFonts w:ascii="Arial" w:cs="Arial" w:eastAsia="Arial" w:hAnsi="Arial"/>
                <w:sz w:val="18"/>
                <w:szCs w:val="18"/>
                <w:color w:val="auto"/>
              </w:rPr>
              <w:t>6,242</w:t>
            </w:r>
          </w:p>
        </w:tc>
        <w:tc>
          <w:tcPr>
            <w:tcW w:w="100" w:type="dxa"/>
            <w:vAlign w:val="bottom"/>
            <w:tcBorders>
              <w:bottom w:val="single" w:sz="8" w:color="DBDBDB"/>
            </w:tcBorders>
            <w:shd w:val="clear" w:color="auto" w:fill="DBDBDB"/>
          </w:tcPr>
          <w:p>
            <w:pPr>
              <w:spacing w:after="0"/>
              <w:rPr>
                <w:sz w:val="21"/>
                <w:szCs w:val="21"/>
                <w:color w:val="auto"/>
              </w:rPr>
            </w:pPr>
          </w:p>
        </w:tc>
        <w:tc>
          <w:tcPr>
            <w:tcW w:w="480" w:type="dxa"/>
            <w:vAlign w:val="bottom"/>
            <w:tcBorders>
              <w:bottom w:val="single" w:sz="8" w:color="auto"/>
            </w:tcBorders>
            <w:shd w:val="clear" w:color="auto" w:fill="DBDBDB"/>
          </w:tcPr>
          <w:p>
            <w:pPr>
              <w:spacing w:after="0"/>
              <w:rPr>
                <w:sz w:val="21"/>
                <w:szCs w:val="21"/>
                <w:color w:val="auto"/>
              </w:rPr>
            </w:pPr>
          </w:p>
        </w:tc>
        <w:tc>
          <w:tcPr>
            <w:tcW w:w="960" w:type="dxa"/>
            <w:vAlign w:val="bottom"/>
            <w:tcBorders>
              <w:bottom w:val="single" w:sz="8" w:color="auto"/>
            </w:tcBorders>
            <w:shd w:val="clear" w:color="auto" w:fill="DBDBDB"/>
          </w:tcPr>
          <w:p>
            <w:pPr>
              <w:jc w:val="center"/>
              <w:ind w:left="254"/>
              <w:spacing w:after="0"/>
              <w:rPr>
                <w:sz w:val="20"/>
                <w:szCs w:val="20"/>
                <w:color w:val="auto"/>
              </w:rPr>
            </w:pPr>
            <w:r>
              <w:rPr>
                <w:rFonts w:ascii="Arial" w:cs="Arial" w:eastAsia="Arial" w:hAnsi="Arial"/>
                <w:sz w:val="18"/>
                <w:szCs w:val="18"/>
                <w:color w:val="auto"/>
              </w:rPr>
              <w:t>6,480</w:t>
            </w:r>
          </w:p>
        </w:tc>
      </w:tr>
      <w:tr>
        <w:trPr>
          <w:trHeight w:val="20"/>
        </w:trPr>
        <w:tc>
          <w:tcPr>
            <w:tcW w:w="6700" w:type="dxa"/>
            <w:vAlign w:val="bottom"/>
            <w:tcBorders>
              <w:top w:val="single" w:sz="8" w:color="DBDBDB"/>
            </w:tcBorders>
          </w:tcPr>
          <w:p>
            <w:pPr>
              <w:spacing w:after="0" w:line="20" w:lineRule="exact"/>
              <w:rPr>
                <w:sz w:val="1"/>
                <w:szCs w:val="1"/>
                <w:color w:val="auto"/>
              </w:rPr>
            </w:pPr>
          </w:p>
        </w:tc>
        <w:tc>
          <w:tcPr>
            <w:tcW w:w="14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80" w:type="dxa"/>
            <w:vAlign w:val="bottom"/>
            <w:tcBorders>
              <w:top w:val="single" w:sz="8" w:color="DBDBDB"/>
              <w:bottom w:val="single" w:sz="8" w:color="auto"/>
            </w:tcBorders>
          </w:tcPr>
          <w:p>
            <w:pPr>
              <w:spacing w:after="0" w:line="20" w:lineRule="exact"/>
              <w:rPr>
                <w:sz w:val="1"/>
                <w:szCs w:val="1"/>
                <w:color w:val="auto"/>
              </w:rPr>
            </w:pPr>
          </w:p>
        </w:tc>
        <w:tc>
          <w:tcPr>
            <w:tcW w:w="960" w:type="dxa"/>
            <w:vAlign w:val="bottom"/>
            <w:tcBorders>
              <w:top w:val="single" w:sz="8" w:color="DBDBDB"/>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Honeywell has experienced average resolution values per claim excluding legal costs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40" w:type="dxa"/>
            <w:vAlign w:val="bottom"/>
          </w:tcPr>
          <w:p>
            <w:pPr>
              <w:spacing w:after="0"/>
              <w:rPr>
                <w:sz w:val="17"/>
                <w:szCs w:val="17"/>
                <w:color w:val="auto"/>
              </w:rPr>
            </w:pPr>
          </w:p>
        </w:tc>
        <w:tc>
          <w:tcPr>
            <w:tcW w:w="240" w:type="dxa"/>
            <w:vAlign w:val="bottom"/>
            <w:tcBorders>
              <w:bottom w:val="single" w:sz="8" w:color="DC202E"/>
            </w:tcBorders>
          </w:tcPr>
          <w:p>
            <w:pPr>
              <w:spacing w:after="0"/>
              <w:rPr>
                <w:sz w:val="17"/>
                <w:szCs w:val="17"/>
                <w:color w:val="auto"/>
              </w:rPr>
            </w:pPr>
          </w:p>
        </w:tc>
        <w:tc>
          <w:tcPr>
            <w:tcW w:w="880" w:type="dxa"/>
            <w:vAlign w:val="bottom"/>
            <w:tcBorders>
              <w:bottom w:val="single" w:sz="8" w:color="DC202E"/>
            </w:tcBorders>
          </w:tcPr>
          <w:p>
            <w:pPr>
              <w:spacing w:after="0"/>
              <w:rPr>
                <w:sz w:val="17"/>
                <w:szCs w:val="17"/>
                <w:color w:val="auto"/>
              </w:rPr>
            </w:pPr>
          </w:p>
        </w:tc>
        <w:tc>
          <w:tcPr>
            <w:tcW w:w="340" w:type="dxa"/>
            <w:vAlign w:val="bottom"/>
            <w:tcBorders>
              <w:bottom w:val="single" w:sz="8" w:color="DC202E"/>
            </w:tcBorders>
          </w:tcPr>
          <w:p>
            <w:pPr>
              <w:spacing w:after="0"/>
              <w:rPr>
                <w:sz w:val="17"/>
                <w:szCs w:val="17"/>
                <w:color w:val="auto"/>
              </w:rPr>
            </w:pPr>
          </w:p>
        </w:tc>
        <w:tc>
          <w:tcPr>
            <w:tcW w:w="2500" w:type="dxa"/>
            <w:vAlign w:val="bottom"/>
            <w:tcBorders>
              <w:bottom w:val="single" w:sz="8" w:color="DC202E"/>
            </w:tcBorders>
            <w:gridSpan w:val="4"/>
          </w:tcPr>
          <w:p>
            <w:pPr>
              <w:jc w:val="center"/>
              <w:ind w:left="459"/>
              <w:spacing w:after="0"/>
              <w:rPr>
                <w:sz w:val="20"/>
                <w:szCs w:val="20"/>
                <w:color w:val="auto"/>
              </w:rPr>
            </w:pPr>
            <w:r>
              <w:rPr>
                <w:rFonts w:ascii="Arial" w:cs="Arial" w:eastAsia="Arial" w:hAnsi="Arial"/>
                <w:sz w:val="14"/>
                <w:szCs w:val="14"/>
                <w:b w:val="1"/>
                <w:bCs w:val="1"/>
                <w:color w:val="auto"/>
              </w:rPr>
              <w:t>Years Ended December 31,</w:t>
            </w:r>
          </w:p>
        </w:tc>
        <w:tc>
          <w:tcPr>
            <w:tcW w:w="800" w:type="dxa"/>
            <w:vAlign w:val="bottom"/>
            <w:tcBorders>
              <w:bottom w:val="single" w:sz="8" w:color="DC202E"/>
            </w:tcBorders>
          </w:tcPr>
          <w:p>
            <w:pPr>
              <w:spacing w:after="0"/>
              <w:rPr>
                <w:sz w:val="17"/>
                <w:szCs w:val="17"/>
                <w:color w:val="auto"/>
              </w:rPr>
            </w:pPr>
          </w:p>
        </w:tc>
        <w:tc>
          <w:tcPr>
            <w:tcW w:w="360" w:type="dxa"/>
            <w:vAlign w:val="bottom"/>
            <w:tcBorders>
              <w:bottom w:val="single" w:sz="8" w:color="DC202E"/>
            </w:tcBorders>
          </w:tcPr>
          <w:p>
            <w:pPr>
              <w:spacing w:after="0"/>
              <w:rPr>
                <w:sz w:val="17"/>
                <w:szCs w:val="17"/>
                <w:color w:val="auto"/>
              </w:rPr>
            </w:pPr>
          </w:p>
        </w:tc>
        <w:tc>
          <w:tcPr>
            <w:tcW w:w="860" w:type="dxa"/>
            <w:vAlign w:val="bottom"/>
            <w:tcBorders>
              <w:bottom w:val="single" w:sz="8" w:color="DC202E"/>
            </w:tcBorders>
          </w:tcPr>
          <w:p>
            <w:pPr>
              <w:spacing w:after="0"/>
              <w:rPr>
                <w:sz w:val="17"/>
                <w:szCs w:val="17"/>
                <w:color w:val="auto"/>
              </w:rPr>
            </w:pPr>
          </w:p>
        </w:tc>
      </w:tr>
      <w:tr>
        <w:trPr>
          <w:trHeight w:val="196"/>
        </w:trPr>
        <w:tc>
          <w:tcPr>
            <w:tcW w:w="5240" w:type="dxa"/>
            <w:vAlign w:val="bottom"/>
          </w:tcPr>
          <w:p>
            <w:pPr>
              <w:spacing w:after="0"/>
              <w:rPr>
                <w:sz w:val="17"/>
                <w:szCs w:val="17"/>
                <w:color w:val="auto"/>
              </w:rPr>
            </w:pPr>
          </w:p>
        </w:tc>
        <w:tc>
          <w:tcPr>
            <w:tcW w:w="240" w:type="dxa"/>
            <w:vAlign w:val="bottom"/>
            <w:tcBorders>
              <w:bottom w:val="single" w:sz="8" w:color="DC202E"/>
            </w:tcBorders>
          </w:tcPr>
          <w:p>
            <w:pPr>
              <w:spacing w:after="0"/>
              <w:rPr>
                <w:sz w:val="17"/>
                <w:szCs w:val="17"/>
                <w:color w:val="auto"/>
              </w:rPr>
            </w:pPr>
          </w:p>
        </w:tc>
        <w:tc>
          <w:tcPr>
            <w:tcW w:w="880" w:type="dxa"/>
            <w:vAlign w:val="bottom"/>
            <w:tcBorders>
              <w:bottom w:val="single" w:sz="8" w:color="DC202E"/>
            </w:tcBorders>
          </w:tcPr>
          <w:p>
            <w:pPr>
              <w:jc w:val="right"/>
              <w:ind w:right="336"/>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DC202E"/>
            </w:tcBorders>
          </w:tcPr>
          <w:p>
            <w:pPr>
              <w:spacing w:after="0"/>
              <w:rPr>
                <w:sz w:val="17"/>
                <w:szCs w:val="17"/>
                <w:color w:val="auto"/>
              </w:rPr>
            </w:pPr>
          </w:p>
        </w:tc>
        <w:tc>
          <w:tcPr>
            <w:tcW w:w="860" w:type="dxa"/>
            <w:vAlign w:val="bottom"/>
            <w:tcBorders>
              <w:bottom w:val="single" w:sz="8" w:color="DC202E"/>
            </w:tcBorders>
          </w:tcPr>
          <w:p>
            <w:pPr>
              <w:jc w:val="right"/>
              <w:ind w:right="319"/>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DC202E"/>
            </w:tcBorders>
          </w:tcPr>
          <w:p>
            <w:pPr>
              <w:spacing w:after="0"/>
              <w:rPr>
                <w:sz w:val="17"/>
                <w:szCs w:val="17"/>
                <w:color w:val="auto"/>
              </w:rPr>
            </w:pPr>
          </w:p>
        </w:tc>
        <w:tc>
          <w:tcPr>
            <w:tcW w:w="940" w:type="dxa"/>
            <w:vAlign w:val="bottom"/>
            <w:tcBorders>
              <w:bottom w:val="single" w:sz="8" w:color="DC202E"/>
            </w:tcBorders>
          </w:tcPr>
          <w:p>
            <w:pPr>
              <w:jc w:val="center"/>
              <w:ind w:right="256"/>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DC202E"/>
            </w:tcBorders>
          </w:tcPr>
          <w:p>
            <w:pPr>
              <w:spacing w:after="0"/>
              <w:rPr>
                <w:sz w:val="17"/>
                <w:szCs w:val="17"/>
                <w:color w:val="auto"/>
              </w:rPr>
            </w:pPr>
          </w:p>
        </w:tc>
        <w:tc>
          <w:tcPr>
            <w:tcW w:w="800" w:type="dxa"/>
            <w:vAlign w:val="bottom"/>
            <w:tcBorders>
              <w:bottom w:val="single" w:sz="8" w:color="DC202E"/>
            </w:tcBorders>
          </w:tcPr>
          <w:p>
            <w:pPr>
              <w:jc w:val="right"/>
              <w:ind w:right="316"/>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DC202E"/>
            </w:tcBorders>
          </w:tcPr>
          <w:p>
            <w:pPr>
              <w:spacing w:after="0"/>
              <w:rPr>
                <w:sz w:val="17"/>
                <w:szCs w:val="17"/>
                <w:color w:val="auto"/>
              </w:rPr>
            </w:pPr>
          </w:p>
        </w:tc>
        <w:tc>
          <w:tcPr>
            <w:tcW w:w="860" w:type="dxa"/>
            <w:vAlign w:val="bottom"/>
            <w:tcBorders>
              <w:bottom w:val="single" w:sz="8" w:color="DC202E"/>
            </w:tcBorders>
          </w:tcPr>
          <w:p>
            <w:pPr>
              <w:jc w:val="right"/>
              <w:ind w:right="316"/>
              <w:spacing w:after="0"/>
              <w:rPr>
                <w:sz w:val="20"/>
                <w:szCs w:val="20"/>
                <w:color w:val="auto"/>
              </w:rPr>
            </w:pPr>
            <w:r>
              <w:rPr>
                <w:rFonts w:ascii="Arial" w:cs="Arial" w:eastAsia="Arial" w:hAnsi="Arial"/>
                <w:sz w:val="14"/>
                <w:szCs w:val="14"/>
                <w:b w:val="1"/>
                <w:bCs w:val="1"/>
                <w:color w:val="auto"/>
              </w:rPr>
              <w:t>2016</w:t>
            </w:r>
          </w:p>
        </w:tc>
      </w:tr>
      <w:tr>
        <w:trPr>
          <w:trHeight w:val="189"/>
        </w:trPr>
        <w:tc>
          <w:tcPr>
            <w:tcW w:w="5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rPr>
              <w:t>(in whole dollars)</w:t>
            </w: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30"/>
        </w:trPr>
        <w:tc>
          <w:tcPr>
            <w:tcW w:w="5240" w:type="dxa"/>
            <w:vAlign w:val="bottom"/>
            <w:shd w:val="clear" w:color="auto" w:fill="DBDBDB"/>
          </w:tcPr>
          <w:p>
            <w:pPr>
              <w:ind w:left="20"/>
              <w:spacing w:after="0"/>
              <w:rPr>
                <w:sz w:val="20"/>
                <w:szCs w:val="20"/>
                <w:color w:val="auto"/>
              </w:rPr>
            </w:pPr>
            <w:r>
              <w:rPr>
                <w:rFonts w:ascii="Arial" w:cs="Arial" w:eastAsia="Arial" w:hAnsi="Arial"/>
                <w:sz w:val="18"/>
                <w:szCs w:val="18"/>
                <w:color w:val="auto"/>
              </w:rPr>
              <w:t>Malignant claims</w:t>
            </w: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DBDBDB"/>
          </w:tcPr>
          <w:p>
            <w:pPr>
              <w:jc w:val="right"/>
              <w:ind w:right="16"/>
              <w:spacing w:after="0"/>
              <w:rPr>
                <w:sz w:val="20"/>
                <w:szCs w:val="20"/>
                <w:color w:val="auto"/>
              </w:rPr>
            </w:pPr>
            <w:r>
              <w:rPr>
                <w:rFonts w:ascii="Arial" w:cs="Arial" w:eastAsia="Arial" w:hAnsi="Arial"/>
                <w:sz w:val="18"/>
                <w:szCs w:val="18"/>
                <w:color w:val="auto"/>
              </w:rPr>
              <w:t>61,500</w:t>
            </w:r>
          </w:p>
        </w:tc>
        <w:tc>
          <w:tcPr>
            <w:tcW w:w="340" w:type="dxa"/>
            <w:vAlign w:val="bottom"/>
            <w:shd w:val="clear" w:color="auto" w:fill="DBDBDB"/>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50,200</w:t>
            </w:r>
          </w:p>
        </w:tc>
        <w:tc>
          <w:tcPr>
            <w:tcW w:w="360" w:type="dxa"/>
            <w:vAlign w:val="bottom"/>
            <w:shd w:val="clear" w:color="auto" w:fill="DBDBDB"/>
          </w:tcPr>
          <w:p>
            <w:pPr>
              <w:jc w:val="right"/>
              <w:ind w:right="56"/>
              <w:spacing w:after="0"/>
              <w:rPr>
                <w:sz w:val="20"/>
                <w:szCs w:val="20"/>
                <w:color w:val="auto"/>
              </w:rPr>
            </w:pPr>
            <w:r>
              <w:rPr>
                <w:rFonts w:ascii="Arial" w:cs="Arial" w:eastAsia="Arial" w:hAnsi="Arial"/>
                <w:sz w:val="18"/>
                <w:szCs w:val="18"/>
                <w:color w:val="auto"/>
              </w:rPr>
              <w:t>$</w:t>
            </w:r>
          </w:p>
        </w:tc>
        <w:tc>
          <w:tcPr>
            <w:tcW w:w="940" w:type="dxa"/>
            <w:vAlign w:val="bottom"/>
            <w:shd w:val="clear" w:color="auto" w:fill="DBDBDB"/>
          </w:tcPr>
          <w:p>
            <w:pPr>
              <w:jc w:val="right"/>
              <w:ind w:right="76"/>
              <w:spacing w:after="0"/>
              <w:rPr>
                <w:sz w:val="20"/>
                <w:szCs w:val="20"/>
                <w:color w:val="auto"/>
              </w:rPr>
            </w:pPr>
            <w:r>
              <w:rPr>
                <w:rFonts w:ascii="Arial" w:cs="Arial" w:eastAsia="Arial" w:hAnsi="Arial"/>
                <w:sz w:val="18"/>
                <w:szCs w:val="18"/>
                <w:color w:val="auto"/>
              </w:rPr>
              <w:t>55,300</w:t>
            </w:r>
          </w:p>
        </w:tc>
        <w:tc>
          <w:tcPr>
            <w:tcW w:w="34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shd w:val="clear" w:color="auto" w:fill="DBDBDB"/>
          </w:tcPr>
          <w:p>
            <w:pPr>
              <w:jc w:val="right"/>
              <w:ind w:right="16"/>
              <w:spacing w:after="0"/>
              <w:rPr>
                <w:sz w:val="20"/>
                <w:szCs w:val="20"/>
                <w:color w:val="auto"/>
              </w:rPr>
            </w:pPr>
            <w:r>
              <w:rPr>
                <w:rFonts w:ascii="Arial" w:cs="Arial" w:eastAsia="Arial" w:hAnsi="Arial"/>
                <w:sz w:val="18"/>
                <w:szCs w:val="18"/>
                <w:color w:val="auto"/>
              </w:rPr>
              <w:t>56,000</w:t>
            </w:r>
          </w:p>
        </w:tc>
        <w:tc>
          <w:tcPr>
            <w:tcW w:w="360" w:type="dxa"/>
            <w:vAlign w:val="bottom"/>
            <w:shd w:val="clear" w:color="auto" w:fill="DBDBDB"/>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44,000</w:t>
            </w: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Nonmalignant claims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550</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3,900</w:t>
            </w:r>
          </w:p>
        </w:tc>
        <w:tc>
          <w:tcPr>
            <w:tcW w:w="36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6"/>
              <w:spacing w:after="0"/>
              <w:rPr>
                <w:sz w:val="20"/>
                <w:szCs w:val="20"/>
                <w:color w:val="auto"/>
              </w:rPr>
            </w:pPr>
            <w:r>
              <w:rPr>
                <w:rFonts w:ascii="Arial" w:cs="Arial" w:eastAsia="Arial" w:hAnsi="Arial"/>
                <w:sz w:val="18"/>
                <w:szCs w:val="18"/>
                <w:color w:val="auto"/>
              </w:rPr>
              <w:t>4,700</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6"/>
              <w:spacing w:after="0"/>
              <w:rPr>
                <w:sz w:val="20"/>
                <w:szCs w:val="20"/>
                <w:color w:val="auto"/>
              </w:rPr>
            </w:pPr>
            <w:r>
              <w:rPr>
                <w:rFonts w:ascii="Arial" w:cs="Arial" w:eastAsia="Arial" w:hAnsi="Arial"/>
                <w:sz w:val="18"/>
                <w:szCs w:val="18"/>
                <w:color w:val="auto"/>
              </w:rPr>
              <w:t>2,800</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4,485</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It is not possible to predict whether resolution values for Bendix-related asbestos claims will increase, decrease or stabilize in the future.</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26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Consolidated Financial Statements reflect an estimated liability for resolution of asserted (claims filed as of the financial statement date) and unasserted Bendix-related asbestos claims, which exclude the Company’s ongoing legal fees to defend such asbestos claims which will continue to be expensed as they are incurred.</w:t>
      </w:r>
    </w:p>
    <w:p>
      <w:pPr>
        <w:spacing w:after="0" w:line="9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reflects the inclusion of all years of epidemiological disease projection through 2059 when estimating the liability for unasserted Bendix-related asbestos claims. Such liability for unasserted Bendix-related asbestos claims is based on historic and anticipated claims filing experience and dismissal rates, disease classifications, and resolution values in the tort system for the previous five years. The Company has valued Bendix asserted and unasserted claims using average resolution values for the previous five years. The Company updates the resolution values used to estimate the cost of Bendix asserted and unasserted claims during the fourth quarter each year.</w:t>
      </w:r>
    </w:p>
    <w:p>
      <w:pPr>
        <w:spacing w:after="0" w:line="9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Company's insurance receivable corresponding to the liability for settlement of asserted and unasserted Bendix asbestos claims reflects coverage which is provided by a large number of insurance policies written by dozens of insurance companies in both the domestic insurance market and the London excess market. Based on our ongoing analysis of the probable insurance recovery, insurance receivables are recorded in the financial statements simultaneous with the recording of the estimated liability for the underlying asbestos claims. This determination is based on our analysis of the underlying insurance policies, our historical experience with our insurers, our ongoing review of the solvency of our insurers, judicial determinations relevant to our insurance programs, and our consideration of the impacts of any settlements reached with our insurers.</w:t>
      </w:r>
    </w:p>
    <w:p>
      <w:pPr>
        <w:spacing w:after="0" w:line="9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October 31, 2018, David Kanefsky, a Honeywell shareholder, filed a putative class action complaint in the U.S. District Court for the District of New Jersey alleging violations of the Securities Exchange Act of 1934 and Rule 10b-5 related to the prior accounting for Bendix asbestos claims. An Amended Complaint was filed on December 30, 2019, and on February 7, 2020, we filed a Motion to Dismiss. On May 18, 2020, the court denied our Motion to Dismiss. We believe the claims have no merit.</w:t>
      </w:r>
    </w:p>
    <w:p>
      <w:pPr>
        <w:spacing w:after="0" w:line="2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GARRETT LITIGATION AND BANKRUPTCY PROCEEDINGS</w:t>
      </w:r>
    </w:p>
    <w:p>
      <w:pPr>
        <w:spacing w:after="0" w:line="13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conjunction with the Garrett spin-off, the Company entered into a binding indemnification and reimbursement agreement (Garrett Indemnity) and a binding tax matters agreement (Tax Matters Agreement) with Garrett and a Garrett subsidiary. On December 2, 2019, Garrett and Garrett ASASCO Inc. filed a Summons with Notice and commenced a lawsuit in the Commercial Division of the Supreme Court of the State of New York, County of New York (the State Court), seeking to invalidate the Garrett Indemnity. Garrett sought damages and a declaratory judgment based on various claims set forth in the Summons with Notice. On July 17, 2020, the Company received a notice from Garrett asserting that the Company had caused material breaches of the Tax Matters Agreement and that the Tax Matters Agreement was unenforceable.</w:t>
      </w:r>
    </w:p>
    <w:p>
      <w:pPr>
        <w:spacing w:after="0" w:line="9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September 20, 2020, Garrett and 36 of its affiliates filed voluntary petitions for relief under Chapter 11 of the United States Bankruptcy Code in the United States Bankruptcy Court for the Southern District of New York (the Bankruptcy Court). On September 24, 2020, Garrett moved the existing State Court litigation against Honeywell to the Bankruptcy Court. On April 26, 2021, the Bankruptcy Court confirmed Garrett’s amended Chapter 11 plan of reorganization (the Confirmed Plan), and on April 30, 2021 (the Effective Date), Garrett emerged from bankruptcy. On the Effective Date, and in accordance with the Confirmed Plan, (i) the Company received from Garrett an initial payment of $375 million and 834.8 million shares of Garrett's Series B Preferred Stock in full and final satisfaction of the Garrett Indemnity and Tax Matters Agreement, (ii) the Garrett Indemnity and Tax Matters Agreement were terminated, (iii) the Company and Garrett mutually released each other from the claims asserted in all pending legal actions related to the Garrett Indemnity and Tax Matters Agreement, and (iv) all pending litigation between the Company and Garrett in connection with those agreements was resolved.</w:t>
      </w:r>
    </w:p>
    <w:p>
      <w:pPr>
        <w:spacing w:after="0" w:line="1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Series B Preferred Stock Certificate of Designation provides for mandatory redemptions by Garrett of $35 million in 2022 and $100 million per year from 2023 to 2030 (inclusive) at the anniversary of the Effective Date, unless (i) Garrett’s consolidated EBITDA as of the end of the most recently completed fiscal year is less than $425 million, or (ii) Garrett does not have sufficient funds available to pay the redemption, at which point the redemption amounts past due will accrue interest. The Series B Preferred Stock Certificate of Designation also includes rights which allow (a) the Company to put the Series B Preferred Stock to Garrett if certain EBITDA conditions are met, and (b) Garrett to call the Series B Preferred Stock in whole or in part if certain EBITDA conditions are met.</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27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4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September 30, 2021, Garrett filed an Amended and Restated Series B Preferred Stock Certificate of Designation with the Secretary of State of Delaware. The Amended and Restated Series B Preferred Stock Certificate of Designation requires Garrett to partially redeem a portion of the Series B Preferred Stock on or before March 31, 2022, such that the present value of remaining outstanding shares of the Series B Preferred Stock will be $400 million, subject to applicable law, including that Garrett has funds legally available for the partial redemption. Such redemption would be applied to the latest scheduled redemption dates, beginning with the shares to be redeemed in 2030. The Amended and Restated Series B Preferred Stock Certificate of Designation also provides that the Company cannot exercise its right to put the Series B Preferred Stock to Garrett until after December 31, 2022, subject to the EBITDA conditions described in the above section, unless the partial redemption does not occur on or before March 31, 2022. All other material terms and conditions in the Amended and Restated Series B Preferred Stock Certificate of Designation are unchanged from the original Series B Preferred Stock Certificate of Designation, including the scheduled redemption payment by Garrett of $35 million due April 30, 2022.</w:t>
      </w:r>
    </w:p>
    <w:p>
      <w:pPr>
        <w:spacing w:after="0" w:line="10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recorded the Series B Preferred Stock at fair value at the Effective Date. We believe the present value of the mandatory redemptions is an appropriate basis for determining the fair value of the Series B Preferred Stock. Our present value reflects amortized cost determined by the present value of the mandatory redemptions discounted at 7.25%, which is the rate reflected in the Series B Preferred Stock Certificate of Designation. The discount amount will accrete into interest income over the mandatory redemption period. In addition to the Series B Preferred Stock, the Company subscribed for 4.2 million shares of Garrett's Series A Preferred Stock, which are convertible into Garrett’s Common Stock if certain conditions are met. Prior to and following Garrett’s emergence from bankruptcy, the Company also held 2.9 million shares of Garrett’s Common Stock. As of September 30, 2021, Short-term investments included $242 million and Investments and long-term receivables included $405 million for the Company's investments in Garrett's Series B Preferred Stock, Series A Preferred Stock and Common Stock.</w:t>
      </w:r>
    </w:p>
    <w:p>
      <w:pPr>
        <w:spacing w:after="0" w:line="10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Garrett matter and bankruptcy proceedings are described in further detail in Note 20 Commitments and Contingencies of Notes to Consolidated Financial Statements in our 2020 Annual Report on Form 10-K.</w:t>
      </w: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MATTERS</w:t>
      </w:r>
    </w:p>
    <w:p>
      <w:pPr>
        <w:spacing w:after="0" w:line="13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is subject to a number of other lawsuits, investigations and disputes (some of which involve substantial amounts claimed) arising out of the conduct of our business, including matters relating to commercial transactions, government contracts, product liability, prior acquisitions and divestitures, employee benefit plans, intellectual property, and environmental, health and safety matters (including the matter described below). We recognize a liability for any contingency that is probable of occurrence and reasonably estimable. We continually assess the likelihood of adverse judgments or outcomes in such matters, as well as potential ranges of possible losses (taking into consideration any insurance recoveries), based on a careful analysis of each matter with the assistance of outside legal counsel and, if applicable, other experts.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Such matters include:</w:t>
      </w:r>
    </w:p>
    <w:p>
      <w:pPr>
        <w:spacing w:after="0" w:line="95" w:lineRule="exact"/>
        <w:rPr>
          <w:sz w:val="20"/>
          <w:szCs w:val="20"/>
          <w:color w:val="auto"/>
        </w:rPr>
      </w:pPr>
    </w:p>
    <w:p>
      <w:pPr>
        <w:jc w:val="both"/>
        <w:ind w:left="660" w:hanging="328"/>
        <w:spacing w:after="0" w:line="256" w:lineRule="auto"/>
        <w:tabs>
          <w:tab w:leader="none" w:pos="655"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Petrobras and Unaoil </w:t>
      </w:r>
      <w:r>
        <w:rPr>
          <w:rFonts w:ascii="Arial" w:cs="Arial" w:eastAsia="Arial" w:hAnsi="Arial"/>
          <w:sz w:val="18"/>
          <w:szCs w:val="18"/>
          <w:color w:val="auto"/>
        </w:rPr>
        <w:t>– We continue to cooperate with investigations by the U.S. Department of Justice (DOJ), the Securities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Exchange Commission (SEC) and the Brazilian authorities relating to our use of third parties who previously worked for our UOP business in Brazil in relation to Petróleo Brasileiro S.A. (Petrobras) in connection with a project awarded in 2010. The investigations focus on compliance with the U.S. Foreign Corrupt Practices Act and similar Brazilian laws (the UOP Matters), and involve, among other things, document production and interviews with former and current management and employees. The DOJ and the SEC are also examining a matter involving a foreign subsidiary’s prior contract with Unaoil S.A.M. in Algeria executed in 2011. We continue to be engaged in discussions with the authorities with respect to a potential comprehensive resolution of these matters.</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28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48" w:lineRule="exact"/>
        <w:rPr>
          <w:sz w:val="20"/>
          <w:szCs w:val="20"/>
          <w:color w:val="auto"/>
        </w:rPr>
      </w:pPr>
    </w:p>
    <w:p>
      <w:pPr>
        <w:jc w:val="both"/>
        <w:ind w:left="660"/>
        <w:spacing w:after="0" w:line="251" w:lineRule="auto"/>
        <w:rPr>
          <w:sz w:val="20"/>
          <w:szCs w:val="20"/>
          <w:color w:val="auto"/>
        </w:rPr>
      </w:pPr>
      <w:r>
        <w:rPr>
          <w:rFonts w:ascii="Arial" w:cs="Arial" w:eastAsia="Arial" w:hAnsi="Arial"/>
          <w:sz w:val="18"/>
          <w:szCs w:val="18"/>
          <w:color w:val="auto"/>
        </w:rPr>
        <w:t>As the discussions are both ongoing and at different stages with regards to each respective authority, there can be no assurance as to whether we will reach a resolution with such authorities or as to the potential timing, terms, or collateral consequences of any such resolution. As a result, we cannot predict the ultimate outcome of these UOP Matters or the potential impact on the Company. Based on available information to date, we estimate that a potential comprehensive resolution of these UOP Matters would result in a probable loss of at least $160 million, and we have recorded a charge in this amount in our Consolidated Statement of Operations, and have accrued a corresponding liability on the Consolidated Balance Sheet. Amounts payable to authorities pursuant to any potential final comprehensive resolution could differ from the amount recorded in our consolidated financial statements. Based on available information to date, we do not expect that any such difference would be material with respect to our consolidated financial position.</w:t>
      </w:r>
    </w:p>
    <w:p>
      <w:pPr>
        <w:spacing w:after="0" w:line="1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Given the uncertainty inherent in litigation and investigations, we do not believe it is possible to develop estimates of reasonably possible losses (or a range of possible losses) in excess of current accruals for such matters. Considering our past experience and existing accruals, we do not expect the outcome of such matters, either individually or in the aggregate, to have a material adverse effect on our consolidated financial position. Because most contingencies are resolved over long periods of time, potential liabilities are subject to change due to new developments, changes in settlement strategy or the impact of evidentiary requirements, which could cause us to pay damage awards or settlements (or become subject to equitable remedies) that could have a material adverse effect on our consolidated results of operations or operating cash flows in the periods recognized or paid.</w:t>
      </w:r>
    </w:p>
    <w:p>
      <w:pPr>
        <w:spacing w:after="0" w:line="275" w:lineRule="exact"/>
        <w:rPr>
          <w:sz w:val="20"/>
          <w:szCs w:val="20"/>
          <w:color w:val="auto"/>
        </w:rPr>
      </w:pPr>
    </w:p>
    <w:p>
      <w:pPr>
        <w:spacing w:after="0"/>
        <w:rPr>
          <w:sz w:val="20"/>
          <w:szCs w:val="20"/>
          <w:color w:val="auto"/>
        </w:rPr>
      </w:pPr>
      <w:r>
        <w:rPr>
          <w:rFonts w:ascii="Arial" w:cs="Arial" w:eastAsia="Arial" w:hAnsi="Arial"/>
          <w:sz w:val="29"/>
          <w:szCs w:val="29"/>
          <w:b w:val="1"/>
          <w:bCs w:val="1"/>
          <w:color w:val="DC202E"/>
        </w:rPr>
        <w:t>NOTE 16. PENSION BENEFITS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Net periodic pension benefit costs for the Company's significant defined benefit plans include the following components: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20" w:type="dxa"/>
            <w:vAlign w:val="bottom"/>
          </w:tcPr>
          <w:p>
            <w:pPr>
              <w:spacing w:after="0"/>
              <w:rPr>
                <w:sz w:val="17"/>
                <w:szCs w:val="17"/>
                <w:color w:val="auto"/>
              </w:rPr>
            </w:pPr>
          </w:p>
        </w:tc>
        <w:tc>
          <w:tcPr>
            <w:tcW w:w="820" w:type="dxa"/>
            <w:vAlign w:val="bottom"/>
            <w:tcBorders>
              <w:bottom w:val="single" w:sz="8" w:color="DC202E"/>
            </w:tcBorders>
          </w:tcPr>
          <w:p>
            <w:pPr>
              <w:spacing w:after="0"/>
              <w:rPr>
                <w:sz w:val="17"/>
                <w:szCs w:val="17"/>
                <w:color w:val="auto"/>
              </w:rPr>
            </w:pPr>
          </w:p>
        </w:tc>
        <w:tc>
          <w:tcPr>
            <w:tcW w:w="460" w:type="dxa"/>
            <w:vAlign w:val="bottom"/>
            <w:tcBorders>
              <w:bottom w:val="single" w:sz="8" w:color="DC202E"/>
            </w:tcBorders>
          </w:tcPr>
          <w:p>
            <w:pPr>
              <w:spacing w:after="0"/>
              <w:rPr>
                <w:sz w:val="17"/>
                <w:szCs w:val="17"/>
                <w:color w:val="auto"/>
              </w:rPr>
            </w:pPr>
          </w:p>
        </w:tc>
        <w:tc>
          <w:tcPr>
            <w:tcW w:w="100" w:type="dxa"/>
            <w:vAlign w:val="bottom"/>
            <w:tcBorders>
              <w:bottom w:val="single" w:sz="8" w:color="DC202E"/>
            </w:tcBorders>
          </w:tcPr>
          <w:p>
            <w:pPr>
              <w:spacing w:after="0"/>
              <w:rPr>
                <w:sz w:val="17"/>
                <w:szCs w:val="17"/>
                <w:color w:val="auto"/>
              </w:rPr>
            </w:pPr>
          </w:p>
        </w:tc>
        <w:tc>
          <w:tcPr>
            <w:tcW w:w="300" w:type="dxa"/>
            <w:vAlign w:val="bottom"/>
            <w:tcBorders>
              <w:bottom w:val="single" w:sz="8" w:color="DC202E"/>
            </w:tcBorders>
          </w:tcPr>
          <w:p>
            <w:pPr>
              <w:spacing w:after="0"/>
              <w:rPr>
                <w:sz w:val="17"/>
                <w:szCs w:val="17"/>
                <w:color w:val="auto"/>
              </w:rPr>
            </w:pPr>
          </w:p>
        </w:tc>
        <w:tc>
          <w:tcPr>
            <w:tcW w:w="2460" w:type="dxa"/>
            <w:vAlign w:val="bottom"/>
            <w:tcBorders>
              <w:bottom w:val="single" w:sz="8" w:color="DC202E"/>
            </w:tcBorders>
            <w:gridSpan w:val="5"/>
          </w:tcPr>
          <w:p>
            <w:pPr>
              <w:jc w:val="center"/>
              <w:ind w:right="400"/>
              <w:spacing w:after="0"/>
              <w:rPr>
                <w:sz w:val="20"/>
                <w:szCs w:val="20"/>
                <w:color w:val="auto"/>
              </w:rPr>
            </w:pPr>
            <w:r>
              <w:rPr>
                <w:rFonts w:ascii="Arial" w:cs="Arial" w:eastAsia="Arial" w:hAnsi="Arial"/>
                <w:sz w:val="14"/>
                <w:szCs w:val="14"/>
                <w:b w:val="1"/>
                <w:bCs w:val="1"/>
                <w:color w:val="auto"/>
              </w:rPr>
              <w:t>U.S. Plans</w:t>
            </w:r>
          </w:p>
        </w:tc>
        <w:tc>
          <w:tcPr>
            <w:tcW w:w="300" w:type="dxa"/>
            <w:vAlign w:val="bottom"/>
            <w:tcBorders>
              <w:bottom w:val="single" w:sz="8" w:color="DC202E"/>
            </w:tcBorders>
          </w:tcPr>
          <w:p>
            <w:pPr>
              <w:spacing w:after="0"/>
              <w:rPr>
                <w:sz w:val="17"/>
                <w:szCs w:val="17"/>
                <w:color w:val="auto"/>
              </w:rPr>
            </w:pPr>
          </w:p>
        </w:tc>
        <w:tc>
          <w:tcPr>
            <w:tcW w:w="980" w:type="dxa"/>
            <w:vAlign w:val="bottom"/>
            <w:tcBorders>
              <w:bottom w:val="single" w:sz="8" w:color="DC202E"/>
            </w:tcBorders>
          </w:tcPr>
          <w:p>
            <w:pPr>
              <w:spacing w:after="0"/>
              <w:rPr>
                <w:sz w:val="17"/>
                <w:szCs w:val="17"/>
                <w:color w:val="auto"/>
              </w:rPr>
            </w:pPr>
          </w:p>
        </w:tc>
      </w:tr>
      <w:tr>
        <w:trPr>
          <w:trHeight w:val="196"/>
        </w:trPr>
        <w:tc>
          <w:tcPr>
            <w:tcW w:w="5820" w:type="dxa"/>
            <w:vAlign w:val="bottom"/>
          </w:tcPr>
          <w:p>
            <w:pPr>
              <w:spacing w:after="0"/>
              <w:rPr>
                <w:sz w:val="17"/>
                <w:szCs w:val="17"/>
                <w:color w:val="auto"/>
              </w:rPr>
            </w:pPr>
          </w:p>
        </w:tc>
        <w:tc>
          <w:tcPr>
            <w:tcW w:w="276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7"/>
                <w:szCs w:val="17"/>
                <w:color w:val="auto"/>
              </w:rPr>
            </w:pPr>
          </w:p>
        </w:tc>
        <w:tc>
          <w:tcPr>
            <w:tcW w:w="2520" w:type="dxa"/>
            <w:vAlign w:val="bottom"/>
            <w:gridSpan w:val="4"/>
          </w:tcPr>
          <w:p>
            <w:pPr>
              <w:jc w:val="right"/>
              <w:ind w:right="53"/>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5820" w:type="dxa"/>
            <w:vAlign w:val="bottom"/>
            <w:tcBorders>
              <w:bottom w:val="single" w:sz="8" w:color="DBDBDB"/>
            </w:tcBorders>
          </w:tcPr>
          <w:p>
            <w:pPr>
              <w:spacing w:after="0"/>
              <w:rPr>
                <w:sz w:val="17"/>
                <w:szCs w:val="17"/>
                <w:color w:val="auto"/>
              </w:rPr>
            </w:pPr>
          </w:p>
        </w:tc>
        <w:tc>
          <w:tcPr>
            <w:tcW w:w="820" w:type="dxa"/>
            <w:vAlign w:val="bottom"/>
            <w:tcBorders>
              <w:top w:val="single" w:sz="8" w:color="DC202E"/>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top w:val="single" w:sz="8" w:color="DC202E"/>
              <w:bottom w:val="single" w:sz="8" w:color="DC202E"/>
            </w:tcBorders>
          </w:tcPr>
          <w:p>
            <w:pPr>
              <w:spacing w:after="0"/>
              <w:rPr>
                <w:sz w:val="17"/>
                <w:szCs w:val="17"/>
                <w:color w:val="auto"/>
              </w:rPr>
            </w:pPr>
          </w:p>
        </w:tc>
        <w:tc>
          <w:tcPr>
            <w:tcW w:w="100" w:type="dxa"/>
            <w:vAlign w:val="bottom"/>
            <w:tcBorders>
              <w:top w:val="single" w:sz="8" w:color="DC202E"/>
              <w:bottom w:val="single" w:sz="8" w:color="DBDBDB"/>
            </w:tcBorders>
          </w:tcPr>
          <w:p>
            <w:pPr>
              <w:spacing w:after="0"/>
              <w:rPr>
                <w:sz w:val="17"/>
                <w:szCs w:val="17"/>
                <w:color w:val="auto"/>
              </w:rPr>
            </w:pPr>
          </w:p>
        </w:tc>
        <w:tc>
          <w:tcPr>
            <w:tcW w:w="300" w:type="dxa"/>
            <w:vAlign w:val="bottom"/>
            <w:tcBorders>
              <w:top w:val="single" w:sz="8" w:color="DC202E"/>
              <w:bottom w:val="single" w:sz="8" w:color="DC202E"/>
            </w:tcBorders>
          </w:tcPr>
          <w:p>
            <w:pPr>
              <w:spacing w:after="0"/>
              <w:rPr>
                <w:sz w:val="17"/>
                <w:szCs w:val="17"/>
                <w:color w:val="auto"/>
              </w:rPr>
            </w:pPr>
          </w:p>
        </w:tc>
        <w:tc>
          <w:tcPr>
            <w:tcW w:w="980" w:type="dxa"/>
            <w:vAlign w:val="bottom"/>
            <w:tcBorders>
              <w:top w:val="single" w:sz="8" w:color="DC202E"/>
              <w:bottom w:val="single" w:sz="8" w:color="DC202E"/>
            </w:tcBorders>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DBDBDB"/>
            </w:tcBorders>
          </w:tcPr>
          <w:p>
            <w:pPr>
              <w:spacing w:after="0"/>
              <w:rPr>
                <w:sz w:val="17"/>
                <w:szCs w:val="17"/>
                <w:color w:val="auto"/>
              </w:rPr>
            </w:pPr>
          </w:p>
        </w:tc>
        <w:tc>
          <w:tcPr>
            <w:tcW w:w="140" w:type="dxa"/>
            <w:vAlign w:val="bottom"/>
            <w:tcBorders>
              <w:top w:val="single" w:sz="8" w:color="DC202E"/>
              <w:bottom w:val="single" w:sz="8" w:color="DC202E"/>
            </w:tcBorders>
          </w:tcPr>
          <w:p>
            <w:pPr>
              <w:spacing w:after="0"/>
              <w:rPr>
                <w:sz w:val="17"/>
                <w:szCs w:val="17"/>
                <w:color w:val="auto"/>
              </w:rPr>
            </w:pPr>
          </w:p>
        </w:tc>
        <w:tc>
          <w:tcPr>
            <w:tcW w:w="1120" w:type="dxa"/>
            <w:vAlign w:val="bottom"/>
            <w:tcBorders>
              <w:top w:val="single" w:sz="8" w:color="DC202E"/>
              <w:bottom w:val="single" w:sz="8" w:color="DC202E"/>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DC202E"/>
              <w:bottom w:val="single" w:sz="8" w:color="DBDBDB"/>
            </w:tcBorders>
          </w:tcPr>
          <w:p>
            <w:pPr>
              <w:spacing w:after="0"/>
              <w:rPr>
                <w:sz w:val="17"/>
                <w:szCs w:val="17"/>
                <w:color w:val="auto"/>
              </w:rPr>
            </w:pPr>
          </w:p>
        </w:tc>
        <w:tc>
          <w:tcPr>
            <w:tcW w:w="300" w:type="dxa"/>
            <w:vAlign w:val="bottom"/>
            <w:tcBorders>
              <w:top w:val="single" w:sz="8" w:color="DC202E"/>
              <w:bottom w:val="single" w:sz="8" w:color="DC202E"/>
            </w:tcBorders>
          </w:tcPr>
          <w:p>
            <w:pPr>
              <w:spacing w:after="0"/>
              <w:rPr>
                <w:sz w:val="17"/>
                <w:szCs w:val="17"/>
                <w:color w:val="auto"/>
              </w:rPr>
            </w:pPr>
          </w:p>
        </w:tc>
        <w:tc>
          <w:tcPr>
            <w:tcW w:w="980" w:type="dxa"/>
            <w:vAlign w:val="bottom"/>
            <w:tcBorders>
              <w:top w:val="single" w:sz="8" w:color="DC202E"/>
              <w:bottom w:val="single" w:sz="8" w:color="DC202E"/>
            </w:tcBorders>
          </w:tcPr>
          <w:p>
            <w:pPr>
              <w:jc w:val="right"/>
              <w:ind w:right="393"/>
              <w:spacing w:after="0"/>
              <w:rPr>
                <w:sz w:val="20"/>
                <w:szCs w:val="20"/>
                <w:color w:val="auto"/>
              </w:rPr>
            </w:pPr>
            <w:r>
              <w:rPr>
                <w:rFonts w:ascii="Arial" w:cs="Arial" w:eastAsia="Arial" w:hAnsi="Arial"/>
                <w:sz w:val="14"/>
                <w:szCs w:val="14"/>
                <w:b w:val="1"/>
                <w:bCs w:val="1"/>
                <w:color w:val="auto"/>
              </w:rPr>
              <w:t>2020</w:t>
            </w:r>
          </w:p>
        </w:tc>
      </w:tr>
      <w:tr>
        <w:trPr>
          <w:trHeight w:val="230"/>
        </w:trPr>
        <w:tc>
          <w:tcPr>
            <w:tcW w:w="5820" w:type="dxa"/>
            <w:vAlign w:val="bottom"/>
            <w:shd w:val="clear" w:color="auto" w:fill="DBDBDB"/>
          </w:tcPr>
          <w:p>
            <w:pPr>
              <w:ind w:left="20"/>
              <w:spacing w:after="0"/>
              <w:rPr>
                <w:sz w:val="20"/>
                <w:szCs w:val="20"/>
                <w:color w:val="auto"/>
              </w:rPr>
            </w:pPr>
            <w:r>
              <w:rPr>
                <w:rFonts w:ascii="Arial" w:cs="Arial" w:eastAsia="Arial" w:hAnsi="Arial"/>
                <w:sz w:val="18"/>
                <w:szCs w:val="18"/>
                <w:color w:val="auto"/>
              </w:rPr>
              <w:t>Service cost</w:t>
            </w:r>
          </w:p>
        </w:tc>
        <w:tc>
          <w:tcPr>
            <w:tcW w:w="820" w:type="dxa"/>
            <w:vAlign w:val="bottom"/>
            <w:shd w:val="clear" w:color="auto" w:fill="DBDBDB"/>
          </w:tcPr>
          <w:p>
            <w:pPr>
              <w:jc w:val="right"/>
              <w:ind w:right="619"/>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79</w:t>
            </w:r>
          </w:p>
        </w:tc>
        <w:tc>
          <w:tcPr>
            <w:tcW w:w="120" w:type="dxa"/>
            <w:vAlign w:val="bottom"/>
            <w:shd w:val="clear" w:color="auto" w:fill="DBDBDB"/>
          </w:tcPr>
          <w:p>
            <w:pPr>
              <w:spacing w:after="0"/>
              <w:rPr>
                <w:sz w:val="19"/>
                <w:szCs w:val="19"/>
                <w:color w:val="auto"/>
              </w:rPr>
            </w:pP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74</w:t>
            </w: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8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346</w:t>
            </w:r>
          </w:p>
        </w:tc>
      </w:tr>
      <w:tr>
        <w:trPr>
          <w:trHeight w:val="230"/>
        </w:trPr>
        <w:tc>
          <w:tcPr>
            <w:tcW w:w="5820" w:type="dxa"/>
            <w:vAlign w:val="bottom"/>
            <w:shd w:val="clear" w:color="auto" w:fill="DBDBDB"/>
          </w:tcPr>
          <w:p>
            <w:pPr>
              <w:ind w:left="20"/>
              <w:spacing w:after="0"/>
              <w:rPr>
                <w:sz w:val="20"/>
                <w:szCs w:val="20"/>
                <w:color w:val="auto"/>
              </w:rPr>
            </w:pPr>
            <w:r>
              <w:rPr>
                <w:rFonts w:ascii="Arial" w:cs="Arial" w:eastAsia="Arial" w:hAnsi="Arial"/>
                <w:sz w:val="18"/>
                <w:szCs w:val="18"/>
                <w:color w:val="auto"/>
              </w:rPr>
              <w:t>Expected return on plan assets</w:t>
            </w:r>
          </w:p>
        </w:tc>
        <w:tc>
          <w:tcPr>
            <w:tcW w:w="820" w:type="dxa"/>
            <w:vAlign w:val="bottom"/>
            <w:shd w:val="clear" w:color="auto" w:fill="DBDBDB"/>
          </w:tcPr>
          <w:p>
            <w:pPr>
              <w:spacing w:after="0"/>
              <w:rPr>
                <w:sz w:val="19"/>
                <w:szCs w:val="19"/>
                <w:color w:val="auto"/>
              </w:rPr>
            </w:pPr>
          </w:p>
        </w:tc>
        <w:tc>
          <w:tcPr>
            <w:tcW w:w="4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5"/>
              </w:rPr>
              <w:t>(305)</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(915)</w:t>
            </w:r>
          </w:p>
        </w:tc>
        <w:tc>
          <w:tcPr>
            <w:tcW w:w="1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(851)</w:t>
            </w:r>
          </w:p>
        </w:tc>
      </w:tr>
      <w:tr>
        <w:trPr>
          <w:trHeight w:val="230"/>
        </w:trPr>
        <w:tc>
          <w:tcPr>
            <w:tcW w:w="58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Amortization of prior service (credit)</w:t>
            </w:r>
          </w:p>
        </w:tc>
        <w:tc>
          <w:tcPr>
            <w:tcW w:w="8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r>
      <w:tr>
        <w:trPr>
          <w:trHeight w:val="248"/>
        </w:trPr>
        <w:tc>
          <w:tcPr>
            <w:tcW w:w="5820" w:type="dxa"/>
            <w:vAlign w:val="bottom"/>
            <w:tcBorders>
              <w:bottom w:val="single" w:sz="8" w:color="DBDBDB"/>
            </w:tcBorders>
            <w:shd w:val="clear" w:color="auto" w:fill="DBDBDB"/>
          </w:tcPr>
          <w:p>
            <w:pPr>
              <w:spacing w:after="0"/>
              <w:rPr>
                <w:sz w:val="21"/>
                <w:szCs w:val="21"/>
                <w:color w:val="auto"/>
              </w:rPr>
            </w:pPr>
          </w:p>
        </w:tc>
        <w:tc>
          <w:tcPr>
            <w:tcW w:w="820" w:type="dxa"/>
            <w:vAlign w:val="bottom"/>
            <w:tcBorders>
              <w:bottom w:val="single" w:sz="8" w:color="auto"/>
            </w:tcBorders>
            <w:shd w:val="clear" w:color="auto" w:fill="DBDBDB"/>
          </w:tcPr>
          <w:p>
            <w:pPr>
              <w:jc w:val="right"/>
              <w:ind w:right="61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5"/>
              </w:rPr>
              <w:t>(213)</w:t>
            </w:r>
          </w:p>
        </w:tc>
        <w:tc>
          <w:tcPr>
            <w:tcW w:w="100" w:type="dxa"/>
            <w:vAlign w:val="bottom"/>
            <w:tcBorders>
              <w:bottom w:val="single" w:sz="8" w:color="DBDBDB"/>
            </w:tcBorders>
            <w:shd w:val="clear" w:color="auto" w:fill="DBDBDB"/>
          </w:tcPr>
          <w:p>
            <w:pPr>
              <w:spacing w:after="0"/>
              <w:rPr>
                <w:sz w:val="21"/>
                <w:szCs w:val="21"/>
                <w:color w:val="auto"/>
              </w:rPr>
            </w:pPr>
          </w:p>
        </w:tc>
        <w:tc>
          <w:tcPr>
            <w:tcW w:w="300" w:type="dxa"/>
            <w:vAlign w:val="bottom"/>
            <w:tcBorders>
              <w:bottom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DBDBDB"/>
            </w:tcBorders>
            <w:shd w:val="clear" w:color="auto" w:fill="DBDBDB"/>
          </w:tcPr>
          <w:p>
            <w:pPr>
              <w:spacing w:after="0"/>
              <w:rPr>
                <w:sz w:val="21"/>
                <w:szCs w:val="21"/>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(639)</w:t>
            </w:r>
          </w:p>
        </w:tc>
        <w:tc>
          <w:tcPr>
            <w:tcW w:w="120" w:type="dxa"/>
            <w:vAlign w:val="bottom"/>
            <w:tcBorders>
              <w:bottom w:val="single" w:sz="8" w:color="DBDBDB"/>
            </w:tcBorders>
            <w:shd w:val="clear" w:color="auto" w:fill="DBDBDB"/>
          </w:tcPr>
          <w:p>
            <w:pPr>
              <w:spacing w:after="0"/>
              <w:rPr>
                <w:sz w:val="21"/>
                <w:szCs w:val="21"/>
                <w:color w:val="auto"/>
              </w:rPr>
            </w:pPr>
          </w:p>
        </w:tc>
        <w:tc>
          <w:tcPr>
            <w:tcW w:w="300" w:type="dxa"/>
            <w:vAlign w:val="bottom"/>
            <w:tcBorders>
              <w:bottom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(463)</w:t>
            </w:r>
          </w:p>
        </w:tc>
      </w:tr>
      <w:tr>
        <w:trPr>
          <w:trHeight w:val="20"/>
        </w:trPr>
        <w:tc>
          <w:tcPr>
            <w:tcW w:w="5820" w:type="dxa"/>
            <w:vAlign w:val="bottom"/>
            <w:tcBorders>
              <w:top w:val="single" w:sz="8" w:color="DBDBDB"/>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c>
          <w:tcPr>
            <w:tcW w:w="4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9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60" w:type="dxa"/>
            <w:vAlign w:val="bottom"/>
            <w:tcBorders>
              <w:top w:val="single" w:sz="8" w:color="DBDBDB"/>
              <w:bottom w:val="single" w:sz="8" w:color="auto"/>
            </w:tcBorders>
            <w:gridSpan w:val="2"/>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980" w:type="dxa"/>
            <w:vAlign w:val="bottom"/>
            <w:tcBorders>
              <w:top w:val="single" w:sz="8" w:color="DBDBDB"/>
              <w:bottom w:val="single" w:sz="8" w:color="auto"/>
            </w:tcBorders>
          </w:tcPr>
          <w:p>
            <w:pPr>
              <w:spacing w:after="0" w:line="20" w:lineRule="exact"/>
              <w:rPr>
                <w:sz w:val="1"/>
                <w:szCs w:val="1"/>
                <w:color w:val="auto"/>
              </w:rPr>
            </w:pPr>
          </w:p>
        </w:tc>
      </w:tr>
      <w:tr>
        <w:trPr>
          <w:trHeight w:val="548"/>
        </w:trPr>
        <w:tc>
          <w:tcPr>
            <w:tcW w:w="5820" w:type="dxa"/>
            <w:vAlign w:val="bottom"/>
          </w:tcPr>
          <w:p>
            <w:pPr>
              <w:spacing w:after="0"/>
              <w:rPr>
                <w:sz w:val="24"/>
                <w:szCs w:val="24"/>
                <w:color w:val="auto"/>
              </w:rPr>
            </w:pPr>
          </w:p>
        </w:tc>
        <w:tc>
          <w:tcPr>
            <w:tcW w:w="820" w:type="dxa"/>
            <w:vAlign w:val="bottom"/>
            <w:tcBorders>
              <w:bottom w:val="single" w:sz="8" w:color="DC202E"/>
            </w:tcBorders>
          </w:tcPr>
          <w:p>
            <w:pPr>
              <w:spacing w:after="0"/>
              <w:rPr>
                <w:sz w:val="24"/>
                <w:szCs w:val="24"/>
                <w:color w:val="auto"/>
              </w:rPr>
            </w:pPr>
          </w:p>
        </w:tc>
        <w:tc>
          <w:tcPr>
            <w:tcW w:w="460" w:type="dxa"/>
            <w:vAlign w:val="bottom"/>
            <w:tcBorders>
              <w:bottom w:val="single" w:sz="8" w:color="DC202E"/>
            </w:tcBorders>
          </w:tcPr>
          <w:p>
            <w:pPr>
              <w:spacing w:after="0"/>
              <w:rPr>
                <w:sz w:val="24"/>
                <w:szCs w:val="24"/>
                <w:color w:val="auto"/>
              </w:rPr>
            </w:pPr>
          </w:p>
        </w:tc>
        <w:tc>
          <w:tcPr>
            <w:tcW w:w="100" w:type="dxa"/>
            <w:vAlign w:val="bottom"/>
            <w:tcBorders>
              <w:bottom w:val="single" w:sz="8" w:color="DC202E"/>
            </w:tcBorders>
          </w:tcPr>
          <w:p>
            <w:pPr>
              <w:spacing w:after="0"/>
              <w:rPr>
                <w:sz w:val="24"/>
                <w:szCs w:val="24"/>
                <w:color w:val="auto"/>
              </w:rPr>
            </w:pPr>
          </w:p>
        </w:tc>
        <w:tc>
          <w:tcPr>
            <w:tcW w:w="300" w:type="dxa"/>
            <w:vAlign w:val="bottom"/>
            <w:tcBorders>
              <w:bottom w:val="single" w:sz="8" w:color="DC202E"/>
            </w:tcBorders>
          </w:tcPr>
          <w:p>
            <w:pPr>
              <w:spacing w:after="0"/>
              <w:rPr>
                <w:sz w:val="24"/>
                <w:szCs w:val="24"/>
                <w:color w:val="auto"/>
              </w:rPr>
            </w:pPr>
          </w:p>
        </w:tc>
        <w:tc>
          <w:tcPr>
            <w:tcW w:w="2460" w:type="dxa"/>
            <w:vAlign w:val="bottom"/>
            <w:tcBorders>
              <w:bottom w:val="single" w:sz="8" w:color="DC202E"/>
            </w:tcBorders>
            <w:gridSpan w:val="5"/>
          </w:tcPr>
          <w:p>
            <w:pPr>
              <w:jc w:val="center"/>
              <w:ind w:right="400"/>
              <w:spacing w:after="0"/>
              <w:rPr>
                <w:sz w:val="20"/>
                <w:szCs w:val="20"/>
                <w:color w:val="auto"/>
              </w:rPr>
            </w:pPr>
            <w:r>
              <w:rPr>
                <w:rFonts w:ascii="Arial" w:cs="Arial" w:eastAsia="Arial" w:hAnsi="Arial"/>
                <w:sz w:val="14"/>
                <w:szCs w:val="14"/>
                <w:b w:val="1"/>
                <w:bCs w:val="1"/>
                <w:color w:val="auto"/>
              </w:rPr>
              <w:t>Non-U.S. Plans</w:t>
            </w:r>
          </w:p>
        </w:tc>
        <w:tc>
          <w:tcPr>
            <w:tcW w:w="300" w:type="dxa"/>
            <w:vAlign w:val="bottom"/>
            <w:tcBorders>
              <w:bottom w:val="single" w:sz="8" w:color="DC202E"/>
            </w:tcBorders>
          </w:tcPr>
          <w:p>
            <w:pPr>
              <w:spacing w:after="0"/>
              <w:rPr>
                <w:sz w:val="24"/>
                <w:szCs w:val="24"/>
                <w:color w:val="auto"/>
              </w:rPr>
            </w:pPr>
          </w:p>
        </w:tc>
        <w:tc>
          <w:tcPr>
            <w:tcW w:w="980" w:type="dxa"/>
            <w:vAlign w:val="bottom"/>
            <w:tcBorders>
              <w:bottom w:val="single" w:sz="8" w:color="DC202E"/>
            </w:tcBorders>
          </w:tcPr>
          <w:p>
            <w:pPr>
              <w:spacing w:after="0"/>
              <w:rPr>
                <w:sz w:val="24"/>
                <w:szCs w:val="24"/>
                <w:color w:val="auto"/>
              </w:rPr>
            </w:pPr>
          </w:p>
        </w:tc>
      </w:tr>
      <w:tr>
        <w:trPr>
          <w:trHeight w:val="196"/>
        </w:trPr>
        <w:tc>
          <w:tcPr>
            <w:tcW w:w="5820" w:type="dxa"/>
            <w:vAlign w:val="bottom"/>
          </w:tcPr>
          <w:p>
            <w:pPr>
              <w:spacing w:after="0"/>
              <w:rPr>
                <w:sz w:val="17"/>
                <w:szCs w:val="17"/>
                <w:color w:val="auto"/>
              </w:rPr>
            </w:pPr>
          </w:p>
        </w:tc>
        <w:tc>
          <w:tcPr>
            <w:tcW w:w="276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7"/>
                <w:szCs w:val="17"/>
                <w:color w:val="auto"/>
              </w:rPr>
            </w:pPr>
          </w:p>
        </w:tc>
        <w:tc>
          <w:tcPr>
            <w:tcW w:w="2520" w:type="dxa"/>
            <w:vAlign w:val="bottom"/>
            <w:gridSpan w:val="4"/>
          </w:tcPr>
          <w:p>
            <w:pPr>
              <w:jc w:val="right"/>
              <w:ind w:right="53"/>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5820" w:type="dxa"/>
            <w:vAlign w:val="bottom"/>
            <w:tcBorders>
              <w:bottom w:val="single" w:sz="8" w:color="DBDBDB"/>
            </w:tcBorders>
          </w:tcPr>
          <w:p>
            <w:pPr>
              <w:spacing w:after="0"/>
              <w:rPr>
                <w:sz w:val="17"/>
                <w:szCs w:val="17"/>
                <w:color w:val="auto"/>
              </w:rPr>
            </w:pPr>
          </w:p>
        </w:tc>
        <w:tc>
          <w:tcPr>
            <w:tcW w:w="820" w:type="dxa"/>
            <w:vAlign w:val="bottom"/>
            <w:tcBorders>
              <w:top w:val="single" w:sz="8" w:color="DC202E"/>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top w:val="single" w:sz="8" w:color="DC202E"/>
              <w:bottom w:val="single" w:sz="8" w:color="DC202E"/>
            </w:tcBorders>
          </w:tcPr>
          <w:p>
            <w:pPr>
              <w:spacing w:after="0"/>
              <w:rPr>
                <w:sz w:val="17"/>
                <w:szCs w:val="17"/>
                <w:color w:val="auto"/>
              </w:rPr>
            </w:pPr>
          </w:p>
        </w:tc>
        <w:tc>
          <w:tcPr>
            <w:tcW w:w="100" w:type="dxa"/>
            <w:vAlign w:val="bottom"/>
            <w:tcBorders>
              <w:top w:val="single" w:sz="8" w:color="DC202E"/>
              <w:bottom w:val="single" w:sz="8" w:color="DBDBDB"/>
            </w:tcBorders>
          </w:tcPr>
          <w:p>
            <w:pPr>
              <w:spacing w:after="0"/>
              <w:rPr>
                <w:sz w:val="17"/>
                <w:szCs w:val="17"/>
                <w:color w:val="auto"/>
              </w:rPr>
            </w:pPr>
          </w:p>
        </w:tc>
        <w:tc>
          <w:tcPr>
            <w:tcW w:w="300" w:type="dxa"/>
            <w:vAlign w:val="bottom"/>
            <w:tcBorders>
              <w:top w:val="single" w:sz="8" w:color="DC202E"/>
              <w:bottom w:val="single" w:sz="8" w:color="DC202E"/>
            </w:tcBorders>
          </w:tcPr>
          <w:p>
            <w:pPr>
              <w:spacing w:after="0"/>
              <w:rPr>
                <w:sz w:val="17"/>
                <w:szCs w:val="17"/>
                <w:color w:val="auto"/>
              </w:rPr>
            </w:pPr>
          </w:p>
        </w:tc>
        <w:tc>
          <w:tcPr>
            <w:tcW w:w="980" w:type="dxa"/>
            <w:vAlign w:val="bottom"/>
            <w:tcBorders>
              <w:top w:val="single" w:sz="8" w:color="DC202E"/>
              <w:bottom w:val="single" w:sz="8" w:color="DC202E"/>
            </w:tcBorders>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DBDBDB"/>
            </w:tcBorders>
          </w:tcPr>
          <w:p>
            <w:pPr>
              <w:spacing w:after="0"/>
              <w:rPr>
                <w:sz w:val="17"/>
                <w:szCs w:val="17"/>
                <w:color w:val="auto"/>
              </w:rPr>
            </w:pPr>
          </w:p>
        </w:tc>
        <w:tc>
          <w:tcPr>
            <w:tcW w:w="140" w:type="dxa"/>
            <w:vAlign w:val="bottom"/>
            <w:tcBorders>
              <w:top w:val="single" w:sz="8" w:color="DC202E"/>
              <w:bottom w:val="single" w:sz="8" w:color="DC202E"/>
            </w:tcBorders>
          </w:tcPr>
          <w:p>
            <w:pPr>
              <w:spacing w:after="0"/>
              <w:rPr>
                <w:sz w:val="17"/>
                <w:szCs w:val="17"/>
                <w:color w:val="auto"/>
              </w:rPr>
            </w:pPr>
          </w:p>
        </w:tc>
        <w:tc>
          <w:tcPr>
            <w:tcW w:w="1120" w:type="dxa"/>
            <w:vAlign w:val="bottom"/>
            <w:tcBorders>
              <w:top w:val="single" w:sz="8" w:color="DC202E"/>
              <w:bottom w:val="single" w:sz="8" w:color="DC202E"/>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DC202E"/>
              <w:bottom w:val="single" w:sz="8" w:color="DBDBDB"/>
            </w:tcBorders>
          </w:tcPr>
          <w:p>
            <w:pPr>
              <w:spacing w:after="0"/>
              <w:rPr>
                <w:sz w:val="17"/>
                <w:szCs w:val="17"/>
                <w:color w:val="auto"/>
              </w:rPr>
            </w:pPr>
          </w:p>
        </w:tc>
        <w:tc>
          <w:tcPr>
            <w:tcW w:w="300" w:type="dxa"/>
            <w:vAlign w:val="bottom"/>
            <w:tcBorders>
              <w:top w:val="single" w:sz="8" w:color="DC202E"/>
              <w:bottom w:val="single" w:sz="8" w:color="DC202E"/>
            </w:tcBorders>
          </w:tcPr>
          <w:p>
            <w:pPr>
              <w:spacing w:after="0"/>
              <w:rPr>
                <w:sz w:val="17"/>
                <w:szCs w:val="17"/>
                <w:color w:val="auto"/>
              </w:rPr>
            </w:pPr>
          </w:p>
        </w:tc>
        <w:tc>
          <w:tcPr>
            <w:tcW w:w="980" w:type="dxa"/>
            <w:vAlign w:val="bottom"/>
            <w:tcBorders>
              <w:top w:val="single" w:sz="8" w:color="DC202E"/>
              <w:bottom w:val="single" w:sz="8" w:color="DC202E"/>
            </w:tcBorders>
          </w:tcPr>
          <w:p>
            <w:pPr>
              <w:jc w:val="right"/>
              <w:ind w:right="393"/>
              <w:spacing w:after="0"/>
              <w:rPr>
                <w:sz w:val="20"/>
                <w:szCs w:val="20"/>
                <w:color w:val="auto"/>
              </w:rPr>
            </w:pPr>
            <w:r>
              <w:rPr>
                <w:rFonts w:ascii="Arial" w:cs="Arial" w:eastAsia="Arial" w:hAnsi="Arial"/>
                <w:sz w:val="14"/>
                <w:szCs w:val="14"/>
                <w:b w:val="1"/>
                <w:bCs w:val="1"/>
                <w:color w:val="auto"/>
              </w:rPr>
              <w:t>2020</w:t>
            </w:r>
          </w:p>
        </w:tc>
      </w:tr>
      <w:tr>
        <w:trPr>
          <w:trHeight w:val="230"/>
        </w:trPr>
        <w:tc>
          <w:tcPr>
            <w:tcW w:w="5820" w:type="dxa"/>
            <w:vAlign w:val="bottom"/>
            <w:shd w:val="clear" w:color="auto" w:fill="DBDBDB"/>
          </w:tcPr>
          <w:p>
            <w:pPr>
              <w:ind w:left="20"/>
              <w:spacing w:after="0"/>
              <w:rPr>
                <w:sz w:val="20"/>
                <w:szCs w:val="20"/>
                <w:color w:val="auto"/>
              </w:rPr>
            </w:pPr>
            <w:r>
              <w:rPr>
                <w:rFonts w:ascii="Arial" w:cs="Arial" w:eastAsia="Arial" w:hAnsi="Arial"/>
                <w:sz w:val="18"/>
                <w:szCs w:val="18"/>
                <w:color w:val="auto"/>
              </w:rPr>
              <w:t>Service cost</w:t>
            </w:r>
          </w:p>
        </w:tc>
        <w:tc>
          <w:tcPr>
            <w:tcW w:w="820" w:type="dxa"/>
            <w:vAlign w:val="bottom"/>
            <w:shd w:val="clear" w:color="auto" w:fill="DBDBDB"/>
          </w:tcPr>
          <w:p>
            <w:pPr>
              <w:jc w:val="right"/>
              <w:ind w:right="619"/>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DBDBDB"/>
          </w:tcPr>
          <w:p>
            <w:pPr>
              <w:spacing w:after="0"/>
              <w:rPr>
                <w:sz w:val="19"/>
                <w:szCs w:val="19"/>
                <w:color w:val="auto"/>
              </w:rPr>
            </w:pP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8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30"/>
        </w:trPr>
        <w:tc>
          <w:tcPr>
            <w:tcW w:w="5820" w:type="dxa"/>
            <w:vAlign w:val="bottom"/>
            <w:shd w:val="clear" w:color="auto" w:fill="DBDBDB"/>
          </w:tcPr>
          <w:p>
            <w:pPr>
              <w:ind w:left="20"/>
              <w:spacing w:after="0"/>
              <w:rPr>
                <w:sz w:val="20"/>
                <w:szCs w:val="20"/>
                <w:color w:val="auto"/>
              </w:rPr>
            </w:pPr>
            <w:r>
              <w:rPr>
                <w:rFonts w:ascii="Arial" w:cs="Arial" w:eastAsia="Arial" w:hAnsi="Arial"/>
                <w:sz w:val="18"/>
                <w:szCs w:val="18"/>
                <w:color w:val="auto"/>
              </w:rPr>
              <w:t>Expected return on plan assets</w:t>
            </w:r>
          </w:p>
        </w:tc>
        <w:tc>
          <w:tcPr>
            <w:tcW w:w="820" w:type="dxa"/>
            <w:vAlign w:val="bottom"/>
            <w:shd w:val="clear" w:color="auto" w:fill="DBDBDB"/>
          </w:tcPr>
          <w:p>
            <w:pPr>
              <w:spacing w:after="0"/>
              <w:rPr>
                <w:sz w:val="19"/>
                <w:szCs w:val="19"/>
                <w:color w:val="auto"/>
              </w:rPr>
            </w:pPr>
          </w:p>
        </w:tc>
        <w:tc>
          <w:tcPr>
            <w:tcW w:w="4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(263)</w:t>
            </w:r>
          </w:p>
        </w:tc>
        <w:tc>
          <w:tcPr>
            <w:tcW w:w="1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(249)</w:t>
            </w: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Amortization of prior service (credit)</w:t>
            </w:r>
          </w:p>
        </w:tc>
        <w:tc>
          <w:tcPr>
            <w:tcW w:w="82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5820" w:type="dxa"/>
            <w:vAlign w:val="bottom"/>
            <w:tcBorders>
              <w:top w:val="single" w:sz="8" w:color="DBDBDB"/>
              <w:bottom w:val="single" w:sz="8" w:color="DBDBDB"/>
            </w:tcBorders>
            <w:shd w:val="clear" w:color="auto" w:fill="DBDBDB"/>
          </w:tcPr>
          <w:p>
            <w:pPr>
              <w:spacing w:after="0"/>
              <w:rPr>
                <w:sz w:val="21"/>
                <w:szCs w:val="21"/>
                <w:color w:val="auto"/>
              </w:rPr>
            </w:pPr>
          </w:p>
        </w:tc>
        <w:tc>
          <w:tcPr>
            <w:tcW w:w="820" w:type="dxa"/>
            <w:vAlign w:val="bottom"/>
            <w:tcBorders>
              <w:top w:val="single" w:sz="8" w:color="auto"/>
              <w:bottom w:val="single" w:sz="8" w:color="auto"/>
            </w:tcBorders>
            <w:shd w:val="clear" w:color="auto" w:fill="DBDBDB"/>
          </w:tcPr>
          <w:p>
            <w:pPr>
              <w:jc w:val="right"/>
              <w:ind w:right="619"/>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300" w:type="dxa"/>
            <w:vAlign w:val="bottom"/>
            <w:tcBorders>
              <w:top w:val="single" w:sz="8" w:color="auto"/>
              <w:bottom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300" w:type="dxa"/>
            <w:vAlign w:val="bottom"/>
            <w:tcBorders>
              <w:top w:val="single" w:sz="8" w:color="auto"/>
              <w:bottom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(154)</w:t>
            </w:r>
          </w:p>
        </w:tc>
      </w:tr>
      <w:tr>
        <w:trPr>
          <w:trHeight w:val="20"/>
        </w:trPr>
        <w:tc>
          <w:tcPr>
            <w:tcW w:w="5820" w:type="dxa"/>
            <w:vAlign w:val="bottom"/>
            <w:tcBorders>
              <w:top w:val="single" w:sz="8" w:color="DBDBDB"/>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c>
          <w:tcPr>
            <w:tcW w:w="4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9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98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29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301" w:lineRule="exact"/>
        <w:rPr>
          <w:sz w:val="20"/>
          <w:szCs w:val="20"/>
          <w:color w:val="auto"/>
        </w:rPr>
      </w:pPr>
    </w:p>
    <w:p>
      <w:pPr>
        <w:spacing w:after="0"/>
        <w:rPr>
          <w:sz w:val="20"/>
          <w:szCs w:val="20"/>
          <w:color w:val="auto"/>
        </w:rPr>
      </w:pPr>
      <w:r>
        <w:rPr>
          <w:rFonts w:ascii="Arial" w:cs="Arial" w:eastAsia="Arial" w:hAnsi="Arial"/>
          <w:sz w:val="29"/>
          <w:szCs w:val="29"/>
          <w:b w:val="1"/>
          <w:bCs w:val="1"/>
          <w:color w:val="DC202E"/>
        </w:rPr>
        <w:t>NOTE 17. OTHER (INCOME) EXPENSE</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20" w:type="dxa"/>
            <w:vAlign w:val="bottom"/>
          </w:tcPr>
          <w:p>
            <w:pPr>
              <w:spacing w:after="0"/>
              <w:rPr>
                <w:sz w:val="17"/>
                <w:szCs w:val="17"/>
                <w:color w:val="auto"/>
              </w:rPr>
            </w:pPr>
          </w:p>
        </w:tc>
        <w:tc>
          <w:tcPr>
            <w:tcW w:w="276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7"/>
                <w:szCs w:val="17"/>
                <w:color w:val="auto"/>
              </w:rPr>
            </w:pPr>
          </w:p>
        </w:tc>
        <w:tc>
          <w:tcPr>
            <w:tcW w:w="2520" w:type="dxa"/>
            <w:vAlign w:val="bottom"/>
            <w:gridSpan w:val="4"/>
          </w:tcPr>
          <w:p>
            <w:pPr>
              <w:jc w:val="right"/>
              <w:ind w:right="52"/>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5820" w:type="dxa"/>
            <w:vAlign w:val="bottom"/>
            <w:tcBorders>
              <w:bottom w:val="single" w:sz="8" w:color="DBDBDB"/>
            </w:tcBorders>
          </w:tcPr>
          <w:p>
            <w:pPr>
              <w:spacing w:after="0"/>
              <w:rPr>
                <w:sz w:val="17"/>
                <w:szCs w:val="17"/>
                <w:color w:val="auto"/>
              </w:rPr>
            </w:pPr>
          </w:p>
        </w:tc>
        <w:tc>
          <w:tcPr>
            <w:tcW w:w="820" w:type="dxa"/>
            <w:vAlign w:val="bottom"/>
            <w:tcBorders>
              <w:top w:val="single" w:sz="8" w:color="DC202E"/>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top w:val="single" w:sz="8" w:color="DC202E"/>
              <w:bottom w:val="single" w:sz="8" w:color="DC202E"/>
            </w:tcBorders>
          </w:tcPr>
          <w:p>
            <w:pPr>
              <w:spacing w:after="0"/>
              <w:rPr>
                <w:sz w:val="17"/>
                <w:szCs w:val="17"/>
                <w:color w:val="auto"/>
              </w:rPr>
            </w:pPr>
          </w:p>
        </w:tc>
        <w:tc>
          <w:tcPr>
            <w:tcW w:w="100" w:type="dxa"/>
            <w:vAlign w:val="bottom"/>
            <w:tcBorders>
              <w:top w:val="single" w:sz="8" w:color="DC202E"/>
              <w:bottom w:val="single" w:sz="8" w:color="DBDBDB"/>
            </w:tcBorders>
          </w:tcPr>
          <w:p>
            <w:pPr>
              <w:spacing w:after="0"/>
              <w:rPr>
                <w:sz w:val="17"/>
                <w:szCs w:val="17"/>
                <w:color w:val="auto"/>
              </w:rPr>
            </w:pPr>
          </w:p>
        </w:tc>
        <w:tc>
          <w:tcPr>
            <w:tcW w:w="300" w:type="dxa"/>
            <w:vAlign w:val="bottom"/>
            <w:tcBorders>
              <w:top w:val="single" w:sz="8" w:color="DC202E"/>
              <w:bottom w:val="single" w:sz="8" w:color="DC202E"/>
            </w:tcBorders>
          </w:tcPr>
          <w:p>
            <w:pPr>
              <w:spacing w:after="0"/>
              <w:rPr>
                <w:sz w:val="17"/>
                <w:szCs w:val="17"/>
                <w:color w:val="auto"/>
              </w:rPr>
            </w:pPr>
          </w:p>
        </w:tc>
        <w:tc>
          <w:tcPr>
            <w:tcW w:w="980" w:type="dxa"/>
            <w:vAlign w:val="bottom"/>
            <w:tcBorders>
              <w:top w:val="single" w:sz="8" w:color="DC202E"/>
              <w:bottom w:val="single" w:sz="8" w:color="DC202E"/>
            </w:tcBorders>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DBDBDB"/>
            </w:tcBorders>
          </w:tcPr>
          <w:p>
            <w:pPr>
              <w:spacing w:after="0"/>
              <w:rPr>
                <w:sz w:val="17"/>
                <w:szCs w:val="17"/>
                <w:color w:val="auto"/>
              </w:rPr>
            </w:pPr>
          </w:p>
        </w:tc>
        <w:tc>
          <w:tcPr>
            <w:tcW w:w="140" w:type="dxa"/>
            <w:vAlign w:val="bottom"/>
            <w:tcBorders>
              <w:top w:val="single" w:sz="8" w:color="DC202E"/>
              <w:bottom w:val="single" w:sz="8" w:color="DC202E"/>
            </w:tcBorders>
          </w:tcPr>
          <w:p>
            <w:pPr>
              <w:spacing w:after="0"/>
              <w:rPr>
                <w:sz w:val="17"/>
                <w:szCs w:val="17"/>
                <w:color w:val="auto"/>
              </w:rPr>
            </w:pPr>
          </w:p>
        </w:tc>
        <w:tc>
          <w:tcPr>
            <w:tcW w:w="1140" w:type="dxa"/>
            <w:vAlign w:val="bottom"/>
            <w:tcBorders>
              <w:top w:val="single" w:sz="8" w:color="DC202E"/>
              <w:bottom w:val="single" w:sz="8" w:color="DC202E"/>
            </w:tcBorders>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DC202E"/>
              <w:bottom w:val="single" w:sz="8" w:color="DBDBDB"/>
            </w:tcBorders>
          </w:tcPr>
          <w:p>
            <w:pPr>
              <w:spacing w:after="0"/>
              <w:rPr>
                <w:sz w:val="17"/>
                <w:szCs w:val="17"/>
                <w:color w:val="auto"/>
              </w:rPr>
            </w:pPr>
          </w:p>
        </w:tc>
        <w:tc>
          <w:tcPr>
            <w:tcW w:w="280" w:type="dxa"/>
            <w:vAlign w:val="bottom"/>
            <w:tcBorders>
              <w:top w:val="single" w:sz="8" w:color="DC202E"/>
              <w:bottom w:val="single" w:sz="8" w:color="DC202E"/>
            </w:tcBorders>
          </w:tcPr>
          <w:p>
            <w:pPr>
              <w:spacing w:after="0"/>
              <w:rPr>
                <w:sz w:val="17"/>
                <w:szCs w:val="17"/>
                <w:color w:val="auto"/>
              </w:rPr>
            </w:pPr>
          </w:p>
        </w:tc>
        <w:tc>
          <w:tcPr>
            <w:tcW w:w="980" w:type="dxa"/>
            <w:vAlign w:val="bottom"/>
            <w:tcBorders>
              <w:top w:val="single" w:sz="8" w:color="DC202E"/>
              <w:bottom w:val="single" w:sz="8" w:color="DC202E"/>
            </w:tcBorders>
          </w:tcPr>
          <w:p>
            <w:pPr>
              <w:jc w:val="right"/>
              <w:ind w:right="392"/>
              <w:spacing w:after="0"/>
              <w:rPr>
                <w:sz w:val="20"/>
                <w:szCs w:val="20"/>
                <w:color w:val="auto"/>
              </w:rPr>
            </w:pPr>
            <w:r>
              <w:rPr>
                <w:rFonts w:ascii="Arial" w:cs="Arial" w:eastAsia="Arial" w:hAnsi="Arial"/>
                <w:sz w:val="14"/>
                <w:szCs w:val="14"/>
                <w:b w:val="1"/>
                <w:bCs w:val="1"/>
                <w:color w:val="auto"/>
              </w:rPr>
              <w:t>2020</w:t>
            </w:r>
          </w:p>
        </w:tc>
      </w:tr>
      <w:tr>
        <w:trPr>
          <w:trHeight w:val="229"/>
        </w:trPr>
        <w:tc>
          <w:tcPr>
            <w:tcW w:w="5820" w:type="dxa"/>
            <w:vAlign w:val="bottom"/>
            <w:shd w:val="clear" w:color="auto" w:fill="DBDBDB"/>
          </w:tcPr>
          <w:p>
            <w:pPr>
              <w:ind w:left="20"/>
              <w:spacing w:after="0"/>
              <w:rPr>
                <w:sz w:val="20"/>
                <w:szCs w:val="20"/>
                <w:color w:val="auto"/>
              </w:rPr>
            </w:pPr>
            <w:r>
              <w:rPr>
                <w:rFonts w:ascii="Arial" w:cs="Arial" w:eastAsia="Arial" w:hAnsi="Arial"/>
                <w:sz w:val="18"/>
                <w:szCs w:val="18"/>
                <w:color w:val="auto"/>
              </w:rPr>
              <w:t>Interest income</w:t>
            </w:r>
          </w:p>
        </w:tc>
        <w:tc>
          <w:tcPr>
            <w:tcW w:w="820" w:type="dxa"/>
            <w:vAlign w:val="bottom"/>
            <w:shd w:val="clear" w:color="auto" w:fill="DBDBDB"/>
          </w:tcPr>
          <w:p>
            <w:pPr>
              <w:jc w:val="right"/>
              <w:ind w:right="619"/>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(86)</w:t>
            </w: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Pension ongoing income – non-service</w:t>
            </w:r>
          </w:p>
        </w:tc>
        <w:tc>
          <w:tcPr>
            <w:tcW w:w="8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5"/>
              </w:rPr>
              <w:t>(306)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(711)</w:t>
            </w:r>
          </w:p>
        </w:tc>
      </w:tr>
      <w:tr>
        <w:trPr>
          <w:trHeight w:val="230"/>
        </w:trPr>
        <w:tc>
          <w:tcPr>
            <w:tcW w:w="5820" w:type="dxa"/>
            <w:vAlign w:val="bottom"/>
            <w:shd w:val="clear" w:color="auto" w:fill="DBDBDB"/>
          </w:tcPr>
          <w:p>
            <w:pPr>
              <w:ind w:left="20"/>
              <w:spacing w:after="0"/>
              <w:rPr>
                <w:sz w:val="20"/>
                <w:szCs w:val="20"/>
                <w:color w:val="auto"/>
              </w:rPr>
            </w:pPr>
            <w:r>
              <w:rPr>
                <w:rFonts w:ascii="Arial" w:cs="Arial" w:eastAsia="Arial" w:hAnsi="Arial"/>
                <w:sz w:val="18"/>
                <w:szCs w:val="18"/>
                <w:color w:val="auto"/>
              </w:rPr>
              <w:t>Other postretirement income – non-service</w:t>
            </w:r>
          </w:p>
        </w:tc>
        <w:tc>
          <w:tcPr>
            <w:tcW w:w="820" w:type="dxa"/>
            <w:vAlign w:val="bottom"/>
            <w:shd w:val="clear" w:color="auto" w:fill="DBDBDB"/>
          </w:tcPr>
          <w:p>
            <w:pPr>
              <w:spacing w:after="0"/>
              <w:rPr>
                <w:sz w:val="19"/>
                <w:szCs w:val="19"/>
                <w:color w:val="auto"/>
              </w:rPr>
            </w:pPr>
          </w:p>
        </w:tc>
        <w:tc>
          <w:tcPr>
            <w:tcW w:w="4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(40)</w:t>
            </w: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Equity income of affiliated companies</w:t>
            </w:r>
          </w:p>
        </w:tc>
        <w:tc>
          <w:tcPr>
            <w:tcW w:w="8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5820" w:type="dxa"/>
            <w:vAlign w:val="bottom"/>
            <w:shd w:val="clear" w:color="auto" w:fill="DBDBDB"/>
          </w:tcPr>
          <w:p>
            <w:pPr>
              <w:ind w:left="20"/>
              <w:spacing w:after="0"/>
              <w:rPr>
                <w:sz w:val="20"/>
                <w:szCs w:val="20"/>
                <w:color w:val="auto"/>
              </w:rPr>
            </w:pPr>
            <w:r>
              <w:rPr>
                <w:rFonts w:ascii="Arial" w:cs="Arial" w:eastAsia="Arial" w:hAnsi="Arial"/>
                <w:sz w:val="18"/>
                <w:szCs w:val="18"/>
                <w:color w:val="auto"/>
              </w:rPr>
              <w:t>(Gain) loss on sale of non-strategic businesses and assets</w:t>
            </w:r>
          </w:p>
        </w:tc>
        <w:tc>
          <w:tcPr>
            <w:tcW w:w="820" w:type="dxa"/>
            <w:vAlign w:val="bottom"/>
            <w:shd w:val="clear" w:color="auto" w:fill="DBDBDB"/>
          </w:tcPr>
          <w:p>
            <w:pPr>
              <w:spacing w:after="0"/>
              <w:rPr>
                <w:sz w:val="19"/>
                <w:szCs w:val="19"/>
                <w:color w:val="auto"/>
              </w:rPr>
            </w:pPr>
          </w:p>
        </w:tc>
        <w:tc>
          <w:tcPr>
            <w:tcW w:w="4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8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(94)</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Foreign exchange</w:t>
            </w:r>
          </w:p>
        </w:tc>
        <w:tc>
          <w:tcPr>
            <w:tcW w:w="8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582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Reimbursement receivables charge</w:t>
            </w:r>
          </w:p>
        </w:tc>
        <w:tc>
          <w:tcPr>
            <w:tcW w:w="820" w:type="dxa"/>
            <w:vAlign w:val="bottom"/>
            <w:shd w:val="clear" w:color="auto" w:fill="DBDBDB"/>
          </w:tcPr>
          <w:p>
            <w:pPr>
              <w:spacing w:after="0"/>
              <w:rPr>
                <w:sz w:val="19"/>
                <w:szCs w:val="19"/>
                <w:color w:val="auto"/>
              </w:rPr>
            </w:pPr>
          </w:p>
        </w:tc>
        <w:tc>
          <w:tcPr>
            <w:tcW w:w="5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260" w:type="dxa"/>
            <w:vAlign w:val="bottom"/>
            <w:gridSpan w:val="2"/>
            <w:shd w:val="clear" w:color="auto" w:fill="DBDBDB"/>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350</w:t>
            </w: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Expense related to UOP Matters</w:t>
            </w:r>
          </w:p>
        </w:tc>
        <w:tc>
          <w:tcPr>
            <w:tcW w:w="8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820" w:type="dxa"/>
            <w:vAlign w:val="bottom"/>
            <w:shd w:val="clear" w:color="auto" w:fill="DBDBDB"/>
          </w:tcPr>
          <w:p>
            <w:pPr>
              <w:ind w:left="20"/>
              <w:spacing w:after="0"/>
              <w:rPr>
                <w:sz w:val="20"/>
                <w:szCs w:val="20"/>
                <w:color w:val="auto"/>
              </w:rPr>
            </w:pPr>
            <w:r>
              <w:rPr>
                <w:rFonts w:ascii="Arial" w:cs="Arial" w:eastAsia="Arial" w:hAnsi="Arial"/>
                <w:sz w:val="18"/>
                <w:szCs w:val="18"/>
                <w:color w:val="auto"/>
              </w:rPr>
              <w:t>Other (net)</w:t>
            </w:r>
          </w:p>
        </w:tc>
        <w:tc>
          <w:tcPr>
            <w:tcW w:w="820" w:type="dxa"/>
            <w:vAlign w:val="bottom"/>
            <w:tcBorders>
              <w:bottom w:val="single" w:sz="8" w:color="auto"/>
            </w:tcBorders>
            <w:shd w:val="clear" w:color="auto" w:fill="DBDBDB"/>
          </w:tcPr>
          <w:p>
            <w:pPr>
              <w:spacing w:after="0"/>
              <w:rPr>
                <w:sz w:val="19"/>
                <w:szCs w:val="19"/>
                <w:color w:val="auto"/>
              </w:rPr>
            </w:pPr>
          </w:p>
        </w:tc>
        <w:tc>
          <w:tcPr>
            <w:tcW w:w="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spacing w:after="0"/>
              <w:rPr>
                <w:sz w:val="19"/>
                <w:szCs w:val="19"/>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5820" w:type="dxa"/>
            <w:vAlign w:val="bottom"/>
          </w:tcPr>
          <w:p>
            <w:pPr>
              <w:spacing w:after="0"/>
              <w:rPr>
                <w:sz w:val="19"/>
                <w:szCs w:val="19"/>
                <w:color w:val="auto"/>
              </w:rPr>
            </w:pPr>
          </w:p>
        </w:tc>
        <w:tc>
          <w:tcPr>
            <w:tcW w:w="820" w:type="dxa"/>
            <w:vAlign w:val="bottom"/>
            <w:tcBorders>
              <w:bottom w:val="single" w:sz="8" w:color="auto"/>
            </w:tcBorders>
          </w:tcPr>
          <w:p>
            <w:pPr>
              <w:jc w:val="right"/>
              <w:ind w:right="61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(215)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(1,023)</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w:t>
            </w:r>
          </w:p>
        </w:tc>
      </w:tr>
      <w:tr>
        <w:trPr>
          <w:trHeight w:val="20"/>
        </w:trPr>
        <w:tc>
          <w:tcPr>
            <w:tcW w:w="58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 15 Commitments and Contingencies for further discussion of the UOP Matters.</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29"/>
          <w:szCs w:val="29"/>
          <w:b w:val="1"/>
          <w:bCs w:val="1"/>
          <w:color w:val="DC202E"/>
        </w:rPr>
        <w:t>NOTE 18. SEGMENT FINANCIAL DATA</w:t>
      </w:r>
    </w:p>
    <w:p>
      <w:pPr>
        <w:spacing w:after="0" w:line="15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Honeywell globally manages its business operations through four reportable operating segments. Segment information is consistent with how management reviews the businesses, makes investing and resource allocation decisions and assesses operating performance.</w:t>
      </w:r>
    </w:p>
    <w:p>
      <w:pPr>
        <w:spacing w:after="0" w:line="9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Honeywell’s senior management evaluates segment performance based on segment profit. Each segment’s profit is measured as segment income (loss) before taxes excluding general corporate unallocated expense, interest and other financial charges, stock compensation expense, pension and other postretirement income (expense), repositioning and other charges, and other items within Other (income) expense.</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30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274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7"/>
                <w:szCs w:val="17"/>
                <w:color w:val="auto"/>
              </w:rPr>
            </w:pPr>
          </w:p>
        </w:tc>
        <w:tc>
          <w:tcPr>
            <w:tcW w:w="2540" w:type="dxa"/>
            <w:vAlign w:val="bottom"/>
            <w:gridSpan w:val="4"/>
          </w:tcPr>
          <w:p>
            <w:pPr>
              <w:jc w:val="right"/>
              <w:ind w:right="71"/>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20" w:type="dxa"/>
            <w:vAlign w:val="bottom"/>
            <w:tcBorders>
              <w:bottom w:val="single" w:sz="8" w:color="DBDBDB"/>
            </w:tcBorders>
          </w:tcPr>
          <w:p>
            <w:pPr>
              <w:spacing w:after="0"/>
              <w:rPr>
                <w:sz w:val="17"/>
                <w:szCs w:val="17"/>
                <w:color w:val="auto"/>
              </w:rPr>
            </w:pPr>
          </w:p>
        </w:tc>
        <w:tc>
          <w:tcPr>
            <w:tcW w:w="760" w:type="dxa"/>
            <w:vAlign w:val="bottom"/>
            <w:tcBorders>
              <w:bottom w:val="single" w:sz="8" w:color="DBDBDB"/>
            </w:tcBorders>
          </w:tcPr>
          <w:p>
            <w:pPr>
              <w:spacing w:after="0"/>
              <w:rPr>
                <w:sz w:val="17"/>
                <w:szCs w:val="17"/>
                <w:color w:val="auto"/>
              </w:rPr>
            </w:pPr>
          </w:p>
        </w:tc>
        <w:tc>
          <w:tcPr>
            <w:tcW w:w="420" w:type="dxa"/>
            <w:vAlign w:val="bottom"/>
            <w:tcBorders>
              <w:bottom w:val="single" w:sz="8" w:color="DBDBDB"/>
            </w:tcBorders>
          </w:tcPr>
          <w:p>
            <w:pPr>
              <w:spacing w:after="0"/>
              <w:rPr>
                <w:sz w:val="17"/>
                <w:szCs w:val="17"/>
                <w:color w:val="auto"/>
              </w:rPr>
            </w:pPr>
          </w:p>
        </w:tc>
        <w:tc>
          <w:tcPr>
            <w:tcW w:w="4620" w:type="dxa"/>
            <w:vAlign w:val="bottom"/>
            <w:tcBorders>
              <w:bottom w:val="single" w:sz="8" w:color="DBDBDB"/>
            </w:tcBorders>
          </w:tcPr>
          <w:p>
            <w:pPr>
              <w:spacing w:after="0"/>
              <w:rPr>
                <w:sz w:val="17"/>
                <w:szCs w:val="17"/>
                <w:color w:val="auto"/>
              </w:rPr>
            </w:pPr>
          </w:p>
        </w:tc>
        <w:tc>
          <w:tcPr>
            <w:tcW w:w="280" w:type="dxa"/>
            <w:vAlign w:val="bottom"/>
            <w:tcBorders>
              <w:top w:val="single" w:sz="8" w:color="DC202E"/>
              <w:bottom w:val="single" w:sz="8" w:color="DC202E"/>
            </w:tcBorders>
          </w:tcPr>
          <w:p>
            <w:pPr>
              <w:spacing w:after="0"/>
              <w:rPr>
                <w:sz w:val="17"/>
                <w:szCs w:val="17"/>
                <w:color w:val="auto"/>
              </w:rPr>
            </w:pPr>
          </w:p>
        </w:tc>
        <w:tc>
          <w:tcPr>
            <w:tcW w:w="980" w:type="dxa"/>
            <w:vAlign w:val="bottom"/>
            <w:tcBorders>
              <w:top w:val="single" w:sz="8" w:color="DC202E"/>
              <w:bottom w:val="single" w:sz="8" w:color="DC202E"/>
            </w:tcBorders>
          </w:tcPr>
          <w:p>
            <w:pPr>
              <w:jc w:val="right"/>
              <w:ind w:right="39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DC202E"/>
              <w:bottom w:val="single" w:sz="8" w:color="DBDBDB"/>
            </w:tcBorders>
          </w:tcPr>
          <w:p>
            <w:pPr>
              <w:spacing w:after="0"/>
              <w:rPr>
                <w:sz w:val="17"/>
                <w:szCs w:val="17"/>
                <w:color w:val="auto"/>
              </w:rPr>
            </w:pPr>
          </w:p>
        </w:tc>
        <w:tc>
          <w:tcPr>
            <w:tcW w:w="300" w:type="dxa"/>
            <w:vAlign w:val="bottom"/>
            <w:tcBorders>
              <w:top w:val="single" w:sz="8" w:color="DC202E"/>
              <w:bottom w:val="single" w:sz="8" w:color="DC202E"/>
            </w:tcBorders>
          </w:tcPr>
          <w:p>
            <w:pPr>
              <w:spacing w:after="0"/>
              <w:rPr>
                <w:sz w:val="17"/>
                <w:szCs w:val="17"/>
                <w:color w:val="auto"/>
              </w:rPr>
            </w:pPr>
          </w:p>
        </w:tc>
        <w:tc>
          <w:tcPr>
            <w:tcW w:w="980" w:type="dxa"/>
            <w:vAlign w:val="bottom"/>
            <w:tcBorders>
              <w:top w:val="single" w:sz="8" w:color="DC202E"/>
              <w:bottom w:val="single" w:sz="8" w:color="DC202E"/>
            </w:tcBorders>
          </w:tcPr>
          <w:p>
            <w:pPr>
              <w:jc w:val="right"/>
              <w:ind w:right="39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DBDBDB"/>
            </w:tcBorders>
          </w:tcPr>
          <w:p>
            <w:pPr>
              <w:spacing w:after="0"/>
              <w:rPr>
                <w:sz w:val="17"/>
                <w:szCs w:val="17"/>
                <w:color w:val="auto"/>
              </w:rPr>
            </w:pPr>
          </w:p>
        </w:tc>
        <w:tc>
          <w:tcPr>
            <w:tcW w:w="140" w:type="dxa"/>
            <w:vAlign w:val="bottom"/>
            <w:tcBorders>
              <w:top w:val="single" w:sz="8" w:color="DC202E"/>
              <w:bottom w:val="single" w:sz="8" w:color="DC202E"/>
            </w:tcBorders>
          </w:tcPr>
          <w:p>
            <w:pPr>
              <w:spacing w:after="0"/>
              <w:rPr>
                <w:sz w:val="17"/>
                <w:szCs w:val="17"/>
                <w:color w:val="auto"/>
              </w:rPr>
            </w:pPr>
          </w:p>
        </w:tc>
        <w:tc>
          <w:tcPr>
            <w:tcW w:w="1140" w:type="dxa"/>
            <w:vAlign w:val="bottom"/>
            <w:tcBorders>
              <w:top w:val="single" w:sz="8" w:color="DC202E"/>
              <w:bottom w:val="single" w:sz="8" w:color="DC202E"/>
            </w:tcBorders>
          </w:tcPr>
          <w:p>
            <w:pPr>
              <w:jc w:val="right"/>
              <w:ind w:right="39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DC202E"/>
              <w:bottom w:val="single" w:sz="8" w:color="DBDBDB"/>
            </w:tcBorders>
          </w:tcPr>
          <w:p>
            <w:pPr>
              <w:spacing w:after="0"/>
              <w:rPr>
                <w:sz w:val="17"/>
                <w:szCs w:val="17"/>
                <w:color w:val="auto"/>
              </w:rPr>
            </w:pPr>
          </w:p>
        </w:tc>
        <w:tc>
          <w:tcPr>
            <w:tcW w:w="300" w:type="dxa"/>
            <w:vAlign w:val="bottom"/>
            <w:tcBorders>
              <w:top w:val="single" w:sz="8" w:color="DC202E"/>
              <w:bottom w:val="single" w:sz="8" w:color="DC202E"/>
            </w:tcBorders>
          </w:tcPr>
          <w:p>
            <w:pPr>
              <w:spacing w:after="0"/>
              <w:rPr>
                <w:sz w:val="17"/>
                <w:szCs w:val="17"/>
                <w:color w:val="auto"/>
              </w:rPr>
            </w:pPr>
          </w:p>
        </w:tc>
        <w:tc>
          <w:tcPr>
            <w:tcW w:w="980" w:type="dxa"/>
            <w:vAlign w:val="bottom"/>
            <w:tcBorders>
              <w:top w:val="single" w:sz="8" w:color="DC202E"/>
              <w:bottom w:val="single" w:sz="8" w:color="DC202E"/>
            </w:tcBorders>
          </w:tcPr>
          <w:p>
            <w:pPr>
              <w:jc w:val="right"/>
              <w:ind w:right="391"/>
              <w:spacing w:after="0"/>
              <w:rPr>
                <w:sz w:val="20"/>
                <w:szCs w:val="20"/>
                <w:color w:val="auto"/>
              </w:rPr>
            </w:pPr>
            <w:r>
              <w:rPr>
                <w:rFonts w:ascii="Arial" w:cs="Arial" w:eastAsia="Arial" w:hAnsi="Arial"/>
                <w:sz w:val="14"/>
                <w:szCs w:val="14"/>
                <w:b w:val="1"/>
                <w:bCs w:val="1"/>
                <w:color w:val="auto"/>
              </w:rPr>
              <w:t>2020</w:t>
            </w:r>
          </w:p>
        </w:tc>
      </w:tr>
      <w:tr>
        <w:trPr>
          <w:trHeight w:val="209"/>
        </w:trPr>
        <w:tc>
          <w:tcPr>
            <w:tcW w:w="20" w:type="dxa"/>
            <w:vAlign w:val="bottom"/>
            <w:tcBorders>
              <w:bottom w:val="single" w:sz="8" w:color="DBDBDB"/>
            </w:tcBorders>
            <w:shd w:val="clear" w:color="auto" w:fill="DBDBDB"/>
          </w:tcPr>
          <w:p>
            <w:pPr>
              <w:spacing w:after="0"/>
              <w:rPr>
                <w:sz w:val="18"/>
                <w:szCs w:val="18"/>
                <w:color w:val="auto"/>
              </w:rPr>
            </w:pPr>
          </w:p>
        </w:tc>
        <w:tc>
          <w:tcPr>
            <w:tcW w:w="760" w:type="dxa"/>
            <w:vAlign w:val="bottom"/>
            <w:tcBorders>
              <w:bottom w:val="single" w:sz="8" w:color="auto"/>
            </w:tcBorders>
            <w:shd w:val="clear" w:color="auto" w:fill="DBDBDB"/>
          </w:tcPr>
          <w:p>
            <w:pPr>
              <w:spacing w:after="0" w:line="189" w:lineRule="exact"/>
              <w:rPr>
                <w:sz w:val="20"/>
                <w:szCs w:val="20"/>
                <w:color w:val="auto"/>
              </w:rPr>
            </w:pPr>
            <w:r>
              <w:rPr>
                <w:rFonts w:ascii="Arial" w:cs="Arial" w:eastAsia="Arial" w:hAnsi="Arial"/>
                <w:sz w:val="18"/>
                <w:szCs w:val="18"/>
                <w:color w:val="auto"/>
                <w:w w:val="98"/>
              </w:rPr>
              <w:t>Net sales</w:t>
            </w:r>
          </w:p>
        </w:tc>
        <w:tc>
          <w:tcPr>
            <w:tcW w:w="5040" w:type="dxa"/>
            <w:vAlign w:val="bottom"/>
            <w:tcBorders>
              <w:bottom w:val="single" w:sz="8" w:color="DBDBDB"/>
            </w:tcBorders>
            <w:gridSpan w:val="2"/>
            <w:shd w:val="clear" w:color="auto" w:fill="DBDBDB"/>
          </w:tcPr>
          <w:p>
            <w:pPr>
              <w:spacing w:after="0"/>
              <w:rPr>
                <w:sz w:val="18"/>
                <w:szCs w:val="18"/>
                <w:color w:val="auto"/>
              </w:rPr>
            </w:pPr>
          </w:p>
        </w:tc>
        <w:tc>
          <w:tcPr>
            <w:tcW w:w="280" w:type="dxa"/>
            <w:vAlign w:val="bottom"/>
            <w:tcBorders>
              <w:bottom w:val="single" w:sz="8" w:color="DBDBDB"/>
            </w:tcBorders>
            <w:shd w:val="clear" w:color="auto" w:fill="DBDBDB"/>
          </w:tcPr>
          <w:p>
            <w:pPr>
              <w:spacing w:after="0"/>
              <w:rPr>
                <w:sz w:val="18"/>
                <w:szCs w:val="18"/>
                <w:color w:val="auto"/>
              </w:rPr>
            </w:pPr>
          </w:p>
        </w:tc>
        <w:tc>
          <w:tcPr>
            <w:tcW w:w="98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300" w:type="dxa"/>
            <w:vAlign w:val="bottom"/>
            <w:tcBorders>
              <w:bottom w:val="single" w:sz="8" w:color="DBDBDB"/>
            </w:tcBorders>
            <w:shd w:val="clear" w:color="auto" w:fill="DBDBDB"/>
          </w:tcPr>
          <w:p>
            <w:pPr>
              <w:spacing w:after="0"/>
              <w:rPr>
                <w:sz w:val="18"/>
                <w:szCs w:val="18"/>
                <w:color w:val="auto"/>
              </w:rPr>
            </w:pPr>
          </w:p>
        </w:tc>
        <w:tc>
          <w:tcPr>
            <w:tcW w:w="98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140" w:type="dxa"/>
            <w:vAlign w:val="bottom"/>
            <w:tcBorders>
              <w:bottom w:val="single" w:sz="8" w:color="DBDBDB"/>
            </w:tcBorders>
            <w:shd w:val="clear" w:color="auto" w:fill="DBDBDB"/>
          </w:tcPr>
          <w:p>
            <w:pPr>
              <w:spacing w:after="0"/>
              <w:rPr>
                <w:sz w:val="18"/>
                <w:szCs w:val="18"/>
                <w:color w:val="auto"/>
              </w:rPr>
            </w:pPr>
          </w:p>
        </w:tc>
        <w:tc>
          <w:tcPr>
            <w:tcW w:w="114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DBDBDB"/>
            </w:tcBorders>
            <w:shd w:val="clear" w:color="auto" w:fill="DBDBDB"/>
          </w:tcPr>
          <w:p>
            <w:pPr>
              <w:spacing w:after="0"/>
              <w:rPr>
                <w:sz w:val="18"/>
                <w:szCs w:val="18"/>
                <w:color w:val="auto"/>
              </w:rPr>
            </w:pPr>
          </w:p>
        </w:tc>
        <w:tc>
          <w:tcPr>
            <w:tcW w:w="300" w:type="dxa"/>
            <w:vAlign w:val="bottom"/>
            <w:tcBorders>
              <w:bottom w:val="single" w:sz="8" w:color="DBDBDB"/>
            </w:tcBorders>
            <w:shd w:val="clear" w:color="auto" w:fill="DBDBDB"/>
          </w:tcPr>
          <w:p>
            <w:pPr>
              <w:spacing w:after="0"/>
              <w:rPr>
                <w:sz w:val="18"/>
                <w:szCs w:val="18"/>
                <w:color w:val="auto"/>
              </w:rPr>
            </w:pPr>
          </w:p>
        </w:tc>
        <w:tc>
          <w:tcPr>
            <w:tcW w:w="980" w:type="dxa"/>
            <w:vAlign w:val="bottom"/>
            <w:tcBorders>
              <w:bottom w:val="single" w:sz="8" w:color="DBDBDB"/>
            </w:tcBorders>
            <w:shd w:val="clear" w:color="auto" w:fill="DBDBDB"/>
          </w:tcPr>
          <w:p>
            <w:pPr>
              <w:spacing w:after="0"/>
              <w:rPr>
                <w:sz w:val="18"/>
                <w:szCs w:val="18"/>
                <w:color w:val="auto"/>
              </w:rPr>
            </w:pPr>
          </w:p>
        </w:tc>
      </w:tr>
      <w:tr>
        <w:trPr>
          <w:trHeight w:val="270"/>
        </w:trPr>
        <w:tc>
          <w:tcPr>
            <w:tcW w:w="20" w:type="dxa"/>
            <w:vAlign w:val="bottom"/>
          </w:tcPr>
          <w:p>
            <w:pPr>
              <w:spacing w:after="0"/>
              <w:rPr>
                <w:sz w:val="23"/>
                <w:szCs w:val="23"/>
                <w:color w:val="auto"/>
              </w:rPr>
            </w:pPr>
          </w:p>
        </w:tc>
        <w:tc>
          <w:tcPr>
            <w:tcW w:w="5800" w:type="dxa"/>
            <w:vAlign w:val="bottom"/>
            <w:gridSpan w:val="3"/>
          </w:tcPr>
          <w:p>
            <w:pPr>
              <w:spacing w:after="0"/>
              <w:rPr>
                <w:sz w:val="20"/>
                <w:szCs w:val="20"/>
                <w:color w:val="auto"/>
              </w:rPr>
            </w:pPr>
            <w:r>
              <w:rPr>
                <w:rFonts w:ascii="Arial" w:cs="Arial" w:eastAsia="Arial" w:hAnsi="Arial"/>
                <w:sz w:val="18"/>
                <w:szCs w:val="18"/>
                <w:color w:val="auto"/>
              </w:rPr>
              <w:t>Aerospace</w:t>
            </w: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30"/>
        </w:trPr>
        <w:tc>
          <w:tcPr>
            <w:tcW w:w="20" w:type="dxa"/>
            <w:vAlign w:val="bottom"/>
            <w:shd w:val="clear" w:color="auto" w:fill="DBDBDB"/>
          </w:tcPr>
          <w:p>
            <w:pPr>
              <w:spacing w:after="0"/>
              <w:rPr>
                <w:sz w:val="19"/>
                <w:szCs w:val="19"/>
                <w:color w:val="auto"/>
              </w:rPr>
            </w:pPr>
          </w:p>
        </w:tc>
        <w:tc>
          <w:tcPr>
            <w:tcW w:w="5800" w:type="dxa"/>
            <w:vAlign w:val="bottom"/>
            <w:gridSpan w:val="3"/>
            <w:shd w:val="clear" w:color="auto" w:fill="DBDBDB"/>
          </w:tcPr>
          <w:p>
            <w:pPr>
              <w:ind w:left="120"/>
              <w:spacing w:after="0"/>
              <w:rPr>
                <w:sz w:val="20"/>
                <w:szCs w:val="20"/>
                <w:color w:val="auto"/>
              </w:rPr>
            </w:pPr>
            <w:r>
              <w:rPr>
                <w:rFonts w:ascii="Arial" w:cs="Arial" w:eastAsia="Arial" w:hAnsi="Arial"/>
                <w:sz w:val="18"/>
                <w:szCs w:val="18"/>
                <w:color w:val="auto"/>
              </w:rPr>
              <w:t>Products</w:t>
            </w:r>
          </w:p>
        </w:tc>
        <w:tc>
          <w:tcPr>
            <w:tcW w:w="280" w:type="dxa"/>
            <w:vAlign w:val="bottom"/>
            <w:shd w:val="clear" w:color="auto" w:fill="DBDBDB"/>
          </w:tcPr>
          <w:p>
            <w:pPr>
              <w:jc w:val="right"/>
              <w:ind w:right="74"/>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1,461</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1,623</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4,547</w:t>
            </w:r>
          </w:p>
        </w:tc>
        <w:tc>
          <w:tcPr>
            <w:tcW w:w="120" w:type="dxa"/>
            <w:vAlign w:val="bottom"/>
            <w:shd w:val="clear" w:color="auto" w:fill="DBDBDB"/>
          </w:tcPr>
          <w:p>
            <w:pPr>
              <w:spacing w:after="0"/>
              <w:rPr>
                <w:sz w:val="19"/>
                <w:szCs w:val="19"/>
                <w:color w:val="auto"/>
              </w:rPr>
            </w:pP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5,335</w:t>
            </w:r>
          </w:p>
        </w:tc>
      </w:tr>
      <w:tr>
        <w:trPr>
          <w:trHeight w:val="229"/>
        </w:trPr>
        <w:tc>
          <w:tcPr>
            <w:tcW w:w="20" w:type="dxa"/>
            <w:vAlign w:val="bottom"/>
            <w:tcBorders>
              <w:bottom w:val="single" w:sz="8" w:color="DBDBDB"/>
            </w:tcBorders>
          </w:tcPr>
          <w:p>
            <w:pPr>
              <w:spacing w:after="0"/>
              <w:rPr>
                <w:sz w:val="19"/>
                <w:szCs w:val="19"/>
                <w:color w:val="auto"/>
              </w:rPr>
            </w:pPr>
          </w:p>
        </w:tc>
        <w:tc>
          <w:tcPr>
            <w:tcW w:w="5800" w:type="dxa"/>
            <w:vAlign w:val="bottom"/>
            <w:tcBorders>
              <w:bottom w:val="single" w:sz="8" w:color="DBDBDB"/>
            </w:tcBorders>
            <w:gridSpan w:val="3"/>
          </w:tcPr>
          <w:p>
            <w:pPr>
              <w:ind w:left="120"/>
              <w:spacing w:after="0"/>
              <w:rPr>
                <w:sz w:val="20"/>
                <w:szCs w:val="20"/>
                <w:color w:val="auto"/>
              </w:rPr>
            </w:pPr>
            <w:r>
              <w:rPr>
                <w:rFonts w:ascii="Arial" w:cs="Arial" w:eastAsia="Arial" w:hAnsi="Arial"/>
                <w:sz w:val="18"/>
                <w:szCs w:val="18"/>
                <w:color w:val="auto"/>
              </w:rPr>
              <w:t>Services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1,271</w:t>
            </w:r>
          </w:p>
        </w:tc>
        <w:tc>
          <w:tcPr>
            <w:tcW w:w="10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w:t>
            </w:r>
          </w:p>
        </w:tc>
        <w:tc>
          <w:tcPr>
            <w:tcW w:w="10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3,583</w:t>
            </w:r>
          </w:p>
        </w:tc>
        <w:tc>
          <w:tcPr>
            <w:tcW w:w="12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3,231</w:t>
            </w:r>
          </w:p>
        </w:tc>
      </w:tr>
      <w:tr>
        <w:trPr>
          <w:trHeight w:val="223"/>
        </w:trPr>
        <w:tc>
          <w:tcPr>
            <w:tcW w:w="20" w:type="dxa"/>
            <w:vAlign w:val="bottom"/>
            <w:shd w:val="clear" w:color="auto" w:fill="DBDBDB"/>
          </w:tcPr>
          <w:p>
            <w:pPr>
              <w:spacing w:after="0"/>
              <w:rPr>
                <w:sz w:val="19"/>
                <w:szCs w:val="19"/>
                <w:color w:val="auto"/>
              </w:rPr>
            </w:pPr>
          </w:p>
        </w:tc>
        <w:tc>
          <w:tcPr>
            <w:tcW w:w="5800" w:type="dxa"/>
            <w:vAlign w:val="bottom"/>
            <w:gridSpan w:val="3"/>
            <w:shd w:val="clear" w:color="auto" w:fill="DBDBDB"/>
          </w:tcPr>
          <w:p>
            <w:pPr>
              <w:ind w:left="200"/>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2,732</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2,662</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8,130</w:t>
            </w:r>
          </w:p>
        </w:tc>
        <w:tc>
          <w:tcPr>
            <w:tcW w:w="1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8,566</w:t>
            </w:r>
          </w:p>
        </w:tc>
      </w:tr>
      <w:tr>
        <w:trPr>
          <w:trHeight w:val="230"/>
        </w:trPr>
        <w:tc>
          <w:tcPr>
            <w:tcW w:w="20" w:type="dxa"/>
            <w:vAlign w:val="bottom"/>
          </w:tcPr>
          <w:p>
            <w:pPr>
              <w:spacing w:after="0"/>
              <w:rPr>
                <w:sz w:val="19"/>
                <w:szCs w:val="19"/>
                <w:color w:val="auto"/>
              </w:rPr>
            </w:pPr>
          </w:p>
        </w:tc>
        <w:tc>
          <w:tcPr>
            <w:tcW w:w="5800" w:type="dxa"/>
            <w:vAlign w:val="bottom"/>
            <w:gridSpan w:val="3"/>
          </w:tcPr>
          <w:p>
            <w:pPr>
              <w:spacing w:after="0"/>
              <w:rPr>
                <w:sz w:val="20"/>
                <w:szCs w:val="20"/>
                <w:color w:val="auto"/>
              </w:rPr>
            </w:pPr>
            <w:r>
              <w:rPr>
                <w:rFonts w:ascii="Arial" w:cs="Arial" w:eastAsia="Arial" w:hAnsi="Arial"/>
                <w:sz w:val="18"/>
                <w:szCs w:val="18"/>
                <w:color w:val="auto"/>
              </w:rPr>
              <w:t>Honeywell Building Technologies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20" w:type="dxa"/>
            <w:vAlign w:val="bottom"/>
            <w:shd w:val="clear" w:color="auto" w:fill="DBDBDB"/>
          </w:tcPr>
          <w:p>
            <w:pPr>
              <w:spacing w:after="0"/>
              <w:rPr>
                <w:sz w:val="19"/>
                <w:szCs w:val="19"/>
                <w:color w:val="auto"/>
              </w:rPr>
            </w:pPr>
          </w:p>
        </w:tc>
        <w:tc>
          <w:tcPr>
            <w:tcW w:w="5800" w:type="dxa"/>
            <w:vAlign w:val="bottom"/>
            <w:gridSpan w:val="3"/>
            <w:shd w:val="clear" w:color="auto" w:fill="DBDBDB"/>
          </w:tcPr>
          <w:p>
            <w:pPr>
              <w:ind w:left="120"/>
              <w:spacing w:after="0"/>
              <w:rPr>
                <w:sz w:val="20"/>
                <w:szCs w:val="20"/>
                <w:color w:val="auto"/>
              </w:rPr>
            </w:pPr>
            <w:r>
              <w:rPr>
                <w:rFonts w:ascii="Arial" w:cs="Arial" w:eastAsia="Arial" w:hAnsi="Arial"/>
                <w:sz w:val="18"/>
                <w:szCs w:val="18"/>
                <w:color w:val="auto"/>
              </w:rPr>
              <w:t>Products</w:t>
            </w:r>
          </w:p>
        </w:tc>
        <w:tc>
          <w:tcPr>
            <w:tcW w:w="28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1,014</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972</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3,065</w:t>
            </w:r>
          </w:p>
        </w:tc>
        <w:tc>
          <w:tcPr>
            <w:tcW w:w="1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2,807</w:t>
            </w:r>
          </w:p>
        </w:tc>
      </w:tr>
      <w:tr>
        <w:trPr>
          <w:trHeight w:val="230"/>
        </w:trPr>
        <w:tc>
          <w:tcPr>
            <w:tcW w:w="20" w:type="dxa"/>
            <w:vAlign w:val="bottom"/>
            <w:tcBorders>
              <w:bottom w:val="single" w:sz="8" w:color="DBDBDB"/>
            </w:tcBorders>
          </w:tcPr>
          <w:p>
            <w:pPr>
              <w:spacing w:after="0"/>
              <w:rPr>
                <w:sz w:val="19"/>
                <w:szCs w:val="19"/>
                <w:color w:val="auto"/>
              </w:rPr>
            </w:pPr>
          </w:p>
        </w:tc>
        <w:tc>
          <w:tcPr>
            <w:tcW w:w="5800" w:type="dxa"/>
            <w:vAlign w:val="bottom"/>
            <w:tcBorders>
              <w:bottom w:val="single" w:sz="8" w:color="DBDBDB"/>
            </w:tcBorders>
            <w:gridSpan w:val="3"/>
          </w:tcPr>
          <w:p>
            <w:pPr>
              <w:ind w:left="120"/>
              <w:spacing w:after="0"/>
              <w:rPr>
                <w:sz w:val="20"/>
                <w:szCs w:val="20"/>
                <w:color w:val="auto"/>
              </w:rPr>
            </w:pPr>
            <w:r>
              <w:rPr>
                <w:rFonts w:ascii="Arial" w:cs="Arial" w:eastAsia="Arial" w:hAnsi="Arial"/>
                <w:sz w:val="18"/>
                <w:szCs w:val="18"/>
                <w:color w:val="auto"/>
              </w:rPr>
              <w:t>Services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1,070</w:t>
            </w:r>
          </w:p>
        </w:tc>
        <w:tc>
          <w:tcPr>
            <w:tcW w:w="12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w:t>
            </w:r>
          </w:p>
        </w:tc>
      </w:tr>
      <w:tr>
        <w:trPr>
          <w:trHeight w:val="223"/>
        </w:trPr>
        <w:tc>
          <w:tcPr>
            <w:tcW w:w="20" w:type="dxa"/>
            <w:vAlign w:val="bottom"/>
            <w:shd w:val="clear" w:color="auto" w:fill="DBDBDB"/>
          </w:tcPr>
          <w:p>
            <w:pPr>
              <w:spacing w:after="0"/>
              <w:rPr>
                <w:sz w:val="19"/>
                <w:szCs w:val="19"/>
                <w:color w:val="auto"/>
              </w:rPr>
            </w:pPr>
          </w:p>
        </w:tc>
        <w:tc>
          <w:tcPr>
            <w:tcW w:w="5800" w:type="dxa"/>
            <w:vAlign w:val="bottom"/>
            <w:gridSpan w:val="3"/>
            <w:shd w:val="clear" w:color="auto" w:fill="DBDBDB"/>
          </w:tcPr>
          <w:p>
            <w:pPr>
              <w:ind w:left="200"/>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1,370</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1,305</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4,135</w:t>
            </w:r>
          </w:p>
        </w:tc>
        <w:tc>
          <w:tcPr>
            <w:tcW w:w="1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3,763</w:t>
            </w:r>
          </w:p>
        </w:tc>
      </w:tr>
      <w:tr>
        <w:trPr>
          <w:trHeight w:val="230"/>
        </w:trPr>
        <w:tc>
          <w:tcPr>
            <w:tcW w:w="20" w:type="dxa"/>
            <w:vAlign w:val="bottom"/>
          </w:tcPr>
          <w:p>
            <w:pPr>
              <w:spacing w:after="0"/>
              <w:rPr>
                <w:sz w:val="19"/>
                <w:szCs w:val="19"/>
                <w:color w:val="auto"/>
              </w:rPr>
            </w:pPr>
          </w:p>
        </w:tc>
        <w:tc>
          <w:tcPr>
            <w:tcW w:w="5800" w:type="dxa"/>
            <w:vAlign w:val="bottom"/>
            <w:gridSpan w:val="3"/>
          </w:tcPr>
          <w:p>
            <w:pPr>
              <w:spacing w:after="0"/>
              <w:rPr>
                <w:sz w:val="20"/>
                <w:szCs w:val="20"/>
                <w:color w:val="auto"/>
              </w:rPr>
            </w:pPr>
            <w:r>
              <w:rPr>
                <w:rFonts w:ascii="Arial" w:cs="Arial" w:eastAsia="Arial" w:hAnsi="Arial"/>
                <w:sz w:val="18"/>
                <w:szCs w:val="18"/>
                <w:color w:val="auto"/>
              </w:rPr>
              <w:t>Performance Materials and Technologies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20" w:type="dxa"/>
            <w:vAlign w:val="bottom"/>
            <w:shd w:val="clear" w:color="auto" w:fill="DBDBDB"/>
          </w:tcPr>
          <w:p>
            <w:pPr>
              <w:spacing w:after="0"/>
              <w:rPr>
                <w:sz w:val="19"/>
                <w:szCs w:val="19"/>
                <w:color w:val="auto"/>
              </w:rPr>
            </w:pPr>
          </w:p>
        </w:tc>
        <w:tc>
          <w:tcPr>
            <w:tcW w:w="5800" w:type="dxa"/>
            <w:vAlign w:val="bottom"/>
            <w:gridSpan w:val="3"/>
            <w:shd w:val="clear" w:color="auto" w:fill="DBDBDB"/>
          </w:tcPr>
          <w:p>
            <w:pPr>
              <w:ind w:left="120"/>
              <w:spacing w:after="0"/>
              <w:rPr>
                <w:sz w:val="20"/>
                <w:szCs w:val="20"/>
                <w:color w:val="auto"/>
              </w:rPr>
            </w:pPr>
            <w:r>
              <w:rPr>
                <w:rFonts w:ascii="Arial" w:cs="Arial" w:eastAsia="Arial" w:hAnsi="Arial"/>
                <w:sz w:val="18"/>
                <w:szCs w:val="18"/>
                <w:color w:val="auto"/>
              </w:rPr>
              <w:t>Products</w:t>
            </w:r>
          </w:p>
        </w:tc>
        <w:tc>
          <w:tcPr>
            <w:tcW w:w="28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2,007</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1,803</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5,931</w:t>
            </w:r>
          </w:p>
        </w:tc>
        <w:tc>
          <w:tcPr>
            <w:tcW w:w="1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5,510</w:t>
            </w:r>
          </w:p>
        </w:tc>
      </w:tr>
      <w:tr>
        <w:trPr>
          <w:trHeight w:val="229"/>
        </w:trPr>
        <w:tc>
          <w:tcPr>
            <w:tcW w:w="20" w:type="dxa"/>
            <w:vAlign w:val="bottom"/>
            <w:tcBorders>
              <w:bottom w:val="single" w:sz="8" w:color="DBDBDB"/>
            </w:tcBorders>
          </w:tcPr>
          <w:p>
            <w:pPr>
              <w:spacing w:after="0"/>
              <w:rPr>
                <w:sz w:val="19"/>
                <w:szCs w:val="19"/>
                <w:color w:val="auto"/>
              </w:rPr>
            </w:pPr>
          </w:p>
        </w:tc>
        <w:tc>
          <w:tcPr>
            <w:tcW w:w="5800" w:type="dxa"/>
            <w:vAlign w:val="bottom"/>
            <w:tcBorders>
              <w:bottom w:val="single" w:sz="8" w:color="DBDBDB"/>
            </w:tcBorders>
            <w:gridSpan w:val="3"/>
          </w:tcPr>
          <w:p>
            <w:pPr>
              <w:ind w:left="120"/>
              <w:spacing w:after="0"/>
              <w:rPr>
                <w:sz w:val="20"/>
                <w:szCs w:val="20"/>
                <w:color w:val="auto"/>
              </w:rPr>
            </w:pPr>
            <w:r>
              <w:rPr>
                <w:rFonts w:ascii="Arial" w:cs="Arial" w:eastAsia="Arial" w:hAnsi="Arial"/>
                <w:sz w:val="18"/>
                <w:szCs w:val="18"/>
                <w:color w:val="auto"/>
              </w:rPr>
              <w:t>Services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w:t>
            </w:r>
          </w:p>
        </w:tc>
        <w:tc>
          <w:tcPr>
            <w:tcW w:w="10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1,477</w:t>
            </w:r>
          </w:p>
        </w:tc>
        <w:tc>
          <w:tcPr>
            <w:tcW w:w="12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1,357</w:t>
            </w:r>
          </w:p>
        </w:tc>
      </w:tr>
      <w:tr>
        <w:trPr>
          <w:trHeight w:val="223"/>
        </w:trPr>
        <w:tc>
          <w:tcPr>
            <w:tcW w:w="20" w:type="dxa"/>
            <w:vAlign w:val="bottom"/>
            <w:shd w:val="clear" w:color="auto" w:fill="DBDBDB"/>
          </w:tcPr>
          <w:p>
            <w:pPr>
              <w:spacing w:after="0"/>
              <w:rPr>
                <w:sz w:val="19"/>
                <w:szCs w:val="19"/>
                <w:color w:val="auto"/>
              </w:rPr>
            </w:pPr>
          </w:p>
        </w:tc>
        <w:tc>
          <w:tcPr>
            <w:tcW w:w="5800" w:type="dxa"/>
            <w:vAlign w:val="bottom"/>
            <w:gridSpan w:val="3"/>
            <w:shd w:val="clear" w:color="auto" w:fill="DBDBDB"/>
          </w:tcPr>
          <w:p>
            <w:pPr>
              <w:ind w:left="200"/>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2,510</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2,252</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7,408</w:t>
            </w:r>
          </w:p>
        </w:tc>
        <w:tc>
          <w:tcPr>
            <w:tcW w:w="1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6,867</w:t>
            </w:r>
          </w:p>
        </w:tc>
      </w:tr>
      <w:tr>
        <w:trPr>
          <w:trHeight w:val="229"/>
        </w:trPr>
        <w:tc>
          <w:tcPr>
            <w:tcW w:w="20" w:type="dxa"/>
            <w:vAlign w:val="bottom"/>
          </w:tcPr>
          <w:p>
            <w:pPr>
              <w:spacing w:after="0"/>
              <w:rPr>
                <w:sz w:val="19"/>
                <w:szCs w:val="19"/>
                <w:color w:val="auto"/>
              </w:rPr>
            </w:pPr>
          </w:p>
        </w:tc>
        <w:tc>
          <w:tcPr>
            <w:tcW w:w="5800" w:type="dxa"/>
            <w:vAlign w:val="bottom"/>
            <w:gridSpan w:val="3"/>
          </w:tcPr>
          <w:p>
            <w:pPr>
              <w:spacing w:after="0"/>
              <w:rPr>
                <w:sz w:val="20"/>
                <w:szCs w:val="20"/>
                <w:color w:val="auto"/>
              </w:rPr>
            </w:pPr>
            <w:r>
              <w:rPr>
                <w:rFonts w:ascii="Arial" w:cs="Arial" w:eastAsia="Arial" w:hAnsi="Arial"/>
                <w:sz w:val="18"/>
                <w:szCs w:val="18"/>
                <w:color w:val="auto"/>
              </w:rPr>
              <w:t>Safety and Productivity Solutions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20" w:type="dxa"/>
            <w:vAlign w:val="bottom"/>
            <w:shd w:val="clear" w:color="auto" w:fill="DBDBDB"/>
          </w:tcPr>
          <w:p>
            <w:pPr>
              <w:spacing w:after="0"/>
              <w:rPr>
                <w:sz w:val="19"/>
                <w:szCs w:val="19"/>
                <w:color w:val="auto"/>
              </w:rPr>
            </w:pPr>
          </w:p>
        </w:tc>
        <w:tc>
          <w:tcPr>
            <w:tcW w:w="5800" w:type="dxa"/>
            <w:vAlign w:val="bottom"/>
            <w:gridSpan w:val="3"/>
            <w:shd w:val="clear" w:color="auto" w:fill="DBDBDB"/>
          </w:tcPr>
          <w:p>
            <w:pPr>
              <w:ind w:left="120"/>
              <w:spacing w:after="0"/>
              <w:rPr>
                <w:sz w:val="20"/>
                <w:szCs w:val="20"/>
                <w:color w:val="auto"/>
              </w:rPr>
            </w:pPr>
            <w:r>
              <w:rPr>
                <w:rFonts w:ascii="Arial" w:cs="Arial" w:eastAsia="Arial" w:hAnsi="Arial"/>
                <w:sz w:val="18"/>
                <w:szCs w:val="18"/>
                <w:color w:val="auto"/>
              </w:rPr>
              <w:t>Products</w:t>
            </w:r>
          </w:p>
        </w:tc>
        <w:tc>
          <w:tcPr>
            <w:tcW w:w="28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1,751</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1,487</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5,738</w:t>
            </w:r>
          </w:p>
        </w:tc>
        <w:tc>
          <w:tcPr>
            <w:tcW w:w="1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4,281</w:t>
            </w:r>
          </w:p>
        </w:tc>
      </w:tr>
      <w:tr>
        <w:trPr>
          <w:trHeight w:val="229"/>
        </w:trPr>
        <w:tc>
          <w:tcPr>
            <w:tcW w:w="20" w:type="dxa"/>
            <w:vAlign w:val="bottom"/>
            <w:tcBorders>
              <w:bottom w:val="single" w:sz="8" w:color="DBDBDB"/>
            </w:tcBorders>
          </w:tcPr>
          <w:p>
            <w:pPr>
              <w:spacing w:after="0"/>
              <w:rPr>
                <w:sz w:val="19"/>
                <w:szCs w:val="19"/>
                <w:color w:val="auto"/>
              </w:rPr>
            </w:pPr>
          </w:p>
        </w:tc>
        <w:tc>
          <w:tcPr>
            <w:tcW w:w="5800" w:type="dxa"/>
            <w:vAlign w:val="bottom"/>
            <w:tcBorders>
              <w:bottom w:val="single" w:sz="8" w:color="DBDBDB"/>
            </w:tcBorders>
            <w:gridSpan w:val="3"/>
          </w:tcPr>
          <w:p>
            <w:pPr>
              <w:ind w:left="120"/>
              <w:spacing w:after="0"/>
              <w:rPr>
                <w:sz w:val="20"/>
                <w:szCs w:val="20"/>
                <w:color w:val="auto"/>
              </w:rPr>
            </w:pPr>
            <w:r>
              <w:rPr>
                <w:rFonts w:ascii="Arial" w:cs="Arial" w:eastAsia="Arial" w:hAnsi="Arial"/>
                <w:sz w:val="18"/>
                <w:szCs w:val="18"/>
                <w:color w:val="auto"/>
              </w:rPr>
              <w:t>Services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12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r>
      <w:tr>
        <w:trPr>
          <w:trHeight w:val="223"/>
        </w:trPr>
        <w:tc>
          <w:tcPr>
            <w:tcW w:w="20" w:type="dxa"/>
            <w:vAlign w:val="bottom"/>
            <w:shd w:val="clear" w:color="auto" w:fill="DBDBDB"/>
          </w:tcPr>
          <w:p>
            <w:pPr>
              <w:spacing w:after="0"/>
              <w:rPr>
                <w:sz w:val="19"/>
                <w:szCs w:val="19"/>
                <w:color w:val="auto"/>
              </w:rPr>
            </w:pPr>
          </w:p>
        </w:tc>
        <w:tc>
          <w:tcPr>
            <w:tcW w:w="5800" w:type="dxa"/>
            <w:vAlign w:val="bottom"/>
            <w:gridSpan w:val="3"/>
            <w:shd w:val="clear" w:color="auto" w:fill="DBDBDB"/>
          </w:tcPr>
          <w:p>
            <w:pPr>
              <w:ind w:left="20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1,861</w:t>
            </w:r>
          </w:p>
        </w:tc>
        <w:tc>
          <w:tcPr>
            <w:tcW w:w="100" w:type="dxa"/>
            <w:vAlign w:val="bottom"/>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1,578</w:t>
            </w:r>
          </w:p>
        </w:tc>
        <w:tc>
          <w:tcPr>
            <w:tcW w:w="100" w:type="dxa"/>
            <w:vAlign w:val="bottom"/>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spacing w:after="0"/>
              <w:rPr>
                <w:sz w:val="19"/>
                <w:szCs w:val="19"/>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6,062</w:t>
            </w:r>
          </w:p>
        </w:tc>
        <w:tc>
          <w:tcPr>
            <w:tcW w:w="120" w:type="dxa"/>
            <w:vAlign w:val="bottom"/>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4,541</w:t>
            </w: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25,735</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23,737</w:t>
            </w:r>
          </w:p>
        </w:tc>
      </w:tr>
      <w:tr>
        <w:trPr>
          <w:trHeight w:val="20"/>
        </w:trPr>
        <w:tc>
          <w:tcPr>
            <w:tcW w:w="20" w:type="dxa"/>
            <w:vAlign w:val="bottom"/>
            <w:tcBorders>
              <w:bottom w:val="single" w:sz="8" w:color="DBDBDB"/>
            </w:tcBorders>
          </w:tcPr>
          <w:p>
            <w:pPr>
              <w:spacing w:after="0" w:line="20" w:lineRule="exact"/>
              <w:rPr>
                <w:sz w:val="1"/>
                <w:szCs w:val="1"/>
                <w:color w:val="auto"/>
              </w:rPr>
            </w:pPr>
          </w:p>
        </w:tc>
        <w:tc>
          <w:tcPr>
            <w:tcW w:w="760" w:type="dxa"/>
            <w:vAlign w:val="bottom"/>
            <w:tcBorders>
              <w:bottom w:val="single" w:sz="8" w:color="DBDBDB"/>
            </w:tcBorders>
          </w:tcPr>
          <w:p>
            <w:pPr>
              <w:spacing w:after="0" w:line="20" w:lineRule="exact"/>
              <w:rPr>
                <w:sz w:val="1"/>
                <w:szCs w:val="1"/>
                <w:color w:val="auto"/>
              </w:rPr>
            </w:pPr>
          </w:p>
        </w:tc>
        <w:tc>
          <w:tcPr>
            <w:tcW w:w="420" w:type="dxa"/>
            <w:vAlign w:val="bottom"/>
            <w:tcBorders>
              <w:bottom w:val="single" w:sz="8" w:color="DBDBDB"/>
            </w:tcBorders>
          </w:tcPr>
          <w:p>
            <w:pPr>
              <w:spacing w:after="0" w:line="20" w:lineRule="exact"/>
              <w:rPr>
                <w:sz w:val="1"/>
                <w:szCs w:val="1"/>
                <w:color w:val="auto"/>
              </w:rPr>
            </w:pPr>
          </w:p>
        </w:tc>
        <w:tc>
          <w:tcPr>
            <w:tcW w:w="4620" w:type="dxa"/>
            <w:vAlign w:val="bottom"/>
            <w:tcBorders>
              <w:bottom w:val="single" w:sz="8" w:color="DBDBDB"/>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77"/>
        </w:trPr>
        <w:tc>
          <w:tcPr>
            <w:tcW w:w="20" w:type="dxa"/>
            <w:vAlign w:val="bottom"/>
            <w:tcBorders>
              <w:bottom w:val="single" w:sz="8" w:color="DBDBDB"/>
            </w:tcBorders>
            <w:shd w:val="clear" w:color="auto" w:fill="DBDBDB"/>
          </w:tcPr>
          <w:p>
            <w:pPr>
              <w:spacing w:after="0"/>
              <w:rPr>
                <w:sz w:val="15"/>
                <w:szCs w:val="15"/>
                <w:color w:val="auto"/>
              </w:rPr>
            </w:pPr>
          </w:p>
        </w:tc>
        <w:tc>
          <w:tcPr>
            <w:tcW w:w="1180" w:type="dxa"/>
            <w:vAlign w:val="bottom"/>
            <w:tcBorders>
              <w:bottom w:val="single" w:sz="8" w:color="auto"/>
            </w:tcBorders>
            <w:gridSpan w:val="2"/>
            <w:shd w:val="clear" w:color="auto" w:fill="DBDBDB"/>
          </w:tcPr>
          <w:p>
            <w:pPr>
              <w:spacing w:after="0" w:line="156" w:lineRule="exact"/>
              <w:rPr>
                <w:sz w:val="20"/>
                <w:szCs w:val="20"/>
                <w:color w:val="auto"/>
              </w:rPr>
            </w:pPr>
            <w:r>
              <w:rPr>
                <w:rFonts w:ascii="Arial" w:cs="Arial" w:eastAsia="Arial" w:hAnsi="Arial"/>
                <w:sz w:val="18"/>
                <w:szCs w:val="18"/>
                <w:color w:val="auto"/>
                <w:w w:val="99"/>
              </w:rPr>
              <w:t>Segment profit</w:t>
            </w:r>
          </w:p>
        </w:tc>
        <w:tc>
          <w:tcPr>
            <w:tcW w:w="4620" w:type="dxa"/>
            <w:vAlign w:val="bottom"/>
            <w:tcBorders>
              <w:bottom w:val="single" w:sz="8" w:color="DBDBDB"/>
            </w:tcBorders>
            <w:shd w:val="clear" w:color="auto" w:fill="DBDBDB"/>
          </w:tcPr>
          <w:p>
            <w:pPr>
              <w:spacing w:after="0"/>
              <w:rPr>
                <w:sz w:val="15"/>
                <w:szCs w:val="15"/>
                <w:color w:val="auto"/>
              </w:rPr>
            </w:pPr>
          </w:p>
        </w:tc>
        <w:tc>
          <w:tcPr>
            <w:tcW w:w="280" w:type="dxa"/>
            <w:vAlign w:val="bottom"/>
            <w:tcBorders>
              <w:bottom w:val="single" w:sz="8" w:color="DBDBDB"/>
            </w:tcBorders>
            <w:shd w:val="clear" w:color="auto" w:fill="DBDBDB"/>
          </w:tcPr>
          <w:p>
            <w:pPr>
              <w:spacing w:after="0"/>
              <w:rPr>
                <w:sz w:val="15"/>
                <w:szCs w:val="15"/>
                <w:color w:val="auto"/>
              </w:rPr>
            </w:pPr>
          </w:p>
        </w:tc>
        <w:tc>
          <w:tcPr>
            <w:tcW w:w="980" w:type="dxa"/>
            <w:vAlign w:val="bottom"/>
            <w:tcBorders>
              <w:bottom w:val="single" w:sz="8" w:color="DBDBDB"/>
            </w:tcBorders>
            <w:shd w:val="clear" w:color="auto" w:fill="DBDBDB"/>
          </w:tcPr>
          <w:p>
            <w:pPr>
              <w:spacing w:after="0"/>
              <w:rPr>
                <w:sz w:val="15"/>
                <w:szCs w:val="15"/>
                <w:color w:val="auto"/>
              </w:rPr>
            </w:pPr>
          </w:p>
        </w:tc>
        <w:tc>
          <w:tcPr>
            <w:tcW w:w="100" w:type="dxa"/>
            <w:vAlign w:val="bottom"/>
            <w:tcBorders>
              <w:bottom w:val="single" w:sz="8" w:color="DBDBDB"/>
            </w:tcBorders>
            <w:shd w:val="clear" w:color="auto" w:fill="DBDBDB"/>
          </w:tcPr>
          <w:p>
            <w:pPr>
              <w:spacing w:after="0"/>
              <w:rPr>
                <w:sz w:val="15"/>
                <w:szCs w:val="15"/>
                <w:color w:val="auto"/>
              </w:rPr>
            </w:pPr>
          </w:p>
        </w:tc>
        <w:tc>
          <w:tcPr>
            <w:tcW w:w="300" w:type="dxa"/>
            <w:vAlign w:val="bottom"/>
            <w:tcBorders>
              <w:bottom w:val="single" w:sz="8" w:color="DBDBDB"/>
            </w:tcBorders>
            <w:shd w:val="clear" w:color="auto" w:fill="DBDBDB"/>
          </w:tcPr>
          <w:p>
            <w:pPr>
              <w:spacing w:after="0"/>
              <w:rPr>
                <w:sz w:val="15"/>
                <w:szCs w:val="15"/>
                <w:color w:val="auto"/>
              </w:rPr>
            </w:pPr>
          </w:p>
        </w:tc>
        <w:tc>
          <w:tcPr>
            <w:tcW w:w="980" w:type="dxa"/>
            <w:vAlign w:val="bottom"/>
            <w:tcBorders>
              <w:bottom w:val="single" w:sz="8" w:color="DBDBDB"/>
            </w:tcBorders>
            <w:shd w:val="clear" w:color="auto" w:fill="DBDBDB"/>
          </w:tcPr>
          <w:p>
            <w:pPr>
              <w:spacing w:after="0"/>
              <w:rPr>
                <w:sz w:val="15"/>
                <w:szCs w:val="15"/>
                <w:color w:val="auto"/>
              </w:rPr>
            </w:pPr>
          </w:p>
        </w:tc>
        <w:tc>
          <w:tcPr>
            <w:tcW w:w="100" w:type="dxa"/>
            <w:vAlign w:val="bottom"/>
            <w:tcBorders>
              <w:bottom w:val="single" w:sz="8" w:color="DBDBDB"/>
            </w:tcBorders>
            <w:shd w:val="clear" w:color="auto" w:fill="DBDBDB"/>
          </w:tcPr>
          <w:p>
            <w:pPr>
              <w:spacing w:after="0"/>
              <w:rPr>
                <w:sz w:val="15"/>
                <w:szCs w:val="15"/>
                <w:color w:val="auto"/>
              </w:rPr>
            </w:pPr>
          </w:p>
        </w:tc>
        <w:tc>
          <w:tcPr>
            <w:tcW w:w="140" w:type="dxa"/>
            <w:vAlign w:val="bottom"/>
            <w:tcBorders>
              <w:bottom w:val="single" w:sz="8" w:color="DBDBDB"/>
            </w:tcBorders>
            <w:shd w:val="clear" w:color="auto" w:fill="DBDBDB"/>
          </w:tcPr>
          <w:p>
            <w:pPr>
              <w:spacing w:after="0"/>
              <w:rPr>
                <w:sz w:val="15"/>
                <w:szCs w:val="15"/>
                <w:color w:val="auto"/>
              </w:rPr>
            </w:pPr>
          </w:p>
        </w:tc>
        <w:tc>
          <w:tcPr>
            <w:tcW w:w="1140" w:type="dxa"/>
            <w:vAlign w:val="bottom"/>
            <w:tcBorders>
              <w:bottom w:val="single" w:sz="8" w:color="DBDBDB"/>
            </w:tcBorders>
            <w:shd w:val="clear" w:color="auto" w:fill="DBDBDB"/>
          </w:tcPr>
          <w:p>
            <w:pPr>
              <w:spacing w:after="0"/>
              <w:rPr>
                <w:sz w:val="15"/>
                <w:szCs w:val="15"/>
                <w:color w:val="auto"/>
              </w:rPr>
            </w:pPr>
          </w:p>
        </w:tc>
        <w:tc>
          <w:tcPr>
            <w:tcW w:w="120" w:type="dxa"/>
            <w:vAlign w:val="bottom"/>
            <w:tcBorders>
              <w:bottom w:val="single" w:sz="8" w:color="DBDBDB"/>
            </w:tcBorders>
            <w:shd w:val="clear" w:color="auto" w:fill="DBDBDB"/>
          </w:tcPr>
          <w:p>
            <w:pPr>
              <w:spacing w:after="0"/>
              <w:rPr>
                <w:sz w:val="15"/>
                <w:szCs w:val="15"/>
                <w:color w:val="auto"/>
              </w:rPr>
            </w:pPr>
          </w:p>
        </w:tc>
        <w:tc>
          <w:tcPr>
            <w:tcW w:w="300" w:type="dxa"/>
            <w:vAlign w:val="bottom"/>
            <w:tcBorders>
              <w:bottom w:val="single" w:sz="8" w:color="DBDBDB"/>
            </w:tcBorders>
            <w:shd w:val="clear" w:color="auto" w:fill="DBDBDB"/>
          </w:tcPr>
          <w:p>
            <w:pPr>
              <w:spacing w:after="0"/>
              <w:rPr>
                <w:sz w:val="15"/>
                <w:szCs w:val="15"/>
                <w:color w:val="auto"/>
              </w:rPr>
            </w:pPr>
          </w:p>
        </w:tc>
        <w:tc>
          <w:tcPr>
            <w:tcW w:w="980" w:type="dxa"/>
            <w:vAlign w:val="bottom"/>
            <w:tcBorders>
              <w:bottom w:val="single" w:sz="8" w:color="DBDBDB"/>
            </w:tcBorders>
            <w:shd w:val="clear" w:color="auto" w:fill="DBDBDB"/>
          </w:tcPr>
          <w:p>
            <w:pPr>
              <w:spacing w:after="0"/>
              <w:rPr>
                <w:sz w:val="15"/>
                <w:szCs w:val="15"/>
                <w:color w:val="auto"/>
              </w:rPr>
            </w:pPr>
          </w:p>
        </w:tc>
      </w:tr>
      <w:tr>
        <w:trPr>
          <w:trHeight w:val="229"/>
        </w:trPr>
        <w:tc>
          <w:tcPr>
            <w:tcW w:w="20" w:type="dxa"/>
            <w:vAlign w:val="bottom"/>
          </w:tcPr>
          <w:p>
            <w:pPr>
              <w:spacing w:after="0"/>
              <w:rPr>
                <w:sz w:val="19"/>
                <w:szCs w:val="19"/>
                <w:color w:val="auto"/>
              </w:rPr>
            </w:pPr>
          </w:p>
        </w:tc>
        <w:tc>
          <w:tcPr>
            <w:tcW w:w="5800" w:type="dxa"/>
            <w:vAlign w:val="bottom"/>
            <w:gridSpan w:val="3"/>
          </w:tcPr>
          <w:p>
            <w:pPr>
              <w:spacing w:after="0"/>
              <w:rPr>
                <w:sz w:val="20"/>
                <w:szCs w:val="20"/>
                <w:color w:val="auto"/>
              </w:rPr>
            </w:pPr>
            <w:r>
              <w:rPr>
                <w:rFonts w:ascii="Arial" w:cs="Arial" w:eastAsia="Arial" w:hAnsi="Arial"/>
                <w:sz w:val="18"/>
                <w:szCs w:val="18"/>
                <w:color w:val="auto"/>
              </w:rPr>
              <w:t>Aerospace</w:t>
            </w:r>
          </w:p>
        </w:tc>
        <w:tc>
          <w:tcPr>
            <w:tcW w:w="280" w:type="dxa"/>
            <w:vAlign w:val="bottom"/>
          </w:tcPr>
          <w:p>
            <w:pPr>
              <w:jc w:val="right"/>
              <w:ind w:right="74"/>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740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2,212</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2,082</w:t>
            </w:r>
          </w:p>
        </w:tc>
      </w:tr>
      <w:tr>
        <w:trPr>
          <w:trHeight w:val="230"/>
        </w:trPr>
        <w:tc>
          <w:tcPr>
            <w:tcW w:w="20" w:type="dxa"/>
            <w:vAlign w:val="bottom"/>
            <w:shd w:val="clear" w:color="auto" w:fill="DBDBDB"/>
          </w:tcPr>
          <w:p>
            <w:pPr>
              <w:spacing w:after="0"/>
              <w:rPr>
                <w:sz w:val="19"/>
                <w:szCs w:val="19"/>
                <w:color w:val="auto"/>
              </w:rPr>
            </w:pPr>
          </w:p>
        </w:tc>
        <w:tc>
          <w:tcPr>
            <w:tcW w:w="5800" w:type="dxa"/>
            <w:vAlign w:val="bottom"/>
            <w:gridSpan w:val="3"/>
            <w:shd w:val="clear" w:color="auto" w:fill="DBDBDB"/>
          </w:tcPr>
          <w:p>
            <w:pPr>
              <w:spacing w:after="0"/>
              <w:rPr>
                <w:sz w:val="20"/>
                <w:szCs w:val="20"/>
                <w:color w:val="auto"/>
              </w:rPr>
            </w:pPr>
            <w:r>
              <w:rPr>
                <w:rFonts w:ascii="Arial" w:cs="Arial" w:eastAsia="Arial" w:hAnsi="Arial"/>
                <w:sz w:val="18"/>
                <w:szCs w:val="18"/>
                <w:color w:val="auto"/>
              </w:rPr>
              <w:t>Honeywell Building Technologies</w:t>
            </w:r>
          </w:p>
        </w:tc>
        <w:tc>
          <w:tcPr>
            <w:tcW w:w="28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322</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942</w:t>
            </w:r>
          </w:p>
        </w:tc>
        <w:tc>
          <w:tcPr>
            <w:tcW w:w="1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794</w:t>
            </w:r>
          </w:p>
        </w:tc>
      </w:tr>
      <w:tr>
        <w:trPr>
          <w:trHeight w:val="230"/>
        </w:trPr>
        <w:tc>
          <w:tcPr>
            <w:tcW w:w="20" w:type="dxa"/>
            <w:vAlign w:val="bottom"/>
          </w:tcPr>
          <w:p>
            <w:pPr>
              <w:spacing w:after="0"/>
              <w:rPr>
                <w:sz w:val="19"/>
                <w:szCs w:val="19"/>
                <w:color w:val="auto"/>
              </w:rPr>
            </w:pPr>
          </w:p>
        </w:tc>
        <w:tc>
          <w:tcPr>
            <w:tcW w:w="5800" w:type="dxa"/>
            <w:vAlign w:val="bottom"/>
            <w:gridSpan w:val="3"/>
          </w:tcPr>
          <w:p>
            <w:pPr>
              <w:spacing w:after="0"/>
              <w:rPr>
                <w:sz w:val="20"/>
                <w:szCs w:val="20"/>
                <w:color w:val="auto"/>
              </w:rPr>
            </w:pPr>
            <w:r>
              <w:rPr>
                <w:rFonts w:ascii="Arial" w:cs="Arial" w:eastAsia="Arial" w:hAnsi="Arial"/>
                <w:sz w:val="18"/>
                <w:szCs w:val="18"/>
                <w:color w:val="auto"/>
              </w:rPr>
              <w:t>Performance Materials and Technologies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1,522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1,373</w:t>
            </w:r>
          </w:p>
        </w:tc>
      </w:tr>
      <w:tr>
        <w:trPr>
          <w:trHeight w:val="230"/>
        </w:trPr>
        <w:tc>
          <w:tcPr>
            <w:tcW w:w="20" w:type="dxa"/>
            <w:vAlign w:val="bottom"/>
            <w:shd w:val="clear" w:color="auto" w:fill="DBDBDB"/>
          </w:tcPr>
          <w:p>
            <w:pPr>
              <w:spacing w:after="0"/>
              <w:rPr>
                <w:sz w:val="19"/>
                <w:szCs w:val="19"/>
                <w:color w:val="auto"/>
              </w:rPr>
            </w:pPr>
          </w:p>
        </w:tc>
        <w:tc>
          <w:tcPr>
            <w:tcW w:w="5800" w:type="dxa"/>
            <w:vAlign w:val="bottom"/>
            <w:gridSpan w:val="3"/>
            <w:shd w:val="clear" w:color="auto" w:fill="DBDBDB"/>
          </w:tcPr>
          <w:p>
            <w:pPr>
              <w:spacing w:after="0"/>
              <w:rPr>
                <w:sz w:val="20"/>
                <w:szCs w:val="20"/>
                <w:color w:val="auto"/>
              </w:rPr>
            </w:pPr>
            <w:r>
              <w:rPr>
                <w:rFonts w:ascii="Arial" w:cs="Arial" w:eastAsia="Arial" w:hAnsi="Arial"/>
                <w:sz w:val="18"/>
                <w:szCs w:val="18"/>
                <w:color w:val="auto"/>
              </w:rPr>
              <w:t>Safety and Productivity Solutions</w:t>
            </w:r>
          </w:p>
        </w:tc>
        <w:tc>
          <w:tcPr>
            <w:tcW w:w="28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840</w:t>
            </w:r>
          </w:p>
        </w:tc>
        <w:tc>
          <w:tcPr>
            <w:tcW w:w="1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610</w:t>
            </w:r>
          </w:p>
        </w:tc>
      </w:tr>
      <w:tr>
        <w:trPr>
          <w:trHeight w:val="230"/>
        </w:trPr>
        <w:tc>
          <w:tcPr>
            <w:tcW w:w="20" w:type="dxa"/>
            <w:vAlign w:val="bottom"/>
            <w:tcBorders>
              <w:bottom w:val="single" w:sz="8" w:color="DBDBDB"/>
            </w:tcBorders>
          </w:tcPr>
          <w:p>
            <w:pPr>
              <w:spacing w:after="0"/>
              <w:rPr>
                <w:sz w:val="19"/>
                <w:szCs w:val="19"/>
                <w:color w:val="auto"/>
              </w:rPr>
            </w:pPr>
          </w:p>
        </w:tc>
        <w:tc>
          <w:tcPr>
            <w:tcW w:w="5800" w:type="dxa"/>
            <w:vAlign w:val="bottom"/>
            <w:tcBorders>
              <w:bottom w:val="single" w:sz="8" w:color="DBDBDB"/>
            </w:tcBorders>
            <w:gridSpan w:val="3"/>
          </w:tcPr>
          <w:p>
            <w:pPr>
              <w:spacing w:after="0"/>
              <w:rPr>
                <w:sz w:val="20"/>
                <w:szCs w:val="20"/>
                <w:color w:val="auto"/>
              </w:rPr>
            </w:pPr>
            <w:r>
              <w:rPr>
                <w:rFonts w:ascii="Arial" w:cs="Arial" w:eastAsia="Arial" w:hAnsi="Arial"/>
                <w:sz w:val="18"/>
                <w:szCs w:val="18"/>
                <w:color w:val="auto"/>
              </w:rPr>
              <w:t>Corporate</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r>
      <w:tr>
        <w:trPr>
          <w:trHeight w:val="223"/>
        </w:trPr>
        <w:tc>
          <w:tcPr>
            <w:tcW w:w="20" w:type="dxa"/>
            <w:vAlign w:val="bottom"/>
            <w:shd w:val="clear" w:color="auto" w:fill="DBDBDB"/>
          </w:tcPr>
          <w:p>
            <w:pPr>
              <w:spacing w:after="0"/>
              <w:rPr>
                <w:sz w:val="19"/>
                <w:szCs w:val="19"/>
                <w:color w:val="auto"/>
              </w:rPr>
            </w:pPr>
          </w:p>
        </w:tc>
        <w:tc>
          <w:tcPr>
            <w:tcW w:w="5800" w:type="dxa"/>
            <w:vAlign w:val="bottom"/>
            <w:gridSpan w:val="3"/>
            <w:shd w:val="clear" w:color="auto" w:fill="DBDBDB"/>
          </w:tcPr>
          <w:p>
            <w:pPr>
              <w:ind w:left="120"/>
              <w:spacing w:after="0"/>
              <w:rPr>
                <w:sz w:val="20"/>
                <w:szCs w:val="20"/>
                <w:color w:val="auto"/>
              </w:rPr>
            </w:pPr>
            <w:r>
              <w:rPr>
                <w:rFonts w:ascii="Arial" w:cs="Arial" w:eastAsia="Arial" w:hAnsi="Arial"/>
                <w:sz w:val="18"/>
                <w:szCs w:val="18"/>
                <w:color w:val="auto"/>
              </w:rPr>
              <w:t>Total segment profit</w:t>
            </w:r>
          </w:p>
        </w:tc>
        <w:tc>
          <w:tcPr>
            <w:tcW w:w="28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1,793</w:t>
            </w:r>
          </w:p>
        </w:tc>
        <w:tc>
          <w:tcPr>
            <w:tcW w:w="100" w:type="dxa"/>
            <w:vAlign w:val="bottom"/>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1,553</w:t>
            </w:r>
          </w:p>
        </w:tc>
        <w:tc>
          <w:tcPr>
            <w:tcW w:w="100" w:type="dxa"/>
            <w:vAlign w:val="bottom"/>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spacing w:after="0"/>
              <w:rPr>
                <w:sz w:val="19"/>
                <w:szCs w:val="19"/>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5,361</w:t>
            </w:r>
          </w:p>
        </w:tc>
        <w:tc>
          <w:tcPr>
            <w:tcW w:w="120" w:type="dxa"/>
            <w:vAlign w:val="bottom"/>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4,786</w:t>
            </w:r>
          </w:p>
        </w:tc>
      </w:tr>
      <w:tr>
        <w:trPr>
          <w:trHeight w:val="223"/>
        </w:trPr>
        <w:tc>
          <w:tcPr>
            <w:tcW w:w="20" w:type="dxa"/>
            <w:vAlign w:val="bottom"/>
          </w:tcPr>
          <w:p>
            <w:pPr>
              <w:spacing w:after="0"/>
              <w:rPr>
                <w:sz w:val="19"/>
                <w:szCs w:val="19"/>
                <w:color w:val="auto"/>
              </w:rPr>
            </w:pPr>
          </w:p>
        </w:tc>
        <w:tc>
          <w:tcPr>
            <w:tcW w:w="5800" w:type="dxa"/>
            <w:vAlign w:val="bottom"/>
            <w:gridSpan w:val="3"/>
          </w:tcPr>
          <w:p>
            <w:pPr>
              <w:spacing w:after="0"/>
              <w:rPr>
                <w:sz w:val="20"/>
                <w:szCs w:val="20"/>
                <w:color w:val="auto"/>
              </w:rPr>
            </w:pPr>
            <w:r>
              <w:rPr>
                <w:rFonts w:ascii="Arial" w:cs="Arial" w:eastAsia="Arial" w:hAnsi="Arial"/>
                <w:sz w:val="18"/>
                <w:szCs w:val="18"/>
                <w:color w:val="auto"/>
              </w:rPr>
              <w:t>Interest and other financial charges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(264)</w:t>
            </w:r>
          </w:p>
        </w:tc>
      </w:tr>
      <w:tr>
        <w:trPr>
          <w:trHeight w:val="230"/>
        </w:trPr>
        <w:tc>
          <w:tcPr>
            <w:tcW w:w="20" w:type="dxa"/>
            <w:vAlign w:val="bottom"/>
            <w:shd w:val="clear" w:color="auto" w:fill="DBDBDB"/>
          </w:tcPr>
          <w:p>
            <w:pPr>
              <w:spacing w:after="0"/>
              <w:rPr>
                <w:sz w:val="19"/>
                <w:szCs w:val="19"/>
                <w:color w:val="auto"/>
              </w:rPr>
            </w:pPr>
          </w:p>
        </w:tc>
        <w:tc>
          <w:tcPr>
            <w:tcW w:w="5800" w:type="dxa"/>
            <w:vAlign w:val="bottom"/>
            <w:gridSpan w:val="3"/>
            <w:shd w:val="clear" w:color="auto" w:fill="DBDBDB"/>
          </w:tcPr>
          <w:p>
            <w:pPr>
              <w:spacing w:after="0"/>
              <w:rPr>
                <w:sz w:val="20"/>
                <w:szCs w:val="20"/>
                <w:color w:val="auto"/>
              </w:rPr>
            </w:pPr>
            <w:r>
              <w:rPr>
                <w:rFonts w:ascii="Arial" w:cs="Arial" w:eastAsia="Arial" w:hAnsi="Arial"/>
                <w:sz w:val="18"/>
                <w:szCs w:val="18"/>
                <w:color w:val="auto"/>
              </w:rPr>
              <w:t>Stock compensation expense</w:t>
            </w:r>
            <w:r>
              <w:rPr>
                <w:rFonts w:ascii="Arial" w:cs="Arial" w:eastAsia="Arial" w:hAnsi="Arial"/>
                <w:sz w:val="9"/>
                <w:szCs w:val="9"/>
                <w:color w:val="auto"/>
              </w:rPr>
              <w:t>(a)</w:t>
            </w:r>
          </w:p>
        </w:tc>
        <w:tc>
          <w:tcPr>
            <w:tcW w:w="28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(172)</w:t>
            </w:r>
          </w:p>
        </w:tc>
        <w:tc>
          <w:tcPr>
            <w:tcW w:w="1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(118)</w:t>
            </w:r>
          </w:p>
        </w:tc>
      </w:tr>
      <w:tr>
        <w:trPr>
          <w:trHeight w:val="230"/>
        </w:trPr>
        <w:tc>
          <w:tcPr>
            <w:tcW w:w="20" w:type="dxa"/>
            <w:vAlign w:val="bottom"/>
          </w:tcPr>
          <w:p>
            <w:pPr>
              <w:spacing w:after="0"/>
              <w:rPr>
                <w:sz w:val="19"/>
                <w:szCs w:val="19"/>
                <w:color w:val="auto"/>
              </w:rPr>
            </w:pPr>
          </w:p>
        </w:tc>
        <w:tc>
          <w:tcPr>
            <w:tcW w:w="5800" w:type="dxa"/>
            <w:vAlign w:val="bottom"/>
            <w:gridSpan w:val="3"/>
          </w:tcPr>
          <w:p>
            <w:pPr>
              <w:spacing w:after="0"/>
              <w:rPr>
                <w:sz w:val="20"/>
                <w:szCs w:val="20"/>
                <w:color w:val="auto"/>
              </w:rPr>
            </w:pPr>
            <w:r>
              <w:rPr>
                <w:rFonts w:ascii="Arial" w:cs="Arial" w:eastAsia="Arial" w:hAnsi="Arial"/>
                <w:sz w:val="18"/>
                <w:szCs w:val="18"/>
                <w:color w:val="auto"/>
              </w:rPr>
              <w:t>Pension ongoing income</w:t>
            </w:r>
            <w:r>
              <w:rPr>
                <w:rFonts w:ascii="Arial" w:cs="Arial" w:eastAsia="Arial" w:hAnsi="Arial"/>
                <w:sz w:val="9"/>
                <w:szCs w:val="9"/>
                <w:color w:val="auto"/>
              </w:rPr>
              <w:t>(b)</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593</w:t>
            </w:r>
          </w:p>
        </w:tc>
      </w:tr>
      <w:tr>
        <w:trPr>
          <w:trHeight w:val="229"/>
        </w:trPr>
        <w:tc>
          <w:tcPr>
            <w:tcW w:w="20" w:type="dxa"/>
            <w:vAlign w:val="bottom"/>
            <w:shd w:val="clear" w:color="auto" w:fill="DBDBDB"/>
          </w:tcPr>
          <w:p>
            <w:pPr>
              <w:spacing w:after="0"/>
              <w:rPr>
                <w:sz w:val="19"/>
                <w:szCs w:val="19"/>
                <w:color w:val="auto"/>
              </w:rPr>
            </w:pPr>
          </w:p>
        </w:tc>
        <w:tc>
          <w:tcPr>
            <w:tcW w:w="5800" w:type="dxa"/>
            <w:vAlign w:val="bottom"/>
            <w:gridSpan w:val="3"/>
            <w:shd w:val="clear" w:color="auto" w:fill="DBDBDB"/>
          </w:tcPr>
          <w:p>
            <w:pPr>
              <w:spacing w:after="0"/>
              <w:rPr>
                <w:sz w:val="20"/>
                <w:szCs w:val="20"/>
                <w:color w:val="auto"/>
              </w:rPr>
            </w:pPr>
            <w:r>
              <w:rPr>
                <w:rFonts w:ascii="Arial" w:cs="Arial" w:eastAsia="Arial" w:hAnsi="Arial"/>
                <w:sz w:val="18"/>
                <w:szCs w:val="18"/>
                <w:color w:val="auto"/>
              </w:rPr>
              <w:t>Other postretirement income</w:t>
            </w:r>
            <w:r>
              <w:rPr>
                <w:rFonts w:ascii="Arial" w:cs="Arial" w:eastAsia="Arial" w:hAnsi="Arial"/>
                <w:sz w:val="9"/>
                <w:szCs w:val="9"/>
                <w:color w:val="auto"/>
              </w:rPr>
              <w:t>(b)</w:t>
            </w:r>
          </w:p>
        </w:tc>
        <w:tc>
          <w:tcPr>
            <w:tcW w:w="28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20" w:type="dxa"/>
            <w:vAlign w:val="bottom"/>
          </w:tcPr>
          <w:p>
            <w:pPr>
              <w:spacing w:after="0"/>
              <w:rPr>
                <w:sz w:val="19"/>
                <w:szCs w:val="19"/>
                <w:color w:val="auto"/>
              </w:rPr>
            </w:pPr>
          </w:p>
        </w:tc>
        <w:tc>
          <w:tcPr>
            <w:tcW w:w="5800" w:type="dxa"/>
            <w:vAlign w:val="bottom"/>
            <w:gridSpan w:val="3"/>
          </w:tcPr>
          <w:p>
            <w:pPr>
              <w:spacing w:after="0"/>
              <w:rPr>
                <w:sz w:val="20"/>
                <w:szCs w:val="20"/>
                <w:color w:val="auto"/>
              </w:rPr>
            </w:pPr>
            <w:r>
              <w:rPr>
                <w:rFonts w:ascii="Arial" w:cs="Arial" w:eastAsia="Arial" w:hAnsi="Arial"/>
                <w:sz w:val="18"/>
                <w:szCs w:val="18"/>
                <w:color w:val="auto"/>
              </w:rPr>
              <w:t>Repositioning and other charges</w:t>
            </w:r>
            <w:r>
              <w:rPr>
                <w:rFonts w:ascii="Arial" w:cs="Arial" w:eastAsia="Arial" w:hAnsi="Arial"/>
                <w:sz w:val="9"/>
                <w:szCs w:val="9"/>
                <w:color w:val="auto"/>
              </w:rPr>
              <w:t>(c)</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(486)</w:t>
            </w:r>
          </w:p>
        </w:tc>
      </w:tr>
      <w:tr>
        <w:trPr>
          <w:trHeight w:val="230"/>
        </w:trPr>
        <w:tc>
          <w:tcPr>
            <w:tcW w:w="20" w:type="dxa"/>
            <w:vAlign w:val="bottom"/>
            <w:shd w:val="clear" w:color="auto" w:fill="DBDBDB"/>
          </w:tcPr>
          <w:p>
            <w:pPr>
              <w:spacing w:after="0"/>
              <w:rPr>
                <w:sz w:val="19"/>
                <w:szCs w:val="19"/>
                <w:color w:val="auto"/>
              </w:rPr>
            </w:pPr>
          </w:p>
        </w:tc>
        <w:tc>
          <w:tcPr>
            <w:tcW w:w="5800" w:type="dxa"/>
            <w:vAlign w:val="bottom"/>
            <w:gridSpan w:val="3"/>
            <w:shd w:val="clear" w:color="auto" w:fill="DBDBDB"/>
          </w:tcPr>
          <w:p>
            <w:pPr>
              <w:spacing w:after="0"/>
              <w:rPr>
                <w:sz w:val="20"/>
                <w:szCs w:val="20"/>
                <w:color w:val="auto"/>
              </w:rPr>
            </w:pPr>
            <w:r>
              <w:rPr>
                <w:rFonts w:ascii="Arial" w:cs="Arial" w:eastAsia="Arial" w:hAnsi="Arial"/>
                <w:sz w:val="18"/>
                <w:szCs w:val="18"/>
                <w:color w:val="auto"/>
              </w:rPr>
              <w:t>Other</w:t>
            </w:r>
            <w:r>
              <w:rPr>
                <w:rFonts w:ascii="Arial" w:cs="Arial" w:eastAsia="Arial" w:hAnsi="Arial"/>
                <w:sz w:val="9"/>
                <w:szCs w:val="9"/>
                <w:color w:val="auto"/>
              </w:rPr>
              <w:t>(d)</w:t>
            </w:r>
          </w:p>
        </w:tc>
        <w:tc>
          <w:tcPr>
            <w:tcW w:w="28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(330)</w:t>
            </w:r>
          </w:p>
        </w:tc>
        <w:tc>
          <w:tcPr>
            <w:tcW w:w="100" w:type="dxa"/>
            <w:vAlign w:val="bottom"/>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spacing w:after="0"/>
              <w:rPr>
                <w:sz w:val="19"/>
                <w:szCs w:val="19"/>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(249)</w:t>
            </w:r>
          </w:p>
        </w:tc>
      </w:tr>
      <w:tr>
        <w:trPr>
          <w:trHeight w:val="223"/>
        </w:trPr>
        <w:tc>
          <w:tcPr>
            <w:tcW w:w="20" w:type="dxa"/>
            <w:vAlign w:val="bottom"/>
          </w:tcPr>
          <w:p>
            <w:pPr>
              <w:spacing w:after="0"/>
              <w:rPr>
                <w:sz w:val="19"/>
                <w:szCs w:val="19"/>
                <w:color w:val="auto"/>
              </w:rPr>
            </w:pPr>
          </w:p>
        </w:tc>
        <w:tc>
          <w:tcPr>
            <w:tcW w:w="5800" w:type="dxa"/>
            <w:vAlign w:val="bottom"/>
            <w:gridSpan w:val="3"/>
          </w:tcPr>
          <w:p>
            <w:pPr>
              <w:spacing w:after="0"/>
              <w:rPr>
                <w:sz w:val="20"/>
                <w:szCs w:val="20"/>
                <w:color w:val="auto"/>
              </w:rPr>
            </w:pPr>
            <w:r>
              <w:rPr>
                <w:rFonts w:ascii="Arial" w:cs="Arial" w:eastAsia="Arial" w:hAnsi="Arial"/>
                <w:sz w:val="18"/>
                <w:szCs w:val="18"/>
                <w:color w:val="auto"/>
              </w:rPr>
              <w:t>Income before taxes</w:t>
            </w: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5,442</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4,302</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Amounts included in Selling, general and administrative expenses.</w:t>
      </w:r>
    </w:p>
    <w:p>
      <w:pPr>
        <w:spacing w:after="0" w:line="9" w:lineRule="exact"/>
        <w:rPr>
          <w:rFonts w:ascii="Arial" w:cs="Arial" w:eastAsia="Arial" w:hAnsi="Arial"/>
          <w:sz w:val="18"/>
          <w:szCs w:val="18"/>
          <w:color w:val="auto"/>
        </w:rPr>
      </w:pPr>
    </w:p>
    <w:p>
      <w:pPr>
        <w:ind w:left="660" w:hanging="652"/>
        <w:spacing w:after="0" w:line="250" w:lineRule="auto"/>
        <w:tabs>
          <w:tab w:leader="none" w:pos="542"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Amounts included in Cost of products and services sold and Selling, general and administrative expenses (service cost component) and Other (income) expense (non-service cost component).</w:t>
      </w: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Amounts included in Cost of products and services sold, Selling, general and administrative expenses, and Other (income) expense.</w:t>
      </w:r>
    </w:p>
    <w:p>
      <w:pPr>
        <w:spacing w:after="0" w:line="9" w:lineRule="exact"/>
        <w:rPr>
          <w:rFonts w:ascii="Arial" w:cs="Arial" w:eastAsia="Arial" w:hAnsi="Arial"/>
          <w:sz w:val="18"/>
          <w:szCs w:val="18"/>
          <w:color w:val="auto"/>
        </w:rPr>
      </w:pPr>
    </w:p>
    <w:p>
      <w:pPr>
        <w:ind w:left="660" w:hanging="652"/>
        <w:spacing w:after="0" w:line="261" w:lineRule="auto"/>
        <w:tabs>
          <w:tab w:leader="none" w:pos="558"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Amounts include the other components of Other (income) expense not included within other categories in this reconciliation. Equity income of affiliated companies is included in segment profit.</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31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34" w:name="page35"/>
    <w:bookmarkEnd w:id="34"/>
    <w:p>
      <w:pPr>
        <w:ind w:right="1600"/>
        <w:spacing w:after="0" w:line="278" w:lineRule="auto"/>
        <w:rPr>
          <w:sz w:val="20"/>
          <w:szCs w:val="20"/>
          <w:color w:val="auto"/>
        </w:rPr>
      </w:pPr>
      <w:r>
        <w:rPr>
          <w:rFonts w:ascii="Arial" w:cs="Arial" w:eastAsia="Arial" w:hAnsi="Arial"/>
          <w:sz w:val="29"/>
          <w:szCs w:val="29"/>
          <w:b w:val="1"/>
          <w:bCs w:val="1"/>
          <w:color w:val="DC202E"/>
        </w:rPr>
        <w:t>ITEM 2. MANAGEMENT'S DISCUSSION AND ANALYSIS OF FINANCIAL CONDITION AND RESULTS OF OPERATIONS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tables and graphs in millions)</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following Management Discussion and Analysis is intended to help the reader understand the results of operations and financial condition of Honeywell International Inc. and its consolidated subsidiaries (Honeywell or the Company) for the three and nine months ended September 30, 2021. The financial information as of September 30, 2021, should be read in conjunction with the Consolidated Financial Statements for the year ended December 31, 2020, contained in our 2020 Annual Report on Form 10-K. See Note 3 Acquisitions and Divestitures of Notes to Consolidated Financial Statements for a discussion of acquisition and divestiture activity during the nine months ended September 30, 2021.</w:t>
      </w:r>
    </w:p>
    <w:p>
      <w:pPr>
        <w:spacing w:after="0" w:line="28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COVID-19 UPDATE</w:t>
      </w:r>
    </w:p>
    <w:p>
      <w:pPr>
        <w:spacing w:after="0" w:line="1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business faced significant disruptions due to the COVID-19 pandemic in 2020 and the resulting global recession, causing a slow-down in demand for many of our products and services. Our business continues to recover from the effects of the pandemic. We continue to monitor several macroeconomic effects, including, supply chain constraints and materials and labor shortages.</w:t>
      </w:r>
    </w:p>
    <w:p>
      <w:pPr>
        <w:spacing w:after="0" w:line="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new variants of the virus emerge, we remain cautious as many factors remain unpredictable. We actively monitor and respond to the changing conditions created by the pandemic, with focus on prioritizing the health and safety of our employees, dedicating resources to support our communities, and innovating to address our customers’ needs.</w:t>
      </w:r>
    </w:p>
    <w:p>
      <w:pPr>
        <w:spacing w:after="0" w:line="9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September 9, 2021, President Biden issued an executive order for U.S. Government contractors. We are taking steps to comply with the executive order and announced a vaccine mandate for all U.S.-based employees, contractors, and subcontractors that work on or in support of contracts with the U.S. Government be fully vaccinated or receive an approved medical or religious exemption by December 8, 2021. In addition, on September 9, 2021, President Biden announced that he directed the Occupational Safety and Health Administration (OSHA) to develop an Emergency Temporary Standard (ETS) mandating either the full vaccination or weekly testing of employees for employers with 100 or more employees. Employees who are not subject to the executive order and who are not fully vaccinated may be subject to the ETS that will require them to get a COVID-19 test at least once a week. OSHA has not issued the ETS nor provided any additional information on its contents or requirements. See Item 1A. Risk Factors in this Form 10-Q, for discussion of risks associated with the potential adverse effects on our workforce of the U.S. Government vaccine mandate for employees, contractors, and subcontractors that service federal contracts and the OSHA requirement on our workforce.. Additionally, see the section titled Risk Factors in our 2020 Annual Report on Form 10-K for discussion of risks associated with the COVID-19 pandemic. A discussion of the impact of COVID-19 can also be found in the Results of Operations section of this Management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32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5" w:right="339" w:bottom="1440" w:gutter="0" w:footer="0" w:header="0"/>
        </w:sectPr>
      </w:pPr>
    </w:p>
    <w:bookmarkStart w:id="35" w:name="page36"/>
    <w:bookmarkEnd w:id="35"/>
    <w:p>
      <w:pPr>
        <w:spacing w:after="0"/>
        <w:rPr>
          <w:sz w:val="20"/>
          <w:szCs w:val="20"/>
          <w:color w:val="auto"/>
        </w:rPr>
      </w:pPr>
      <w:r>
        <w:rPr>
          <w:rFonts w:ascii="Arial" w:cs="Arial" w:eastAsia="Arial" w:hAnsi="Arial"/>
          <w:sz w:val="24"/>
          <w:szCs w:val="24"/>
          <w:b w:val="1"/>
          <w:bCs w:val="1"/>
          <w:color w:val="auto"/>
        </w:rPr>
        <w:t>RESULTS OF OPERATIONS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151765</wp:posOffset>
            </wp:positionV>
            <wp:extent cx="5254625" cy="67119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254625" cy="6711950"/>
                    </a:xfrm>
                    <a:prstGeom prst="rect">
                      <a:avLst/>
                    </a:prstGeom>
                    <a:noFill/>
                  </pic:spPr>
                </pic:pic>
              </a:graphicData>
            </a:graphic>
          </wp:anchor>
        </w:drawing>
      </w:r>
    </w:p>
    <w:p>
      <w:pPr>
        <w:sectPr>
          <w:pgSz w:w="11900" w:h="16838" w:orient="portrait"/>
          <w:cols w:equalWidth="0" w:num="1">
            <w:col w:w="10139"/>
          </w:cols>
          <w:pgMar w:left="320" w:top="87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color w:val="DC202E"/>
        </w:rPr>
        <w:t xml:space="preserve">33 </w:t>
      </w:r>
      <w:r>
        <w:rPr>
          <w:rFonts w:ascii="Arial" w:cs="Arial" w:eastAsia="Arial" w:hAnsi="Arial"/>
          <w:sz w:val="17"/>
          <w:szCs w:val="17"/>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237490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879" w:right="1440"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21"/>
          <w:szCs w:val="21"/>
          <w:b w:val="1"/>
          <w:bCs w:val="1"/>
          <w:color w:val="auto"/>
        </w:rPr>
        <w:t>Net Sales by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158750</wp:posOffset>
            </wp:positionV>
            <wp:extent cx="5254625" cy="67805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254625" cy="6780530"/>
                    </a:xfrm>
                    <a:prstGeom prst="rect">
                      <a:avLst/>
                    </a:prstGeom>
                    <a:noFill/>
                  </pic:spPr>
                </pic:pic>
              </a:graphicData>
            </a:graphic>
          </wp:anchor>
        </w:drawing>
      </w:r>
    </w:p>
    <w:p>
      <w:pPr>
        <w:sectPr>
          <w:pgSz w:w="11900" w:h="16838" w:orient="portrait"/>
          <w:cols w:equalWidth="0" w:num="1">
            <w:col w:w="10139"/>
          </w:cols>
          <w:pgMar w:left="320" w:top="12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b w:val="1"/>
          <w:bCs w:val="1"/>
          <w:color w:val="DC202E"/>
        </w:rPr>
        <w:t xml:space="preserve">34 </w:t>
      </w:r>
      <w:r>
        <w:rPr>
          <w:rFonts w:ascii="Arial" w:cs="Arial" w:eastAsia="Arial" w:hAnsi="Arial"/>
          <w:sz w:val="17"/>
          <w:szCs w:val="17"/>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237490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4" w:right="1440"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21"/>
          <w:szCs w:val="21"/>
          <w:b w:val="1"/>
          <w:bCs w:val="1"/>
          <w:color w:val="auto"/>
        </w:rPr>
        <w:t>Segment Profit by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158750</wp:posOffset>
            </wp:positionV>
            <wp:extent cx="5254625" cy="67805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254625" cy="6780530"/>
                    </a:xfrm>
                    <a:prstGeom prst="rect">
                      <a:avLst/>
                    </a:prstGeom>
                    <a:noFill/>
                  </pic:spPr>
                </pic:pic>
              </a:graphicData>
            </a:graphic>
          </wp:anchor>
        </w:drawing>
      </w:r>
    </w:p>
    <w:p>
      <w:pPr>
        <w:sectPr>
          <w:pgSz w:w="11900" w:h="16838" w:orient="portrait"/>
          <w:cols w:equalWidth="0" w:num="1">
            <w:col w:w="10139"/>
          </w:cols>
          <w:pgMar w:left="320" w:top="12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b w:val="1"/>
          <w:bCs w:val="1"/>
          <w:color w:val="DC202E"/>
        </w:rPr>
        <w:t xml:space="preserve">35 </w:t>
      </w:r>
      <w:r>
        <w:rPr>
          <w:rFonts w:ascii="Arial" w:cs="Arial" w:eastAsia="Arial" w:hAnsi="Arial"/>
          <w:sz w:val="17"/>
          <w:szCs w:val="17"/>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237490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4" w:right="1440"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25"/>
          <w:szCs w:val="25"/>
          <w:b w:val="1"/>
          <w:bCs w:val="1"/>
          <w:color w:val="auto"/>
        </w:rPr>
        <w:t>CONSOLIDATED OPERATING RESULTS</w:t>
      </w: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1599565</wp:posOffset>
            </wp:positionH>
            <wp:positionV relativeFrom="paragraph">
              <wp:posOffset>151130</wp:posOffset>
            </wp:positionV>
            <wp:extent cx="3943350" cy="2057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943350"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color w:val="auto"/>
        </w:rPr>
        <w:t>The change in net sales was attributable to the following:</w:t>
      </w:r>
    </w:p>
    <w:p>
      <w:pPr>
        <w:spacing w:after="0" w:line="2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7920" w:type="dxa"/>
            <w:vAlign w:val="bottom"/>
          </w:tcPr>
          <w:p>
            <w:pPr>
              <w:spacing w:after="0"/>
              <w:rPr>
                <w:sz w:val="14"/>
                <w:szCs w:val="14"/>
                <w:color w:val="auto"/>
              </w:rPr>
            </w:pPr>
          </w:p>
        </w:tc>
        <w:tc>
          <w:tcPr>
            <w:tcW w:w="16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Q3 2021 vs. Q3 2020</w:t>
            </w:r>
          </w:p>
        </w:tc>
        <w:tc>
          <w:tcPr>
            <w:tcW w:w="1560" w:type="dxa"/>
            <w:vAlign w:val="bottom"/>
          </w:tcPr>
          <w:p>
            <w:pPr>
              <w:jc w:val="right"/>
              <w:spacing w:after="0"/>
              <w:rPr>
                <w:sz w:val="20"/>
                <w:szCs w:val="20"/>
                <w:color w:val="auto"/>
              </w:rPr>
            </w:pPr>
            <w:r>
              <w:rPr>
                <w:rFonts w:ascii="Arial" w:cs="Arial" w:eastAsia="Arial" w:hAnsi="Arial"/>
                <w:sz w:val="14"/>
                <w:szCs w:val="14"/>
                <w:b w:val="1"/>
                <w:bCs w:val="1"/>
                <w:color w:val="auto"/>
              </w:rPr>
              <w:t>Year to Date 2021 vs.</w:t>
            </w:r>
          </w:p>
        </w:tc>
        <w:tc>
          <w:tcPr>
            <w:tcW w:w="0" w:type="dxa"/>
            <w:vAlign w:val="bottom"/>
          </w:tcPr>
          <w:p>
            <w:pPr>
              <w:spacing w:after="0"/>
              <w:rPr>
                <w:sz w:val="1"/>
                <w:szCs w:val="1"/>
                <w:color w:val="auto"/>
              </w:rPr>
            </w:pPr>
          </w:p>
        </w:tc>
      </w:tr>
      <w:tr>
        <w:trPr>
          <w:trHeight w:val="183"/>
        </w:trPr>
        <w:tc>
          <w:tcPr>
            <w:tcW w:w="7920" w:type="dxa"/>
            <w:vAlign w:val="bottom"/>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1560" w:type="dxa"/>
            <w:vAlign w:val="bottom"/>
          </w:tcPr>
          <w:p>
            <w:pPr>
              <w:jc w:val="right"/>
              <w:ind w:right="536"/>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30"/>
        </w:trPr>
        <w:tc>
          <w:tcPr>
            <w:tcW w:w="79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Volume</w:t>
            </w:r>
          </w:p>
        </w:tc>
        <w:tc>
          <w:tcPr>
            <w:tcW w:w="1560" w:type="dxa"/>
            <w:vAlign w:val="bottom"/>
            <w:tcBorders>
              <w:top w:val="single" w:sz="8" w:color="DC202E"/>
            </w:tcBorders>
            <w:shd w:val="clear" w:color="auto" w:fill="DBDBDB"/>
          </w:tcPr>
          <w:p>
            <w:pPr>
              <w:jc w:val="right"/>
              <w:spacing w:after="0"/>
              <w:rPr>
                <w:sz w:val="20"/>
                <w:szCs w:val="20"/>
                <w:color w:val="auto"/>
              </w:rPr>
            </w:pPr>
            <w:r>
              <w:rPr>
                <w:rFonts w:ascii="Arial" w:cs="Arial" w:eastAsia="Arial" w:hAnsi="Arial"/>
                <w:sz w:val="18"/>
                <w:szCs w:val="18"/>
                <w:color w:val="auto"/>
              </w:rPr>
              <w:t>4 %</w:t>
            </w:r>
          </w:p>
        </w:tc>
        <w:tc>
          <w:tcPr>
            <w:tcW w:w="100" w:type="dxa"/>
            <w:vAlign w:val="bottom"/>
            <w:tcBorders>
              <w:top w:val="single" w:sz="8" w:color="DBDBDB"/>
            </w:tcBorders>
            <w:shd w:val="clear" w:color="auto" w:fill="DBDBDB"/>
          </w:tcPr>
          <w:p>
            <w:pPr>
              <w:spacing w:after="0"/>
              <w:rPr>
                <w:sz w:val="19"/>
                <w:szCs w:val="19"/>
                <w:color w:val="auto"/>
              </w:rPr>
            </w:pPr>
          </w:p>
        </w:tc>
        <w:tc>
          <w:tcPr>
            <w:tcW w:w="1560" w:type="dxa"/>
            <w:vAlign w:val="bottom"/>
            <w:tcBorders>
              <w:top w:val="single" w:sz="8" w:color="DC202E"/>
            </w:tcBorders>
            <w:shd w:val="clear" w:color="auto" w:fill="DBDBDB"/>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29"/>
        </w:trPr>
        <w:tc>
          <w:tcPr>
            <w:tcW w:w="7920" w:type="dxa"/>
            <w:vAlign w:val="bottom"/>
          </w:tcPr>
          <w:p>
            <w:pPr>
              <w:ind w:left="20"/>
              <w:spacing w:after="0"/>
              <w:rPr>
                <w:sz w:val="20"/>
                <w:szCs w:val="20"/>
                <w:color w:val="auto"/>
              </w:rPr>
            </w:pPr>
            <w:r>
              <w:rPr>
                <w:rFonts w:ascii="Arial" w:cs="Arial" w:eastAsia="Arial" w:hAnsi="Arial"/>
                <w:sz w:val="18"/>
                <w:szCs w:val="18"/>
                <w:color w:val="auto"/>
              </w:rPr>
              <w:t>Price</w:t>
            </w:r>
          </w:p>
        </w:tc>
        <w:tc>
          <w:tcPr>
            <w:tcW w:w="1560" w:type="dxa"/>
            <w:vAlign w:val="bottom"/>
          </w:tcPr>
          <w:p>
            <w:pPr>
              <w:jc w:val="right"/>
              <w:spacing w:after="0"/>
              <w:rPr>
                <w:sz w:val="20"/>
                <w:szCs w:val="20"/>
                <w:color w:val="auto"/>
              </w:rPr>
            </w:pPr>
            <w:r>
              <w:rPr>
                <w:rFonts w:ascii="Arial" w:cs="Arial" w:eastAsia="Arial" w:hAnsi="Arial"/>
                <w:sz w:val="18"/>
                <w:szCs w:val="18"/>
                <w:color w:val="auto"/>
              </w:rPr>
              <w:t>4 %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30"/>
        </w:trPr>
        <w:tc>
          <w:tcPr>
            <w:tcW w:w="7920" w:type="dxa"/>
            <w:vAlign w:val="bottom"/>
            <w:shd w:val="clear" w:color="auto" w:fill="DBDBDB"/>
          </w:tcPr>
          <w:p>
            <w:pPr>
              <w:ind w:left="20"/>
              <w:spacing w:after="0"/>
              <w:rPr>
                <w:sz w:val="20"/>
                <w:szCs w:val="20"/>
                <w:color w:val="auto"/>
              </w:rPr>
            </w:pPr>
            <w:r>
              <w:rPr>
                <w:rFonts w:ascii="Arial" w:cs="Arial" w:eastAsia="Arial" w:hAnsi="Arial"/>
                <w:sz w:val="18"/>
                <w:szCs w:val="18"/>
                <w:color w:val="auto"/>
              </w:rPr>
              <w:t>Foreign Currency Translation</w:t>
            </w:r>
          </w:p>
        </w:tc>
        <w:tc>
          <w:tcPr>
            <w:tcW w:w="1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1 %</w:t>
            </w:r>
          </w:p>
        </w:tc>
        <w:tc>
          <w:tcPr>
            <w:tcW w:w="100" w:type="dxa"/>
            <w:vAlign w:val="bottom"/>
            <w:shd w:val="clear" w:color="auto" w:fill="DBDBDB"/>
          </w:tcPr>
          <w:p>
            <w:pPr>
              <w:spacing w:after="0"/>
              <w:rPr>
                <w:sz w:val="19"/>
                <w:szCs w:val="19"/>
                <w:color w:val="auto"/>
              </w:rPr>
            </w:pPr>
          </w:p>
        </w:tc>
        <w:tc>
          <w:tcPr>
            <w:tcW w:w="1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23"/>
        </w:trPr>
        <w:tc>
          <w:tcPr>
            <w:tcW w:w="792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9 %</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Q3 2021 compared to Q3 2020</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Net sales increased due to the following:</w:t>
      </w:r>
    </w:p>
    <w:p>
      <w:pPr>
        <w:spacing w:after="0" w:line="117" w:lineRule="exact"/>
        <w:rPr>
          <w:sz w:val="20"/>
          <w:szCs w:val="20"/>
          <w:color w:val="auto"/>
        </w:rPr>
      </w:pPr>
    </w:p>
    <w:p>
      <w:pPr>
        <w:ind w:left="660" w:hanging="328"/>
        <w:spacing w:after="0" w:line="261"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Higher sales volumes due to an increase in demand for certain products and services as the global economy showed signs of recovery from the COVID-19 pandemic,</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Favorable pricing, and</w:t>
      </w:r>
    </w:p>
    <w:p>
      <w:pPr>
        <w:spacing w:after="0" w:line="11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favorable impact of foreign currency translation, driven by the weakening of the U.S. Dollar against the currencies of the majority of our international markets, primarily the Australian Dollar, British Pound, Euro, and Chinese Renminbi.</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YTD 2021 compared to YTD 2020</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Net sales increased due to the following:</w:t>
      </w:r>
    </w:p>
    <w:p>
      <w:pPr>
        <w:spacing w:after="0" w:line="117" w:lineRule="exact"/>
        <w:rPr>
          <w:sz w:val="20"/>
          <w:szCs w:val="20"/>
          <w:color w:val="auto"/>
        </w:rPr>
      </w:pPr>
    </w:p>
    <w:p>
      <w:pPr>
        <w:ind w:left="660" w:hanging="328"/>
        <w:spacing w:after="0" w:line="261" w:lineRule="auto"/>
        <w:tabs>
          <w:tab w:leader="none" w:pos="655"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Higher sales volumes due to an increase in demand for certain products and services as the global economy showed signs of recovery from the COVID-19 pandemic,</w:t>
      </w:r>
    </w:p>
    <w:p>
      <w:pPr>
        <w:spacing w:after="0" w:line="89" w:lineRule="exact"/>
        <w:rPr>
          <w:rFonts w:ascii="Arial" w:cs="Arial" w:eastAsia="Arial" w:hAnsi="Arial"/>
          <w:sz w:val="18"/>
          <w:szCs w:val="18"/>
          <w:b w:val="1"/>
          <w:bCs w:val="1"/>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Favorable pricing, and</w:t>
      </w:r>
    </w:p>
    <w:p>
      <w:pPr>
        <w:spacing w:after="0" w:line="11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favorable impact of foreign currency translation, driven by the weakening of the U.S. Dollar against the currencies of the majority of our international markets, primarily the Euro, British Pound, Australian Dollar, and Chinese Renminbi.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36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9" w:right="359" w:bottom="1440" w:gutter="0" w:footer="0" w:header="0"/>
        </w:sectPr>
      </w:pPr>
    </w:p>
    <w:bookmarkStart w:id="39" w:name="page40"/>
    <w:bookmarkEnd w:id="39"/>
    <w:p>
      <w:pPr>
        <w:spacing w:after="0"/>
        <w:rPr>
          <w:sz w:val="20"/>
          <w:szCs w:val="20"/>
          <w:color w:val="auto"/>
        </w:rPr>
      </w:pPr>
      <w:r>
        <w:rPr>
          <w:rFonts w:ascii="Arial" w:cs="Arial" w:eastAsia="Arial" w:hAnsi="Arial"/>
          <w:sz w:val="22"/>
          <w:szCs w:val="22"/>
          <w:b w:val="1"/>
          <w:bCs w:val="1"/>
          <w:color w:val="auto"/>
        </w:rPr>
        <w:t>Cost of Products and Services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1599565</wp:posOffset>
            </wp:positionH>
            <wp:positionV relativeFrom="paragraph">
              <wp:posOffset>151130</wp:posOffset>
            </wp:positionV>
            <wp:extent cx="3943350" cy="2057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943350"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Q3 2021 compared to Q3 2020</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Cost of products and services sold increased due to the following:</w:t>
      </w:r>
    </w:p>
    <w:p>
      <w:pPr>
        <w:spacing w:after="0" w:line="117" w:lineRule="exact"/>
        <w:rPr>
          <w:sz w:val="20"/>
          <w:szCs w:val="20"/>
          <w:color w:val="auto"/>
        </w:rPr>
      </w:pPr>
    </w:p>
    <w:p>
      <w:pPr>
        <w:ind w:left="660" w:hanging="328"/>
        <w:spacing w:after="0" w:line="261"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Higher direct and indirect material costs of approximately $290 million and higher labor costs of approximately $80 million primarily driven by higher volumes due to an increase in demand in certain of our products and services,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Partially offset by lower repositioning and other charges of approximately $30 million.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YTD 2021 compared to YTD 2020</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Cost of products and services sold increased due to the following:</w:t>
      </w:r>
    </w:p>
    <w:p>
      <w:pPr>
        <w:spacing w:after="0" w:line="117" w:lineRule="exact"/>
        <w:rPr>
          <w:sz w:val="20"/>
          <w:szCs w:val="20"/>
          <w:color w:val="auto"/>
        </w:rPr>
      </w:pPr>
    </w:p>
    <w:p>
      <w:pPr>
        <w:ind w:left="660" w:hanging="328"/>
        <w:spacing w:after="0" w:line="261"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Higher direct and indirect material costs of approximately $1,150 million and higher labor costs of approximately $80 million primarily driven by higher volumes due to an increase in demand in certain of our products and services,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Partially offset by lower repositioning and other charges of approximately $40 million.</w:t>
      </w:r>
    </w:p>
    <w:p>
      <w:pPr>
        <w:spacing w:after="0" w:line="3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Gross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151130</wp:posOffset>
            </wp:positionV>
            <wp:extent cx="3943350" cy="2057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943350" cy="2057400"/>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color w:val="DC202E"/>
        </w:rPr>
        <w:t xml:space="preserve">37 </w:t>
      </w:r>
      <w:r>
        <w:rPr>
          <w:rFonts w:ascii="Arial" w:cs="Arial" w:eastAsia="Arial" w:hAnsi="Arial"/>
          <w:sz w:val="17"/>
          <w:szCs w:val="17"/>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237490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Q3 2021 compared to Q3 2020</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Gross margin and Gross margin as a percentage of net sales increased due to the following:</w:t>
      </w:r>
    </w:p>
    <w:p>
      <w:pPr>
        <w:spacing w:after="0" w:line="117" w:lineRule="exact"/>
        <w:rPr>
          <w:sz w:val="20"/>
          <w:szCs w:val="20"/>
          <w:color w:val="auto"/>
        </w:rPr>
      </w:pPr>
    </w:p>
    <w:p>
      <w:pPr>
        <w:ind w:left="660" w:hanging="328"/>
        <w:spacing w:after="0" w:line="26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Higher gross margins due to an increase in demand for certain products and services as the global economy showed signs of recovery from the COVID-19 pandemic,</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Higher volume leverage on a lower fixed-cost base,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Lower repositioning and other charges of approximately $30 million,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Favorable pricing,</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Partially offset by a larger portion of our sales being driven by our Safety and Productivity Solutions segment.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YTD 2021 compared to YTD 2020</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Gross margin and Gross margin as a percentage of net sales increased due to the following:</w:t>
      </w:r>
    </w:p>
    <w:p>
      <w:pPr>
        <w:spacing w:after="0" w:line="117" w:lineRule="exact"/>
        <w:rPr>
          <w:sz w:val="20"/>
          <w:szCs w:val="20"/>
          <w:color w:val="auto"/>
        </w:rPr>
      </w:pPr>
    </w:p>
    <w:p>
      <w:pPr>
        <w:ind w:left="660" w:hanging="328"/>
        <w:spacing w:after="0" w:line="261"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Higher gross margins due to an increase in demand for certain products and services as the global economy showed signs of recovery from the COVID-19 pandemic,</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Higher volume leverage on a lower fixed-cost base,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Lower repositioning and other charges of approximately $40 million,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Favorable pricing,</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Partially offset by a larger portion of our sales being driven by our Safety and Productivity Solutions segment.</w:t>
      </w:r>
    </w:p>
    <w:p>
      <w:pPr>
        <w:spacing w:after="0" w:line="3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Selling, 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151130</wp:posOffset>
            </wp:positionV>
            <wp:extent cx="5854700" cy="2057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854700"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Q3 2021 compared to Q3 2020</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Selling, general and administrative expenses increased due to the following:</w:t>
      </w:r>
    </w:p>
    <w:p>
      <w:pPr>
        <w:spacing w:after="0" w:line="117"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Higher expenses due to increased sales volumes and labor expense,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Partially offset by cost savings from repositioning actions.</w:t>
      </w:r>
    </w:p>
    <w:p>
      <w:pPr>
        <w:spacing w:after="0" w:line="11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Selling, general and administrative expenses as a percentage of net sales decreased due to net sales growing at a faster rate than the increase in selling, general and administrative expenses.</w:t>
      </w:r>
    </w:p>
    <w:p>
      <w:pPr>
        <w:sectPr>
          <w:pgSz w:w="11900" w:h="16838" w:orient="portrait"/>
          <w:cols w:equalWidth="0" w:num="1">
            <w:col w:w="11240"/>
          </w:cols>
          <w:pgMar w:left="320" w:top="110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DC202E"/>
        </w:rPr>
        <w:t xml:space="preserve">38 </w:t>
      </w:r>
      <w:r>
        <w:rPr>
          <w:rFonts w:ascii="Arial" w:cs="Arial" w:eastAsia="Arial" w:hAnsi="Arial"/>
          <w:sz w:val="17"/>
          <w:szCs w:val="17"/>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237490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YTD 2021 compared to YTD 2020</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Selling, general and administrative expenses increased due to the following:</w:t>
      </w:r>
    </w:p>
    <w:p>
      <w:pPr>
        <w:spacing w:after="0" w:line="117"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Higher expenses due to increased sales volumes, the unfavorable impact of foreign currency translation and labor expense,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Partially offset by cost savings from repositioning actions.</w:t>
      </w:r>
    </w:p>
    <w:p>
      <w:pPr>
        <w:spacing w:after="0" w:line="11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Selling, general and administrative expenses as a percentage of net sales decreased due to net sales growing at a faster rate than the increase in selling, general and administrative expenses.</w:t>
      </w: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(Income) Expense</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20" w:type="dxa"/>
            <w:vAlign w:val="bottom"/>
          </w:tcPr>
          <w:p>
            <w:pPr>
              <w:spacing w:after="0"/>
              <w:rPr>
                <w:sz w:val="17"/>
                <w:szCs w:val="17"/>
                <w:color w:val="auto"/>
              </w:rPr>
            </w:pPr>
          </w:p>
        </w:tc>
        <w:tc>
          <w:tcPr>
            <w:tcW w:w="274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7"/>
                <w:szCs w:val="17"/>
                <w:color w:val="auto"/>
              </w:rPr>
            </w:pPr>
          </w:p>
        </w:tc>
        <w:tc>
          <w:tcPr>
            <w:tcW w:w="2540" w:type="dxa"/>
            <w:vAlign w:val="bottom"/>
            <w:gridSpan w:val="4"/>
          </w:tcPr>
          <w:p>
            <w:pPr>
              <w:jc w:val="right"/>
              <w:ind w:right="79"/>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5820" w:type="dxa"/>
            <w:vAlign w:val="bottom"/>
            <w:tcBorders>
              <w:bottom w:val="single" w:sz="8" w:color="DBDBDB"/>
            </w:tcBorders>
          </w:tcPr>
          <w:p>
            <w:pPr>
              <w:spacing w:after="0"/>
              <w:rPr>
                <w:sz w:val="17"/>
                <w:szCs w:val="17"/>
                <w:color w:val="auto"/>
              </w:rPr>
            </w:pPr>
          </w:p>
        </w:tc>
        <w:tc>
          <w:tcPr>
            <w:tcW w:w="280" w:type="dxa"/>
            <w:vAlign w:val="bottom"/>
            <w:tcBorders>
              <w:top w:val="single" w:sz="8" w:color="DC202E"/>
              <w:bottom w:val="single" w:sz="8" w:color="DC202E"/>
            </w:tcBorders>
          </w:tcPr>
          <w:p>
            <w:pPr>
              <w:spacing w:after="0"/>
              <w:rPr>
                <w:sz w:val="17"/>
                <w:szCs w:val="17"/>
                <w:color w:val="auto"/>
              </w:rPr>
            </w:pPr>
          </w:p>
        </w:tc>
        <w:tc>
          <w:tcPr>
            <w:tcW w:w="980" w:type="dxa"/>
            <w:vAlign w:val="bottom"/>
            <w:tcBorders>
              <w:top w:val="single" w:sz="8" w:color="DC202E"/>
              <w:bottom w:val="single" w:sz="8" w:color="DC202E"/>
            </w:tcBorders>
          </w:tcPr>
          <w:p>
            <w:pPr>
              <w:jc w:val="right"/>
              <w:ind w:right="39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DC202E"/>
              <w:bottom w:val="single" w:sz="8" w:color="DBDBDB"/>
            </w:tcBorders>
          </w:tcPr>
          <w:p>
            <w:pPr>
              <w:spacing w:after="0"/>
              <w:rPr>
                <w:sz w:val="17"/>
                <w:szCs w:val="17"/>
                <w:color w:val="auto"/>
              </w:rPr>
            </w:pPr>
          </w:p>
        </w:tc>
        <w:tc>
          <w:tcPr>
            <w:tcW w:w="300" w:type="dxa"/>
            <w:vAlign w:val="bottom"/>
            <w:tcBorders>
              <w:top w:val="single" w:sz="8" w:color="DC202E"/>
              <w:bottom w:val="single" w:sz="8" w:color="DC202E"/>
            </w:tcBorders>
          </w:tcPr>
          <w:p>
            <w:pPr>
              <w:spacing w:after="0"/>
              <w:rPr>
                <w:sz w:val="17"/>
                <w:szCs w:val="17"/>
                <w:color w:val="auto"/>
              </w:rPr>
            </w:pPr>
          </w:p>
        </w:tc>
        <w:tc>
          <w:tcPr>
            <w:tcW w:w="980" w:type="dxa"/>
            <w:vAlign w:val="bottom"/>
            <w:tcBorders>
              <w:top w:val="single" w:sz="8" w:color="DC202E"/>
              <w:bottom w:val="single" w:sz="8" w:color="DC202E"/>
            </w:tcBorders>
          </w:tcPr>
          <w:p>
            <w:pPr>
              <w:jc w:val="right"/>
              <w:ind w:right="39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DBDBDB"/>
            </w:tcBorders>
          </w:tcPr>
          <w:p>
            <w:pPr>
              <w:spacing w:after="0"/>
              <w:rPr>
                <w:sz w:val="17"/>
                <w:szCs w:val="17"/>
                <w:color w:val="auto"/>
              </w:rPr>
            </w:pPr>
          </w:p>
        </w:tc>
        <w:tc>
          <w:tcPr>
            <w:tcW w:w="140" w:type="dxa"/>
            <w:vAlign w:val="bottom"/>
            <w:tcBorders>
              <w:top w:val="single" w:sz="8" w:color="DC202E"/>
              <w:bottom w:val="single" w:sz="8" w:color="DC202E"/>
            </w:tcBorders>
          </w:tcPr>
          <w:p>
            <w:pPr>
              <w:spacing w:after="0"/>
              <w:rPr>
                <w:sz w:val="17"/>
                <w:szCs w:val="17"/>
                <w:color w:val="auto"/>
              </w:rPr>
            </w:pPr>
          </w:p>
        </w:tc>
        <w:tc>
          <w:tcPr>
            <w:tcW w:w="1140" w:type="dxa"/>
            <w:vAlign w:val="bottom"/>
            <w:tcBorders>
              <w:top w:val="single" w:sz="8" w:color="DC202E"/>
              <w:bottom w:val="single" w:sz="8" w:color="DC202E"/>
            </w:tcBorders>
          </w:tcPr>
          <w:p>
            <w:pPr>
              <w:jc w:val="right"/>
              <w:ind w:right="40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DC202E"/>
              <w:bottom w:val="single" w:sz="8" w:color="DBDBDB"/>
            </w:tcBorders>
          </w:tcPr>
          <w:p>
            <w:pPr>
              <w:spacing w:after="0"/>
              <w:rPr>
                <w:sz w:val="17"/>
                <w:szCs w:val="17"/>
                <w:color w:val="auto"/>
              </w:rPr>
            </w:pPr>
          </w:p>
        </w:tc>
        <w:tc>
          <w:tcPr>
            <w:tcW w:w="300" w:type="dxa"/>
            <w:vAlign w:val="bottom"/>
            <w:tcBorders>
              <w:top w:val="single" w:sz="8" w:color="DC202E"/>
              <w:bottom w:val="single" w:sz="8" w:color="DC202E"/>
            </w:tcBorders>
          </w:tcPr>
          <w:p>
            <w:pPr>
              <w:spacing w:after="0"/>
              <w:rPr>
                <w:sz w:val="17"/>
                <w:szCs w:val="17"/>
                <w:color w:val="auto"/>
              </w:rPr>
            </w:pPr>
          </w:p>
        </w:tc>
        <w:tc>
          <w:tcPr>
            <w:tcW w:w="980" w:type="dxa"/>
            <w:vAlign w:val="bottom"/>
            <w:tcBorders>
              <w:top w:val="single" w:sz="8" w:color="DC202E"/>
              <w:bottom w:val="single" w:sz="8" w:color="DC202E"/>
            </w:tcBorders>
          </w:tcPr>
          <w:p>
            <w:pPr>
              <w:jc w:val="right"/>
              <w:ind w:right="399"/>
              <w:spacing w:after="0"/>
              <w:rPr>
                <w:sz w:val="20"/>
                <w:szCs w:val="20"/>
                <w:color w:val="auto"/>
              </w:rPr>
            </w:pPr>
            <w:r>
              <w:rPr>
                <w:rFonts w:ascii="Arial" w:cs="Arial" w:eastAsia="Arial" w:hAnsi="Arial"/>
                <w:sz w:val="14"/>
                <w:szCs w:val="14"/>
                <w:b w:val="1"/>
                <w:bCs w:val="1"/>
                <w:color w:val="auto"/>
              </w:rPr>
              <w:t>2020</w:t>
            </w:r>
          </w:p>
        </w:tc>
      </w:tr>
      <w:tr>
        <w:trPr>
          <w:trHeight w:val="229"/>
        </w:trPr>
        <w:tc>
          <w:tcPr>
            <w:tcW w:w="5820" w:type="dxa"/>
            <w:vAlign w:val="bottom"/>
            <w:shd w:val="clear" w:color="auto" w:fill="DBDBDB"/>
          </w:tcPr>
          <w:p>
            <w:pPr>
              <w:ind w:left="20"/>
              <w:spacing w:after="0"/>
              <w:rPr>
                <w:sz w:val="20"/>
                <w:szCs w:val="20"/>
                <w:color w:val="auto"/>
              </w:rPr>
            </w:pPr>
            <w:r>
              <w:rPr>
                <w:rFonts w:ascii="Arial" w:cs="Arial" w:eastAsia="Arial" w:hAnsi="Arial"/>
                <w:sz w:val="18"/>
                <w:szCs w:val="18"/>
                <w:color w:val="auto"/>
              </w:rPr>
              <w:t>Other (income) expense</w:t>
            </w:r>
          </w:p>
        </w:tc>
        <w:tc>
          <w:tcPr>
            <w:tcW w:w="280" w:type="dxa"/>
            <w:vAlign w:val="bottom"/>
            <w:shd w:val="clear" w:color="auto" w:fill="DBDBDB"/>
          </w:tcPr>
          <w:p>
            <w:pPr>
              <w:jc w:val="right"/>
              <w:ind w:right="79"/>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(1,023)</w:t>
            </w:r>
          </w:p>
        </w:tc>
        <w:tc>
          <w:tcPr>
            <w:tcW w:w="120" w:type="dxa"/>
            <w:vAlign w:val="bottom"/>
            <w:shd w:val="clear" w:color="auto" w:fill="DBDBDB"/>
          </w:tcPr>
          <w:p>
            <w:pPr>
              <w:spacing w:after="0"/>
              <w:rPr>
                <w:sz w:val="19"/>
                <w:szCs w:val="19"/>
                <w:color w:val="auto"/>
              </w:rPr>
            </w:pP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(546)</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Q3 2021 compared to Q3 2020</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Other income increased due to the following:</w:t>
      </w:r>
    </w:p>
    <w:p>
      <w:pPr>
        <w:spacing w:after="0" w:line="158" w:lineRule="exact"/>
        <w:rPr>
          <w:sz w:val="20"/>
          <w:szCs w:val="20"/>
          <w:color w:val="auto"/>
        </w:rPr>
      </w:pPr>
    </w:p>
    <w:p>
      <w:pPr>
        <w:ind w:left="660" w:right="20" w:hanging="328"/>
        <w:spacing w:after="0" w:line="225" w:lineRule="auto"/>
        <w:tabs>
          <w:tab w:leader="none" w:pos="655" w:val="left"/>
        </w:tabs>
        <w:numPr>
          <w:ilvl w:val="0"/>
          <w:numId w:val="16"/>
        </w:numPr>
        <w:rPr>
          <w:rFonts w:ascii="Arial" w:cs="Arial" w:eastAsia="Arial" w:hAnsi="Arial"/>
          <w:sz w:val="22"/>
          <w:szCs w:val="22"/>
          <w:color w:val="auto"/>
        </w:rPr>
      </w:pPr>
      <w:r>
        <w:rPr>
          <w:rFonts w:ascii="Arial" w:cs="Arial" w:eastAsia="Arial" w:hAnsi="Arial"/>
          <w:sz w:val="18"/>
          <w:szCs w:val="18"/>
          <w:color w:val="auto"/>
        </w:rPr>
        <w:t>Prior year non-cash charge associated with the reduction in carrying value to present value of reimbursement receivables due from Garrett,</w:t>
      </w:r>
    </w:p>
    <w:p>
      <w:pPr>
        <w:spacing w:after="0" w:line="108" w:lineRule="exact"/>
        <w:rPr>
          <w:rFonts w:ascii="Arial" w:cs="Arial" w:eastAsia="Arial" w:hAnsi="Arial"/>
          <w:sz w:val="22"/>
          <w:szCs w:val="22"/>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Higher pension income,</w:t>
      </w:r>
    </w:p>
    <w:p>
      <w:pPr>
        <w:spacing w:after="0" w:line="12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22"/>
          <w:szCs w:val="22"/>
          <w:color w:val="auto"/>
        </w:rPr>
      </w:pPr>
      <w:r>
        <w:rPr>
          <w:rFonts w:ascii="Arial" w:cs="Arial" w:eastAsia="Arial" w:hAnsi="Arial"/>
          <w:sz w:val="18"/>
          <w:szCs w:val="18"/>
          <w:color w:val="auto"/>
        </w:rPr>
        <w:t>Partially offset by t</w:t>
      </w:r>
      <w:r>
        <w:rPr>
          <w:rFonts w:ascii="Arial" w:cs="Arial" w:eastAsia="Arial" w:hAnsi="Arial"/>
          <w:sz w:val="18"/>
          <w:szCs w:val="18"/>
          <w:color w:val="212529"/>
        </w:rPr>
        <w:t>he recognition of an expense related to UOP matters.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YTD 2021 compared to YTD 2020</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Other income increased due to the following:</w:t>
      </w:r>
    </w:p>
    <w:p>
      <w:pPr>
        <w:spacing w:after="0" w:line="158" w:lineRule="exact"/>
        <w:rPr>
          <w:sz w:val="20"/>
          <w:szCs w:val="20"/>
          <w:color w:val="auto"/>
        </w:rPr>
      </w:pPr>
    </w:p>
    <w:p>
      <w:pPr>
        <w:ind w:left="660" w:right="20" w:hanging="328"/>
        <w:spacing w:after="0" w:line="225" w:lineRule="auto"/>
        <w:tabs>
          <w:tab w:leader="none" w:pos="655" w:val="left"/>
        </w:tabs>
        <w:numPr>
          <w:ilvl w:val="0"/>
          <w:numId w:val="17"/>
        </w:numPr>
        <w:rPr>
          <w:rFonts w:ascii="Arial" w:cs="Arial" w:eastAsia="Arial" w:hAnsi="Arial"/>
          <w:sz w:val="22"/>
          <w:szCs w:val="22"/>
          <w:color w:val="auto"/>
        </w:rPr>
      </w:pPr>
      <w:r>
        <w:rPr>
          <w:rFonts w:ascii="Arial" w:cs="Arial" w:eastAsia="Arial" w:hAnsi="Arial"/>
          <w:sz w:val="18"/>
          <w:szCs w:val="18"/>
          <w:color w:val="auto"/>
        </w:rPr>
        <w:t>Prior year non-cash charge associated with the reduction in carrying value to present value of reimbursement receivables due from Garrett,</w:t>
      </w:r>
    </w:p>
    <w:p>
      <w:pPr>
        <w:spacing w:after="0" w:line="108" w:lineRule="exact"/>
        <w:rPr>
          <w:rFonts w:ascii="Arial" w:cs="Arial" w:eastAsia="Arial" w:hAnsi="Arial"/>
          <w:sz w:val="22"/>
          <w:szCs w:val="22"/>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Higher pension income,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Gain on sale of the retail footwear business,</w:t>
      </w:r>
    </w:p>
    <w:p>
      <w:pPr>
        <w:spacing w:after="0" w:line="12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22"/>
          <w:szCs w:val="22"/>
          <w:color w:val="auto"/>
        </w:rPr>
      </w:pPr>
      <w:r>
        <w:rPr>
          <w:rFonts w:ascii="Arial" w:cs="Arial" w:eastAsia="Arial" w:hAnsi="Arial"/>
          <w:sz w:val="18"/>
          <w:szCs w:val="18"/>
          <w:color w:val="auto"/>
        </w:rPr>
        <w:t>Partially offset by t</w:t>
      </w:r>
      <w:r>
        <w:rPr>
          <w:rFonts w:ascii="Arial" w:cs="Arial" w:eastAsia="Arial" w:hAnsi="Arial"/>
          <w:sz w:val="18"/>
          <w:szCs w:val="18"/>
          <w:color w:val="212529"/>
        </w:rPr>
        <w:t>he recognition of an expense related to UOP matters.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39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42" w:name="page43"/>
    <w:bookmarkEnd w:id="42"/>
    <w:p>
      <w:pPr>
        <w:spacing w:after="0"/>
        <w:rPr>
          <w:sz w:val="20"/>
          <w:szCs w:val="20"/>
          <w:color w:val="auto"/>
        </w:rPr>
      </w:pPr>
      <w:r>
        <w:rPr>
          <w:rFonts w:ascii="Arial" w:cs="Arial" w:eastAsia="Arial" w:hAnsi="Arial"/>
          <w:sz w:val="22"/>
          <w:szCs w:val="22"/>
          <w:b w:val="1"/>
          <w:bCs w:val="1"/>
          <w:color w:val="auto"/>
        </w:rPr>
        <w:t>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151130</wp:posOffset>
            </wp:positionV>
            <wp:extent cx="5854700" cy="2057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854700"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Q3 2021 compared to Q3 2020</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12529"/>
        </w:rPr>
        <w:t xml:space="preserve">The effective tax rate decreased due to the absence of a </w:t>
      </w:r>
      <w:r>
        <w:rPr>
          <w:rFonts w:ascii="Arial" w:cs="Arial" w:eastAsia="Arial" w:hAnsi="Arial"/>
          <w:sz w:val="18"/>
          <w:szCs w:val="18"/>
          <w:color w:val="000000"/>
        </w:rPr>
        <w:t>non-cash charge related to the reduction of the aggregate carrying value of certain</w:t>
      </w:r>
      <w:r>
        <w:rPr>
          <w:rFonts w:ascii="Arial" w:cs="Arial" w:eastAsia="Arial" w:hAnsi="Arial"/>
          <w:sz w:val="18"/>
          <w:szCs w:val="18"/>
          <w:color w:val="212529"/>
        </w:rPr>
        <w:t xml:space="preserve"> </w:t>
      </w:r>
      <w:r>
        <w:rPr>
          <w:rFonts w:ascii="Arial" w:cs="Arial" w:eastAsia="Arial" w:hAnsi="Arial"/>
          <w:sz w:val="18"/>
          <w:szCs w:val="18"/>
          <w:color w:val="000000"/>
        </w:rPr>
        <w:t xml:space="preserve">receivables with no corresponding tax benefit in the prior year, </w:t>
      </w:r>
      <w:r>
        <w:rPr>
          <w:rFonts w:ascii="Arial" w:cs="Arial" w:eastAsia="Arial" w:hAnsi="Arial"/>
          <w:sz w:val="18"/>
          <w:szCs w:val="18"/>
          <w:color w:val="212529"/>
        </w:rPr>
        <w:t>partially offset by</w:t>
      </w:r>
      <w:r>
        <w:rPr>
          <w:rFonts w:ascii="Arial" w:cs="Arial" w:eastAsia="Arial" w:hAnsi="Arial"/>
          <w:sz w:val="18"/>
          <w:szCs w:val="18"/>
          <w:color w:val="000000"/>
        </w:rPr>
        <w:t xml:space="preserve"> the </w:t>
      </w:r>
      <w:r>
        <w:rPr>
          <w:rFonts w:ascii="Arial" w:cs="Arial" w:eastAsia="Arial" w:hAnsi="Arial"/>
          <w:sz w:val="18"/>
          <w:szCs w:val="18"/>
          <w:color w:val="212529"/>
        </w:rPr>
        <w:t>recognition of an expense related to UOP matters</w:t>
      </w:r>
      <w:r>
        <w:rPr>
          <w:rFonts w:ascii="Arial" w:cs="Arial" w:eastAsia="Arial" w:hAnsi="Arial"/>
          <w:sz w:val="18"/>
          <w:szCs w:val="18"/>
          <w:color w:val="000000"/>
        </w:rPr>
        <w:t xml:space="preserve"> with no corresponding tax benefit, incremental tax reserves and state taxes, i</w:t>
      </w:r>
      <w:r>
        <w:rPr>
          <w:rFonts w:ascii="Arial" w:cs="Arial" w:eastAsia="Arial" w:hAnsi="Arial"/>
          <w:sz w:val="18"/>
          <w:szCs w:val="18"/>
          <w:color w:val="212529"/>
        </w:rPr>
        <w:t>ncreased</w:t>
      </w:r>
      <w:r>
        <w:rPr>
          <w:rFonts w:ascii="Arial" w:cs="Arial" w:eastAsia="Arial" w:hAnsi="Arial"/>
          <w:sz w:val="18"/>
          <w:szCs w:val="18"/>
          <w:color w:val="000000"/>
        </w:rPr>
        <w:t xml:space="preserve"> tax benefits for employee share-based compensation and the favorable resolution of certain foreign tax matters in the current year.</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212529"/>
        </w:rPr>
        <w:t xml:space="preserve">The effective tax rate for the three months ended September 30, 2021, was higher than the U.S. federal statutory rate of 21% primarily due to the recognition of an expense related to UOP matters </w:t>
      </w:r>
      <w:r>
        <w:rPr>
          <w:rFonts w:ascii="Arial" w:cs="Arial" w:eastAsia="Arial" w:hAnsi="Arial"/>
          <w:sz w:val="18"/>
          <w:szCs w:val="18"/>
          <w:color w:val="000000"/>
        </w:rPr>
        <w:t>with no corresponding tax benefit,</w:t>
      </w:r>
      <w:r>
        <w:rPr>
          <w:rFonts w:ascii="Arial" w:cs="Arial" w:eastAsia="Arial" w:hAnsi="Arial"/>
          <w:sz w:val="18"/>
          <w:szCs w:val="18"/>
          <w:color w:val="212529"/>
        </w:rPr>
        <w:t xml:space="preserve"> incremental tax reserves and state taxes, partially offset by tax benefits for employee share-based compensation and the resolution of certain foreign tax matters.</w:t>
      </w:r>
    </w:p>
    <w:p>
      <w:pPr>
        <w:spacing w:after="0" w:line="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effective tax rate for the three months ended September 30, 2020 was higher than the U.S. federal statutory rate of 21% primarily from a non-cash charge related to the reduction of the aggregate carrying value of certain receivables with no corresponding tax benefit, incremental tax reserves and state taxes partially offset by foreign earnings taxed at lower foreign tax rates.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YTD 2021 compared to YTD 2020</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12529"/>
        </w:rPr>
        <w:t xml:space="preserve">The effective tax rate increased during 2021 compared to 2020 primarily from </w:t>
      </w:r>
      <w:r>
        <w:rPr>
          <w:rFonts w:ascii="Arial" w:cs="Arial" w:eastAsia="Arial" w:hAnsi="Arial"/>
          <w:sz w:val="18"/>
          <w:szCs w:val="18"/>
          <w:color w:val="000000"/>
        </w:rPr>
        <w:t>the</w:t>
      </w:r>
      <w:r>
        <w:rPr>
          <w:rFonts w:ascii="Arial" w:cs="Arial" w:eastAsia="Arial" w:hAnsi="Arial"/>
          <w:sz w:val="18"/>
          <w:szCs w:val="18"/>
          <w:color w:val="212529"/>
        </w:rPr>
        <w:t xml:space="preserve"> recognition of an expense related to UOP matters </w:t>
      </w:r>
      <w:r>
        <w:rPr>
          <w:rFonts w:ascii="Arial" w:cs="Arial" w:eastAsia="Arial" w:hAnsi="Arial"/>
          <w:sz w:val="18"/>
          <w:szCs w:val="18"/>
          <w:color w:val="000000"/>
        </w:rPr>
        <w:t>with no</w:t>
      </w:r>
      <w:r>
        <w:rPr>
          <w:rFonts w:ascii="Arial" w:cs="Arial" w:eastAsia="Arial" w:hAnsi="Arial"/>
          <w:sz w:val="18"/>
          <w:szCs w:val="18"/>
          <w:color w:val="212529"/>
        </w:rPr>
        <w:t xml:space="preserve"> </w:t>
      </w:r>
      <w:r>
        <w:rPr>
          <w:rFonts w:ascii="Arial" w:cs="Arial" w:eastAsia="Arial" w:hAnsi="Arial"/>
          <w:sz w:val="18"/>
          <w:szCs w:val="18"/>
          <w:color w:val="000000"/>
        </w:rPr>
        <w:t>corresponding tax benefit, incremental tax reserves and state taxes partially offset by i</w:t>
      </w:r>
      <w:r>
        <w:rPr>
          <w:rFonts w:ascii="Arial" w:cs="Arial" w:eastAsia="Arial" w:hAnsi="Arial"/>
          <w:sz w:val="18"/>
          <w:szCs w:val="18"/>
          <w:color w:val="212529"/>
        </w:rPr>
        <w:t>ncreased</w:t>
      </w:r>
      <w:r>
        <w:rPr>
          <w:rFonts w:ascii="Arial" w:cs="Arial" w:eastAsia="Arial" w:hAnsi="Arial"/>
          <w:sz w:val="18"/>
          <w:szCs w:val="18"/>
          <w:color w:val="000000"/>
        </w:rPr>
        <w:t xml:space="preserve"> tax benefits for employee share-based compensation and the favorable resolution of certain foreign tax matters in the current year along with </w:t>
      </w:r>
      <w:r>
        <w:rPr>
          <w:rFonts w:ascii="Arial" w:cs="Arial" w:eastAsia="Arial" w:hAnsi="Arial"/>
          <w:sz w:val="18"/>
          <w:szCs w:val="18"/>
          <w:color w:val="212529"/>
        </w:rPr>
        <w:t>the absence of prior year items</w:t>
      </w:r>
      <w:r>
        <w:rPr>
          <w:rFonts w:ascii="Arial" w:cs="Arial" w:eastAsia="Arial" w:hAnsi="Arial"/>
          <w:sz w:val="18"/>
          <w:szCs w:val="18"/>
          <w:color w:val="000000"/>
        </w:rPr>
        <w:t xml:space="preserve"> </w:t>
      </w:r>
      <w:r>
        <w:rPr>
          <w:rFonts w:ascii="Arial" w:cs="Arial" w:eastAsia="Arial" w:hAnsi="Arial"/>
          <w:sz w:val="18"/>
          <w:szCs w:val="18"/>
          <w:color w:val="212529"/>
        </w:rPr>
        <w:t xml:space="preserve">including a non-cash </w:t>
      </w:r>
      <w:r>
        <w:rPr>
          <w:rFonts w:ascii="Arial" w:cs="Arial" w:eastAsia="Arial" w:hAnsi="Arial"/>
          <w:sz w:val="18"/>
          <w:szCs w:val="18"/>
          <w:color w:val="000000"/>
        </w:rPr>
        <w:t>charge related to the reduction of the aggregate carrying value of certain receivables with no corresponding tax benefit,</w:t>
      </w:r>
      <w:r>
        <w:rPr>
          <w:rFonts w:ascii="Arial" w:cs="Arial" w:eastAsia="Arial" w:hAnsi="Arial"/>
          <w:sz w:val="18"/>
          <w:szCs w:val="18"/>
          <w:color w:val="212529"/>
        </w:rPr>
        <w:t xml:space="preserve"> tax benefits realized as a result of the favorable resolution of a foreign tax matter related to the spin-off transactions, tax law changes in India and the resolution of certain U.S. tax matters.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40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43" w:name="page44"/>
    <w:bookmarkEnd w:id="43"/>
    <w:p>
      <w:pPr>
        <w:spacing w:after="0"/>
        <w:rPr>
          <w:sz w:val="20"/>
          <w:szCs w:val="20"/>
          <w:color w:val="auto"/>
        </w:rPr>
      </w:pPr>
      <w:r>
        <w:rPr>
          <w:rFonts w:ascii="Arial" w:cs="Arial" w:eastAsia="Arial" w:hAnsi="Arial"/>
          <w:sz w:val="22"/>
          <w:szCs w:val="22"/>
          <w:b w:val="1"/>
          <w:bCs w:val="1"/>
          <w:color w:val="auto"/>
        </w:rPr>
        <w:t>Net Income Attributable to Honeywell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219710</wp:posOffset>
            </wp:positionV>
            <wp:extent cx="5854700" cy="2057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854700"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Q3 2021 compared to Q3 2020</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 of common stock–assuming dilution increased, driven by the following:</w:t>
      </w:r>
    </w:p>
    <w:p>
      <w:pPr>
        <w:spacing w:after="0" w:line="158" w:lineRule="exact"/>
        <w:rPr>
          <w:sz w:val="20"/>
          <w:szCs w:val="20"/>
          <w:color w:val="auto"/>
        </w:rPr>
      </w:pPr>
    </w:p>
    <w:p>
      <w:pPr>
        <w:ind w:left="660" w:hanging="328"/>
        <w:spacing w:after="0" w:line="225" w:lineRule="auto"/>
        <w:tabs>
          <w:tab w:leader="none" w:pos="655" w:val="left"/>
        </w:tabs>
        <w:numPr>
          <w:ilvl w:val="0"/>
          <w:numId w:val="18"/>
        </w:numPr>
        <w:rPr>
          <w:rFonts w:ascii="Arial" w:cs="Arial" w:eastAsia="Arial" w:hAnsi="Arial"/>
          <w:sz w:val="22"/>
          <w:szCs w:val="22"/>
          <w:color w:val="auto"/>
        </w:rPr>
      </w:pPr>
      <w:r>
        <w:rPr>
          <w:rFonts w:ascii="Arial" w:cs="Arial" w:eastAsia="Arial" w:hAnsi="Arial"/>
          <w:sz w:val="18"/>
          <w:szCs w:val="18"/>
          <w:color w:val="auto"/>
        </w:rPr>
        <w:t>Prior year non-cash charge associated with the reduction in carrying value to present value of reimbursement receivables due from Garrett,</w:t>
      </w:r>
    </w:p>
    <w:p>
      <w:pPr>
        <w:spacing w:after="0" w:line="108" w:lineRule="exact"/>
        <w:rPr>
          <w:rFonts w:ascii="Arial" w:cs="Arial" w:eastAsia="Arial" w:hAnsi="Arial"/>
          <w:sz w:val="22"/>
          <w:szCs w:val="22"/>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Higher segment profit,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Higher pension income,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Lower repositioning and other charges,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Favorable impact of lower share count,</w:t>
      </w:r>
    </w:p>
    <w:p>
      <w:pPr>
        <w:spacing w:after="0" w:line="12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22"/>
          <w:szCs w:val="22"/>
          <w:color w:val="auto"/>
        </w:rPr>
      </w:pPr>
      <w:r>
        <w:rPr>
          <w:rFonts w:ascii="Arial" w:cs="Arial" w:eastAsia="Arial" w:hAnsi="Arial"/>
          <w:sz w:val="18"/>
          <w:szCs w:val="18"/>
          <w:color w:val="auto"/>
        </w:rPr>
        <w:t>Partially offset by t</w:t>
      </w:r>
      <w:r>
        <w:rPr>
          <w:rFonts w:ascii="Arial" w:cs="Arial" w:eastAsia="Arial" w:hAnsi="Arial"/>
          <w:sz w:val="18"/>
          <w:szCs w:val="18"/>
          <w:color w:val="212529"/>
        </w:rPr>
        <w:t>he recognition of an expense related to UOP matters</w:t>
      </w:r>
      <w:r>
        <w:rPr>
          <w:rFonts w:ascii="Arial" w:cs="Arial" w:eastAsia="Arial" w:hAnsi="Arial"/>
          <w:sz w:val="18"/>
          <w:szCs w:val="18"/>
          <w:color w:val="auto"/>
        </w:rPr>
        <w:t xml:space="preserve"> and higher income taxes.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YTD 2021 compared to YTD 2020</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 of common stock–assuming dilution increased, driven by the following:</w:t>
      </w:r>
    </w:p>
    <w:p>
      <w:pPr>
        <w:spacing w:after="0" w:line="117"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Higher segment profit,</w:t>
      </w:r>
    </w:p>
    <w:p>
      <w:pPr>
        <w:spacing w:after="0" w:line="157" w:lineRule="exact"/>
        <w:rPr>
          <w:rFonts w:ascii="Arial" w:cs="Arial" w:eastAsia="Arial" w:hAnsi="Arial"/>
          <w:sz w:val="18"/>
          <w:szCs w:val="18"/>
          <w:color w:val="auto"/>
        </w:rPr>
      </w:pPr>
    </w:p>
    <w:p>
      <w:pPr>
        <w:ind w:left="660" w:hanging="328"/>
        <w:spacing w:after="0" w:line="225" w:lineRule="auto"/>
        <w:tabs>
          <w:tab w:leader="none" w:pos="655" w:val="left"/>
        </w:tabs>
        <w:numPr>
          <w:ilvl w:val="0"/>
          <w:numId w:val="19"/>
        </w:numPr>
        <w:rPr>
          <w:rFonts w:ascii="Arial" w:cs="Arial" w:eastAsia="Arial" w:hAnsi="Arial"/>
          <w:sz w:val="22"/>
          <w:szCs w:val="22"/>
          <w:color w:val="auto"/>
        </w:rPr>
      </w:pPr>
      <w:r>
        <w:rPr>
          <w:rFonts w:ascii="Arial" w:cs="Arial" w:eastAsia="Arial" w:hAnsi="Arial"/>
          <w:sz w:val="18"/>
          <w:szCs w:val="18"/>
          <w:color w:val="auto"/>
        </w:rPr>
        <w:t>Prior year non-cash charge associated with the reduction in carrying value to present value of reimbursement receivables due from Garrett,</w:t>
      </w:r>
    </w:p>
    <w:p>
      <w:pPr>
        <w:spacing w:after="0" w:line="108" w:lineRule="exact"/>
        <w:rPr>
          <w:rFonts w:ascii="Arial" w:cs="Arial" w:eastAsia="Arial" w:hAnsi="Arial"/>
          <w:sz w:val="22"/>
          <w:szCs w:val="22"/>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Higher pension income,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Lower repositioning and other charges,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Gain on sale of the retail footwear business,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Favorable impact of lower share count,</w:t>
      </w:r>
    </w:p>
    <w:p>
      <w:pPr>
        <w:spacing w:after="0" w:line="12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22"/>
          <w:szCs w:val="22"/>
          <w:color w:val="auto"/>
        </w:rPr>
      </w:pPr>
      <w:r>
        <w:rPr>
          <w:rFonts w:ascii="Arial" w:cs="Arial" w:eastAsia="Arial" w:hAnsi="Arial"/>
          <w:sz w:val="18"/>
          <w:szCs w:val="18"/>
          <w:color w:val="auto"/>
        </w:rPr>
        <w:t>Partially offset by higher income taxes and t</w:t>
      </w:r>
      <w:r>
        <w:rPr>
          <w:rFonts w:ascii="Arial" w:cs="Arial" w:eastAsia="Arial" w:hAnsi="Arial"/>
          <w:sz w:val="18"/>
          <w:szCs w:val="18"/>
          <w:color w:val="212529"/>
        </w:rPr>
        <w:t>he recognition of an expense related to UOP matters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41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4" w:right="359" w:bottom="1440" w:gutter="0" w:footer="0" w:header="0"/>
        </w:sectPr>
      </w:pPr>
    </w:p>
    <w:bookmarkStart w:id="44" w:name="page45"/>
    <w:bookmarkEnd w:id="44"/>
    <w:p>
      <w:pPr>
        <w:spacing w:after="0"/>
        <w:rPr>
          <w:sz w:val="20"/>
          <w:szCs w:val="20"/>
          <w:color w:val="auto"/>
        </w:rPr>
      </w:pPr>
      <w:r>
        <w:rPr>
          <w:rFonts w:ascii="Arial" w:cs="Arial" w:eastAsia="Arial" w:hAnsi="Arial"/>
          <w:sz w:val="25"/>
          <w:szCs w:val="25"/>
          <w:b w:val="1"/>
          <w:bCs w:val="1"/>
          <w:color w:val="DC202E"/>
        </w:rPr>
        <w:t>REVIEW OF BUSINESS SEGMENTS</w:t>
      </w:r>
    </w:p>
    <w:p>
      <w:pPr>
        <w:spacing w:after="0" w:line="147"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We globally manage our business operations through four segments: Aerospace, Honeywell Building Technologies, Performance Materials and Technologies, and Safety and Productivity Solutions.</w:t>
      </w:r>
    </w:p>
    <w:p>
      <w:pPr>
        <w:spacing w:after="0" w:line="27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AEROSPACE</w:t>
      </w:r>
    </w:p>
    <w:p>
      <w:pPr>
        <w:spacing w:after="0" w:line="3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151130</wp:posOffset>
            </wp:positionV>
            <wp:extent cx="5854700" cy="23145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854700"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60" w:type="dxa"/>
            <w:vAlign w:val="bottom"/>
            <w:gridSpan w:val="9"/>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0" w:type="dxa"/>
            <w:vAlign w:val="bottom"/>
            <w:gridSpan w:val="7"/>
          </w:tcPr>
          <w:p>
            <w:pPr>
              <w:ind w:left="20"/>
              <w:spacing w:after="0"/>
              <w:rPr>
                <w:sz w:val="20"/>
                <w:szCs w:val="20"/>
                <w:color w:val="auto"/>
              </w:rPr>
            </w:pPr>
            <w:r>
              <w:rPr>
                <w:rFonts w:ascii="Arial" w:cs="Arial" w:eastAsia="Arial" w:hAnsi="Arial"/>
                <w:sz w:val="14"/>
                <w:szCs w:val="14"/>
                <w:b w:val="1"/>
                <w:bCs w:val="1"/>
                <w:color w:val="auto"/>
              </w:rPr>
              <w:t>Nine Months Ended</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980" w:type="dxa"/>
            <w:vAlign w:val="bottom"/>
          </w:tcPr>
          <w:p>
            <w:pPr>
              <w:spacing w:after="0"/>
              <w:rPr>
                <w:sz w:val="15"/>
                <w:szCs w:val="15"/>
                <w:color w:val="auto"/>
              </w:rPr>
            </w:pPr>
          </w:p>
        </w:tc>
        <w:tc>
          <w:tcPr>
            <w:tcW w:w="20" w:type="dxa"/>
            <w:vAlign w:val="bottom"/>
            <w:tcBorders>
              <w:bottom w:val="single" w:sz="8" w:color="DC202E"/>
            </w:tcBorders>
          </w:tcPr>
          <w:p>
            <w:pPr>
              <w:spacing w:after="0"/>
              <w:rPr>
                <w:sz w:val="15"/>
                <w:szCs w:val="15"/>
                <w:color w:val="auto"/>
              </w:rPr>
            </w:pPr>
          </w:p>
        </w:tc>
        <w:tc>
          <w:tcPr>
            <w:tcW w:w="200" w:type="dxa"/>
            <w:vAlign w:val="bottom"/>
            <w:tcBorders>
              <w:bottom w:val="single" w:sz="8" w:color="DC202E"/>
            </w:tcBorders>
          </w:tcPr>
          <w:p>
            <w:pPr>
              <w:spacing w:after="0"/>
              <w:rPr>
                <w:sz w:val="15"/>
                <w:szCs w:val="15"/>
                <w:color w:val="auto"/>
              </w:rPr>
            </w:pPr>
          </w:p>
        </w:tc>
        <w:tc>
          <w:tcPr>
            <w:tcW w:w="700" w:type="dxa"/>
            <w:vAlign w:val="bottom"/>
            <w:tcBorders>
              <w:bottom w:val="single" w:sz="8" w:color="DC202E"/>
            </w:tcBorders>
          </w:tcPr>
          <w:p>
            <w:pPr>
              <w:spacing w:after="0"/>
              <w:rPr>
                <w:sz w:val="15"/>
                <w:szCs w:val="15"/>
                <w:color w:val="auto"/>
              </w:rPr>
            </w:pPr>
          </w:p>
        </w:tc>
        <w:tc>
          <w:tcPr>
            <w:tcW w:w="100" w:type="dxa"/>
            <w:vAlign w:val="bottom"/>
            <w:tcBorders>
              <w:bottom w:val="single" w:sz="8" w:color="DC202E"/>
            </w:tcBorders>
          </w:tcPr>
          <w:p>
            <w:pPr>
              <w:spacing w:after="0"/>
              <w:rPr>
                <w:sz w:val="15"/>
                <w:szCs w:val="15"/>
                <w:color w:val="auto"/>
              </w:rPr>
            </w:pPr>
          </w:p>
        </w:tc>
        <w:tc>
          <w:tcPr>
            <w:tcW w:w="1020" w:type="dxa"/>
            <w:vAlign w:val="bottom"/>
            <w:tcBorders>
              <w:bottom w:val="single" w:sz="8" w:color="DC202E"/>
            </w:tcBorders>
            <w:gridSpan w:val="4"/>
          </w:tcPr>
          <w:p>
            <w:pPr>
              <w:ind w:left="40"/>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DC202E"/>
            </w:tcBorders>
          </w:tcPr>
          <w:p>
            <w:pPr>
              <w:spacing w:after="0"/>
              <w:rPr>
                <w:sz w:val="15"/>
                <w:szCs w:val="15"/>
                <w:color w:val="auto"/>
              </w:rPr>
            </w:pPr>
          </w:p>
        </w:tc>
        <w:tc>
          <w:tcPr>
            <w:tcW w:w="120" w:type="dxa"/>
            <w:vAlign w:val="bottom"/>
            <w:tcBorders>
              <w:bottom w:val="single" w:sz="8" w:color="DC202E"/>
            </w:tcBorders>
          </w:tcPr>
          <w:p>
            <w:pPr>
              <w:spacing w:after="0"/>
              <w:rPr>
                <w:sz w:val="15"/>
                <w:szCs w:val="15"/>
                <w:color w:val="auto"/>
              </w:rPr>
            </w:pPr>
          </w:p>
        </w:tc>
        <w:tc>
          <w:tcPr>
            <w:tcW w:w="160" w:type="dxa"/>
            <w:vAlign w:val="bottom"/>
            <w:tcBorders>
              <w:bottom w:val="single" w:sz="8" w:color="DC202E"/>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DC202E"/>
            </w:tcBorders>
          </w:tcPr>
          <w:p>
            <w:pPr>
              <w:spacing w:after="0"/>
              <w:rPr>
                <w:sz w:val="15"/>
                <w:szCs w:val="15"/>
                <w:color w:val="auto"/>
              </w:rPr>
            </w:pPr>
          </w:p>
        </w:tc>
        <w:tc>
          <w:tcPr>
            <w:tcW w:w="540" w:type="dxa"/>
            <w:vAlign w:val="bottom"/>
            <w:tcBorders>
              <w:bottom w:val="single" w:sz="8" w:color="DC202E"/>
            </w:tcBorders>
          </w:tcPr>
          <w:p>
            <w:pPr>
              <w:spacing w:after="0"/>
              <w:rPr>
                <w:sz w:val="15"/>
                <w:szCs w:val="15"/>
                <w:color w:val="auto"/>
              </w:rPr>
            </w:pPr>
          </w:p>
        </w:tc>
        <w:tc>
          <w:tcPr>
            <w:tcW w:w="60" w:type="dxa"/>
            <w:vAlign w:val="bottom"/>
            <w:tcBorders>
              <w:bottom w:val="single" w:sz="8" w:color="DC202E"/>
            </w:tcBorders>
          </w:tcPr>
          <w:p>
            <w:pPr>
              <w:spacing w:after="0"/>
              <w:rPr>
                <w:sz w:val="15"/>
                <w:szCs w:val="15"/>
                <w:color w:val="auto"/>
              </w:rPr>
            </w:pPr>
          </w:p>
        </w:tc>
        <w:tc>
          <w:tcPr>
            <w:tcW w:w="60" w:type="dxa"/>
            <w:vAlign w:val="bottom"/>
            <w:tcBorders>
              <w:bottom w:val="single" w:sz="8" w:color="DC202E"/>
            </w:tcBorders>
          </w:tcPr>
          <w:p>
            <w:pPr>
              <w:spacing w:after="0"/>
              <w:rPr>
                <w:sz w:val="15"/>
                <w:szCs w:val="15"/>
                <w:color w:val="auto"/>
              </w:rPr>
            </w:pPr>
          </w:p>
        </w:tc>
        <w:tc>
          <w:tcPr>
            <w:tcW w:w="20" w:type="dxa"/>
            <w:vAlign w:val="bottom"/>
            <w:tcBorders>
              <w:bottom w:val="single" w:sz="8" w:color="DC202E"/>
            </w:tcBorders>
          </w:tcPr>
          <w:p>
            <w:pPr>
              <w:spacing w:after="0"/>
              <w:rPr>
                <w:sz w:val="15"/>
                <w:szCs w:val="15"/>
                <w:color w:val="auto"/>
              </w:rPr>
            </w:pPr>
          </w:p>
        </w:tc>
        <w:tc>
          <w:tcPr>
            <w:tcW w:w="100" w:type="dxa"/>
            <w:vAlign w:val="bottom"/>
            <w:tcBorders>
              <w:bottom w:val="single" w:sz="8" w:color="DC202E"/>
            </w:tcBorders>
          </w:tcPr>
          <w:p>
            <w:pPr>
              <w:spacing w:after="0"/>
              <w:rPr>
                <w:sz w:val="15"/>
                <w:szCs w:val="15"/>
                <w:color w:val="auto"/>
              </w:rPr>
            </w:pPr>
          </w:p>
        </w:tc>
        <w:tc>
          <w:tcPr>
            <w:tcW w:w="1220" w:type="dxa"/>
            <w:vAlign w:val="bottom"/>
            <w:tcBorders>
              <w:bottom w:val="single" w:sz="8" w:color="DC202E"/>
            </w:tcBorders>
            <w:gridSpan w:val="4"/>
          </w:tcPr>
          <w:p>
            <w:pPr>
              <w:ind w:left="20"/>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DC202E"/>
            </w:tcBorders>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98"/>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3"/>
        </w:trPr>
        <w:tc>
          <w:tcPr>
            <w:tcW w:w="4980" w:type="dxa"/>
            <w:vAlign w:val="bottom"/>
            <w:tcBorders>
              <w:bottom w:val="single" w:sz="8" w:color="DBDBDB"/>
            </w:tcBorders>
          </w:tcPr>
          <w:p>
            <w:pPr>
              <w:spacing w:after="0"/>
              <w:rPr>
                <w:sz w:val="15"/>
                <w:szCs w:val="15"/>
                <w:color w:val="auto"/>
              </w:rPr>
            </w:pPr>
          </w:p>
        </w:tc>
        <w:tc>
          <w:tcPr>
            <w:tcW w:w="20" w:type="dxa"/>
            <w:vAlign w:val="bottom"/>
            <w:tcBorders>
              <w:bottom w:val="single" w:sz="8" w:color="DC202E"/>
            </w:tcBorders>
          </w:tcPr>
          <w:p>
            <w:pPr>
              <w:spacing w:after="0"/>
              <w:rPr>
                <w:sz w:val="15"/>
                <w:szCs w:val="15"/>
                <w:color w:val="auto"/>
              </w:rPr>
            </w:pPr>
          </w:p>
        </w:tc>
        <w:tc>
          <w:tcPr>
            <w:tcW w:w="200" w:type="dxa"/>
            <w:vAlign w:val="bottom"/>
            <w:tcBorders>
              <w:bottom w:val="single" w:sz="8" w:color="DC202E"/>
            </w:tcBorders>
          </w:tcPr>
          <w:p>
            <w:pPr>
              <w:spacing w:after="0"/>
              <w:rPr>
                <w:sz w:val="15"/>
                <w:szCs w:val="15"/>
                <w:color w:val="auto"/>
              </w:rPr>
            </w:pPr>
          </w:p>
        </w:tc>
        <w:tc>
          <w:tcPr>
            <w:tcW w:w="700" w:type="dxa"/>
            <w:vAlign w:val="bottom"/>
            <w:tcBorders>
              <w:bottom w:val="single" w:sz="8" w:color="DC202E"/>
            </w:tcBorders>
            <w:vMerge w:val="continue"/>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200" w:type="dxa"/>
            <w:vAlign w:val="bottom"/>
            <w:tcBorders>
              <w:bottom w:val="single" w:sz="8" w:color="DC202E"/>
            </w:tcBorders>
          </w:tcPr>
          <w:p>
            <w:pPr>
              <w:spacing w:after="0"/>
              <w:rPr>
                <w:sz w:val="15"/>
                <w:szCs w:val="15"/>
                <w:color w:val="auto"/>
              </w:rPr>
            </w:pPr>
          </w:p>
        </w:tc>
        <w:tc>
          <w:tcPr>
            <w:tcW w:w="560" w:type="dxa"/>
            <w:vAlign w:val="bottom"/>
            <w:tcBorders>
              <w:bottom w:val="single" w:sz="8" w:color="DC202E"/>
            </w:tcBorders>
            <w:vMerge w:val="continue"/>
          </w:tcPr>
          <w:p>
            <w:pPr>
              <w:spacing w:after="0"/>
              <w:rPr>
                <w:sz w:val="15"/>
                <w:szCs w:val="15"/>
                <w:color w:val="auto"/>
              </w:rPr>
            </w:pPr>
          </w:p>
        </w:tc>
        <w:tc>
          <w:tcPr>
            <w:tcW w:w="140" w:type="dxa"/>
            <w:vAlign w:val="bottom"/>
            <w:tcBorders>
              <w:bottom w:val="single" w:sz="8" w:color="DC202E"/>
            </w:tcBorders>
          </w:tcPr>
          <w:p>
            <w:pPr>
              <w:spacing w:after="0"/>
              <w:rPr>
                <w:sz w:val="15"/>
                <w:szCs w:val="15"/>
                <w:color w:val="auto"/>
              </w:rPr>
            </w:pPr>
          </w:p>
        </w:tc>
        <w:tc>
          <w:tcPr>
            <w:tcW w:w="120" w:type="dxa"/>
            <w:vAlign w:val="bottom"/>
            <w:tcBorders>
              <w:bottom w:val="single" w:sz="8" w:color="DBDBDB"/>
            </w:tcBorders>
          </w:tcPr>
          <w:p>
            <w:pPr>
              <w:spacing w:after="0"/>
              <w:rPr>
                <w:sz w:val="15"/>
                <w:szCs w:val="15"/>
                <w:color w:val="auto"/>
              </w:rPr>
            </w:pPr>
          </w:p>
        </w:tc>
        <w:tc>
          <w:tcPr>
            <w:tcW w:w="1040" w:type="dxa"/>
            <w:vAlign w:val="bottom"/>
            <w:tcBorders>
              <w:bottom w:val="single" w:sz="8" w:color="DC202E"/>
            </w:tcBorders>
            <w:gridSpan w:val="3"/>
          </w:tcPr>
          <w:p>
            <w:pPr>
              <w:jc w:val="right"/>
              <w:ind w:right="260"/>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DBDBDB"/>
            </w:tcBorders>
          </w:tcPr>
          <w:p>
            <w:pPr>
              <w:spacing w:after="0"/>
              <w:rPr>
                <w:sz w:val="15"/>
                <w:szCs w:val="15"/>
                <w:color w:val="auto"/>
              </w:rPr>
            </w:pPr>
          </w:p>
        </w:tc>
        <w:tc>
          <w:tcPr>
            <w:tcW w:w="240" w:type="dxa"/>
            <w:vAlign w:val="bottom"/>
            <w:tcBorders>
              <w:bottom w:val="single" w:sz="8" w:color="DC202E"/>
            </w:tcBorders>
          </w:tcPr>
          <w:p>
            <w:pPr>
              <w:spacing w:after="0"/>
              <w:rPr>
                <w:sz w:val="15"/>
                <w:szCs w:val="15"/>
                <w:color w:val="auto"/>
              </w:rPr>
            </w:pPr>
          </w:p>
        </w:tc>
        <w:tc>
          <w:tcPr>
            <w:tcW w:w="540" w:type="dxa"/>
            <w:vAlign w:val="bottom"/>
            <w:tcBorders>
              <w:bottom w:val="single" w:sz="8" w:color="DC202E"/>
            </w:tcBorders>
            <w:vMerge w:val="continue"/>
          </w:tcPr>
          <w:p>
            <w:pPr>
              <w:spacing w:after="0"/>
              <w:rPr>
                <w:sz w:val="15"/>
                <w:szCs w:val="15"/>
                <w:color w:val="auto"/>
              </w:rPr>
            </w:pPr>
          </w:p>
        </w:tc>
        <w:tc>
          <w:tcPr>
            <w:tcW w:w="60" w:type="dxa"/>
            <w:vAlign w:val="bottom"/>
            <w:tcBorders>
              <w:bottom w:val="single" w:sz="8" w:color="DC202E"/>
            </w:tcBorders>
          </w:tcPr>
          <w:p>
            <w:pPr>
              <w:spacing w:after="0"/>
              <w:rPr>
                <w:sz w:val="15"/>
                <w:szCs w:val="15"/>
                <w:color w:val="auto"/>
              </w:rPr>
            </w:pPr>
          </w:p>
        </w:tc>
        <w:tc>
          <w:tcPr>
            <w:tcW w:w="60" w:type="dxa"/>
            <w:vAlign w:val="bottom"/>
            <w:tcBorders>
              <w:bottom w:val="single" w:sz="8" w:color="DC202E"/>
            </w:tcBorders>
          </w:tcPr>
          <w:p>
            <w:pPr>
              <w:spacing w:after="0"/>
              <w:rPr>
                <w:sz w:val="15"/>
                <w:szCs w:val="15"/>
                <w:color w:val="auto"/>
              </w:rPr>
            </w:pPr>
          </w:p>
        </w:tc>
        <w:tc>
          <w:tcPr>
            <w:tcW w:w="20" w:type="dxa"/>
            <w:vAlign w:val="bottom"/>
            <w:tcBorders>
              <w:bottom w:val="single" w:sz="8" w:color="DC202E"/>
            </w:tcBorders>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160" w:type="dxa"/>
            <w:vAlign w:val="bottom"/>
            <w:tcBorders>
              <w:bottom w:val="single" w:sz="8" w:color="DC202E"/>
            </w:tcBorders>
          </w:tcPr>
          <w:p>
            <w:pPr>
              <w:spacing w:after="0"/>
              <w:rPr>
                <w:sz w:val="15"/>
                <w:szCs w:val="15"/>
                <w:color w:val="auto"/>
              </w:rPr>
            </w:pPr>
          </w:p>
        </w:tc>
        <w:tc>
          <w:tcPr>
            <w:tcW w:w="740" w:type="dxa"/>
            <w:vAlign w:val="bottom"/>
            <w:tcBorders>
              <w:bottom w:val="single" w:sz="8" w:color="DC202E"/>
            </w:tcBorders>
            <w:vMerge w:val="continue"/>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220" w:type="dxa"/>
            <w:vAlign w:val="bottom"/>
            <w:tcBorders>
              <w:bottom w:val="single" w:sz="8" w:color="DC202E"/>
            </w:tcBorders>
          </w:tcPr>
          <w:p>
            <w:pPr>
              <w:spacing w:after="0"/>
              <w:rPr>
                <w:sz w:val="15"/>
                <w:szCs w:val="15"/>
                <w:color w:val="auto"/>
              </w:rPr>
            </w:pPr>
          </w:p>
        </w:tc>
        <w:tc>
          <w:tcPr>
            <w:tcW w:w="840" w:type="dxa"/>
            <w:vAlign w:val="bottom"/>
            <w:tcBorders>
              <w:bottom w:val="single" w:sz="8" w:color="DC202E"/>
            </w:tcBorders>
          </w:tcPr>
          <w:p>
            <w:pPr>
              <w:jc w:val="center"/>
              <w:ind w:right="13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30"/>
        </w:trPr>
        <w:tc>
          <w:tcPr>
            <w:tcW w:w="50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Net sales</w:t>
            </w:r>
          </w:p>
        </w:tc>
        <w:tc>
          <w:tcPr>
            <w:tcW w:w="20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2,732</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ind w:lef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DBDBDB"/>
          </w:tcPr>
          <w:p>
            <w:pPr>
              <w:jc w:val="right"/>
              <w:ind w:right="80"/>
              <w:spacing w:after="0"/>
              <w:rPr>
                <w:sz w:val="20"/>
                <w:szCs w:val="20"/>
                <w:color w:val="auto"/>
              </w:rPr>
            </w:pPr>
            <w:r>
              <w:rPr>
                <w:rFonts w:ascii="Arial" w:cs="Arial" w:eastAsia="Arial" w:hAnsi="Arial"/>
                <w:sz w:val="18"/>
                <w:szCs w:val="18"/>
                <w:color w:val="auto"/>
              </w:rPr>
              <w:t>2,662</w:t>
            </w:r>
          </w:p>
        </w:tc>
        <w:tc>
          <w:tcPr>
            <w:tcW w:w="120" w:type="dxa"/>
            <w:vAlign w:val="bottom"/>
            <w:shd w:val="clear" w:color="auto" w:fill="DBDBDB"/>
          </w:tcPr>
          <w:p>
            <w:pPr>
              <w:spacing w:after="0"/>
              <w:rPr>
                <w:sz w:val="19"/>
                <w:szCs w:val="19"/>
                <w:color w:val="auto"/>
              </w:rPr>
            </w:pPr>
          </w:p>
        </w:tc>
        <w:tc>
          <w:tcPr>
            <w:tcW w:w="1040" w:type="dxa"/>
            <w:vAlign w:val="bottom"/>
            <w:gridSpan w:val="3"/>
            <w:shd w:val="clear" w:color="auto" w:fill="DBDBDB"/>
          </w:tcPr>
          <w:p>
            <w:pPr>
              <w:jc w:val="right"/>
              <w:ind w:right="20"/>
              <w:spacing w:after="0"/>
              <w:rPr>
                <w:sz w:val="20"/>
                <w:szCs w:val="20"/>
                <w:color w:val="auto"/>
              </w:rPr>
            </w:pPr>
            <w:r>
              <w:rPr>
                <w:rFonts w:ascii="Arial" w:cs="Arial" w:eastAsia="Arial" w:hAnsi="Arial"/>
                <w:sz w:val="18"/>
                <w:szCs w:val="18"/>
                <w:color w:val="auto"/>
              </w:rPr>
              <w:t>3 %</w:t>
            </w:r>
          </w:p>
        </w:tc>
        <w:tc>
          <w:tcPr>
            <w:tcW w:w="340" w:type="dxa"/>
            <w:vAlign w:val="bottom"/>
            <w:gridSpan w:val="2"/>
            <w:shd w:val="clear" w:color="auto" w:fill="DBDBDB"/>
          </w:tcPr>
          <w:p>
            <w:pPr>
              <w:jc w:val="right"/>
              <w:ind w:right="39"/>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DBDBDB"/>
          </w:tcPr>
          <w:p>
            <w:pPr>
              <w:jc w:val="center"/>
              <w:ind w:left="34"/>
              <w:spacing w:after="0"/>
              <w:rPr>
                <w:sz w:val="20"/>
                <w:szCs w:val="20"/>
                <w:color w:val="auto"/>
              </w:rPr>
            </w:pPr>
            <w:r>
              <w:rPr>
                <w:rFonts w:ascii="Arial" w:cs="Arial" w:eastAsia="Arial" w:hAnsi="Arial"/>
                <w:sz w:val="18"/>
                <w:szCs w:val="18"/>
                <w:color w:val="auto"/>
                <w:w w:val="97"/>
              </w:rPr>
              <w:t>8,130</w:t>
            </w:r>
          </w:p>
        </w:tc>
        <w:tc>
          <w:tcPr>
            <w:tcW w:w="340" w:type="dxa"/>
            <w:vAlign w:val="bottom"/>
            <w:gridSpan w:val="4"/>
            <w:shd w:val="clear" w:color="auto" w:fill="DBDBDB"/>
          </w:tcPr>
          <w:p>
            <w:pPr>
              <w:ind w:left="200"/>
              <w:spacing w:after="0"/>
              <w:rPr>
                <w:sz w:val="20"/>
                <w:szCs w:val="20"/>
                <w:color w:val="auto"/>
              </w:rPr>
            </w:pPr>
            <w:r>
              <w:rPr>
                <w:rFonts w:ascii="Arial" w:cs="Arial" w:eastAsia="Arial" w:hAnsi="Arial"/>
                <w:sz w:val="18"/>
                <w:szCs w:val="18"/>
                <w:color w:val="auto"/>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8,566</w:t>
            </w: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5000" w:type="dxa"/>
            <w:vAlign w:val="bottom"/>
            <w:gridSpan w:val="2"/>
          </w:tcPr>
          <w:p>
            <w:pPr>
              <w:ind w:left="220"/>
              <w:spacing w:after="0"/>
              <w:rPr>
                <w:sz w:val="20"/>
                <w:szCs w:val="20"/>
                <w:color w:val="auto"/>
              </w:rPr>
            </w:pPr>
            <w:r>
              <w:rPr>
                <w:rFonts w:ascii="Arial" w:cs="Arial" w:eastAsia="Arial" w:hAnsi="Arial"/>
                <w:sz w:val="18"/>
                <w:szCs w:val="18"/>
                <w:color w:val="auto"/>
              </w:rPr>
              <w:t>Cost of products and services sold</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1,854</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gridSpan w:val="2"/>
          </w:tcPr>
          <w:p>
            <w:pPr>
              <w:jc w:val="center"/>
              <w:ind w:left="34"/>
              <w:spacing w:after="0"/>
              <w:rPr>
                <w:sz w:val="20"/>
                <w:szCs w:val="20"/>
                <w:color w:val="auto"/>
              </w:rPr>
            </w:pPr>
            <w:r>
              <w:rPr>
                <w:rFonts w:ascii="Arial" w:cs="Arial" w:eastAsia="Arial" w:hAnsi="Arial"/>
                <w:sz w:val="18"/>
                <w:szCs w:val="18"/>
                <w:color w:val="auto"/>
                <w:w w:val="97"/>
              </w:rPr>
              <w:t>5,330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DBDBDB"/>
          </w:tcPr>
          <w:p>
            <w:pPr>
              <w:ind w:left="220"/>
              <w:spacing w:after="0"/>
              <w:rPr>
                <w:sz w:val="20"/>
                <w:szCs w:val="20"/>
                <w:color w:val="auto"/>
              </w:rPr>
            </w:pPr>
            <w:r>
              <w:rPr>
                <w:rFonts w:ascii="Arial" w:cs="Arial" w:eastAsia="Arial" w:hAnsi="Arial"/>
                <w:sz w:val="18"/>
                <w:szCs w:val="18"/>
                <w:color w:val="auto"/>
              </w:rPr>
              <w:t>Selling, general and administrative and other expenses</w:t>
            </w:r>
          </w:p>
        </w:tc>
        <w:tc>
          <w:tcPr>
            <w:tcW w:w="20" w:type="dxa"/>
            <w:vAlign w:val="bottom"/>
            <w:tcBorders>
              <w:bottom w:val="single" w:sz="8" w:color="auto"/>
            </w:tcBorders>
            <w:shd w:val="clear" w:color="auto" w:fill="DBDBDB"/>
          </w:tcPr>
          <w:p>
            <w:pPr>
              <w:spacing w:after="0"/>
              <w:rPr>
                <w:sz w:val="19"/>
                <w:szCs w:val="19"/>
                <w:color w:val="auto"/>
              </w:rPr>
            </w:pPr>
          </w:p>
        </w:tc>
        <w:tc>
          <w:tcPr>
            <w:tcW w:w="200" w:type="dxa"/>
            <w:vAlign w:val="bottom"/>
            <w:tcBorders>
              <w:bottom w:val="single" w:sz="8" w:color="auto"/>
            </w:tcBorders>
            <w:shd w:val="clear" w:color="auto" w:fill="DBDBDB"/>
          </w:tcPr>
          <w:p>
            <w:pPr>
              <w:spacing w:after="0"/>
              <w:rPr>
                <w:sz w:val="19"/>
                <w:szCs w:val="19"/>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DBDBDB"/>
          </w:tcPr>
          <w:p>
            <w:pPr>
              <w:spacing w:after="0"/>
              <w:rPr>
                <w:sz w:val="19"/>
                <w:szCs w:val="19"/>
                <w:color w:val="auto"/>
              </w:rPr>
            </w:pPr>
          </w:p>
        </w:tc>
        <w:tc>
          <w:tcPr>
            <w:tcW w:w="200" w:type="dxa"/>
            <w:vAlign w:val="bottom"/>
            <w:tcBorders>
              <w:bottom w:val="single" w:sz="8" w:color="auto"/>
            </w:tcBorders>
            <w:shd w:val="clear" w:color="auto" w:fill="DBDBDB"/>
          </w:tcPr>
          <w:p>
            <w:pPr>
              <w:spacing w:after="0"/>
              <w:rPr>
                <w:sz w:val="19"/>
                <w:szCs w:val="19"/>
                <w:color w:val="auto"/>
              </w:rPr>
            </w:pPr>
          </w:p>
        </w:tc>
        <w:tc>
          <w:tcPr>
            <w:tcW w:w="700" w:type="dxa"/>
            <w:vAlign w:val="bottom"/>
            <w:tcBorders>
              <w:bottom w:val="single" w:sz="8" w:color="auto"/>
            </w:tcBorders>
            <w:gridSpan w:val="2"/>
            <w:shd w:val="clear" w:color="auto" w:fill="DBDBDB"/>
          </w:tcPr>
          <w:p>
            <w:pPr>
              <w:jc w:val="right"/>
              <w:ind w:right="80"/>
              <w:spacing w:after="0"/>
              <w:rPr>
                <w:sz w:val="20"/>
                <w:szCs w:val="20"/>
                <w:color w:val="auto"/>
              </w:rPr>
            </w:pPr>
            <w:r>
              <w:rPr>
                <w:rFonts w:ascii="Arial" w:cs="Arial" w:eastAsia="Arial" w:hAnsi="Arial"/>
                <w:sz w:val="18"/>
                <w:szCs w:val="18"/>
                <w:color w:val="auto"/>
              </w:rPr>
              <w:t>191</w:t>
            </w:r>
          </w:p>
        </w:tc>
        <w:tc>
          <w:tcPr>
            <w:tcW w:w="12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40" w:type="dxa"/>
            <w:vAlign w:val="bottom"/>
            <w:tcBorders>
              <w:bottom w:val="single" w:sz="8" w:color="auto"/>
            </w:tcBorders>
            <w:shd w:val="clear" w:color="auto" w:fill="DBDBDB"/>
          </w:tcPr>
          <w:p>
            <w:pPr>
              <w:spacing w:after="0"/>
              <w:rPr>
                <w:sz w:val="19"/>
                <w:szCs w:val="19"/>
                <w:color w:val="auto"/>
              </w:rPr>
            </w:pPr>
          </w:p>
        </w:tc>
        <w:tc>
          <w:tcPr>
            <w:tcW w:w="600" w:type="dxa"/>
            <w:vAlign w:val="bottom"/>
            <w:tcBorders>
              <w:bottom w:val="single" w:sz="8" w:color="auto"/>
            </w:tcBorders>
            <w:gridSpan w:val="2"/>
            <w:shd w:val="clear" w:color="auto" w:fill="DBDBDB"/>
          </w:tcPr>
          <w:p>
            <w:pPr>
              <w:jc w:val="right"/>
              <w:ind w:right="20"/>
              <w:spacing w:after="0"/>
              <w:rPr>
                <w:sz w:val="20"/>
                <w:szCs w:val="20"/>
                <w:color w:val="auto"/>
              </w:rPr>
            </w:pPr>
            <w:r>
              <w:rPr>
                <w:rFonts w:ascii="Arial" w:cs="Arial" w:eastAsia="Arial" w:hAnsi="Arial"/>
                <w:sz w:val="18"/>
                <w:szCs w:val="18"/>
                <w:color w:val="auto"/>
              </w:rPr>
              <w:t>588</w:t>
            </w:r>
          </w:p>
        </w:tc>
        <w:tc>
          <w:tcPr>
            <w:tcW w:w="60" w:type="dxa"/>
            <w:vAlign w:val="bottom"/>
            <w:tcBorders>
              <w:bottom w:val="single" w:sz="8" w:color="auto"/>
            </w:tcBorders>
            <w:shd w:val="clear" w:color="auto" w:fill="DBDBDB"/>
          </w:tcPr>
          <w:p>
            <w:pPr>
              <w:spacing w:after="0"/>
              <w:rPr>
                <w:sz w:val="19"/>
                <w:szCs w:val="19"/>
                <w:color w:val="auto"/>
              </w:rPr>
            </w:pPr>
          </w:p>
        </w:tc>
        <w:tc>
          <w:tcPr>
            <w:tcW w:w="20" w:type="dxa"/>
            <w:vAlign w:val="bottom"/>
            <w:tcBorders>
              <w:bottom w:val="single" w:sz="8" w:color="auto"/>
            </w:tcBorders>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60" w:type="dxa"/>
            <w:vAlign w:val="bottom"/>
            <w:tcBorders>
              <w:bottom w:val="single" w:sz="8" w:color="auto"/>
            </w:tcBorders>
            <w:shd w:val="clear" w:color="auto" w:fill="DBDBDB"/>
          </w:tcPr>
          <w:p>
            <w:pPr>
              <w:spacing w:after="0"/>
              <w:rPr>
                <w:sz w:val="19"/>
                <w:szCs w:val="19"/>
                <w:color w:val="auto"/>
              </w:rPr>
            </w:pPr>
          </w:p>
        </w:tc>
        <w:tc>
          <w:tcPr>
            <w:tcW w:w="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636</w:t>
            </w: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Pr>
          <w:p>
            <w:pPr>
              <w:ind w:left="20"/>
              <w:spacing w:after="0"/>
              <w:rPr>
                <w:sz w:val="20"/>
                <w:szCs w:val="20"/>
                <w:color w:val="auto"/>
              </w:rPr>
            </w:pPr>
            <w:r>
              <w:rPr>
                <w:rFonts w:ascii="Arial" w:cs="Arial" w:eastAsia="Arial" w:hAnsi="Arial"/>
                <w:sz w:val="18"/>
                <w:szCs w:val="18"/>
                <w:color w:val="auto"/>
              </w:rPr>
              <w:t>Segment profit</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w:t>
            </w:r>
          </w:p>
        </w:tc>
        <w:tc>
          <w:tcPr>
            <w:tcW w:w="100" w:type="dxa"/>
            <w:vAlign w:val="bottom"/>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617</w:t>
            </w:r>
          </w:p>
        </w:tc>
        <w:tc>
          <w:tcPr>
            <w:tcW w:w="120" w:type="dxa"/>
            <w:vAlign w:val="bottom"/>
          </w:tcPr>
          <w:p>
            <w:pPr>
              <w:spacing w:after="0"/>
              <w:rPr>
                <w:sz w:val="19"/>
                <w:szCs w:val="19"/>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20 %</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gridSpan w:val="2"/>
          </w:tcPr>
          <w:p>
            <w:pPr>
              <w:jc w:val="center"/>
              <w:ind w:left="34"/>
              <w:spacing w:after="0"/>
              <w:rPr>
                <w:sz w:val="20"/>
                <w:szCs w:val="20"/>
                <w:color w:val="auto"/>
              </w:rPr>
            </w:pPr>
            <w:r>
              <w:rPr>
                <w:rFonts w:ascii="Arial" w:cs="Arial" w:eastAsia="Arial" w:hAnsi="Arial"/>
                <w:sz w:val="18"/>
                <w:szCs w:val="18"/>
                <w:color w:val="auto"/>
                <w:w w:val="97"/>
              </w:rPr>
              <w:t>2,212</w:t>
            </w:r>
          </w:p>
        </w:tc>
        <w:tc>
          <w:tcPr>
            <w:tcW w:w="80" w:type="dxa"/>
            <w:vAlign w:val="bottom"/>
            <w:tcBorders>
              <w:bottom w:val="single" w:sz="8" w:color="auto"/>
            </w:tcBorders>
            <w:gridSpan w:val="2"/>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75"/>
        </w:trPr>
        <w:tc>
          <w:tcPr>
            <w:tcW w:w="4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Borders>
              <w:bottom w:val="single" w:sz="8" w:color="DC202E"/>
            </w:tcBorders>
          </w:tcPr>
          <w:p>
            <w:pPr>
              <w:spacing w:after="0"/>
              <w:rPr>
                <w:sz w:val="24"/>
                <w:szCs w:val="24"/>
                <w:color w:val="auto"/>
              </w:rPr>
            </w:pPr>
          </w:p>
        </w:tc>
        <w:tc>
          <w:tcPr>
            <w:tcW w:w="120" w:type="dxa"/>
            <w:vAlign w:val="bottom"/>
            <w:tcBorders>
              <w:bottom w:val="single" w:sz="8" w:color="DC202E"/>
            </w:tcBorders>
          </w:tcPr>
          <w:p>
            <w:pPr>
              <w:spacing w:after="0"/>
              <w:rPr>
                <w:sz w:val="24"/>
                <w:szCs w:val="24"/>
                <w:color w:val="auto"/>
              </w:rPr>
            </w:pPr>
          </w:p>
        </w:tc>
        <w:tc>
          <w:tcPr>
            <w:tcW w:w="760" w:type="dxa"/>
            <w:vAlign w:val="bottom"/>
            <w:tcBorders>
              <w:bottom w:val="single" w:sz="8" w:color="DC202E"/>
            </w:tcBorders>
          </w:tcPr>
          <w:p>
            <w:pPr>
              <w:spacing w:after="0"/>
              <w:rPr>
                <w:sz w:val="24"/>
                <w:szCs w:val="24"/>
                <w:color w:val="auto"/>
              </w:rPr>
            </w:pPr>
          </w:p>
        </w:tc>
        <w:tc>
          <w:tcPr>
            <w:tcW w:w="120" w:type="dxa"/>
            <w:vAlign w:val="bottom"/>
            <w:tcBorders>
              <w:bottom w:val="single" w:sz="8" w:color="DC202E"/>
            </w:tcBorders>
          </w:tcPr>
          <w:p>
            <w:pPr>
              <w:spacing w:after="0"/>
              <w:rPr>
                <w:sz w:val="24"/>
                <w:szCs w:val="24"/>
                <w:color w:val="auto"/>
              </w:rPr>
            </w:pPr>
          </w:p>
        </w:tc>
        <w:tc>
          <w:tcPr>
            <w:tcW w:w="160" w:type="dxa"/>
            <w:vAlign w:val="bottom"/>
            <w:tcBorders>
              <w:bottom w:val="single" w:sz="8" w:color="DC202E"/>
            </w:tcBorders>
          </w:tcPr>
          <w:p>
            <w:pPr>
              <w:spacing w:after="0"/>
              <w:rPr>
                <w:sz w:val="24"/>
                <w:szCs w:val="24"/>
                <w:color w:val="auto"/>
              </w:rPr>
            </w:pPr>
          </w:p>
        </w:tc>
        <w:tc>
          <w:tcPr>
            <w:tcW w:w="100" w:type="dxa"/>
            <w:vAlign w:val="bottom"/>
            <w:tcBorders>
              <w:bottom w:val="single" w:sz="8" w:color="DC202E"/>
            </w:tcBorders>
          </w:tcPr>
          <w:p>
            <w:pPr>
              <w:spacing w:after="0"/>
              <w:rPr>
                <w:sz w:val="24"/>
                <w:szCs w:val="24"/>
                <w:color w:val="auto"/>
              </w:rPr>
            </w:pPr>
          </w:p>
        </w:tc>
        <w:tc>
          <w:tcPr>
            <w:tcW w:w="240" w:type="dxa"/>
            <w:vAlign w:val="bottom"/>
            <w:tcBorders>
              <w:bottom w:val="single" w:sz="8" w:color="DC202E"/>
            </w:tcBorders>
          </w:tcPr>
          <w:p>
            <w:pPr>
              <w:spacing w:after="0"/>
              <w:rPr>
                <w:sz w:val="24"/>
                <w:szCs w:val="24"/>
                <w:color w:val="auto"/>
              </w:rPr>
            </w:pPr>
          </w:p>
        </w:tc>
        <w:tc>
          <w:tcPr>
            <w:tcW w:w="2000" w:type="dxa"/>
            <w:vAlign w:val="bottom"/>
            <w:tcBorders>
              <w:bottom w:val="single" w:sz="8" w:color="DC202E"/>
            </w:tcBorders>
            <w:gridSpan w:val="9"/>
          </w:tcPr>
          <w:p>
            <w:pPr>
              <w:ind w:left="140"/>
              <w:spacing w:after="0"/>
              <w:rPr>
                <w:sz w:val="20"/>
                <w:szCs w:val="20"/>
                <w:color w:val="auto"/>
              </w:rPr>
            </w:pPr>
            <w:r>
              <w:rPr>
                <w:rFonts w:ascii="Arial" w:cs="Arial" w:eastAsia="Arial" w:hAnsi="Arial"/>
                <w:sz w:val="14"/>
                <w:szCs w:val="14"/>
                <w:b w:val="1"/>
                <w:bCs w:val="1"/>
                <w:color w:val="auto"/>
              </w:rPr>
              <w:t>2021 vs. 2020</w:t>
            </w:r>
          </w:p>
        </w:tc>
        <w:tc>
          <w:tcPr>
            <w:tcW w:w="840" w:type="dxa"/>
            <w:vAlign w:val="bottom"/>
            <w:tcBorders>
              <w:bottom w:val="single" w:sz="8" w:color="DC202E"/>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gridSpan w:val="7"/>
          </w:tcPr>
          <w:p>
            <w:pPr>
              <w:jc w:val="right"/>
              <w:ind w:right="440"/>
              <w:spacing w:after="0" w:line="149" w:lineRule="exact"/>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00" w:type="dxa"/>
            <w:vAlign w:val="bottom"/>
            <w:gridSpan w:val="4"/>
          </w:tcPr>
          <w:p>
            <w:pPr>
              <w:jc w:val="right"/>
              <w:ind w:right="337"/>
              <w:spacing w:after="0" w:line="149" w:lineRule="exact"/>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3"/>
        </w:trPr>
        <w:tc>
          <w:tcPr>
            <w:tcW w:w="4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Borders>
              <w:bottom w:val="single" w:sz="8" w:color="DC202E"/>
            </w:tcBorders>
          </w:tcPr>
          <w:p>
            <w:pPr>
              <w:spacing w:after="0"/>
              <w:rPr>
                <w:sz w:val="15"/>
                <w:szCs w:val="15"/>
                <w:color w:val="auto"/>
              </w:rPr>
            </w:pPr>
          </w:p>
        </w:tc>
        <w:tc>
          <w:tcPr>
            <w:tcW w:w="120" w:type="dxa"/>
            <w:vAlign w:val="bottom"/>
            <w:tcBorders>
              <w:bottom w:val="single" w:sz="8" w:color="DC202E"/>
            </w:tcBorders>
          </w:tcPr>
          <w:p>
            <w:pPr>
              <w:spacing w:after="0"/>
              <w:rPr>
                <w:sz w:val="15"/>
                <w:szCs w:val="15"/>
                <w:color w:val="auto"/>
              </w:rPr>
            </w:pPr>
          </w:p>
        </w:tc>
        <w:tc>
          <w:tcPr>
            <w:tcW w:w="1380" w:type="dxa"/>
            <w:vAlign w:val="bottom"/>
            <w:tcBorders>
              <w:bottom w:val="single" w:sz="8" w:color="DC202E"/>
            </w:tcBorders>
            <w:gridSpan w:val="5"/>
          </w:tcPr>
          <w:p>
            <w:pPr>
              <w:jc w:val="right"/>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DC202E"/>
            </w:tcBorders>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Borders>
              <w:bottom w:val="single" w:sz="8" w:color="DC202E"/>
            </w:tcBorders>
          </w:tcPr>
          <w:p>
            <w:pPr>
              <w:spacing w:after="0"/>
              <w:rPr>
                <w:sz w:val="15"/>
                <w:szCs w:val="15"/>
                <w:color w:val="auto"/>
              </w:rPr>
            </w:pPr>
          </w:p>
        </w:tc>
        <w:tc>
          <w:tcPr>
            <w:tcW w:w="100" w:type="dxa"/>
            <w:vAlign w:val="bottom"/>
            <w:tcBorders>
              <w:bottom w:val="single" w:sz="8" w:color="DC202E"/>
            </w:tcBorders>
          </w:tcPr>
          <w:p>
            <w:pPr>
              <w:spacing w:after="0"/>
              <w:rPr>
                <w:sz w:val="15"/>
                <w:szCs w:val="15"/>
                <w:color w:val="auto"/>
              </w:rPr>
            </w:pPr>
          </w:p>
        </w:tc>
        <w:tc>
          <w:tcPr>
            <w:tcW w:w="160" w:type="dxa"/>
            <w:vAlign w:val="bottom"/>
            <w:tcBorders>
              <w:bottom w:val="single" w:sz="8" w:color="DC202E"/>
            </w:tcBorders>
          </w:tcPr>
          <w:p>
            <w:pPr>
              <w:spacing w:after="0"/>
              <w:rPr>
                <w:sz w:val="15"/>
                <w:szCs w:val="15"/>
                <w:color w:val="auto"/>
              </w:rPr>
            </w:pPr>
          </w:p>
        </w:tc>
        <w:tc>
          <w:tcPr>
            <w:tcW w:w="1900" w:type="dxa"/>
            <w:vAlign w:val="bottom"/>
            <w:tcBorders>
              <w:bottom w:val="single" w:sz="8" w:color="DC202E"/>
            </w:tcBorders>
            <w:gridSpan w:val="4"/>
          </w:tcPr>
          <w:p>
            <w:pPr>
              <w:jc w:val="right"/>
              <w:ind w:right="517"/>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8"/>
        </w:trPr>
        <w:tc>
          <w:tcPr>
            <w:tcW w:w="5000" w:type="dxa"/>
            <w:vAlign w:val="bottom"/>
            <w:gridSpan w:val="2"/>
            <w:vMerge w:val="restart"/>
          </w:tcPr>
          <w:p>
            <w:pPr>
              <w:ind w:left="1760"/>
              <w:spacing w:after="0"/>
              <w:rPr>
                <w:sz w:val="20"/>
                <w:szCs w:val="20"/>
                <w:color w:val="auto"/>
              </w:rPr>
            </w:pPr>
            <w:r>
              <w:rPr>
                <w:rFonts w:ascii="Arial" w:cs="Arial" w:eastAsia="Arial" w:hAnsi="Arial"/>
                <w:sz w:val="14"/>
                <w:szCs w:val="14"/>
                <w:b w:val="1"/>
                <w:bCs w:val="1"/>
                <w:color w:val="auto"/>
              </w:rPr>
              <w:t>Factors Contributing to Year-Over-Year Change</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vMerge w:val="restart"/>
          </w:tcPr>
          <w:p>
            <w:pPr>
              <w:jc w:val="right"/>
              <w:ind w:right="600"/>
              <w:spacing w:after="0"/>
              <w:rPr>
                <w:sz w:val="20"/>
                <w:szCs w:val="20"/>
                <w:color w:val="auto"/>
              </w:rPr>
            </w:pPr>
            <w:r>
              <w:rPr>
                <w:rFonts w:ascii="Arial" w:cs="Arial" w:eastAsia="Arial" w:hAnsi="Arial"/>
                <w:sz w:val="14"/>
                <w:szCs w:val="14"/>
                <w:b w:val="1"/>
                <w:bCs w:val="1"/>
                <w:color w:val="auto"/>
              </w:rPr>
              <w:t>Sales</w:t>
            </w:r>
          </w:p>
        </w:tc>
        <w:tc>
          <w:tcPr>
            <w:tcW w:w="94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rPr>
              <w:t>Segment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Sales</w:t>
            </w:r>
          </w:p>
        </w:tc>
        <w:tc>
          <w:tcPr>
            <w:tcW w:w="84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rPr>
              <w:t>Segment</w:t>
            </w:r>
          </w:p>
        </w:tc>
        <w:tc>
          <w:tcPr>
            <w:tcW w:w="0" w:type="dxa"/>
            <w:vAlign w:val="bottom"/>
          </w:tcPr>
          <w:p>
            <w:pPr>
              <w:spacing w:after="0"/>
              <w:rPr>
                <w:sz w:val="1"/>
                <w:szCs w:val="1"/>
                <w:color w:val="auto"/>
              </w:rPr>
            </w:pPr>
          </w:p>
        </w:tc>
      </w:tr>
      <w:tr>
        <w:trPr>
          <w:trHeight w:val="183"/>
        </w:trPr>
        <w:tc>
          <w:tcPr>
            <w:tcW w:w="50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8"/>
              </w:rPr>
              <w:t>Profit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3"/>
            <w:vMerge w:val="continue"/>
          </w:tcPr>
          <w:p>
            <w:pPr>
              <w:spacing w:after="0"/>
              <w:rPr>
                <w:sz w:val="15"/>
                <w:szCs w:val="15"/>
                <w:color w:val="auto"/>
              </w:rPr>
            </w:pPr>
          </w:p>
        </w:tc>
        <w:tc>
          <w:tcPr>
            <w:tcW w:w="840" w:type="dxa"/>
            <w:vAlign w:val="bottom"/>
          </w:tcPr>
          <w:p>
            <w:pPr>
              <w:jc w:val="center"/>
              <w:ind w:right="137"/>
              <w:spacing w:after="0"/>
              <w:rPr>
                <w:sz w:val="20"/>
                <w:szCs w:val="20"/>
                <w:color w:val="auto"/>
              </w:rPr>
            </w:pPr>
            <w:r>
              <w:rPr>
                <w:rFonts w:ascii="Arial" w:cs="Arial" w:eastAsia="Arial" w:hAnsi="Arial"/>
                <w:sz w:val="14"/>
                <w:szCs w:val="14"/>
                <w:b w:val="1"/>
                <w:bCs w:val="1"/>
                <w:color w:val="auto"/>
              </w:rPr>
              <w:t>Profit</w:t>
            </w:r>
          </w:p>
        </w:tc>
        <w:tc>
          <w:tcPr>
            <w:tcW w:w="0" w:type="dxa"/>
            <w:vAlign w:val="bottom"/>
          </w:tcPr>
          <w:p>
            <w:pPr>
              <w:spacing w:after="0"/>
              <w:rPr>
                <w:sz w:val="1"/>
                <w:szCs w:val="1"/>
                <w:color w:val="auto"/>
              </w:rPr>
            </w:pPr>
          </w:p>
        </w:tc>
      </w:tr>
      <w:tr>
        <w:trPr>
          <w:trHeight w:val="230"/>
        </w:trPr>
        <w:tc>
          <w:tcPr>
            <w:tcW w:w="5000" w:type="dxa"/>
            <w:vAlign w:val="bottom"/>
            <w:tcBorders>
              <w:top w:val="single" w:sz="8" w:color="DC202E"/>
            </w:tcBorders>
            <w:gridSpan w:val="2"/>
            <w:shd w:val="clear" w:color="auto" w:fill="DBDBDB"/>
          </w:tcPr>
          <w:p>
            <w:pPr>
              <w:ind w:left="20"/>
              <w:spacing w:after="0" w:line="230" w:lineRule="exact"/>
              <w:rPr>
                <w:sz w:val="20"/>
                <w:szCs w:val="20"/>
                <w:color w:val="auto"/>
              </w:rPr>
            </w:pPr>
            <w:r>
              <w:rPr>
                <w:rFonts w:ascii="Arial" w:cs="Arial" w:eastAsia="Arial" w:hAnsi="Arial"/>
                <w:sz w:val="18"/>
                <w:szCs w:val="18"/>
                <w:color w:val="auto"/>
              </w:rPr>
              <w:t>Organic</w:t>
            </w:r>
            <w:r>
              <w:rPr>
                <w:rFonts w:ascii="Arial" w:cs="Arial" w:eastAsia="Arial" w:hAnsi="Arial"/>
                <w:sz w:val="23"/>
                <w:szCs w:val="23"/>
                <w:color w:val="auto"/>
                <w:vertAlign w:val="superscript"/>
              </w:rPr>
              <w:t>(1)</w:t>
            </w:r>
          </w:p>
        </w:tc>
        <w:tc>
          <w:tcPr>
            <w:tcW w:w="200" w:type="dxa"/>
            <w:vAlign w:val="bottom"/>
            <w:tcBorders>
              <w:top w:val="single" w:sz="8" w:color="DC202E"/>
            </w:tcBorders>
            <w:shd w:val="clear" w:color="auto" w:fill="DBDBDB"/>
          </w:tcPr>
          <w:p>
            <w:pPr>
              <w:spacing w:after="0"/>
              <w:rPr>
                <w:sz w:val="19"/>
                <w:szCs w:val="19"/>
                <w:color w:val="auto"/>
              </w:rPr>
            </w:pPr>
          </w:p>
        </w:tc>
        <w:tc>
          <w:tcPr>
            <w:tcW w:w="700" w:type="dxa"/>
            <w:vAlign w:val="bottom"/>
            <w:tcBorders>
              <w:top w:val="single" w:sz="8" w:color="DC202E"/>
            </w:tcBorders>
            <w:shd w:val="clear" w:color="auto" w:fill="DBDBDB"/>
          </w:tcPr>
          <w:p>
            <w:pPr>
              <w:spacing w:after="0"/>
              <w:rPr>
                <w:sz w:val="19"/>
                <w:szCs w:val="19"/>
                <w:color w:val="auto"/>
              </w:rPr>
            </w:pPr>
          </w:p>
        </w:tc>
        <w:tc>
          <w:tcPr>
            <w:tcW w:w="100" w:type="dxa"/>
            <w:vAlign w:val="bottom"/>
            <w:tcBorders>
              <w:top w:val="single" w:sz="8" w:color="DC202E"/>
            </w:tcBorders>
            <w:shd w:val="clear" w:color="auto" w:fill="DBDBDB"/>
          </w:tcPr>
          <w:p>
            <w:pPr>
              <w:spacing w:after="0"/>
              <w:rPr>
                <w:sz w:val="19"/>
                <w:szCs w:val="19"/>
                <w:color w:val="auto"/>
              </w:rPr>
            </w:pPr>
          </w:p>
        </w:tc>
        <w:tc>
          <w:tcPr>
            <w:tcW w:w="200" w:type="dxa"/>
            <w:vAlign w:val="bottom"/>
            <w:tcBorders>
              <w:top w:val="single" w:sz="8" w:color="DC202E"/>
            </w:tcBorders>
            <w:shd w:val="clear" w:color="auto" w:fill="DBDBDB"/>
          </w:tcPr>
          <w:p>
            <w:pPr>
              <w:spacing w:after="0"/>
              <w:rPr>
                <w:sz w:val="19"/>
                <w:szCs w:val="19"/>
                <w:color w:val="auto"/>
              </w:rPr>
            </w:pPr>
          </w:p>
        </w:tc>
        <w:tc>
          <w:tcPr>
            <w:tcW w:w="560" w:type="dxa"/>
            <w:vAlign w:val="bottom"/>
            <w:tcBorders>
              <w:top w:val="single" w:sz="8" w:color="DC202E"/>
            </w:tcBorders>
            <w:shd w:val="clear" w:color="auto" w:fill="DBDBDB"/>
          </w:tcPr>
          <w:p>
            <w:pPr>
              <w:spacing w:after="0"/>
              <w:rPr>
                <w:sz w:val="19"/>
                <w:szCs w:val="19"/>
                <w:color w:val="auto"/>
              </w:rPr>
            </w:pPr>
          </w:p>
        </w:tc>
        <w:tc>
          <w:tcPr>
            <w:tcW w:w="140" w:type="dxa"/>
            <w:vAlign w:val="bottom"/>
            <w:tcBorders>
              <w:top w:val="single" w:sz="8" w:color="DC202E"/>
            </w:tcBorders>
            <w:shd w:val="clear" w:color="auto" w:fill="DBDBDB"/>
          </w:tcPr>
          <w:p>
            <w:pPr>
              <w:spacing w:after="0"/>
              <w:rPr>
                <w:sz w:val="19"/>
                <w:szCs w:val="19"/>
                <w:color w:val="auto"/>
              </w:rPr>
            </w:pPr>
          </w:p>
        </w:tc>
        <w:tc>
          <w:tcPr>
            <w:tcW w:w="120" w:type="dxa"/>
            <w:vAlign w:val="bottom"/>
            <w:tcBorders>
              <w:top w:val="single" w:sz="8" w:color="DC202E"/>
            </w:tcBorders>
            <w:shd w:val="clear" w:color="auto" w:fill="DBDBDB"/>
          </w:tcPr>
          <w:p>
            <w:pPr>
              <w:spacing w:after="0"/>
              <w:rPr>
                <w:sz w:val="19"/>
                <w:szCs w:val="19"/>
                <w:color w:val="auto"/>
              </w:rPr>
            </w:pPr>
          </w:p>
        </w:tc>
        <w:tc>
          <w:tcPr>
            <w:tcW w:w="760" w:type="dxa"/>
            <w:vAlign w:val="bottom"/>
            <w:tcBorders>
              <w:top w:val="single" w:sz="8" w:color="DC202E"/>
            </w:tcBorders>
            <w:shd w:val="clear" w:color="auto" w:fill="DBDBDB"/>
          </w:tcPr>
          <w:p>
            <w:pPr>
              <w:jc w:val="right"/>
              <w:spacing w:after="0"/>
              <w:rPr>
                <w:sz w:val="20"/>
                <w:szCs w:val="20"/>
                <w:color w:val="auto"/>
              </w:rPr>
            </w:pPr>
            <w:r>
              <w:rPr>
                <w:rFonts w:ascii="Arial" w:cs="Arial" w:eastAsia="Arial" w:hAnsi="Arial"/>
                <w:sz w:val="18"/>
                <w:szCs w:val="18"/>
                <w:color w:val="auto"/>
              </w:rPr>
              <w:t>2 %</w:t>
            </w:r>
          </w:p>
        </w:tc>
        <w:tc>
          <w:tcPr>
            <w:tcW w:w="120" w:type="dxa"/>
            <w:vAlign w:val="bottom"/>
            <w:tcBorders>
              <w:top w:val="single" w:sz="8" w:color="DBDBDB"/>
            </w:tcBorders>
            <w:shd w:val="clear" w:color="auto" w:fill="DBDBDB"/>
          </w:tcPr>
          <w:p>
            <w:pPr>
              <w:spacing w:after="0"/>
              <w:rPr>
                <w:sz w:val="19"/>
                <w:szCs w:val="19"/>
                <w:color w:val="auto"/>
              </w:rPr>
            </w:pPr>
          </w:p>
        </w:tc>
        <w:tc>
          <w:tcPr>
            <w:tcW w:w="160" w:type="dxa"/>
            <w:vAlign w:val="bottom"/>
            <w:tcBorders>
              <w:top w:val="single" w:sz="8" w:color="DC202E"/>
            </w:tcBorders>
            <w:shd w:val="clear" w:color="auto" w:fill="DBDBDB"/>
          </w:tcPr>
          <w:p>
            <w:pPr>
              <w:spacing w:after="0"/>
              <w:rPr>
                <w:sz w:val="19"/>
                <w:szCs w:val="19"/>
                <w:color w:val="auto"/>
              </w:rPr>
            </w:pPr>
          </w:p>
        </w:tc>
        <w:tc>
          <w:tcPr>
            <w:tcW w:w="100" w:type="dxa"/>
            <w:vAlign w:val="bottom"/>
            <w:tcBorders>
              <w:top w:val="single" w:sz="8" w:color="DC202E"/>
            </w:tcBorders>
            <w:shd w:val="clear" w:color="auto" w:fill="DBDBDB"/>
          </w:tcPr>
          <w:p>
            <w:pPr>
              <w:spacing w:after="0"/>
              <w:rPr>
                <w:sz w:val="19"/>
                <w:szCs w:val="19"/>
                <w:color w:val="auto"/>
              </w:rPr>
            </w:pPr>
          </w:p>
        </w:tc>
        <w:tc>
          <w:tcPr>
            <w:tcW w:w="240" w:type="dxa"/>
            <w:vAlign w:val="bottom"/>
            <w:tcBorders>
              <w:top w:val="single" w:sz="8" w:color="DC202E"/>
            </w:tcBorders>
            <w:shd w:val="clear" w:color="auto" w:fill="DBDBDB"/>
          </w:tcPr>
          <w:p>
            <w:pPr>
              <w:spacing w:after="0"/>
              <w:rPr>
                <w:sz w:val="19"/>
                <w:szCs w:val="19"/>
                <w:color w:val="auto"/>
              </w:rPr>
            </w:pPr>
          </w:p>
        </w:tc>
        <w:tc>
          <w:tcPr>
            <w:tcW w:w="540" w:type="dxa"/>
            <w:vAlign w:val="bottom"/>
            <w:tcBorders>
              <w:top w:val="single" w:sz="8" w:color="DC202E"/>
            </w:tcBorders>
            <w:shd w:val="clear" w:color="auto" w:fill="DBDBDB"/>
          </w:tcPr>
          <w:p>
            <w:pPr>
              <w:jc w:val="right"/>
              <w:spacing w:after="0"/>
              <w:rPr>
                <w:sz w:val="20"/>
                <w:szCs w:val="20"/>
                <w:color w:val="auto"/>
              </w:rPr>
            </w:pPr>
            <w:r>
              <w:rPr>
                <w:rFonts w:ascii="Arial" w:cs="Arial" w:eastAsia="Arial" w:hAnsi="Arial"/>
                <w:sz w:val="18"/>
                <w:szCs w:val="18"/>
                <w:color w:val="auto"/>
              </w:rPr>
              <w:t>17 %</w:t>
            </w:r>
          </w:p>
        </w:tc>
        <w:tc>
          <w:tcPr>
            <w:tcW w:w="60" w:type="dxa"/>
            <w:vAlign w:val="bottom"/>
            <w:tcBorders>
              <w:top w:val="single" w:sz="8" w:color="DBDBDB"/>
            </w:tcBorders>
            <w:shd w:val="clear" w:color="auto" w:fill="DBDBDB"/>
          </w:tcPr>
          <w:p>
            <w:pPr>
              <w:spacing w:after="0"/>
              <w:rPr>
                <w:sz w:val="19"/>
                <w:szCs w:val="19"/>
                <w:color w:val="auto"/>
              </w:rPr>
            </w:pPr>
          </w:p>
        </w:tc>
        <w:tc>
          <w:tcPr>
            <w:tcW w:w="60" w:type="dxa"/>
            <w:vAlign w:val="bottom"/>
            <w:tcBorders>
              <w:top w:val="single" w:sz="8" w:color="DBDBDB"/>
            </w:tcBorders>
            <w:shd w:val="clear" w:color="auto" w:fill="DBDBDB"/>
          </w:tcPr>
          <w:p>
            <w:pPr>
              <w:spacing w:after="0"/>
              <w:rPr>
                <w:sz w:val="19"/>
                <w:szCs w:val="19"/>
                <w:color w:val="auto"/>
              </w:rPr>
            </w:pPr>
          </w:p>
        </w:tc>
        <w:tc>
          <w:tcPr>
            <w:tcW w:w="20" w:type="dxa"/>
            <w:vAlign w:val="bottom"/>
            <w:tcBorders>
              <w:top w:val="single" w:sz="8" w:color="DC202E"/>
            </w:tcBorders>
            <w:shd w:val="clear" w:color="auto" w:fill="DBDBDB"/>
          </w:tcPr>
          <w:p>
            <w:pPr>
              <w:spacing w:after="0"/>
              <w:rPr>
                <w:sz w:val="19"/>
                <w:szCs w:val="19"/>
                <w:color w:val="auto"/>
              </w:rPr>
            </w:pPr>
          </w:p>
        </w:tc>
        <w:tc>
          <w:tcPr>
            <w:tcW w:w="100" w:type="dxa"/>
            <w:vAlign w:val="bottom"/>
            <w:tcBorders>
              <w:top w:val="single" w:sz="8" w:color="DC202E"/>
            </w:tcBorders>
            <w:shd w:val="clear" w:color="auto" w:fill="DBDBDB"/>
          </w:tcPr>
          <w:p>
            <w:pPr>
              <w:spacing w:after="0"/>
              <w:rPr>
                <w:sz w:val="19"/>
                <w:szCs w:val="19"/>
                <w:color w:val="auto"/>
              </w:rPr>
            </w:pPr>
          </w:p>
        </w:tc>
        <w:tc>
          <w:tcPr>
            <w:tcW w:w="160" w:type="dxa"/>
            <w:vAlign w:val="bottom"/>
            <w:tcBorders>
              <w:top w:val="single" w:sz="8" w:color="DC202E"/>
            </w:tcBorders>
            <w:shd w:val="clear" w:color="auto" w:fill="DBDBDB"/>
          </w:tcPr>
          <w:p>
            <w:pPr>
              <w:spacing w:after="0"/>
              <w:rPr>
                <w:sz w:val="19"/>
                <w:szCs w:val="19"/>
                <w:color w:val="auto"/>
              </w:rPr>
            </w:pPr>
          </w:p>
        </w:tc>
        <w:tc>
          <w:tcPr>
            <w:tcW w:w="740" w:type="dxa"/>
            <w:vAlign w:val="bottom"/>
            <w:tcBorders>
              <w:top w:val="single" w:sz="8" w:color="DC202E"/>
            </w:tcBorders>
            <w:shd w:val="clear" w:color="auto" w:fill="DBDBDB"/>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DBDBDB"/>
            </w:tcBorders>
            <w:shd w:val="clear" w:color="auto" w:fill="DBDBDB"/>
          </w:tcPr>
          <w:p>
            <w:pPr>
              <w:spacing w:after="0"/>
              <w:rPr>
                <w:sz w:val="19"/>
                <w:szCs w:val="19"/>
                <w:color w:val="auto"/>
              </w:rPr>
            </w:pPr>
          </w:p>
        </w:tc>
        <w:tc>
          <w:tcPr>
            <w:tcW w:w="220" w:type="dxa"/>
            <w:vAlign w:val="bottom"/>
            <w:tcBorders>
              <w:top w:val="single" w:sz="8" w:color="DC202E"/>
            </w:tcBorders>
            <w:shd w:val="clear" w:color="auto" w:fill="DBDBDB"/>
          </w:tcPr>
          <w:p>
            <w:pPr>
              <w:spacing w:after="0"/>
              <w:rPr>
                <w:sz w:val="19"/>
                <w:szCs w:val="19"/>
                <w:color w:val="auto"/>
              </w:rPr>
            </w:pPr>
          </w:p>
        </w:tc>
        <w:tc>
          <w:tcPr>
            <w:tcW w:w="840" w:type="dxa"/>
            <w:vAlign w:val="bottom"/>
            <w:tcBorders>
              <w:top w:val="single" w:sz="8" w:color="DC202E"/>
            </w:tcBorders>
            <w:shd w:val="clear" w:color="auto" w:fill="DBDBDB"/>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30"/>
        </w:trPr>
        <w:tc>
          <w:tcPr>
            <w:tcW w:w="5000" w:type="dxa"/>
            <w:vAlign w:val="bottom"/>
            <w:gridSpan w:val="2"/>
          </w:tcPr>
          <w:p>
            <w:pPr>
              <w:ind w:left="20"/>
              <w:spacing w:after="0"/>
              <w:rPr>
                <w:sz w:val="20"/>
                <w:szCs w:val="20"/>
                <w:color w:val="auto"/>
              </w:rPr>
            </w:pPr>
            <w:r>
              <w:rPr>
                <w:rFonts w:ascii="Arial" w:cs="Arial" w:eastAsia="Arial" w:hAnsi="Arial"/>
                <w:sz w:val="18"/>
                <w:szCs w:val="18"/>
                <w:color w:val="auto"/>
              </w:rPr>
              <w:t>Foreign currency translation</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3"/>
          </w:tcPr>
          <w:p>
            <w:pPr>
              <w:jc w:val="right"/>
              <w:ind w:right="30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jc w:val="center"/>
              <w:ind w:left="94"/>
              <w:spacing w:after="0"/>
              <w:rPr>
                <w:sz w:val="20"/>
                <w:szCs w:val="20"/>
                <w:color w:val="auto"/>
              </w:rPr>
            </w:pPr>
            <w:r>
              <w:rPr>
                <w:rFonts w:ascii="Arial" w:cs="Arial" w:eastAsia="Arial" w:hAnsi="Arial"/>
                <w:sz w:val="18"/>
                <w:szCs w:val="18"/>
                <w:color w:val="auto"/>
              </w:rPr>
              <w:t>1 %</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50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Acquisitions, divestitures and other, net</w:t>
            </w:r>
          </w:p>
        </w:tc>
        <w:tc>
          <w:tcPr>
            <w:tcW w:w="200" w:type="dxa"/>
            <w:vAlign w:val="bottom"/>
            <w:shd w:val="clear" w:color="auto" w:fill="DBDBDB"/>
          </w:tcPr>
          <w:p>
            <w:pPr>
              <w:spacing w:after="0"/>
              <w:rPr>
                <w:sz w:val="19"/>
                <w:szCs w:val="19"/>
                <w:color w:val="auto"/>
              </w:rPr>
            </w:pPr>
          </w:p>
        </w:tc>
        <w:tc>
          <w:tcPr>
            <w:tcW w:w="7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56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1 %</w:t>
            </w:r>
          </w:p>
        </w:tc>
        <w:tc>
          <w:tcPr>
            <w:tcW w:w="12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540" w:type="dxa"/>
            <w:vAlign w:val="bottom"/>
            <w:shd w:val="clear" w:color="auto" w:fill="DBDBDB"/>
          </w:tcPr>
          <w:p>
            <w:pPr>
              <w:jc w:val="center"/>
              <w:ind w:left="94"/>
              <w:spacing w:after="0"/>
              <w:rPr>
                <w:sz w:val="20"/>
                <w:szCs w:val="20"/>
                <w:color w:val="auto"/>
              </w:rPr>
            </w:pPr>
            <w:r>
              <w:rPr>
                <w:rFonts w:ascii="Arial" w:cs="Arial" w:eastAsia="Arial" w:hAnsi="Arial"/>
                <w:sz w:val="18"/>
                <w:szCs w:val="18"/>
                <w:color w:val="auto"/>
              </w:rPr>
              <w:t>2 %</w:t>
            </w:r>
          </w:p>
        </w:tc>
        <w:tc>
          <w:tcPr>
            <w:tcW w:w="6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060" w:type="dxa"/>
            <w:vAlign w:val="bottom"/>
            <w:gridSpan w:val="3"/>
            <w:shd w:val="clear" w:color="auto" w:fill="DBDBDB"/>
          </w:tcPr>
          <w:p>
            <w:pPr>
              <w:jc w:val="right"/>
              <w:ind w:right="340"/>
              <w:spacing w:after="0"/>
              <w:rPr>
                <w:sz w:val="20"/>
                <w:szCs w:val="20"/>
                <w:color w:val="auto"/>
              </w:rPr>
            </w:pPr>
            <w:r>
              <w:rPr>
                <w:rFonts w:ascii="Arial" w:cs="Arial" w:eastAsia="Arial" w:hAnsi="Arial"/>
                <w:sz w:val="18"/>
                <w:szCs w:val="18"/>
                <w:color w:val="auto"/>
              </w:rPr>
              <w:t>— %</w:t>
            </w: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23"/>
        </w:trPr>
        <w:tc>
          <w:tcPr>
            <w:tcW w:w="5000" w:type="dxa"/>
            <w:vAlign w:val="bottom"/>
            <w:gridSpan w:val="2"/>
          </w:tcPr>
          <w:p>
            <w:pPr>
              <w:ind w:left="20"/>
              <w:spacing w:after="0"/>
              <w:rPr>
                <w:sz w:val="20"/>
                <w:szCs w:val="20"/>
                <w:color w:val="auto"/>
              </w:rPr>
            </w:pPr>
            <w:r>
              <w:rPr>
                <w:rFonts w:ascii="Arial" w:cs="Arial" w:eastAsia="Arial" w:hAnsi="Arial"/>
                <w:sz w:val="18"/>
                <w:szCs w:val="18"/>
                <w:color w:val="auto"/>
              </w:rPr>
              <w:t>Total % change</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3 %</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20 %</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jc w:val="both"/>
        <w:ind w:left="260" w:hanging="252"/>
        <w:spacing w:after="0" w:line="249" w:lineRule="auto"/>
        <w:tabs>
          <w:tab w:leader="none" w:pos="241" w:val="left"/>
        </w:tabs>
        <w:numPr>
          <w:ilvl w:val="0"/>
          <w:numId w:val="20"/>
        </w:numPr>
        <w:rPr>
          <w:rFonts w:ascii="Arial" w:cs="Arial" w:eastAsia="Arial" w:hAnsi="Arial"/>
          <w:sz w:val="14"/>
          <w:szCs w:val="14"/>
          <w:color w:val="auto"/>
        </w:rPr>
      </w:pPr>
      <w:r>
        <w:rPr>
          <w:rFonts w:ascii="Arial" w:cs="Arial" w:eastAsia="Arial" w:hAnsi="Arial"/>
          <w:sz w:val="14"/>
          <w:szCs w:val="14"/>
          <w:color w:val="auto"/>
        </w:rPr>
        <w:t>Organic sales % change is defined as the change in net sales, excluding the impact on sales from foreign currency translation and acquisitions, net of divestitures, for the first 12 months following the transaction date. We believe this measure is useful to investors and management in understanding our ongoing operations and in analysis of ongoing operating trends.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Q3 2021 compared to Q3 2020</w:t>
      </w:r>
    </w:p>
    <w:p>
      <w:pPr>
        <w:spacing w:after="0" w:line="13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Sales increased primarily due to higher demand for our commercial OEMs and aftermarket products and services, and favorable pricing, partially offset by lower demand in domestic and international defense.</w:t>
      </w:r>
    </w:p>
    <w:p>
      <w:pPr>
        <w:spacing w:after="0" w:line="90" w:lineRule="exact"/>
        <w:rPr>
          <w:sz w:val="20"/>
          <w:szCs w:val="20"/>
          <w:color w:val="auto"/>
        </w:rPr>
      </w:pPr>
    </w:p>
    <w:p>
      <w:pPr>
        <w:ind w:left="820" w:hanging="326"/>
        <w:spacing w:after="0" w:line="261" w:lineRule="auto"/>
        <w:tabs>
          <w:tab w:leader="none" w:pos="815"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Commercial Aviation Original Equipment sales increased 1% (increased 1% organic) due to increases in regional and business aviation, partially offset by lower demand from air transport.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42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45" w:name="page46"/>
    <w:bookmarkEnd w:id="45"/>
    <w:p>
      <w:pPr>
        <w:ind w:left="820" w:hanging="326"/>
        <w:spacing w:after="0" w:line="261" w:lineRule="auto"/>
        <w:tabs>
          <w:tab w:leader="none" w:pos="815"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Commercial Aviation Aftermarket sales increased 39% (increased 38% organic) due to higher demand in air transport and regional and business aviation.</w:t>
      </w:r>
    </w:p>
    <w:p>
      <w:pPr>
        <w:spacing w:after="0" w:line="89" w:lineRule="exact"/>
        <w:rPr>
          <w:rFonts w:ascii="Arial" w:cs="Arial" w:eastAsia="Arial" w:hAnsi="Arial"/>
          <w:sz w:val="18"/>
          <w:szCs w:val="18"/>
          <w:color w:val="auto"/>
        </w:rPr>
      </w:pPr>
    </w:p>
    <w:p>
      <w:pPr>
        <w:ind w:left="820" w:hanging="326"/>
        <w:spacing w:after="0" w:line="261" w:lineRule="auto"/>
        <w:tabs>
          <w:tab w:leader="none" w:pos="815"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Defense and Space sales decreased 16% (decreased 17% organic) driven by supply chain constraints and lower demand in U.S. and international defense.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Cost of products and services sold decreased due to higher sales volumes of higher margin products and higher productivity.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Segment profit increased due to favorable pricing, higher sales volumes of higher margin products, and increased productivity.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YTD 2021 compared to YTD 2020</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Sales decreased due to weakness in global travel due to the COVID-19 pandemic, resulting in lower demand for our products and services from the commercial aviation markets, and a decrease in demand from domestic and international defense spend, partially offset by favorable pricing and favorable impact of foreign currency translation.</w:t>
      </w:r>
    </w:p>
    <w:p>
      <w:pPr>
        <w:spacing w:after="0" w:line="94" w:lineRule="exact"/>
        <w:rPr>
          <w:sz w:val="20"/>
          <w:szCs w:val="20"/>
          <w:color w:val="auto"/>
        </w:rPr>
      </w:pPr>
    </w:p>
    <w:p>
      <w:pPr>
        <w:ind w:left="820" w:hanging="326"/>
        <w:spacing w:after="0" w:line="261" w:lineRule="auto"/>
        <w:tabs>
          <w:tab w:leader="none" w:pos="815"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Commercial Aviation Original Equipment sales decreased 16% (decreased 17% organic) due to lower demand from air transport and regional and business aviation.</w:t>
      </w:r>
    </w:p>
    <w:p>
      <w:pPr>
        <w:spacing w:after="0" w:line="89" w:lineRule="exact"/>
        <w:rPr>
          <w:rFonts w:ascii="Arial" w:cs="Arial" w:eastAsia="Arial" w:hAnsi="Arial"/>
          <w:sz w:val="18"/>
          <w:szCs w:val="18"/>
          <w:color w:val="auto"/>
        </w:rPr>
      </w:pPr>
    </w:p>
    <w:p>
      <w:pPr>
        <w:ind w:left="820" w:right="20" w:hanging="326"/>
        <w:spacing w:after="0" w:line="261" w:lineRule="auto"/>
        <w:tabs>
          <w:tab w:leader="none" w:pos="815"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Commercial Aviation Aftermarket sales increased 6% (increased 6% organic) due to higher demand in regional and business aviation, partially offset by lower demand in air transport.</w:t>
      </w:r>
    </w:p>
    <w:p>
      <w:pPr>
        <w:spacing w:after="0" w:line="89"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Defense and Space sales decreased 9% (decreased 10% organic) driven by lower demand in U.S and international defense.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Cost of products and services sold decreased due to lower sales volumes and higher productivity.</w:t>
      </w:r>
    </w:p>
    <w:p>
      <w:pPr>
        <w:spacing w:after="0" w:line="11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Segment profit increased due to favorable pricing, higher productivity, and higher sales volumes of higher margin products, partially offset by lower sales volumes.</w:t>
      </w:r>
    </w:p>
    <w:p>
      <w:pPr>
        <w:spacing w:after="0" w:line="27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HONEYWELL BUILDING TECHNOLOGIES</w:t>
      </w:r>
    </w:p>
    <w:p>
      <w:pPr>
        <w:spacing w:after="0" w:line="3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151130</wp:posOffset>
            </wp:positionV>
            <wp:extent cx="5854700" cy="23145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854700"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43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0" w:type="dxa"/>
            <w:vAlign w:val="bottom"/>
            <w:gridSpan w:val="10"/>
          </w:tcPr>
          <w:p>
            <w:pPr>
              <w:jc w:val="center"/>
              <w:ind w:right="9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0" w:type="dxa"/>
            <w:vAlign w:val="bottom"/>
            <w:gridSpan w:val="9"/>
          </w:tcPr>
          <w:p>
            <w:pPr>
              <w:jc w:val="center"/>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820" w:type="dxa"/>
            <w:vAlign w:val="bottom"/>
          </w:tcPr>
          <w:p>
            <w:pPr>
              <w:spacing w:after="0"/>
              <w:rPr>
                <w:sz w:val="15"/>
                <w:szCs w:val="15"/>
                <w:color w:val="auto"/>
              </w:rPr>
            </w:pPr>
          </w:p>
        </w:tc>
        <w:tc>
          <w:tcPr>
            <w:tcW w:w="240" w:type="dxa"/>
            <w:vAlign w:val="bottom"/>
            <w:tcBorders>
              <w:bottom w:val="single" w:sz="8" w:color="DC202E"/>
            </w:tcBorders>
          </w:tcPr>
          <w:p>
            <w:pPr>
              <w:spacing w:after="0"/>
              <w:rPr>
                <w:sz w:val="15"/>
                <w:szCs w:val="15"/>
                <w:color w:val="auto"/>
              </w:rPr>
            </w:pPr>
          </w:p>
        </w:tc>
        <w:tc>
          <w:tcPr>
            <w:tcW w:w="620" w:type="dxa"/>
            <w:vAlign w:val="bottom"/>
            <w:tcBorders>
              <w:bottom w:val="single" w:sz="8" w:color="DC202E"/>
            </w:tcBorders>
          </w:tcPr>
          <w:p>
            <w:pPr>
              <w:spacing w:after="0"/>
              <w:rPr>
                <w:sz w:val="15"/>
                <w:szCs w:val="15"/>
                <w:color w:val="auto"/>
              </w:rPr>
            </w:pPr>
          </w:p>
        </w:tc>
        <w:tc>
          <w:tcPr>
            <w:tcW w:w="60" w:type="dxa"/>
            <w:vAlign w:val="bottom"/>
            <w:tcBorders>
              <w:bottom w:val="single" w:sz="8" w:color="DC202E"/>
            </w:tcBorders>
          </w:tcPr>
          <w:p>
            <w:pPr>
              <w:spacing w:after="0"/>
              <w:rPr>
                <w:sz w:val="15"/>
                <w:szCs w:val="15"/>
                <w:color w:val="auto"/>
              </w:rPr>
            </w:pPr>
          </w:p>
        </w:tc>
        <w:tc>
          <w:tcPr>
            <w:tcW w:w="120" w:type="dxa"/>
            <w:vAlign w:val="bottom"/>
            <w:tcBorders>
              <w:bottom w:val="single" w:sz="8" w:color="DC202E"/>
            </w:tcBorders>
          </w:tcPr>
          <w:p>
            <w:pPr>
              <w:spacing w:after="0"/>
              <w:rPr>
                <w:sz w:val="15"/>
                <w:szCs w:val="15"/>
                <w:color w:val="auto"/>
              </w:rPr>
            </w:pPr>
          </w:p>
        </w:tc>
        <w:tc>
          <w:tcPr>
            <w:tcW w:w="1040" w:type="dxa"/>
            <w:vAlign w:val="bottom"/>
            <w:tcBorders>
              <w:bottom w:val="single" w:sz="8" w:color="DC202E"/>
            </w:tcBorders>
            <w:gridSpan w:val="4"/>
          </w:tcPr>
          <w:p>
            <w:pPr>
              <w:jc w:val="center"/>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DC202E"/>
            </w:tcBorders>
          </w:tcPr>
          <w:p>
            <w:pPr>
              <w:spacing w:after="0"/>
              <w:rPr>
                <w:sz w:val="15"/>
                <w:szCs w:val="15"/>
                <w:color w:val="auto"/>
              </w:rPr>
            </w:pPr>
          </w:p>
        </w:tc>
        <w:tc>
          <w:tcPr>
            <w:tcW w:w="120" w:type="dxa"/>
            <w:vAlign w:val="bottom"/>
            <w:tcBorders>
              <w:bottom w:val="single" w:sz="8" w:color="DC202E"/>
            </w:tcBorders>
          </w:tcPr>
          <w:p>
            <w:pPr>
              <w:spacing w:after="0"/>
              <w:rPr>
                <w:sz w:val="15"/>
                <w:szCs w:val="15"/>
                <w:color w:val="auto"/>
              </w:rPr>
            </w:pPr>
          </w:p>
        </w:tc>
        <w:tc>
          <w:tcPr>
            <w:tcW w:w="80" w:type="dxa"/>
            <w:vAlign w:val="bottom"/>
            <w:tcBorders>
              <w:bottom w:val="single" w:sz="8" w:color="DC202E"/>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DC202E"/>
            </w:tcBorders>
          </w:tcPr>
          <w:p>
            <w:pPr>
              <w:spacing w:after="0"/>
              <w:rPr>
                <w:sz w:val="15"/>
                <w:szCs w:val="15"/>
                <w:color w:val="auto"/>
              </w:rPr>
            </w:pPr>
          </w:p>
        </w:tc>
        <w:tc>
          <w:tcPr>
            <w:tcW w:w="720" w:type="dxa"/>
            <w:vAlign w:val="bottom"/>
            <w:tcBorders>
              <w:bottom w:val="single" w:sz="8" w:color="DC202E"/>
            </w:tcBorders>
          </w:tcPr>
          <w:p>
            <w:pPr>
              <w:spacing w:after="0"/>
              <w:rPr>
                <w:sz w:val="15"/>
                <w:szCs w:val="15"/>
                <w:color w:val="auto"/>
              </w:rPr>
            </w:pPr>
          </w:p>
        </w:tc>
        <w:tc>
          <w:tcPr>
            <w:tcW w:w="80" w:type="dxa"/>
            <w:vAlign w:val="bottom"/>
            <w:tcBorders>
              <w:bottom w:val="single" w:sz="8" w:color="DC202E"/>
            </w:tcBorders>
          </w:tcPr>
          <w:p>
            <w:pPr>
              <w:spacing w:after="0"/>
              <w:rPr>
                <w:sz w:val="15"/>
                <w:szCs w:val="15"/>
                <w:color w:val="auto"/>
              </w:rPr>
            </w:pPr>
          </w:p>
        </w:tc>
        <w:tc>
          <w:tcPr>
            <w:tcW w:w="40" w:type="dxa"/>
            <w:vAlign w:val="bottom"/>
            <w:tcBorders>
              <w:bottom w:val="single" w:sz="8" w:color="DC202E"/>
            </w:tcBorders>
          </w:tcPr>
          <w:p>
            <w:pPr>
              <w:spacing w:after="0"/>
              <w:rPr>
                <w:sz w:val="15"/>
                <w:szCs w:val="15"/>
                <w:color w:val="auto"/>
              </w:rPr>
            </w:pPr>
          </w:p>
        </w:tc>
        <w:tc>
          <w:tcPr>
            <w:tcW w:w="60" w:type="dxa"/>
            <w:vAlign w:val="bottom"/>
            <w:tcBorders>
              <w:bottom w:val="single" w:sz="8" w:color="DC202E"/>
            </w:tcBorders>
          </w:tcPr>
          <w:p>
            <w:pPr>
              <w:spacing w:after="0"/>
              <w:rPr>
                <w:sz w:val="15"/>
                <w:szCs w:val="15"/>
                <w:color w:val="auto"/>
              </w:rPr>
            </w:pPr>
          </w:p>
        </w:tc>
        <w:tc>
          <w:tcPr>
            <w:tcW w:w="1220" w:type="dxa"/>
            <w:vAlign w:val="bottom"/>
            <w:tcBorders>
              <w:bottom w:val="single" w:sz="8" w:color="DC202E"/>
            </w:tcBorders>
            <w:gridSpan w:val="6"/>
          </w:tcPr>
          <w:p>
            <w:pPr>
              <w:jc w:val="center"/>
              <w:ind w:right="14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DC202E"/>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820" w:type="dxa"/>
            <w:vAlign w:val="bottom"/>
            <w:tcBorders>
              <w:bottom w:val="single" w:sz="8" w:color="DBDBDB"/>
            </w:tcBorders>
          </w:tcPr>
          <w:p>
            <w:pPr>
              <w:spacing w:after="0"/>
              <w:rPr>
                <w:sz w:val="17"/>
                <w:szCs w:val="17"/>
                <w:color w:val="auto"/>
              </w:rPr>
            </w:pPr>
          </w:p>
        </w:tc>
        <w:tc>
          <w:tcPr>
            <w:tcW w:w="240" w:type="dxa"/>
            <w:vAlign w:val="bottom"/>
            <w:tcBorders>
              <w:bottom w:val="single" w:sz="8" w:color="DC202E"/>
            </w:tcBorders>
          </w:tcPr>
          <w:p>
            <w:pPr>
              <w:spacing w:after="0"/>
              <w:rPr>
                <w:sz w:val="17"/>
                <w:szCs w:val="17"/>
                <w:color w:val="auto"/>
              </w:rPr>
            </w:pPr>
          </w:p>
        </w:tc>
        <w:tc>
          <w:tcPr>
            <w:tcW w:w="620" w:type="dxa"/>
            <w:vAlign w:val="bottom"/>
            <w:tcBorders>
              <w:bottom w:val="single" w:sz="8" w:color="DC202E"/>
            </w:tcBorders>
          </w:tcPr>
          <w:p>
            <w:pPr>
              <w:jc w:val="right"/>
              <w:ind w:right="154"/>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DC202E"/>
            </w:tcBorders>
          </w:tcPr>
          <w:p>
            <w:pPr>
              <w:spacing w:after="0"/>
              <w:rPr>
                <w:sz w:val="17"/>
                <w:szCs w:val="17"/>
                <w:color w:val="auto"/>
              </w:rPr>
            </w:pPr>
          </w:p>
        </w:tc>
        <w:tc>
          <w:tcPr>
            <w:tcW w:w="120" w:type="dxa"/>
            <w:vAlign w:val="bottom"/>
            <w:tcBorders>
              <w:bottom w:val="single" w:sz="8" w:color="DBDBDB"/>
            </w:tcBorders>
          </w:tcPr>
          <w:p>
            <w:pPr>
              <w:spacing w:after="0"/>
              <w:rPr>
                <w:sz w:val="17"/>
                <w:szCs w:val="17"/>
                <w:color w:val="auto"/>
              </w:rPr>
            </w:pPr>
          </w:p>
        </w:tc>
        <w:tc>
          <w:tcPr>
            <w:tcW w:w="200" w:type="dxa"/>
            <w:vAlign w:val="bottom"/>
            <w:tcBorders>
              <w:bottom w:val="single" w:sz="8" w:color="DC202E"/>
            </w:tcBorders>
          </w:tcPr>
          <w:p>
            <w:pPr>
              <w:spacing w:after="0"/>
              <w:rPr>
                <w:sz w:val="17"/>
                <w:szCs w:val="17"/>
                <w:color w:val="auto"/>
              </w:rPr>
            </w:pPr>
          </w:p>
        </w:tc>
        <w:tc>
          <w:tcPr>
            <w:tcW w:w="700" w:type="dxa"/>
            <w:vAlign w:val="bottom"/>
            <w:tcBorders>
              <w:bottom w:val="single" w:sz="8" w:color="DC202E"/>
            </w:tcBorders>
          </w:tcPr>
          <w:p>
            <w:pPr>
              <w:jc w:val="right"/>
              <w:ind w:right="194"/>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DC202E"/>
            </w:tcBorders>
          </w:tcPr>
          <w:p>
            <w:pPr>
              <w:spacing w:after="0"/>
              <w:rPr>
                <w:sz w:val="17"/>
                <w:szCs w:val="17"/>
                <w:color w:val="auto"/>
              </w:rPr>
            </w:pPr>
          </w:p>
        </w:tc>
        <w:tc>
          <w:tcPr>
            <w:tcW w:w="120" w:type="dxa"/>
            <w:vAlign w:val="bottom"/>
            <w:tcBorders>
              <w:bottom w:val="single" w:sz="8" w:color="DBDBDB"/>
            </w:tcBorders>
          </w:tcPr>
          <w:p>
            <w:pPr>
              <w:spacing w:after="0"/>
              <w:rPr>
                <w:sz w:val="17"/>
                <w:szCs w:val="17"/>
                <w:color w:val="auto"/>
              </w:rPr>
            </w:pPr>
          </w:p>
        </w:tc>
        <w:tc>
          <w:tcPr>
            <w:tcW w:w="1080" w:type="dxa"/>
            <w:vAlign w:val="bottom"/>
            <w:tcBorders>
              <w:bottom w:val="single" w:sz="8" w:color="DC202E"/>
            </w:tcBorders>
            <w:gridSpan w:val="3"/>
          </w:tcPr>
          <w:p>
            <w:pPr>
              <w:ind w:left="180"/>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DBDBDB"/>
            </w:tcBorders>
          </w:tcPr>
          <w:p>
            <w:pPr>
              <w:spacing w:after="0"/>
              <w:rPr>
                <w:sz w:val="17"/>
                <w:szCs w:val="17"/>
                <w:color w:val="auto"/>
              </w:rPr>
            </w:pPr>
          </w:p>
        </w:tc>
        <w:tc>
          <w:tcPr>
            <w:tcW w:w="140" w:type="dxa"/>
            <w:vAlign w:val="bottom"/>
            <w:tcBorders>
              <w:bottom w:val="single" w:sz="8" w:color="DC202E"/>
            </w:tcBorders>
          </w:tcPr>
          <w:p>
            <w:pPr>
              <w:spacing w:after="0"/>
              <w:rPr>
                <w:sz w:val="17"/>
                <w:szCs w:val="17"/>
                <w:color w:val="auto"/>
              </w:rPr>
            </w:pPr>
          </w:p>
        </w:tc>
        <w:tc>
          <w:tcPr>
            <w:tcW w:w="720" w:type="dxa"/>
            <w:vAlign w:val="bottom"/>
            <w:tcBorders>
              <w:bottom w:val="single" w:sz="8" w:color="DC202E"/>
            </w:tcBorders>
          </w:tcPr>
          <w:p>
            <w:pPr>
              <w:jc w:val="right"/>
              <w:ind w:right="155"/>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DC202E"/>
            </w:tcBorders>
          </w:tcPr>
          <w:p>
            <w:pPr>
              <w:spacing w:after="0"/>
              <w:rPr>
                <w:sz w:val="17"/>
                <w:szCs w:val="17"/>
                <w:color w:val="auto"/>
              </w:rPr>
            </w:pPr>
          </w:p>
        </w:tc>
        <w:tc>
          <w:tcPr>
            <w:tcW w:w="40" w:type="dxa"/>
            <w:vAlign w:val="bottom"/>
            <w:tcBorders>
              <w:bottom w:val="single" w:sz="8" w:color="DBDBDB"/>
            </w:tcBorders>
          </w:tcPr>
          <w:p>
            <w:pPr>
              <w:spacing w:after="0"/>
              <w:rPr>
                <w:sz w:val="17"/>
                <w:szCs w:val="17"/>
                <w:color w:val="auto"/>
              </w:rPr>
            </w:pPr>
          </w:p>
        </w:tc>
        <w:tc>
          <w:tcPr>
            <w:tcW w:w="60" w:type="dxa"/>
            <w:vAlign w:val="bottom"/>
            <w:tcBorders>
              <w:bottom w:val="single" w:sz="8" w:color="DBDBDB"/>
            </w:tcBorders>
          </w:tcPr>
          <w:p>
            <w:pPr>
              <w:spacing w:after="0"/>
              <w:rPr>
                <w:sz w:val="17"/>
                <w:szCs w:val="17"/>
                <w:color w:val="auto"/>
              </w:rPr>
            </w:pPr>
          </w:p>
        </w:tc>
        <w:tc>
          <w:tcPr>
            <w:tcW w:w="180" w:type="dxa"/>
            <w:vAlign w:val="bottom"/>
            <w:tcBorders>
              <w:bottom w:val="single" w:sz="8" w:color="DC202E"/>
            </w:tcBorders>
          </w:tcPr>
          <w:p>
            <w:pPr>
              <w:spacing w:after="0"/>
              <w:rPr>
                <w:sz w:val="17"/>
                <w:szCs w:val="17"/>
                <w:color w:val="auto"/>
              </w:rPr>
            </w:pPr>
          </w:p>
        </w:tc>
        <w:tc>
          <w:tcPr>
            <w:tcW w:w="760" w:type="dxa"/>
            <w:vAlign w:val="bottom"/>
            <w:tcBorders>
              <w:bottom w:val="single" w:sz="8" w:color="DC202E"/>
            </w:tcBorders>
          </w:tcPr>
          <w:p>
            <w:pPr>
              <w:jc w:val="right"/>
              <w:ind w:right="236"/>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DBDBDB"/>
            </w:tcBorders>
          </w:tcPr>
          <w:p>
            <w:pPr>
              <w:spacing w:after="0"/>
              <w:rPr>
                <w:sz w:val="17"/>
                <w:szCs w:val="17"/>
                <w:color w:val="auto"/>
              </w:rPr>
            </w:pPr>
          </w:p>
        </w:tc>
        <w:tc>
          <w:tcPr>
            <w:tcW w:w="80" w:type="dxa"/>
            <w:vAlign w:val="bottom"/>
            <w:tcBorders>
              <w:bottom w:val="single" w:sz="8" w:color="DBDBDB"/>
            </w:tcBorders>
          </w:tcPr>
          <w:p>
            <w:pPr>
              <w:spacing w:after="0"/>
              <w:rPr>
                <w:sz w:val="17"/>
                <w:szCs w:val="17"/>
                <w:color w:val="auto"/>
              </w:rPr>
            </w:pPr>
          </w:p>
        </w:tc>
        <w:tc>
          <w:tcPr>
            <w:tcW w:w="20" w:type="dxa"/>
            <w:vAlign w:val="bottom"/>
            <w:tcBorders>
              <w:bottom w:val="single" w:sz="8" w:color="DC202E"/>
            </w:tcBorders>
          </w:tcPr>
          <w:p>
            <w:pPr>
              <w:spacing w:after="0"/>
              <w:rPr>
                <w:sz w:val="17"/>
                <w:szCs w:val="17"/>
                <w:color w:val="auto"/>
              </w:rPr>
            </w:pPr>
          </w:p>
        </w:tc>
        <w:tc>
          <w:tcPr>
            <w:tcW w:w="160" w:type="dxa"/>
            <w:vAlign w:val="bottom"/>
            <w:tcBorders>
              <w:bottom w:val="single" w:sz="8" w:color="DC202E"/>
            </w:tcBorders>
          </w:tcPr>
          <w:p>
            <w:pPr>
              <w:spacing w:after="0"/>
              <w:rPr>
                <w:sz w:val="17"/>
                <w:szCs w:val="17"/>
                <w:color w:val="auto"/>
              </w:rPr>
            </w:pPr>
          </w:p>
        </w:tc>
        <w:tc>
          <w:tcPr>
            <w:tcW w:w="900" w:type="dxa"/>
            <w:vAlign w:val="bottom"/>
            <w:tcBorders>
              <w:bottom w:val="single" w:sz="8" w:color="DC202E"/>
            </w:tcBorders>
          </w:tcPr>
          <w:p>
            <w:pPr>
              <w:jc w:val="center"/>
              <w:ind w:right="96"/>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29"/>
        </w:trPr>
        <w:tc>
          <w:tcPr>
            <w:tcW w:w="48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1,370</w:t>
            </w:r>
          </w:p>
        </w:tc>
        <w:tc>
          <w:tcPr>
            <w:tcW w:w="380" w:type="dxa"/>
            <w:vAlign w:val="bottom"/>
            <w:gridSpan w:val="3"/>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1,305</w:t>
            </w:r>
          </w:p>
        </w:tc>
        <w:tc>
          <w:tcPr>
            <w:tcW w:w="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080" w:type="dxa"/>
            <w:vAlign w:val="bottom"/>
            <w:gridSpan w:val="3"/>
            <w:shd w:val="clear" w:color="auto" w:fill="DBDBDB"/>
          </w:tcPr>
          <w:p>
            <w:pPr>
              <w:jc w:val="right"/>
              <w:ind w:right="20"/>
              <w:spacing w:after="0"/>
              <w:rPr>
                <w:sz w:val="20"/>
                <w:szCs w:val="20"/>
                <w:color w:val="auto"/>
              </w:rPr>
            </w:pPr>
            <w:r>
              <w:rPr>
                <w:rFonts w:ascii="Arial" w:cs="Arial" w:eastAsia="Arial" w:hAnsi="Arial"/>
                <w:sz w:val="18"/>
                <w:szCs w:val="18"/>
                <w:color w:val="auto"/>
              </w:rPr>
              <w:t>5 %</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ind w:left="2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4,135</w:t>
            </w:r>
          </w:p>
        </w:tc>
        <w:tc>
          <w:tcPr>
            <w:tcW w:w="360" w:type="dxa"/>
            <w:vAlign w:val="bottom"/>
            <w:gridSpan w:val="4"/>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3,763</w:t>
            </w:r>
          </w:p>
        </w:tc>
        <w:tc>
          <w:tcPr>
            <w:tcW w:w="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29"/>
        </w:trPr>
        <w:tc>
          <w:tcPr>
            <w:tcW w:w="4820" w:type="dxa"/>
            <w:vAlign w:val="bottom"/>
          </w:tcPr>
          <w:p>
            <w:pPr>
              <w:ind w:left="220"/>
              <w:spacing w:after="0"/>
              <w:rPr>
                <w:sz w:val="20"/>
                <w:szCs w:val="20"/>
                <w:color w:val="auto"/>
              </w:rPr>
            </w:pPr>
            <w:r>
              <w:rPr>
                <w:rFonts w:ascii="Arial" w:cs="Arial" w:eastAsia="Arial" w:hAnsi="Arial"/>
                <w:sz w:val="18"/>
                <w:szCs w:val="18"/>
                <w:color w:val="auto"/>
              </w:rPr>
              <w:t>Cost of products and services sold</w:t>
            </w: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798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770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2,409</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DBDBDB"/>
          </w:tcPr>
          <w:p>
            <w:pPr>
              <w:ind w:left="220"/>
              <w:spacing w:after="0"/>
              <w:rPr>
                <w:sz w:val="20"/>
                <w:szCs w:val="20"/>
                <w:color w:val="auto"/>
              </w:rPr>
            </w:pPr>
            <w:r>
              <w:rPr>
                <w:rFonts w:ascii="Arial" w:cs="Arial" w:eastAsia="Arial" w:hAnsi="Arial"/>
                <w:sz w:val="18"/>
                <w:szCs w:val="18"/>
                <w:color w:val="auto"/>
              </w:rPr>
              <w:t>Selling, general and administrative and other expenses</w:t>
            </w:r>
          </w:p>
        </w:tc>
        <w:tc>
          <w:tcPr>
            <w:tcW w:w="240" w:type="dxa"/>
            <w:vAlign w:val="bottom"/>
            <w:tcBorders>
              <w:bottom w:val="single" w:sz="8" w:color="auto"/>
            </w:tcBorders>
            <w:shd w:val="clear" w:color="auto" w:fill="DBDBDB"/>
          </w:tcPr>
          <w:p>
            <w:pPr>
              <w:spacing w:after="0"/>
              <w:rPr>
                <w:sz w:val="19"/>
                <w:szCs w:val="19"/>
                <w:color w:val="auto"/>
              </w:rPr>
            </w:pPr>
          </w:p>
        </w:tc>
        <w:tc>
          <w:tcPr>
            <w:tcW w:w="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250</w:t>
            </w:r>
          </w:p>
        </w:tc>
        <w:tc>
          <w:tcPr>
            <w:tcW w:w="60" w:type="dxa"/>
            <w:vAlign w:val="bottom"/>
            <w:tcBorders>
              <w:bottom w:val="single" w:sz="8" w:color="auto"/>
            </w:tcBorders>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00" w:type="dxa"/>
            <w:vAlign w:val="bottom"/>
            <w:tcBorders>
              <w:bottom w:val="single" w:sz="8" w:color="auto"/>
            </w:tcBorders>
            <w:shd w:val="clear" w:color="auto" w:fill="DBDBDB"/>
          </w:tcPr>
          <w:p>
            <w:pPr>
              <w:spacing w:after="0"/>
              <w:rPr>
                <w:sz w:val="19"/>
                <w:szCs w:val="19"/>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253</w:t>
            </w:r>
          </w:p>
        </w:tc>
        <w:tc>
          <w:tcPr>
            <w:tcW w:w="20" w:type="dxa"/>
            <w:vAlign w:val="bottom"/>
            <w:tcBorders>
              <w:bottom w:val="single" w:sz="8" w:color="auto"/>
            </w:tcBorders>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spacing w:after="0"/>
              <w:rPr>
                <w:sz w:val="19"/>
                <w:szCs w:val="19"/>
                <w:color w:val="auto"/>
              </w:rPr>
            </w:pP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784</w:t>
            </w:r>
          </w:p>
        </w:tc>
        <w:tc>
          <w:tcPr>
            <w:tcW w:w="80" w:type="dxa"/>
            <w:vAlign w:val="bottom"/>
            <w:tcBorders>
              <w:bottom w:val="single" w:sz="8" w:color="auto"/>
            </w:tcBorders>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746</w:t>
            </w:r>
          </w:p>
        </w:tc>
        <w:tc>
          <w:tcPr>
            <w:tcW w:w="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9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rPr>
                <w:sz w:val="20"/>
                <w:szCs w:val="20"/>
                <w:color w:val="auto"/>
              </w:rPr>
            </w:pPr>
            <w:r>
              <w:rPr>
                <w:rFonts w:ascii="Arial" w:cs="Arial" w:eastAsia="Arial" w:hAnsi="Arial"/>
                <w:sz w:val="18"/>
                <w:szCs w:val="18"/>
                <w:color w:val="auto"/>
              </w:rPr>
              <w:t>Segment profit</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14 %</w:t>
            </w:r>
          </w:p>
        </w:tc>
        <w:tc>
          <w:tcPr>
            <w:tcW w:w="10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w:t>
            </w:r>
          </w:p>
        </w:tc>
        <w:tc>
          <w:tcPr>
            <w:tcW w:w="80" w:type="dxa"/>
            <w:vAlign w:val="bottom"/>
            <w:tcBorders>
              <w:bottom w:val="single" w:sz="8" w:color="auto"/>
            </w:tcBorders>
          </w:tcPr>
          <w:p>
            <w:pPr>
              <w:spacing w:after="0"/>
              <w:rPr>
                <w:sz w:val="19"/>
                <w:szCs w:val="19"/>
                <w:color w:val="auto"/>
              </w:rPr>
            </w:pPr>
          </w:p>
        </w:tc>
        <w:tc>
          <w:tcPr>
            <w:tcW w:w="100" w:type="dxa"/>
            <w:vAlign w:val="bottom"/>
            <w:gridSpan w:val="2"/>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1"/>
        </w:trPr>
        <w:tc>
          <w:tcPr>
            <w:tcW w:w="4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03"/>
        </w:trPr>
        <w:tc>
          <w:tcPr>
            <w:tcW w:w="4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Borders>
              <w:bottom w:val="single" w:sz="8" w:color="DC202E"/>
            </w:tcBorders>
          </w:tcPr>
          <w:p>
            <w:pPr>
              <w:spacing w:after="0"/>
              <w:rPr>
                <w:sz w:val="24"/>
                <w:szCs w:val="24"/>
                <w:color w:val="auto"/>
              </w:rPr>
            </w:pPr>
          </w:p>
        </w:tc>
        <w:tc>
          <w:tcPr>
            <w:tcW w:w="120" w:type="dxa"/>
            <w:vAlign w:val="bottom"/>
            <w:tcBorders>
              <w:bottom w:val="single" w:sz="8" w:color="DC202E"/>
            </w:tcBorders>
          </w:tcPr>
          <w:p>
            <w:pPr>
              <w:spacing w:after="0"/>
              <w:rPr>
                <w:sz w:val="24"/>
                <w:szCs w:val="24"/>
                <w:color w:val="auto"/>
              </w:rPr>
            </w:pPr>
          </w:p>
        </w:tc>
        <w:tc>
          <w:tcPr>
            <w:tcW w:w="880" w:type="dxa"/>
            <w:vAlign w:val="bottom"/>
            <w:tcBorders>
              <w:bottom w:val="single" w:sz="8" w:color="DC202E"/>
            </w:tcBorders>
          </w:tcPr>
          <w:p>
            <w:pPr>
              <w:spacing w:after="0"/>
              <w:rPr>
                <w:sz w:val="24"/>
                <w:szCs w:val="24"/>
                <w:color w:val="auto"/>
              </w:rPr>
            </w:pPr>
          </w:p>
        </w:tc>
        <w:tc>
          <w:tcPr>
            <w:tcW w:w="120" w:type="dxa"/>
            <w:vAlign w:val="bottom"/>
            <w:tcBorders>
              <w:bottom w:val="single" w:sz="8" w:color="DC202E"/>
            </w:tcBorders>
          </w:tcPr>
          <w:p>
            <w:pPr>
              <w:spacing w:after="0"/>
              <w:rPr>
                <w:sz w:val="24"/>
                <w:szCs w:val="24"/>
                <w:color w:val="auto"/>
              </w:rPr>
            </w:pPr>
          </w:p>
        </w:tc>
        <w:tc>
          <w:tcPr>
            <w:tcW w:w="80" w:type="dxa"/>
            <w:vAlign w:val="bottom"/>
            <w:tcBorders>
              <w:bottom w:val="single" w:sz="8" w:color="DC202E"/>
            </w:tcBorders>
          </w:tcPr>
          <w:p>
            <w:pPr>
              <w:spacing w:after="0"/>
              <w:rPr>
                <w:sz w:val="24"/>
                <w:szCs w:val="24"/>
                <w:color w:val="auto"/>
              </w:rPr>
            </w:pPr>
          </w:p>
        </w:tc>
        <w:tc>
          <w:tcPr>
            <w:tcW w:w="100" w:type="dxa"/>
            <w:vAlign w:val="bottom"/>
            <w:tcBorders>
              <w:bottom w:val="single" w:sz="8" w:color="DC202E"/>
            </w:tcBorders>
          </w:tcPr>
          <w:p>
            <w:pPr>
              <w:spacing w:after="0"/>
              <w:rPr>
                <w:sz w:val="24"/>
                <w:szCs w:val="24"/>
                <w:color w:val="auto"/>
              </w:rPr>
            </w:pPr>
          </w:p>
        </w:tc>
        <w:tc>
          <w:tcPr>
            <w:tcW w:w="140" w:type="dxa"/>
            <w:vAlign w:val="bottom"/>
            <w:tcBorders>
              <w:bottom w:val="single" w:sz="8" w:color="DC202E"/>
            </w:tcBorders>
          </w:tcPr>
          <w:p>
            <w:pPr>
              <w:spacing w:after="0"/>
              <w:rPr>
                <w:sz w:val="24"/>
                <w:szCs w:val="24"/>
                <w:color w:val="auto"/>
              </w:rPr>
            </w:pPr>
          </w:p>
        </w:tc>
        <w:tc>
          <w:tcPr>
            <w:tcW w:w="2120" w:type="dxa"/>
            <w:vAlign w:val="bottom"/>
            <w:tcBorders>
              <w:bottom w:val="single" w:sz="8" w:color="DC202E"/>
            </w:tcBorders>
            <w:gridSpan w:val="10"/>
          </w:tcPr>
          <w:p>
            <w:pPr>
              <w:ind w:left="320"/>
              <w:spacing w:after="0"/>
              <w:rPr>
                <w:sz w:val="20"/>
                <w:szCs w:val="20"/>
                <w:color w:val="auto"/>
              </w:rPr>
            </w:pPr>
            <w:r>
              <w:rPr>
                <w:rFonts w:ascii="Arial" w:cs="Arial" w:eastAsia="Arial" w:hAnsi="Arial"/>
                <w:sz w:val="14"/>
                <w:szCs w:val="14"/>
                <w:b w:val="1"/>
                <w:bCs w:val="1"/>
                <w:color w:val="auto"/>
              </w:rPr>
              <w:t>2021 vs. 2020</w:t>
            </w:r>
          </w:p>
        </w:tc>
        <w:tc>
          <w:tcPr>
            <w:tcW w:w="900" w:type="dxa"/>
            <w:vAlign w:val="bottom"/>
            <w:tcBorders>
              <w:bottom w:val="single" w:sz="8" w:color="DC202E"/>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gridSpan w:val="6"/>
          </w:tcPr>
          <w:p>
            <w:pPr>
              <w:jc w:val="right"/>
              <w:ind w:right="295"/>
              <w:spacing w:after="0" w:line="149" w:lineRule="exact"/>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40" w:type="dxa"/>
            <w:vAlign w:val="bottom"/>
            <w:gridSpan w:val="6"/>
          </w:tcPr>
          <w:p>
            <w:pPr>
              <w:jc w:val="right"/>
              <w:ind w:right="336"/>
              <w:spacing w:after="0" w:line="149" w:lineRule="exact"/>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3"/>
        </w:trPr>
        <w:tc>
          <w:tcPr>
            <w:tcW w:w="4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Borders>
              <w:bottom w:val="single" w:sz="8" w:color="DC202E"/>
            </w:tcBorders>
          </w:tcPr>
          <w:p>
            <w:pPr>
              <w:spacing w:after="0"/>
              <w:rPr>
                <w:sz w:val="15"/>
                <w:szCs w:val="15"/>
                <w:color w:val="auto"/>
              </w:rPr>
            </w:pPr>
          </w:p>
        </w:tc>
        <w:tc>
          <w:tcPr>
            <w:tcW w:w="120" w:type="dxa"/>
            <w:vAlign w:val="bottom"/>
            <w:tcBorders>
              <w:bottom w:val="single" w:sz="8" w:color="DC202E"/>
            </w:tcBorders>
          </w:tcPr>
          <w:p>
            <w:pPr>
              <w:spacing w:after="0"/>
              <w:rPr>
                <w:sz w:val="15"/>
                <w:szCs w:val="15"/>
                <w:color w:val="auto"/>
              </w:rPr>
            </w:pPr>
          </w:p>
        </w:tc>
        <w:tc>
          <w:tcPr>
            <w:tcW w:w="2040" w:type="dxa"/>
            <w:vAlign w:val="bottom"/>
            <w:tcBorders>
              <w:bottom w:val="single" w:sz="8" w:color="DC202E"/>
            </w:tcBorders>
            <w:gridSpan w:val="6"/>
          </w:tcPr>
          <w:p>
            <w:pPr>
              <w:jc w:val="right"/>
              <w:ind w:right="515"/>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Borders>
              <w:bottom w:val="single" w:sz="8" w:color="DC202E"/>
            </w:tcBorders>
          </w:tcPr>
          <w:p>
            <w:pPr>
              <w:spacing w:after="0"/>
              <w:rPr>
                <w:sz w:val="15"/>
                <w:szCs w:val="15"/>
                <w:color w:val="auto"/>
              </w:rPr>
            </w:pPr>
          </w:p>
        </w:tc>
        <w:tc>
          <w:tcPr>
            <w:tcW w:w="180" w:type="dxa"/>
            <w:vAlign w:val="bottom"/>
            <w:tcBorders>
              <w:bottom w:val="single" w:sz="8" w:color="DC202E"/>
            </w:tcBorders>
          </w:tcPr>
          <w:p>
            <w:pPr>
              <w:spacing w:after="0"/>
              <w:rPr>
                <w:sz w:val="15"/>
                <w:szCs w:val="15"/>
                <w:color w:val="auto"/>
              </w:rPr>
            </w:pPr>
          </w:p>
        </w:tc>
        <w:tc>
          <w:tcPr>
            <w:tcW w:w="1940" w:type="dxa"/>
            <w:vAlign w:val="bottom"/>
            <w:tcBorders>
              <w:bottom w:val="single" w:sz="8" w:color="DC202E"/>
            </w:tcBorders>
            <w:gridSpan w:val="6"/>
          </w:tcPr>
          <w:p>
            <w:pPr>
              <w:jc w:val="right"/>
              <w:ind w:right="516"/>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8"/>
        </w:trPr>
        <w:tc>
          <w:tcPr>
            <w:tcW w:w="5060" w:type="dxa"/>
            <w:vAlign w:val="bottom"/>
            <w:gridSpan w:val="2"/>
            <w:vMerge w:val="restart"/>
          </w:tcPr>
          <w:p>
            <w:pPr>
              <w:ind w:left="1760"/>
              <w:spacing w:after="0"/>
              <w:rPr>
                <w:sz w:val="20"/>
                <w:szCs w:val="20"/>
                <w:color w:val="auto"/>
              </w:rPr>
            </w:pPr>
            <w:r>
              <w:rPr>
                <w:rFonts w:ascii="Arial" w:cs="Arial" w:eastAsia="Arial" w:hAnsi="Arial"/>
                <w:sz w:val="14"/>
                <w:szCs w:val="14"/>
                <w:b w:val="1"/>
                <w:bCs w:val="1"/>
                <w:color w:val="auto"/>
              </w:rPr>
              <w:t>Factors Contributing to Year-Over-Year Change</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4"/>
            <w:vMerge w:val="restart"/>
          </w:tcPr>
          <w:p>
            <w:pPr>
              <w:ind w:left="180"/>
              <w:spacing w:after="0"/>
              <w:rPr>
                <w:sz w:val="20"/>
                <w:szCs w:val="20"/>
                <w:color w:val="auto"/>
              </w:rPr>
            </w:pPr>
            <w:r>
              <w:rPr>
                <w:rFonts w:ascii="Arial" w:cs="Arial" w:eastAsia="Arial" w:hAnsi="Arial"/>
                <w:sz w:val="14"/>
                <w:szCs w:val="14"/>
                <w:b w:val="1"/>
                <w:bCs w:val="1"/>
                <w:color w:val="auto"/>
              </w:rPr>
              <w:t>Sales</w:t>
            </w:r>
          </w:p>
        </w:tc>
        <w:tc>
          <w:tcPr>
            <w:tcW w:w="8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Segment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4"/>
                <w:szCs w:val="14"/>
                <w:b w:val="1"/>
                <w:bCs w:val="1"/>
                <w:color w:val="auto"/>
              </w:rPr>
              <w:t>Sales</w:t>
            </w:r>
          </w:p>
        </w:tc>
        <w:tc>
          <w:tcPr>
            <w:tcW w:w="90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rPr>
              <w:t>Segment</w:t>
            </w:r>
          </w:p>
        </w:tc>
        <w:tc>
          <w:tcPr>
            <w:tcW w:w="0" w:type="dxa"/>
            <w:vAlign w:val="bottom"/>
          </w:tcPr>
          <w:p>
            <w:pPr>
              <w:spacing w:after="0"/>
              <w:rPr>
                <w:sz w:val="1"/>
                <w:szCs w:val="1"/>
                <w:color w:val="auto"/>
              </w:rPr>
            </w:pPr>
          </w:p>
        </w:tc>
      </w:tr>
      <w:tr>
        <w:trPr>
          <w:trHeight w:val="183"/>
        </w:trPr>
        <w:tc>
          <w:tcPr>
            <w:tcW w:w="5060" w:type="dxa"/>
            <w:vAlign w:val="bottom"/>
            <w:gridSpan w:val="2"/>
            <w:vMerge w:val="continue"/>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4"/>
            <w:vMerge w:val="continue"/>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ind w:right="255"/>
              <w:spacing w:after="0"/>
              <w:rPr>
                <w:sz w:val="20"/>
                <w:szCs w:val="20"/>
                <w:color w:val="auto"/>
              </w:rPr>
            </w:pPr>
            <w:r>
              <w:rPr>
                <w:rFonts w:ascii="Arial" w:cs="Arial" w:eastAsia="Arial" w:hAnsi="Arial"/>
                <w:sz w:val="14"/>
                <w:szCs w:val="14"/>
                <w:b w:val="1"/>
                <w:bCs w:val="1"/>
                <w:color w:val="auto"/>
                <w:w w:val="98"/>
              </w:rPr>
              <w:t>Profit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5"/>
            <w:vMerge w:val="continue"/>
          </w:tcPr>
          <w:p>
            <w:pPr>
              <w:spacing w:after="0"/>
              <w:rPr>
                <w:sz w:val="15"/>
                <w:szCs w:val="15"/>
                <w:color w:val="auto"/>
              </w:rPr>
            </w:pPr>
          </w:p>
        </w:tc>
        <w:tc>
          <w:tcPr>
            <w:tcW w:w="900" w:type="dxa"/>
            <w:vAlign w:val="bottom"/>
          </w:tcPr>
          <w:p>
            <w:pPr>
              <w:jc w:val="center"/>
              <w:ind w:right="76"/>
              <w:spacing w:after="0"/>
              <w:rPr>
                <w:sz w:val="20"/>
                <w:szCs w:val="20"/>
                <w:color w:val="auto"/>
              </w:rPr>
            </w:pPr>
            <w:r>
              <w:rPr>
                <w:rFonts w:ascii="Arial" w:cs="Arial" w:eastAsia="Arial" w:hAnsi="Arial"/>
                <w:sz w:val="14"/>
                <w:szCs w:val="14"/>
                <w:b w:val="1"/>
                <w:bCs w:val="1"/>
                <w:color w:val="auto"/>
              </w:rPr>
              <w:t>Profit</w:t>
            </w:r>
          </w:p>
        </w:tc>
        <w:tc>
          <w:tcPr>
            <w:tcW w:w="0" w:type="dxa"/>
            <w:vAlign w:val="bottom"/>
          </w:tcPr>
          <w:p>
            <w:pPr>
              <w:spacing w:after="0"/>
              <w:rPr>
                <w:sz w:val="1"/>
                <w:szCs w:val="1"/>
                <w:color w:val="auto"/>
              </w:rPr>
            </w:pPr>
          </w:p>
        </w:tc>
      </w:tr>
      <w:tr>
        <w:trPr>
          <w:trHeight w:val="230"/>
        </w:trPr>
        <w:tc>
          <w:tcPr>
            <w:tcW w:w="4820" w:type="dxa"/>
            <w:vAlign w:val="bottom"/>
            <w:tcBorders>
              <w:top w:val="single" w:sz="8" w:color="DC202E"/>
            </w:tcBorders>
            <w:shd w:val="clear" w:color="auto" w:fill="DBDBDB"/>
          </w:tcPr>
          <w:p>
            <w:pPr>
              <w:ind w:left="20"/>
              <w:spacing w:after="0"/>
              <w:rPr>
                <w:sz w:val="20"/>
                <w:szCs w:val="20"/>
                <w:color w:val="auto"/>
              </w:rPr>
            </w:pPr>
            <w:r>
              <w:rPr>
                <w:rFonts w:ascii="Arial" w:cs="Arial" w:eastAsia="Arial" w:hAnsi="Arial"/>
                <w:sz w:val="18"/>
                <w:szCs w:val="18"/>
                <w:color w:val="auto"/>
              </w:rPr>
              <w:t>Organic</w:t>
            </w:r>
          </w:p>
        </w:tc>
        <w:tc>
          <w:tcPr>
            <w:tcW w:w="240" w:type="dxa"/>
            <w:vAlign w:val="bottom"/>
            <w:tcBorders>
              <w:top w:val="single" w:sz="8" w:color="DC202E"/>
            </w:tcBorders>
            <w:shd w:val="clear" w:color="auto" w:fill="DBDBDB"/>
          </w:tcPr>
          <w:p>
            <w:pPr>
              <w:spacing w:after="0"/>
              <w:rPr>
                <w:sz w:val="19"/>
                <w:szCs w:val="19"/>
                <w:color w:val="auto"/>
              </w:rPr>
            </w:pPr>
          </w:p>
        </w:tc>
        <w:tc>
          <w:tcPr>
            <w:tcW w:w="620" w:type="dxa"/>
            <w:vAlign w:val="bottom"/>
            <w:tcBorders>
              <w:top w:val="single" w:sz="8" w:color="DC202E"/>
            </w:tcBorders>
            <w:shd w:val="clear" w:color="auto" w:fill="DBDBDB"/>
          </w:tcPr>
          <w:p>
            <w:pPr>
              <w:spacing w:after="0"/>
              <w:rPr>
                <w:sz w:val="19"/>
                <w:szCs w:val="19"/>
                <w:color w:val="auto"/>
              </w:rPr>
            </w:pPr>
          </w:p>
        </w:tc>
        <w:tc>
          <w:tcPr>
            <w:tcW w:w="60" w:type="dxa"/>
            <w:vAlign w:val="bottom"/>
            <w:tcBorders>
              <w:top w:val="single" w:sz="8" w:color="DC202E"/>
            </w:tcBorders>
            <w:shd w:val="clear" w:color="auto" w:fill="DBDBDB"/>
          </w:tcPr>
          <w:p>
            <w:pPr>
              <w:spacing w:after="0"/>
              <w:rPr>
                <w:sz w:val="19"/>
                <w:szCs w:val="19"/>
                <w:color w:val="auto"/>
              </w:rPr>
            </w:pPr>
          </w:p>
        </w:tc>
        <w:tc>
          <w:tcPr>
            <w:tcW w:w="120" w:type="dxa"/>
            <w:vAlign w:val="bottom"/>
            <w:tcBorders>
              <w:top w:val="single" w:sz="8" w:color="DC202E"/>
            </w:tcBorders>
            <w:shd w:val="clear" w:color="auto" w:fill="DBDBDB"/>
          </w:tcPr>
          <w:p>
            <w:pPr>
              <w:spacing w:after="0"/>
              <w:rPr>
                <w:sz w:val="19"/>
                <w:szCs w:val="19"/>
                <w:color w:val="auto"/>
              </w:rPr>
            </w:pPr>
          </w:p>
        </w:tc>
        <w:tc>
          <w:tcPr>
            <w:tcW w:w="200" w:type="dxa"/>
            <w:vAlign w:val="bottom"/>
            <w:tcBorders>
              <w:top w:val="single" w:sz="8" w:color="DC202E"/>
            </w:tcBorders>
            <w:shd w:val="clear" w:color="auto" w:fill="DBDBDB"/>
          </w:tcPr>
          <w:p>
            <w:pPr>
              <w:spacing w:after="0"/>
              <w:rPr>
                <w:sz w:val="19"/>
                <w:szCs w:val="19"/>
                <w:color w:val="auto"/>
              </w:rPr>
            </w:pPr>
          </w:p>
        </w:tc>
        <w:tc>
          <w:tcPr>
            <w:tcW w:w="700" w:type="dxa"/>
            <w:vAlign w:val="bottom"/>
            <w:tcBorders>
              <w:top w:val="single" w:sz="8" w:color="DC202E"/>
            </w:tcBorders>
            <w:shd w:val="clear" w:color="auto" w:fill="DBDBDB"/>
          </w:tcPr>
          <w:p>
            <w:pPr>
              <w:spacing w:after="0"/>
              <w:rPr>
                <w:sz w:val="19"/>
                <w:szCs w:val="19"/>
                <w:color w:val="auto"/>
              </w:rPr>
            </w:pPr>
          </w:p>
        </w:tc>
        <w:tc>
          <w:tcPr>
            <w:tcW w:w="20" w:type="dxa"/>
            <w:vAlign w:val="bottom"/>
            <w:tcBorders>
              <w:top w:val="single" w:sz="8" w:color="DC202E"/>
            </w:tcBorders>
            <w:shd w:val="clear" w:color="auto" w:fill="DBDBDB"/>
          </w:tcPr>
          <w:p>
            <w:pPr>
              <w:spacing w:after="0"/>
              <w:rPr>
                <w:sz w:val="19"/>
                <w:szCs w:val="19"/>
                <w:color w:val="auto"/>
              </w:rPr>
            </w:pPr>
          </w:p>
        </w:tc>
        <w:tc>
          <w:tcPr>
            <w:tcW w:w="120" w:type="dxa"/>
            <w:vAlign w:val="bottom"/>
            <w:tcBorders>
              <w:top w:val="single" w:sz="8" w:color="DC202E"/>
            </w:tcBorders>
            <w:shd w:val="clear" w:color="auto" w:fill="DBDBDB"/>
          </w:tcPr>
          <w:p>
            <w:pPr>
              <w:spacing w:after="0"/>
              <w:rPr>
                <w:sz w:val="19"/>
                <w:szCs w:val="19"/>
                <w:color w:val="auto"/>
              </w:rPr>
            </w:pPr>
          </w:p>
        </w:tc>
        <w:tc>
          <w:tcPr>
            <w:tcW w:w="880" w:type="dxa"/>
            <w:vAlign w:val="bottom"/>
            <w:tcBorders>
              <w:top w:val="single" w:sz="8" w:color="DC202E"/>
            </w:tcBorders>
            <w:shd w:val="clear" w:color="auto" w:fill="DBDBDB"/>
          </w:tcPr>
          <w:p>
            <w:pPr>
              <w:jc w:val="right"/>
              <w:spacing w:after="0"/>
              <w:rPr>
                <w:sz w:val="20"/>
                <w:szCs w:val="20"/>
                <w:color w:val="auto"/>
              </w:rPr>
            </w:pPr>
            <w:r>
              <w:rPr>
                <w:rFonts w:ascii="Arial" w:cs="Arial" w:eastAsia="Arial" w:hAnsi="Arial"/>
                <w:sz w:val="18"/>
                <w:szCs w:val="18"/>
                <w:color w:val="auto"/>
              </w:rPr>
              <w:t>3 %</w:t>
            </w:r>
          </w:p>
        </w:tc>
        <w:tc>
          <w:tcPr>
            <w:tcW w:w="120" w:type="dxa"/>
            <w:vAlign w:val="bottom"/>
            <w:tcBorders>
              <w:top w:val="single" w:sz="8" w:color="DBDBDB"/>
            </w:tcBorders>
            <w:shd w:val="clear" w:color="auto" w:fill="DBDBDB"/>
          </w:tcPr>
          <w:p>
            <w:pPr>
              <w:spacing w:after="0"/>
              <w:rPr>
                <w:sz w:val="19"/>
                <w:szCs w:val="19"/>
                <w:color w:val="auto"/>
              </w:rPr>
            </w:pPr>
          </w:p>
        </w:tc>
        <w:tc>
          <w:tcPr>
            <w:tcW w:w="80" w:type="dxa"/>
            <w:vAlign w:val="bottom"/>
            <w:tcBorders>
              <w:top w:val="single" w:sz="8" w:color="DC202E"/>
            </w:tcBorders>
            <w:shd w:val="clear" w:color="auto" w:fill="DBDBDB"/>
          </w:tcPr>
          <w:p>
            <w:pPr>
              <w:spacing w:after="0"/>
              <w:rPr>
                <w:sz w:val="19"/>
                <w:szCs w:val="19"/>
                <w:color w:val="auto"/>
              </w:rPr>
            </w:pPr>
          </w:p>
        </w:tc>
        <w:tc>
          <w:tcPr>
            <w:tcW w:w="100" w:type="dxa"/>
            <w:vAlign w:val="bottom"/>
            <w:tcBorders>
              <w:top w:val="single" w:sz="8" w:color="DC202E"/>
            </w:tcBorders>
            <w:shd w:val="clear" w:color="auto" w:fill="DBDBDB"/>
          </w:tcPr>
          <w:p>
            <w:pPr>
              <w:spacing w:after="0"/>
              <w:rPr>
                <w:sz w:val="19"/>
                <w:szCs w:val="19"/>
                <w:color w:val="auto"/>
              </w:rPr>
            </w:pPr>
          </w:p>
        </w:tc>
        <w:tc>
          <w:tcPr>
            <w:tcW w:w="140" w:type="dxa"/>
            <w:vAlign w:val="bottom"/>
            <w:tcBorders>
              <w:top w:val="single" w:sz="8" w:color="DC202E"/>
            </w:tcBorders>
            <w:shd w:val="clear" w:color="auto" w:fill="DBDBDB"/>
          </w:tcPr>
          <w:p>
            <w:pPr>
              <w:spacing w:after="0"/>
              <w:rPr>
                <w:sz w:val="19"/>
                <w:szCs w:val="19"/>
                <w:color w:val="auto"/>
              </w:rPr>
            </w:pPr>
          </w:p>
        </w:tc>
        <w:tc>
          <w:tcPr>
            <w:tcW w:w="720" w:type="dxa"/>
            <w:vAlign w:val="bottom"/>
            <w:tcBorders>
              <w:top w:val="single" w:sz="8" w:color="DC202E"/>
            </w:tcBorders>
            <w:shd w:val="clear" w:color="auto" w:fill="DBDBDB"/>
          </w:tcPr>
          <w:p>
            <w:pPr>
              <w:jc w:val="right"/>
              <w:spacing w:after="0"/>
              <w:rPr>
                <w:sz w:val="20"/>
                <w:szCs w:val="20"/>
                <w:color w:val="auto"/>
              </w:rPr>
            </w:pPr>
            <w:r>
              <w:rPr>
                <w:rFonts w:ascii="Arial" w:cs="Arial" w:eastAsia="Arial" w:hAnsi="Arial"/>
                <w:sz w:val="18"/>
                <w:szCs w:val="18"/>
                <w:color w:val="auto"/>
              </w:rPr>
              <w:t>14 %</w:t>
            </w:r>
          </w:p>
        </w:tc>
        <w:tc>
          <w:tcPr>
            <w:tcW w:w="80" w:type="dxa"/>
            <w:vAlign w:val="bottom"/>
            <w:tcBorders>
              <w:top w:val="single" w:sz="8" w:color="DBDBDB"/>
            </w:tcBorders>
            <w:shd w:val="clear" w:color="auto" w:fill="DBDBDB"/>
          </w:tcPr>
          <w:p>
            <w:pPr>
              <w:spacing w:after="0"/>
              <w:rPr>
                <w:sz w:val="19"/>
                <w:szCs w:val="19"/>
                <w:color w:val="auto"/>
              </w:rPr>
            </w:pPr>
          </w:p>
        </w:tc>
        <w:tc>
          <w:tcPr>
            <w:tcW w:w="40" w:type="dxa"/>
            <w:vAlign w:val="bottom"/>
            <w:tcBorders>
              <w:top w:val="single" w:sz="8" w:color="DBDBDB"/>
            </w:tcBorders>
            <w:shd w:val="clear" w:color="auto" w:fill="DBDBDB"/>
          </w:tcPr>
          <w:p>
            <w:pPr>
              <w:spacing w:after="0"/>
              <w:rPr>
                <w:sz w:val="19"/>
                <w:szCs w:val="19"/>
                <w:color w:val="auto"/>
              </w:rPr>
            </w:pPr>
          </w:p>
        </w:tc>
        <w:tc>
          <w:tcPr>
            <w:tcW w:w="60" w:type="dxa"/>
            <w:vAlign w:val="bottom"/>
            <w:tcBorders>
              <w:top w:val="single" w:sz="8" w:color="DC202E"/>
            </w:tcBorders>
            <w:shd w:val="clear" w:color="auto" w:fill="DBDBDB"/>
          </w:tcPr>
          <w:p>
            <w:pPr>
              <w:spacing w:after="0"/>
              <w:rPr>
                <w:sz w:val="19"/>
                <w:szCs w:val="19"/>
                <w:color w:val="auto"/>
              </w:rPr>
            </w:pPr>
          </w:p>
        </w:tc>
        <w:tc>
          <w:tcPr>
            <w:tcW w:w="180" w:type="dxa"/>
            <w:vAlign w:val="bottom"/>
            <w:tcBorders>
              <w:top w:val="single" w:sz="8" w:color="DC202E"/>
            </w:tcBorders>
            <w:shd w:val="clear" w:color="auto" w:fill="DBDBDB"/>
          </w:tcPr>
          <w:p>
            <w:pPr>
              <w:spacing w:after="0"/>
              <w:rPr>
                <w:sz w:val="19"/>
                <w:szCs w:val="19"/>
                <w:color w:val="auto"/>
              </w:rPr>
            </w:pPr>
          </w:p>
        </w:tc>
        <w:tc>
          <w:tcPr>
            <w:tcW w:w="780" w:type="dxa"/>
            <w:vAlign w:val="bottom"/>
            <w:tcBorders>
              <w:top w:val="single" w:sz="8" w:color="DC202E"/>
            </w:tcBorders>
            <w:gridSpan w:val="2"/>
            <w:shd w:val="clear" w:color="auto" w:fill="DBDBDB"/>
          </w:tcPr>
          <w:p>
            <w:pPr>
              <w:jc w:val="right"/>
              <w:ind w:right="20"/>
              <w:spacing w:after="0"/>
              <w:rPr>
                <w:sz w:val="20"/>
                <w:szCs w:val="20"/>
                <w:color w:val="auto"/>
              </w:rPr>
            </w:pPr>
            <w:r>
              <w:rPr>
                <w:rFonts w:ascii="Arial" w:cs="Arial" w:eastAsia="Arial" w:hAnsi="Arial"/>
                <w:sz w:val="18"/>
                <w:szCs w:val="18"/>
                <w:color w:val="auto"/>
              </w:rPr>
              <w:t>6 %</w:t>
            </w:r>
          </w:p>
        </w:tc>
        <w:tc>
          <w:tcPr>
            <w:tcW w:w="80" w:type="dxa"/>
            <w:vAlign w:val="bottom"/>
            <w:tcBorders>
              <w:top w:val="single" w:sz="8" w:color="DBDBDB"/>
            </w:tcBorders>
            <w:shd w:val="clear" w:color="auto" w:fill="DBDBDB"/>
          </w:tcPr>
          <w:p>
            <w:pPr>
              <w:spacing w:after="0"/>
              <w:rPr>
                <w:sz w:val="19"/>
                <w:szCs w:val="19"/>
                <w:color w:val="auto"/>
              </w:rPr>
            </w:pPr>
          </w:p>
        </w:tc>
        <w:tc>
          <w:tcPr>
            <w:tcW w:w="20" w:type="dxa"/>
            <w:vAlign w:val="bottom"/>
            <w:tcBorders>
              <w:top w:val="single" w:sz="8" w:color="DBDBDB"/>
            </w:tcBorders>
            <w:shd w:val="clear" w:color="auto" w:fill="DBDBDB"/>
          </w:tcPr>
          <w:p>
            <w:pPr>
              <w:spacing w:after="0"/>
              <w:rPr>
                <w:sz w:val="19"/>
                <w:szCs w:val="19"/>
                <w:color w:val="auto"/>
              </w:rPr>
            </w:pPr>
          </w:p>
        </w:tc>
        <w:tc>
          <w:tcPr>
            <w:tcW w:w="160" w:type="dxa"/>
            <w:vAlign w:val="bottom"/>
            <w:tcBorders>
              <w:top w:val="single" w:sz="8" w:color="DC202E"/>
            </w:tcBorders>
            <w:shd w:val="clear" w:color="auto" w:fill="DBDBDB"/>
          </w:tcPr>
          <w:p>
            <w:pPr>
              <w:spacing w:after="0"/>
              <w:rPr>
                <w:sz w:val="19"/>
                <w:szCs w:val="19"/>
                <w:color w:val="auto"/>
              </w:rPr>
            </w:pPr>
          </w:p>
        </w:tc>
        <w:tc>
          <w:tcPr>
            <w:tcW w:w="900" w:type="dxa"/>
            <w:vAlign w:val="bottom"/>
            <w:tcBorders>
              <w:top w:val="single" w:sz="8" w:color="DC202E"/>
            </w:tcBorders>
            <w:shd w:val="clear" w:color="auto" w:fill="DBDBDB"/>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Foreign currency translation</w:t>
            </w: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2 %</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1 %</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29"/>
        </w:trPr>
        <w:tc>
          <w:tcPr>
            <w:tcW w:w="4820" w:type="dxa"/>
            <w:vAlign w:val="bottom"/>
            <w:shd w:val="clear" w:color="auto" w:fill="DBDBDB"/>
          </w:tcPr>
          <w:p>
            <w:pPr>
              <w:ind w:left="20"/>
              <w:spacing w:after="0"/>
              <w:rPr>
                <w:sz w:val="20"/>
                <w:szCs w:val="20"/>
                <w:color w:val="auto"/>
              </w:rPr>
            </w:pPr>
            <w:r>
              <w:rPr>
                <w:rFonts w:ascii="Arial" w:cs="Arial" w:eastAsia="Arial" w:hAnsi="Arial"/>
                <w:sz w:val="18"/>
                <w:szCs w:val="18"/>
                <w:color w:val="auto"/>
              </w:rPr>
              <w:t>Acquisitions, divestitures and other, net</w:t>
            </w:r>
          </w:p>
        </w:tc>
        <w:tc>
          <w:tcPr>
            <w:tcW w:w="240" w:type="dxa"/>
            <w:vAlign w:val="bottom"/>
            <w:shd w:val="clear" w:color="auto" w:fill="DBDBDB"/>
          </w:tcPr>
          <w:p>
            <w:pPr>
              <w:spacing w:after="0"/>
              <w:rPr>
                <w:sz w:val="19"/>
                <w:szCs w:val="19"/>
                <w:color w:val="auto"/>
              </w:rPr>
            </w:pPr>
          </w:p>
        </w:tc>
        <w:tc>
          <w:tcPr>
            <w:tcW w:w="62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7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180" w:type="dxa"/>
            <w:vAlign w:val="bottom"/>
            <w:gridSpan w:val="4"/>
            <w:shd w:val="clear" w:color="auto" w:fill="DBDBDB"/>
          </w:tcPr>
          <w:p>
            <w:pPr>
              <w:jc w:val="right"/>
              <w:ind w:right="320"/>
              <w:spacing w:after="0"/>
              <w:rPr>
                <w:sz w:val="20"/>
                <w:szCs w:val="20"/>
                <w:color w:val="auto"/>
              </w:rPr>
            </w:pPr>
            <w:r>
              <w:rPr>
                <w:rFonts w:ascii="Arial" w:cs="Arial" w:eastAsia="Arial" w:hAnsi="Arial"/>
                <w:sz w:val="18"/>
                <w:szCs w:val="18"/>
                <w:color w:val="auto"/>
              </w:rPr>
              <w:t>— %</w:t>
            </w:r>
          </w:p>
        </w:tc>
        <w:tc>
          <w:tcPr>
            <w:tcW w:w="140" w:type="dxa"/>
            <w:vAlign w:val="bottom"/>
            <w:shd w:val="clear" w:color="auto" w:fill="DBDBDB"/>
          </w:tcPr>
          <w:p>
            <w:pPr>
              <w:spacing w:after="0"/>
              <w:rPr>
                <w:sz w:val="19"/>
                <w:szCs w:val="19"/>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40" w:type="dxa"/>
            <w:vAlign w:val="bottom"/>
            <w:gridSpan w:val="5"/>
            <w:shd w:val="clear" w:color="auto" w:fill="DBDBDB"/>
          </w:tcPr>
          <w:p>
            <w:pPr>
              <w:jc w:val="right"/>
              <w:ind w:right="280"/>
              <w:spacing w:after="0"/>
              <w:rPr>
                <w:sz w:val="20"/>
                <w:szCs w:val="20"/>
                <w:color w:val="auto"/>
              </w:rPr>
            </w:pPr>
            <w:r>
              <w:rPr>
                <w:rFonts w:ascii="Arial" w:cs="Arial" w:eastAsia="Arial" w:hAnsi="Arial"/>
                <w:sz w:val="18"/>
                <w:szCs w:val="18"/>
                <w:color w:val="auto"/>
              </w:rPr>
              <w:t>— %</w:t>
            </w: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rPr>
                <w:sz w:val="20"/>
                <w:szCs w:val="20"/>
                <w:color w:val="auto"/>
              </w:rPr>
            </w:pPr>
            <w:r>
              <w:rPr>
                <w:rFonts w:ascii="Arial" w:cs="Arial" w:eastAsia="Arial" w:hAnsi="Arial"/>
                <w:sz w:val="18"/>
                <w:szCs w:val="18"/>
                <w:color w:val="auto"/>
              </w:rPr>
              <w:t>Total % change</w:t>
            </w: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5 %</w:t>
            </w: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14 %</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1"/>
        </w:trPr>
        <w:tc>
          <w:tcPr>
            <w:tcW w:w="4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Q3 2021 compared to Q3 2020</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Sales increased due to increased pricing in response to the rising cost of materials and the favorable impact of foreign currency translation.</w:t>
      </w:r>
    </w:p>
    <w:p>
      <w:pPr>
        <w:spacing w:after="0" w:line="117" w:lineRule="exact"/>
        <w:rPr>
          <w:sz w:val="20"/>
          <w:szCs w:val="20"/>
          <w:color w:val="auto"/>
        </w:rPr>
      </w:pPr>
    </w:p>
    <w:p>
      <w:pPr>
        <w:ind w:left="820" w:hanging="326"/>
        <w:spacing w:after="0" w:line="261" w:lineRule="auto"/>
        <w:tabs>
          <w:tab w:leader="none" w:pos="8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Sales in Products increased 8% (increased 6% organic) due to higher sales volumes, increased pricing, and the favorable impact of foreign currency translation.</w:t>
      </w:r>
    </w:p>
    <w:p>
      <w:pPr>
        <w:spacing w:after="0" w:line="89" w:lineRule="exact"/>
        <w:rPr>
          <w:rFonts w:ascii="Arial" w:cs="Arial" w:eastAsia="Arial" w:hAnsi="Arial"/>
          <w:sz w:val="18"/>
          <w:szCs w:val="18"/>
          <w:color w:val="auto"/>
        </w:rPr>
      </w:pPr>
    </w:p>
    <w:p>
      <w:pPr>
        <w:ind w:left="820" w:right="20" w:hanging="326"/>
        <w:spacing w:after="0" w:line="261" w:lineRule="auto"/>
        <w:tabs>
          <w:tab w:leader="none" w:pos="8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Sales in Building Solutions increased 1% (decreased 1% organic) due to the favorable impact of foreign currency translation and increased pricing, partially offset by lower sales volumes due to project delays.</w:t>
      </w:r>
    </w:p>
    <w:p>
      <w:pPr>
        <w:spacing w:after="0" w:line="90"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Cost of products and services sold increased primarily due to the rising cost of materials and the unfavorable impact of foreign currency translation, partially offset by higher productivity.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Segment profit increased primarily due to higher productivity and higher sales volumes of higher margin products.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YTD 2021 compared to YTD 2020</w:t>
      </w:r>
    </w:p>
    <w:p>
      <w:pPr>
        <w:spacing w:after="0" w:line="13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Sales increased due to the favorable impact of foreign currency translation, higher sales volumes, and favorable pricing. Customer demand increased as the global economy began to show signs of recovery.</w:t>
      </w:r>
    </w:p>
    <w:p>
      <w:pPr>
        <w:spacing w:after="0" w:line="90" w:lineRule="exact"/>
        <w:rPr>
          <w:sz w:val="20"/>
          <w:szCs w:val="20"/>
          <w:color w:val="auto"/>
        </w:rPr>
      </w:pPr>
    </w:p>
    <w:p>
      <w:pPr>
        <w:ind w:left="820" w:right="20" w:hanging="326"/>
        <w:spacing w:after="0" w:line="261" w:lineRule="auto"/>
        <w:tabs>
          <w:tab w:leader="none" w:pos="815" w:val="left"/>
        </w:tabs>
        <w:numPr>
          <w:ilvl w:val="0"/>
          <w:numId w:val="25"/>
        </w:numPr>
        <w:rPr>
          <w:rFonts w:ascii="Arial" w:cs="Arial" w:eastAsia="Arial" w:hAnsi="Arial"/>
          <w:sz w:val="18"/>
          <w:szCs w:val="18"/>
          <w:color w:val="auto"/>
        </w:rPr>
      </w:pPr>
      <w:r>
        <w:rPr>
          <w:rFonts w:ascii="Arial" w:cs="Arial" w:eastAsia="Arial" w:hAnsi="Arial"/>
          <w:sz w:val="18"/>
          <w:szCs w:val="18"/>
          <w:color w:val="auto"/>
        </w:rPr>
        <w:t>Sales in Products increased 13% (increased 9% organic) due to higher sales volumes, favorable pricing, and the favorable impact of foreign currency translation.</w:t>
      </w:r>
    </w:p>
    <w:p>
      <w:pPr>
        <w:spacing w:after="0" w:line="89" w:lineRule="exact"/>
        <w:rPr>
          <w:rFonts w:ascii="Arial" w:cs="Arial" w:eastAsia="Arial" w:hAnsi="Arial"/>
          <w:sz w:val="18"/>
          <w:szCs w:val="18"/>
          <w:color w:val="auto"/>
        </w:rPr>
      </w:pPr>
    </w:p>
    <w:p>
      <w:pPr>
        <w:ind w:left="820" w:hanging="326"/>
        <w:spacing w:after="0" w:line="261" w:lineRule="auto"/>
        <w:tabs>
          <w:tab w:leader="none" w:pos="815" w:val="left"/>
        </w:tabs>
        <w:numPr>
          <w:ilvl w:val="0"/>
          <w:numId w:val="25"/>
        </w:numPr>
        <w:rPr>
          <w:rFonts w:ascii="Arial" w:cs="Arial" w:eastAsia="Arial" w:hAnsi="Arial"/>
          <w:sz w:val="18"/>
          <w:szCs w:val="18"/>
          <w:color w:val="auto"/>
        </w:rPr>
      </w:pPr>
      <w:r>
        <w:rPr>
          <w:rFonts w:ascii="Arial" w:cs="Arial" w:eastAsia="Arial" w:hAnsi="Arial"/>
          <w:sz w:val="18"/>
          <w:szCs w:val="18"/>
          <w:color w:val="auto"/>
        </w:rPr>
        <w:t>Sales in Building Solutions increased 5% (increased 1% organic) due to the favorable impact of foreign currency translation and favorable pricing.</w:t>
      </w:r>
    </w:p>
    <w:p>
      <w:pPr>
        <w:spacing w:after="0" w:line="90"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Cost of products and services sold increased due to higher sales volumes, and the unfavorable impact of foreign currency translation, partially offset by higher productivity.</w:t>
      </w:r>
    </w:p>
    <w:p>
      <w:pPr>
        <w:spacing w:after="0" w:line="9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Segment profit increased due to favorable pricing, higher productivity, the favorable impact of foreign currency translation, and higher sales volumes.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44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4" w:right="339" w:bottom="1440" w:gutter="0" w:footer="0" w:header="0"/>
        </w:sectPr>
      </w:pPr>
    </w:p>
    <w:bookmarkStart w:id="47" w:name="page48"/>
    <w:bookmarkEnd w:id="47"/>
    <w:p>
      <w:pPr>
        <w:spacing w:after="0"/>
        <w:rPr>
          <w:sz w:val="20"/>
          <w:szCs w:val="20"/>
          <w:color w:val="auto"/>
        </w:rPr>
      </w:pPr>
      <w:r>
        <w:rPr>
          <w:rFonts w:ascii="Arial" w:cs="Arial" w:eastAsia="Arial" w:hAnsi="Arial"/>
          <w:sz w:val="25"/>
          <w:szCs w:val="25"/>
          <w:b w:val="1"/>
          <w:bCs w:val="1"/>
          <w:color w:val="auto"/>
        </w:rPr>
        <w:t>PERFORMANCE MATERIALS AND TECHNOLOGIES</w:t>
      </w:r>
    </w:p>
    <w:p>
      <w:pPr>
        <w:spacing w:after="0" w:line="3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151130</wp:posOffset>
            </wp:positionV>
            <wp:extent cx="5854700" cy="23145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854700"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60" w:type="dxa"/>
            <w:vAlign w:val="bottom"/>
            <w:gridSpan w:val="6"/>
          </w:tcPr>
          <w:p>
            <w:pPr>
              <w:jc w:val="center"/>
              <w:ind w:right="20"/>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20" w:type="dxa"/>
            <w:vAlign w:val="bottom"/>
            <w:gridSpan w:val="6"/>
          </w:tcPr>
          <w:p>
            <w:pPr>
              <w:jc w:val="center"/>
              <w:ind w:right="40"/>
              <w:spacing w:after="0"/>
              <w:rPr>
                <w:sz w:val="20"/>
                <w:szCs w:val="20"/>
                <w:color w:val="auto"/>
              </w:rPr>
            </w:pPr>
            <w:r>
              <w:rPr>
                <w:rFonts w:ascii="Arial" w:cs="Arial" w:eastAsia="Arial" w:hAnsi="Arial"/>
                <w:sz w:val="14"/>
                <w:szCs w:val="14"/>
                <w:b w:val="1"/>
                <w:bCs w:val="1"/>
                <w:color w:val="auto"/>
              </w:rPr>
              <w:t>Nine Months Ended</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800" w:type="dxa"/>
            <w:vAlign w:val="bottom"/>
          </w:tcPr>
          <w:p>
            <w:pPr>
              <w:spacing w:after="0"/>
              <w:rPr>
                <w:sz w:val="15"/>
                <w:szCs w:val="15"/>
                <w:color w:val="auto"/>
              </w:rPr>
            </w:pPr>
          </w:p>
        </w:tc>
        <w:tc>
          <w:tcPr>
            <w:tcW w:w="220" w:type="dxa"/>
            <w:vAlign w:val="bottom"/>
            <w:tcBorders>
              <w:bottom w:val="single" w:sz="8" w:color="DC202E"/>
            </w:tcBorders>
          </w:tcPr>
          <w:p>
            <w:pPr>
              <w:spacing w:after="0"/>
              <w:rPr>
                <w:sz w:val="15"/>
                <w:szCs w:val="15"/>
                <w:color w:val="auto"/>
              </w:rPr>
            </w:pPr>
          </w:p>
        </w:tc>
        <w:tc>
          <w:tcPr>
            <w:tcW w:w="640" w:type="dxa"/>
            <w:vAlign w:val="bottom"/>
            <w:tcBorders>
              <w:bottom w:val="single" w:sz="8" w:color="DC202E"/>
            </w:tcBorders>
          </w:tcPr>
          <w:p>
            <w:pPr>
              <w:spacing w:after="0"/>
              <w:rPr>
                <w:sz w:val="15"/>
                <w:szCs w:val="15"/>
                <w:color w:val="auto"/>
              </w:rPr>
            </w:pPr>
          </w:p>
        </w:tc>
        <w:tc>
          <w:tcPr>
            <w:tcW w:w="80" w:type="dxa"/>
            <w:vAlign w:val="bottom"/>
            <w:tcBorders>
              <w:bottom w:val="single" w:sz="8" w:color="DC202E"/>
            </w:tcBorders>
          </w:tcPr>
          <w:p>
            <w:pPr>
              <w:spacing w:after="0"/>
              <w:rPr>
                <w:sz w:val="15"/>
                <w:szCs w:val="15"/>
                <w:color w:val="auto"/>
              </w:rPr>
            </w:pPr>
          </w:p>
        </w:tc>
        <w:tc>
          <w:tcPr>
            <w:tcW w:w="100" w:type="dxa"/>
            <w:vAlign w:val="bottom"/>
            <w:tcBorders>
              <w:bottom w:val="single" w:sz="8" w:color="DC202E"/>
            </w:tcBorders>
          </w:tcPr>
          <w:p>
            <w:pPr>
              <w:spacing w:after="0"/>
              <w:rPr>
                <w:sz w:val="15"/>
                <w:szCs w:val="15"/>
                <w:color w:val="auto"/>
              </w:rPr>
            </w:pPr>
          </w:p>
        </w:tc>
        <w:tc>
          <w:tcPr>
            <w:tcW w:w="1280" w:type="dxa"/>
            <w:vAlign w:val="bottom"/>
            <w:tcBorders>
              <w:bottom w:val="single" w:sz="8" w:color="DC202E"/>
            </w:tcBorders>
            <w:gridSpan w:val="4"/>
          </w:tcPr>
          <w:p>
            <w:pPr>
              <w:jc w:val="center"/>
              <w:ind w:right="200"/>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DC202E"/>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DC202E"/>
            </w:tcBorders>
          </w:tcPr>
          <w:p>
            <w:pPr>
              <w:spacing w:after="0"/>
              <w:rPr>
                <w:sz w:val="15"/>
                <w:szCs w:val="15"/>
                <w:color w:val="auto"/>
              </w:rPr>
            </w:pPr>
          </w:p>
        </w:tc>
        <w:tc>
          <w:tcPr>
            <w:tcW w:w="680" w:type="dxa"/>
            <w:vAlign w:val="bottom"/>
            <w:tcBorders>
              <w:bottom w:val="single" w:sz="8" w:color="DC202E"/>
            </w:tcBorders>
          </w:tcPr>
          <w:p>
            <w:pPr>
              <w:spacing w:after="0"/>
              <w:rPr>
                <w:sz w:val="15"/>
                <w:szCs w:val="15"/>
                <w:color w:val="auto"/>
              </w:rPr>
            </w:pPr>
          </w:p>
        </w:tc>
        <w:tc>
          <w:tcPr>
            <w:tcW w:w="40" w:type="dxa"/>
            <w:vAlign w:val="bottom"/>
            <w:tcBorders>
              <w:bottom w:val="single" w:sz="8" w:color="DC202E"/>
            </w:tcBorders>
          </w:tcPr>
          <w:p>
            <w:pPr>
              <w:spacing w:after="0"/>
              <w:rPr>
                <w:sz w:val="15"/>
                <w:szCs w:val="15"/>
                <w:color w:val="auto"/>
              </w:rPr>
            </w:pPr>
          </w:p>
        </w:tc>
        <w:tc>
          <w:tcPr>
            <w:tcW w:w="120" w:type="dxa"/>
            <w:vAlign w:val="bottom"/>
            <w:tcBorders>
              <w:bottom w:val="single" w:sz="8" w:color="DC202E"/>
            </w:tcBorders>
          </w:tcPr>
          <w:p>
            <w:pPr>
              <w:spacing w:after="0"/>
              <w:rPr>
                <w:sz w:val="15"/>
                <w:szCs w:val="15"/>
                <w:color w:val="auto"/>
              </w:rPr>
            </w:pPr>
          </w:p>
        </w:tc>
        <w:tc>
          <w:tcPr>
            <w:tcW w:w="1260" w:type="dxa"/>
            <w:vAlign w:val="bottom"/>
            <w:tcBorders>
              <w:bottom w:val="single" w:sz="8" w:color="DC202E"/>
            </w:tcBorders>
            <w:gridSpan w:val="4"/>
          </w:tcPr>
          <w:p>
            <w:pPr>
              <w:jc w:val="center"/>
              <w:ind w:right="20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DC202E"/>
            </w:tcBorders>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ind w:right="399"/>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ind w:right="399"/>
              <w:spacing w:after="0" w:line="14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2"/>
        </w:trPr>
        <w:tc>
          <w:tcPr>
            <w:tcW w:w="4800" w:type="dxa"/>
            <w:vAlign w:val="bottom"/>
            <w:tcBorders>
              <w:bottom w:val="single" w:sz="8" w:color="DBDBDB"/>
            </w:tcBorders>
          </w:tcPr>
          <w:p>
            <w:pPr>
              <w:spacing w:after="0"/>
              <w:rPr>
                <w:sz w:val="15"/>
                <w:szCs w:val="15"/>
                <w:color w:val="auto"/>
              </w:rPr>
            </w:pPr>
          </w:p>
        </w:tc>
        <w:tc>
          <w:tcPr>
            <w:tcW w:w="220" w:type="dxa"/>
            <w:vAlign w:val="bottom"/>
            <w:tcBorders>
              <w:bottom w:val="single" w:sz="8" w:color="DC202E"/>
            </w:tcBorders>
          </w:tcPr>
          <w:p>
            <w:pPr>
              <w:spacing w:after="0"/>
              <w:rPr>
                <w:sz w:val="15"/>
                <w:szCs w:val="15"/>
                <w:color w:val="auto"/>
              </w:rPr>
            </w:pPr>
          </w:p>
        </w:tc>
        <w:tc>
          <w:tcPr>
            <w:tcW w:w="640" w:type="dxa"/>
            <w:vAlign w:val="bottom"/>
            <w:tcBorders>
              <w:bottom w:val="single" w:sz="8" w:color="DC202E"/>
            </w:tcBorders>
            <w:vMerge w:val="continue"/>
          </w:tcPr>
          <w:p>
            <w:pPr>
              <w:spacing w:after="0"/>
              <w:rPr>
                <w:sz w:val="15"/>
                <w:szCs w:val="15"/>
                <w:color w:val="auto"/>
              </w:rPr>
            </w:pPr>
          </w:p>
        </w:tc>
        <w:tc>
          <w:tcPr>
            <w:tcW w:w="80" w:type="dxa"/>
            <w:vAlign w:val="bottom"/>
            <w:tcBorders>
              <w:bottom w:val="single" w:sz="8" w:color="DC202E"/>
            </w:tcBorders>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220" w:type="dxa"/>
            <w:vAlign w:val="bottom"/>
            <w:tcBorders>
              <w:bottom w:val="single" w:sz="8" w:color="DC202E"/>
            </w:tcBorders>
          </w:tcPr>
          <w:p>
            <w:pPr>
              <w:spacing w:after="0"/>
              <w:rPr>
                <w:sz w:val="15"/>
                <w:szCs w:val="15"/>
                <w:color w:val="auto"/>
              </w:rPr>
            </w:pPr>
          </w:p>
        </w:tc>
        <w:tc>
          <w:tcPr>
            <w:tcW w:w="720" w:type="dxa"/>
            <w:vAlign w:val="bottom"/>
            <w:tcBorders>
              <w:bottom w:val="single" w:sz="8" w:color="DC202E"/>
            </w:tcBorders>
            <w:vMerge w:val="continue"/>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240" w:type="dxa"/>
            <w:vAlign w:val="bottom"/>
            <w:tcBorders>
              <w:bottom w:val="single" w:sz="8" w:color="DC202E"/>
            </w:tcBorders>
          </w:tcPr>
          <w:p>
            <w:pPr>
              <w:spacing w:after="0"/>
              <w:rPr>
                <w:sz w:val="15"/>
                <w:szCs w:val="15"/>
                <w:color w:val="auto"/>
              </w:rPr>
            </w:pPr>
          </w:p>
        </w:tc>
        <w:tc>
          <w:tcPr>
            <w:tcW w:w="840" w:type="dxa"/>
            <w:vAlign w:val="bottom"/>
            <w:tcBorders>
              <w:bottom w:val="single" w:sz="8" w:color="DC202E"/>
            </w:tcBorders>
          </w:tcPr>
          <w:p>
            <w:pPr>
              <w:jc w:val="right"/>
              <w:ind w:right="199"/>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DBDBDB"/>
            </w:tcBorders>
          </w:tcPr>
          <w:p>
            <w:pPr>
              <w:spacing w:after="0"/>
              <w:rPr>
                <w:sz w:val="15"/>
                <w:szCs w:val="15"/>
                <w:color w:val="auto"/>
              </w:rPr>
            </w:pPr>
          </w:p>
        </w:tc>
        <w:tc>
          <w:tcPr>
            <w:tcW w:w="200" w:type="dxa"/>
            <w:vAlign w:val="bottom"/>
            <w:tcBorders>
              <w:bottom w:val="single" w:sz="8" w:color="DC202E"/>
            </w:tcBorders>
          </w:tcPr>
          <w:p>
            <w:pPr>
              <w:spacing w:after="0"/>
              <w:rPr>
                <w:sz w:val="15"/>
                <w:szCs w:val="15"/>
                <w:color w:val="auto"/>
              </w:rPr>
            </w:pPr>
          </w:p>
        </w:tc>
        <w:tc>
          <w:tcPr>
            <w:tcW w:w="680" w:type="dxa"/>
            <w:vAlign w:val="bottom"/>
            <w:tcBorders>
              <w:bottom w:val="single" w:sz="8" w:color="DC202E"/>
            </w:tcBorders>
            <w:vMerge w:val="continue"/>
          </w:tcPr>
          <w:p>
            <w:pPr>
              <w:spacing w:after="0"/>
              <w:rPr>
                <w:sz w:val="15"/>
                <w:szCs w:val="15"/>
                <w:color w:val="auto"/>
              </w:rPr>
            </w:pPr>
          </w:p>
        </w:tc>
        <w:tc>
          <w:tcPr>
            <w:tcW w:w="40" w:type="dxa"/>
            <w:vAlign w:val="bottom"/>
            <w:tcBorders>
              <w:bottom w:val="single" w:sz="8" w:color="DC202E"/>
            </w:tcBorders>
          </w:tcPr>
          <w:p>
            <w:pPr>
              <w:spacing w:after="0"/>
              <w:rPr>
                <w:sz w:val="15"/>
                <w:szCs w:val="15"/>
                <w:color w:val="auto"/>
              </w:rPr>
            </w:pPr>
          </w:p>
        </w:tc>
        <w:tc>
          <w:tcPr>
            <w:tcW w:w="120" w:type="dxa"/>
            <w:vAlign w:val="bottom"/>
            <w:tcBorders>
              <w:bottom w:val="single" w:sz="8" w:color="DBDBDB"/>
            </w:tcBorders>
          </w:tcPr>
          <w:p>
            <w:pPr>
              <w:spacing w:after="0"/>
              <w:rPr>
                <w:sz w:val="15"/>
                <w:szCs w:val="15"/>
                <w:color w:val="auto"/>
              </w:rPr>
            </w:pPr>
          </w:p>
        </w:tc>
        <w:tc>
          <w:tcPr>
            <w:tcW w:w="200" w:type="dxa"/>
            <w:vAlign w:val="bottom"/>
            <w:tcBorders>
              <w:bottom w:val="single" w:sz="8" w:color="DC202E"/>
            </w:tcBorders>
          </w:tcPr>
          <w:p>
            <w:pPr>
              <w:spacing w:after="0"/>
              <w:rPr>
                <w:sz w:val="15"/>
                <w:szCs w:val="15"/>
                <w:color w:val="auto"/>
              </w:rPr>
            </w:pPr>
          </w:p>
        </w:tc>
        <w:tc>
          <w:tcPr>
            <w:tcW w:w="720" w:type="dxa"/>
            <w:vAlign w:val="bottom"/>
            <w:tcBorders>
              <w:bottom w:val="single" w:sz="8" w:color="DC202E"/>
            </w:tcBorders>
            <w:vMerge w:val="continue"/>
          </w:tcPr>
          <w:p>
            <w:pPr>
              <w:spacing w:after="0"/>
              <w:rPr>
                <w:sz w:val="15"/>
                <w:szCs w:val="15"/>
                <w:color w:val="auto"/>
              </w:rPr>
            </w:pPr>
          </w:p>
        </w:tc>
        <w:tc>
          <w:tcPr>
            <w:tcW w:w="120" w:type="dxa"/>
            <w:vAlign w:val="bottom"/>
            <w:tcBorders>
              <w:bottom w:val="single" w:sz="8" w:color="DBDBDB"/>
            </w:tcBorders>
          </w:tcPr>
          <w:p>
            <w:pPr>
              <w:spacing w:after="0"/>
              <w:rPr>
                <w:sz w:val="15"/>
                <w:szCs w:val="15"/>
                <w:color w:val="auto"/>
              </w:rPr>
            </w:pPr>
          </w:p>
        </w:tc>
        <w:tc>
          <w:tcPr>
            <w:tcW w:w="220" w:type="dxa"/>
            <w:vAlign w:val="bottom"/>
            <w:tcBorders>
              <w:bottom w:val="single" w:sz="8" w:color="DC202E"/>
            </w:tcBorders>
          </w:tcPr>
          <w:p>
            <w:pPr>
              <w:spacing w:after="0"/>
              <w:rPr>
                <w:sz w:val="15"/>
                <w:szCs w:val="15"/>
                <w:color w:val="auto"/>
              </w:rPr>
            </w:pPr>
          </w:p>
        </w:tc>
        <w:tc>
          <w:tcPr>
            <w:tcW w:w="860" w:type="dxa"/>
            <w:vAlign w:val="bottom"/>
            <w:tcBorders>
              <w:bottom w:val="single" w:sz="8" w:color="DC202E"/>
            </w:tcBorders>
          </w:tcPr>
          <w:p>
            <w:pPr>
              <w:jc w:val="right"/>
              <w:ind w:right="19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30"/>
        </w:trPr>
        <w:tc>
          <w:tcPr>
            <w:tcW w:w="480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2,510</w:t>
            </w:r>
          </w:p>
        </w:tc>
        <w:tc>
          <w:tcPr>
            <w:tcW w:w="400" w:type="dxa"/>
            <w:vAlign w:val="bottom"/>
            <w:gridSpan w:val="3"/>
            <w:shd w:val="clear" w:color="auto" w:fill="DBDBDB"/>
          </w:tcPr>
          <w:p>
            <w:pPr>
              <w:jc w:val="right"/>
              <w:ind w:right="28"/>
              <w:spacing w:after="0"/>
              <w:rPr>
                <w:sz w:val="20"/>
                <w:szCs w:val="20"/>
                <w:color w:val="auto"/>
              </w:rPr>
            </w:pPr>
            <w:r>
              <w:rPr>
                <w:rFonts w:ascii="Arial" w:cs="Arial" w:eastAsia="Arial" w:hAnsi="Arial"/>
                <w:sz w:val="18"/>
                <w:szCs w:val="18"/>
                <w:color w:val="auto"/>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2,252</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11 %</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7,408</w:t>
            </w:r>
          </w:p>
        </w:tc>
        <w:tc>
          <w:tcPr>
            <w:tcW w:w="360" w:type="dxa"/>
            <w:vAlign w:val="bottom"/>
            <w:gridSpan w:val="3"/>
            <w:shd w:val="clear" w:color="auto" w:fill="DBDBDB"/>
          </w:tcPr>
          <w:p>
            <w:pPr>
              <w:jc w:val="right"/>
              <w:ind w:right="8"/>
              <w:spacing w:after="0"/>
              <w:rPr>
                <w:sz w:val="20"/>
                <w:szCs w:val="20"/>
                <w:color w:val="auto"/>
              </w:rPr>
            </w:pPr>
            <w:r>
              <w:rPr>
                <w:rFonts w:ascii="Arial" w:cs="Arial" w:eastAsia="Arial" w:hAnsi="Arial"/>
                <w:sz w:val="18"/>
                <w:szCs w:val="18"/>
                <w:color w:val="auto"/>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6,867</w:t>
            </w: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30"/>
        </w:trPr>
        <w:tc>
          <w:tcPr>
            <w:tcW w:w="4800" w:type="dxa"/>
            <w:vAlign w:val="bottom"/>
          </w:tcPr>
          <w:p>
            <w:pPr>
              <w:ind w:left="220"/>
              <w:spacing w:after="0"/>
              <w:rPr>
                <w:sz w:val="20"/>
                <w:szCs w:val="20"/>
                <w:color w:val="auto"/>
              </w:rPr>
            </w:pPr>
            <w:r>
              <w:rPr>
                <w:rFonts w:ascii="Arial" w:cs="Arial" w:eastAsia="Arial" w:hAnsi="Arial"/>
                <w:sz w:val="18"/>
                <w:szCs w:val="18"/>
                <w:color w:val="auto"/>
              </w:rPr>
              <w:t>Cost of products and services sold</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1,653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4,940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4,572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shd w:val="clear" w:color="auto" w:fill="DBDBDB"/>
          </w:tcPr>
          <w:p>
            <w:pPr>
              <w:ind w:left="220"/>
              <w:spacing w:after="0"/>
              <w:rPr>
                <w:sz w:val="20"/>
                <w:szCs w:val="20"/>
                <w:color w:val="auto"/>
              </w:rPr>
            </w:pPr>
            <w:r>
              <w:rPr>
                <w:rFonts w:ascii="Arial" w:cs="Arial" w:eastAsia="Arial" w:hAnsi="Arial"/>
                <w:sz w:val="18"/>
                <w:szCs w:val="18"/>
                <w:color w:val="auto"/>
              </w:rPr>
              <w:t>Selling, general and administrative and other expenses</w:t>
            </w:r>
          </w:p>
        </w:tc>
        <w:tc>
          <w:tcPr>
            <w:tcW w:w="220" w:type="dxa"/>
            <w:vAlign w:val="bottom"/>
            <w:tcBorders>
              <w:bottom w:val="single" w:sz="8" w:color="auto"/>
            </w:tcBorders>
            <w:shd w:val="clear" w:color="auto" w:fill="DBDBDB"/>
          </w:tcPr>
          <w:p>
            <w:pPr>
              <w:spacing w:after="0"/>
              <w:rPr>
                <w:sz w:val="19"/>
                <w:szCs w:val="19"/>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299</w:t>
            </w:r>
          </w:p>
        </w:tc>
        <w:tc>
          <w:tcPr>
            <w:tcW w:w="80" w:type="dxa"/>
            <w:vAlign w:val="bottom"/>
            <w:tcBorders>
              <w:bottom w:val="single" w:sz="8" w:color="auto"/>
            </w:tcBorders>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20" w:type="dxa"/>
            <w:vAlign w:val="bottom"/>
            <w:tcBorders>
              <w:bottom w:val="single" w:sz="8" w:color="auto"/>
            </w:tcBorders>
            <w:shd w:val="clear" w:color="auto" w:fill="DBDBDB"/>
          </w:tcPr>
          <w:p>
            <w:pPr>
              <w:spacing w:after="0"/>
              <w:rPr>
                <w:sz w:val="19"/>
                <w:szCs w:val="19"/>
                <w:color w:val="auto"/>
              </w:rPr>
            </w:pP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287</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0" w:type="dxa"/>
            <w:vAlign w:val="bottom"/>
            <w:tcBorders>
              <w:bottom w:val="single" w:sz="8" w:color="auto"/>
            </w:tcBorders>
            <w:shd w:val="clear" w:color="auto" w:fill="DBDBDB"/>
          </w:tcPr>
          <w:p>
            <w:pPr>
              <w:spacing w:after="0"/>
              <w:rPr>
                <w:sz w:val="19"/>
                <w:szCs w:val="19"/>
                <w:color w:val="auto"/>
              </w:rPr>
            </w:pP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946</w:t>
            </w:r>
          </w:p>
        </w:tc>
        <w:tc>
          <w:tcPr>
            <w:tcW w:w="40" w:type="dxa"/>
            <w:vAlign w:val="bottom"/>
            <w:tcBorders>
              <w:bottom w:val="single" w:sz="8" w:color="auto"/>
            </w:tcBorders>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00" w:type="dxa"/>
            <w:vAlign w:val="bottom"/>
            <w:tcBorders>
              <w:bottom w:val="single" w:sz="8" w:color="auto"/>
            </w:tcBorders>
            <w:shd w:val="clear" w:color="auto" w:fill="DBDBDB"/>
          </w:tcPr>
          <w:p>
            <w:pPr>
              <w:spacing w:after="0"/>
              <w:rPr>
                <w:sz w:val="19"/>
                <w:szCs w:val="19"/>
                <w:color w:val="auto"/>
              </w:rPr>
            </w:pP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922</w:t>
            </w: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0" w:type="dxa"/>
            <w:vAlign w:val="bottom"/>
          </w:tcPr>
          <w:p>
            <w:pPr>
              <w:ind w:left="20"/>
              <w:spacing w:after="0"/>
              <w:rPr>
                <w:sz w:val="20"/>
                <w:szCs w:val="20"/>
                <w:color w:val="auto"/>
              </w:rPr>
            </w:pPr>
            <w:r>
              <w:rPr>
                <w:rFonts w:ascii="Arial" w:cs="Arial" w:eastAsia="Arial" w:hAnsi="Arial"/>
                <w:sz w:val="18"/>
                <w:szCs w:val="18"/>
                <w:color w:val="auto"/>
              </w:rPr>
              <w:t>Segment profit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558</w:t>
            </w:r>
          </w:p>
        </w:tc>
        <w:tc>
          <w:tcPr>
            <w:tcW w:w="400" w:type="dxa"/>
            <w:vAlign w:val="bottom"/>
            <w:gridSpan w:val="3"/>
          </w:tcPr>
          <w:p>
            <w:pPr>
              <w:jc w:val="right"/>
              <w:ind w:right="28"/>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26 %</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1,522</w:t>
            </w:r>
          </w:p>
        </w:tc>
        <w:tc>
          <w:tcPr>
            <w:tcW w:w="360" w:type="dxa"/>
            <w:vAlign w:val="bottom"/>
            <w:gridSpan w:val="3"/>
          </w:tcPr>
          <w:p>
            <w:pPr>
              <w:jc w:val="right"/>
              <w:ind w:right="8"/>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1,373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640" w:type="dxa"/>
            <w:vAlign w:val="bottom"/>
          </w:tcPr>
          <w:p>
            <w:pPr>
              <w:spacing w:after="0"/>
              <w:rPr>
                <w:sz w:val="17"/>
                <w:szCs w:val="17"/>
                <w:color w:val="auto"/>
              </w:rPr>
            </w:pPr>
          </w:p>
        </w:tc>
        <w:tc>
          <w:tcPr>
            <w:tcW w:w="1040" w:type="dxa"/>
            <w:vAlign w:val="bottom"/>
            <w:tcBorders>
              <w:bottom w:val="single" w:sz="8" w:color="DC202E"/>
            </w:tcBorders>
          </w:tcPr>
          <w:p>
            <w:pPr>
              <w:spacing w:after="0"/>
              <w:rPr>
                <w:sz w:val="17"/>
                <w:szCs w:val="17"/>
                <w:color w:val="auto"/>
              </w:rPr>
            </w:pPr>
          </w:p>
        </w:tc>
        <w:tc>
          <w:tcPr>
            <w:tcW w:w="100" w:type="dxa"/>
            <w:vAlign w:val="bottom"/>
            <w:tcBorders>
              <w:bottom w:val="single" w:sz="8" w:color="DC202E"/>
            </w:tcBorders>
          </w:tcPr>
          <w:p>
            <w:pPr>
              <w:spacing w:after="0"/>
              <w:rPr>
                <w:sz w:val="17"/>
                <w:szCs w:val="17"/>
                <w:color w:val="auto"/>
              </w:rPr>
            </w:pPr>
          </w:p>
        </w:tc>
        <w:tc>
          <w:tcPr>
            <w:tcW w:w="2540" w:type="dxa"/>
            <w:vAlign w:val="bottom"/>
            <w:tcBorders>
              <w:bottom w:val="single" w:sz="8" w:color="DC202E"/>
            </w:tcBorders>
            <w:gridSpan w:val="5"/>
          </w:tcPr>
          <w:p>
            <w:pPr>
              <w:ind w:left="700"/>
              <w:spacing w:after="0"/>
              <w:rPr>
                <w:sz w:val="20"/>
                <w:szCs w:val="20"/>
                <w:color w:val="auto"/>
              </w:rPr>
            </w:pPr>
            <w:r>
              <w:rPr>
                <w:rFonts w:ascii="Arial" w:cs="Arial" w:eastAsia="Arial" w:hAnsi="Arial"/>
                <w:sz w:val="14"/>
                <w:szCs w:val="14"/>
                <w:b w:val="1"/>
                <w:bCs w:val="1"/>
                <w:color w:val="auto"/>
              </w:rPr>
              <w:t>2021 vs. 2020</w:t>
            </w:r>
          </w:p>
        </w:tc>
        <w:tc>
          <w:tcPr>
            <w:tcW w:w="920" w:type="dxa"/>
            <w:vAlign w:val="bottom"/>
            <w:tcBorders>
              <w:bottom w:val="single" w:sz="8" w:color="DC202E"/>
            </w:tcBorders>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6640" w:type="dxa"/>
            <w:vAlign w:val="bottom"/>
          </w:tcPr>
          <w:p>
            <w:pPr>
              <w:spacing w:after="0"/>
              <w:rPr>
                <w:sz w:val="12"/>
                <w:szCs w:val="12"/>
                <w:color w:val="auto"/>
              </w:rPr>
            </w:pPr>
          </w:p>
        </w:tc>
        <w:tc>
          <w:tcPr>
            <w:tcW w:w="2400" w:type="dxa"/>
            <w:vAlign w:val="bottom"/>
            <w:gridSpan w:val="4"/>
          </w:tcPr>
          <w:p>
            <w:pPr>
              <w:ind w:left="400"/>
              <w:spacing w:after="0" w:line="149" w:lineRule="exact"/>
              <w:rPr>
                <w:sz w:val="20"/>
                <w:szCs w:val="20"/>
                <w:color w:val="auto"/>
              </w:rPr>
            </w:pPr>
            <w:r>
              <w:rPr>
                <w:rFonts w:ascii="Arial" w:cs="Arial" w:eastAsia="Arial" w:hAnsi="Arial"/>
                <w:sz w:val="14"/>
                <w:szCs w:val="14"/>
                <w:b w:val="1"/>
                <w:bCs w:val="1"/>
                <w:color w:val="auto"/>
              </w:rPr>
              <w:t>Three Months Ended</w:t>
            </w:r>
          </w:p>
        </w:tc>
        <w:tc>
          <w:tcPr>
            <w:tcW w:w="22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rPr>
              <w:t>Nine Months Ended September</w:t>
            </w:r>
          </w:p>
        </w:tc>
        <w:tc>
          <w:tcPr>
            <w:tcW w:w="0" w:type="dxa"/>
            <w:vAlign w:val="bottom"/>
          </w:tcPr>
          <w:p>
            <w:pPr>
              <w:spacing w:after="0"/>
              <w:rPr>
                <w:sz w:val="1"/>
                <w:szCs w:val="1"/>
                <w:color w:val="auto"/>
              </w:rPr>
            </w:pPr>
          </w:p>
        </w:tc>
      </w:tr>
      <w:tr>
        <w:trPr>
          <w:trHeight w:val="183"/>
        </w:trPr>
        <w:tc>
          <w:tcPr>
            <w:tcW w:w="6640" w:type="dxa"/>
            <w:vAlign w:val="bottom"/>
          </w:tcPr>
          <w:p>
            <w:pPr>
              <w:spacing w:after="0"/>
              <w:rPr>
                <w:sz w:val="15"/>
                <w:szCs w:val="15"/>
                <w:color w:val="auto"/>
              </w:rPr>
            </w:pPr>
          </w:p>
        </w:tc>
        <w:tc>
          <w:tcPr>
            <w:tcW w:w="2200" w:type="dxa"/>
            <w:vAlign w:val="bottom"/>
            <w:tcBorders>
              <w:bottom w:val="single" w:sz="8" w:color="DC202E"/>
            </w:tcBorders>
            <w:gridSpan w:val="3"/>
          </w:tcPr>
          <w:p>
            <w:pPr>
              <w:jc w:val="right"/>
              <w:ind w:right="518"/>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5"/>
                <w:szCs w:val="15"/>
                <w:color w:val="auto"/>
              </w:rPr>
            </w:pPr>
          </w:p>
        </w:tc>
        <w:tc>
          <w:tcPr>
            <w:tcW w:w="1280" w:type="dxa"/>
            <w:vAlign w:val="bottom"/>
            <w:tcBorders>
              <w:bottom w:val="single" w:sz="8" w:color="DC202E"/>
            </w:tcBorders>
            <w:gridSpan w:val="3"/>
          </w:tcPr>
          <w:p>
            <w:pPr>
              <w:jc w:val="right"/>
              <w:ind w:right="80"/>
              <w:spacing w:after="0"/>
              <w:rPr>
                <w:sz w:val="20"/>
                <w:szCs w:val="20"/>
                <w:color w:val="auto"/>
              </w:rPr>
            </w:pPr>
            <w:r>
              <w:rPr>
                <w:rFonts w:ascii="Arial" w:cs="Arial" w:eastAsia="Arial" w:hAnsi="Arial"/>
                <w:sz w:val="14"/>
                <w:szCs w:val="14"/>
                <w:b w:val="1"/>
                <w:bCs w:val="1"/>
                <w:color w:val="auto"/>
              </w:rPr>
              <w:t>30,</w:t>
            </w:r>
          </w:p>
        </w:tc>
        <w:tc>
          <w:tcPr>
            <w:tcW w:w="920" w:type="dxa"/>
            <w:vAlign w:val="bottom"/>
            <w:tcBorders>
              <w:bottom w:val="single" w:sz="8" w:color="DC202E"/>
            </w:tcBorders>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6640" w:type="dxa"/>
            <w:vAlign w:val="bottom"/>
            <w:vMerge w:val="restart"/>
          </w:tcPr>
          <w:p>
            <w:pPr>
              <w:ind w:left="1720"/>
              <w:spacing w:after="0"/>
              <w:rPr>
                <w:sz w:val="20"/>
                <w:szCs w:val="20"/>
                <w:color w:val="auto"/>
              </w:rPr>
            </w:pPr>
            <w:r>
              <w:rPr>
                <w:rFonts w:ascii="Arial" w:cs="Arial" w:eastAsia="Arial" w:hAnsi="Arial"/>
                <w:sz w:val="14"/>
                <w:szCs w:val="14"/>
                <w:b w:val="1"/>
                <w:bCs w:val="1"/>
                <w:color w:val="auto"/>
              </w:rPr>
              <w:t>Factors Contributing to Year-Over-Year Change</w:t>
            </w:r>
          </w:p>
        </w:tc>
        <w:tc>
          <w:tcPr>
            <w:tcW w:w="114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Sales</w:t>
            </w:r>
          </w:p>
        </w:tc>
        <w:tc>
          <w:tcPr>
            <w:tcW w:w="12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Segment</w:t>
            </w:r>
          </w:p>
        </w:tc>
        <w:tc>
          <w:tcPr>
            <w:tcW w:w="128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rPr>
              <w:t>Sales</w:t>
            </w:r>
          </w:p>
        </w:tc>
        <w:tc>
          <w:tcPr>
            <w:tcW w:w="920" w:type="dxa"/>
            <w:vAlign w:val="bottom"/>
          </w:tcPr>
          <w:p>
            <w:pPr>
              <w:jc w:val="right"/>
              <w:ind w:right="136"/>
              <w:spacing w:after="0" w:line="149" w:lineRule="exact"/>
              <w:rPr>
                <w:sz w:val="20"/>
                <w:szCs w:val="20"/>
                <w:color w:val="auto"/>
              </w:rPr>
            </w:pPr>
            <w:r>
              <w:rPr>
                <w:rFonts w:ascii="Arial" w:cs="Arial" w:eastAsia="Arial" w:hAnsi="Arial"/>
                <w:sz w:val="14"/>
                <w:szCs w:val="14"/>
                <w:b w:val="1"/>
                <w:bCs w:val="1"/>
                <w:color w:val="auto"/>
              </w:rPr>
              <w:t>Segment</w:t>
            </w:r>
          </w:p>
        </w:tc>
        <w:tc>
          <w:tcPr>
            <w:tcW w:w="0" w:type="dxa"/>
            <w:vAlign w:val="bottom"/>
          </w:tcPr>
          <w:p>
            <w:pPr>
              <w:spacing w:after="0"/>
              <w:rPr>
                <w:sz w:val="1"/>
                <w:szCs w:val="1"/>
                <w:color w:val="auto"/>
              </w:rPr>
            </w:pPr>
          </w:p>
        </w:tc>
      </w:tr>
      <w:tr>
        <w:trPr>
          <w:trHeight w:val="183"/>
        </w:trPr>
        <w:tc>
          <w:tcPr>
            <w:tcW w:w="6640" w:type="dxa"/>
            <w:vAlign w:val="bottom"/>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Profit</w:t>
            </w:r>
          </w:p>
        </w:tc>
        <w:tc>
          <w:tcPr>
            <w:tcW w:w="1280" w:type="dxa"/>
            <w:vAlign w:val="bottom"/>
            <w:gridSpan w:val="3"/>
            <w:vMerge w:val="continue"/>
          </w:tcPr>
          <w:p>
            <w:pPr>
              <w:spacing w:after="0"/>
              <w:rPr>
                <w:sz w:val="15"/>
                <w:szCs w:val="15"/>
                <w:color w:val="auto"/>
              </w:rPr>
            </w:pPr>
          </w:p>
        </w:tc>
        <w:tc>
          <w:tcPr>
            <w:tcW w:w="920" w:type="dxa"/>
            <w:vAlign w:val="bottom"/>
          </w:tcPr>
          <w:p>
            <w:pPr>
              <w:jc w:val="right"/>
              <w:ind w:right="256"/>
              <w:spacing w:after="0"/>
              <w:rPr>
                <w:sz w:val="20"/>
                <w:szCs w:val="20"/>
                <w:color w:val="auto"/>
              </w:rPr>
            </w:pPr>
            <w:r>
              <w:rPr>
                <w:rFonts w:ascii="Arial" w:cs="Arial" w:eastAsia="Arial" w:hAnsi="Arial"/>
                <w:sz w:val="14"/>
                <w:szCs w:val="14"/>
                <w:b w:val="1"/>
                <w:bCs w:val="1"/>
                <w:color w:val="auto"/>
              </w:rPr>
              <w:t>Profit</w:t>
            </w:r>
          </w:p>
        </w:tc>
        <w:tc>
          <w:tcPr>
            <w:tcW w:w="0" w:type="dxa"/>
            <w:vAlign w:val="bottom"/>
          </w:tcPr>
          <w:p>
            <w:pPr>
              <w:spacing w:after="0"/>
              <w:rPr>
                <w:sz w:val="1"/>
                <w:szCs w:val="1"/>
                <w:color w:val="auto"/>
              </w:rPr>
            </w:pPr>
          </w:p>
        </w:tc>
      </w:tr>
      <w:tr>
        <w:trPr>
          <w:trHeight w:val="229"/>
        </w:trPr>
        <w:tc>
          <w:tcPr>
            <w:tcW w:w="6640" w:type="dxa"/>
            <w:vAlign w:val="bottom"/>
            <w:tcBorders>
              <w:top w:val="single" w:sz="8" w:color="DC202E"/>
            </w:tcBorders>
            <w:shd w:val="clear" w:color="auto" w:fill="DBDBDB"/>
          </w:tcPr>
          <w:p>
            <w:pPr>
              <w:ind w:left="20"/>
              <w:spacing w:after="0"/>
              <w:rPr>
                <w:sz w:val="20"/>
                <w:szCs w:val="20"/>
                <w:color w:val="auto"/>
              </w:rPr>
            </w:pPr>
            <w:r>
              <w:rPr>
                <w:rFonts w:ascii="Arial" w:cs="Arial" w:eastAsia="Arial" w:hAnsi="Arial"/>
                <w:sz w:val="18"/>
                <w:szCs w:val="18"/>
                <w:color w:val="auto"/>
              </w:rPr>
              <w:t>Organic</w:t>
            </w:r>
          </w:p>
        </w:tc>
        <w:tc>
          <w:tcPr>
            <w:tcW w:w="1040" w:type="dxa"/>
            <w:vAlign w:val="bottom"/>
            <w:tcBorders>
              <w:top w:val="single" w:sz="8" w:color="DC202E"/>
            </w:tcBorders>
            <w:shd w:val="clear" w:color="auto" w:fill="DBDBDB"/>
          </w:tcPr>
          <w:p>
            <w:pPr>
              <w:jc w:val="right"/>
              <w:spacing w:after="0"/>
              <w:rPr>
                <w:sz w:val="20"/>
                <w:szCs w:val="20"/>
                <w:color w:val="auto"/>
              </w:rPr>
            </w:pPr>
            <w:r>
              <w:rPr>
                <w:rFonts w:ascii="Arial" w:cs="Arial" w:eastAsia="Arial" w:hAnsi="Arial"/>
                <w:sz w:val="18"/>
                <w:szCs w:val="18"/>
                <w:color w:val="auto"/>
              </w:rPr>
              <w:t>9 %</w:t>
            </w:r>
          </w:p>
        </w:tc>
        <w:tc>
          <w:tcPr>
            <w:tcW w:w="100" w:type="dxa"/>
            <w:vAlign w:val="bottom"/>
            <w:tcBorders>
              <w:top w:val="single" w:sz="8" w:color="DBDBDB"/>
            </w:tcBorders>
            <w:shd w:val="clear" w:color="auto" w:fill="DBDBDB"/>
          </w:tcPr>
          <w:p>
            <w:pPr>
              <w:spacing w:after="0"/>
              <w:rPr>
                <w:sz w:val="19"/>
                <w:szCs w:val="19"/>
                <w:color w:val="auto"/>
              </w:rPr>
            </w:pPr>
          </w:p>
        </w:tc>
        <w:tc>
          <w:tcPr>
            <w:tcW w:w="1060" w:type="dxa"/>
            <w:vAlign w:val="bottom"/>
            <w:tcBorders>
              <w:top w:val="single" w:sz="8" w:color="DC202E"/>
            </w:tcBorders>
            <w:shd w:val="clear" w:color="auto" w:fill="DBDBDB"/>
          </w:tcPr>
          <w:p>
            <w:pPr>
              <w:jc w:val="right"/>
              <w:spacing w:after="0"/>
              <w:rPr>
                <w:sz w:val="20"/>
                <w:szCs w:val="20"/>
                <w:color w:val="auto"/>
              </w:rPr>
            </w:pPr>
            <w:r>
              <w:rPr>
                <w:rFonts w:ascii="Arial" w:cs="Arial" w:eastAsia="Arial" w:hAnsi="Arial"/>
                <w:sz w:val="18"/>
                <w:szCs w:val="18"/>
                <w:color w:val="auto"/>
              </w:rPr>
              <w:t>26 %</w:t>
            </w:r>
          </w:p>
        </w:tc>
        <w:tc>
          <w:tcPr>
            <w:tcW w:w="200" w:type="dxa"/>
            <w:vAlign w:val="bottom"/>
            <w:tcBorders>
              <w:top w:val="single" w:sz="8" w:color="DBDBDB"/>
            </w:tcBorders>
            <w:shd w:val="clear" w:color="auto" w:fill="DBDBDB"/>
          </w:tcPr>
          <w:p>
            <w:pPr>
              <w:spacing w:after="0"/>
              <w:rPr>
                <w:sz w:val="19"/>
                <w:szCs w:val="19"/>
                <w:color w:val="auto"/>
              </w:rPr>
            </w:pPr>
          </w:p>
        </w:tc>
        <w:tc>
          <w:tcPr>
            <w:tcW w:w="1040" w:type="dxa"/>
            <w:vAlign w:val="bottom"/>
            <w:tcBorders>
              <w:top w:val="single" w:sz="8" w:color="DC202E"/>
            </w:tcBorders>
            <w:shd w:val="clear" w:color="auto" w:fill="DBDBDB"/>
          </w:tcPr>
          <w:p>
            <w:pPr>
              <w:jc w:val="right"/>
              <w:spacing w:after="0"/>
              <w:rPr>
                <w:sz w:val="20"/>
                <w:szCs w:val="20"/>
                <w:color w:val="auto"/>
              </w:rPr>
            </w:pPr>
            <w:r>
              <w:rPr>
                <w:rFonts w:ascii="Arial" w:cs="Arial" w:eastAsia="Arial" w:hAnsi="Arial"/>
                <w:sz w:val="18"/>
                <w:szCs w:val="18"/>
                <w:color w:val="auto"/>
              </w:rPr>
              <w:t>4 %</w:t>
            </w:r>
          </w:p>
        </w:tc>
        <w:tc>
          <w:tcPr>
            <w:tcW w:w="10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DC202E"/>
            </w:tcBorders>
            <w:shd w:val="clear" w:color="auto" w:fill="DBDBDB"/>
          </w:tcPr>
          <w:p>
            <w:pPr>
              <w:spacing w:after="0"/>
              <w:rPr>
                <w:sz w:val="19"/>
                <w:szCs w:val="19"/>
                <w:color w:val="auto"/>
              </w:rPr>
            </w:pPr>
          </w:p>
        </w:tc>
        <w:tc>
          <w:tcPr>
            <w:tcW w:w="920" w:type="dxa"/>
            <w:vAlign w:val="bottom"/>
            <w:tcBorders>
              <w:top w:val="single" w:sz="8" w:color="DC202E"/>
            </w:tcBorders>
            <w:shd w:val="clear" w:color="auto" w:fill="DBDBDB"/>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30"/>
        </w:trPr>
        <w:tc>
          <w:tcPr>
            <w:tcW w:w="6640" w:type="dxa"/>
            <w:vAlign w:val="bottom"/>
          </w:tcPr>
          <w:p>
            <w:pPr>
              <w:ind w:left="20"/>
              <w:spacing w:after="0"/>
              <w:rPr>
                <w:sz w:val="20"/>
                <w:szCs w:val="20"/>
                <w:color w:val="auto"/>
              </w:rPr>
            </w:pPr>
            <w:r>
              <w:rPr>
                <w:rFonts w:ascii="Arial" w:cs="Arial" w:eastAsia="Arial" w:hAnsi="Arial"/>
                <w:sz w:val="18"/>
                <w:szCs w:val="18"/>
                <w:color w:val="auto"/>
              </w:rPr>
              <w:t>Foreign currency translation</w:t>
            </w:r>
          </w:p>
        </w:tc>
        <w:tc>
          <w:tcPr>
            <w:tcW w:w="1040" w:type="dxa"/>
            <w:vAlign w:val="bottom"/>
          </w:tcPr>
          <w:p>
            <w:pPr>
              <w:jc w:val="right"/>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1 %</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30"/>
        </w:trPr>
        <w:tc>
          <w:tcPr>
            <w:tcW w:w="6640" w:type="dxa"/>
            <w:vAlign w:val="bottom"/>
            <w:shd w:val="clear" w:color="auto" w:fill="DBDBDB"/>
          </w:tcPr>
          <w:p>
            <w:pPr>
              <w:ind w:left="20"/>
              <w:spacing w:after="0"/>
              <w:rPr>
                <w:sz w:val="20"/>
                <w:szCs w:val="20"/>
                <w:color w:val="auto"/>
              </w:rPr>
            </w:pPr>
            <w:r>
              <w:rPr>
                <w:rFonts w:ascii="Arial" w:cs="Arial" w:eastAsia="Arial" w:hAnsi="Arial"/>
                <w:sz w:val="18"/>
                <w:szCs w:val="18"/>
                <w:color w:val="auto"/>
              </w:rPr>
              <w:t>Acquisitions, divestitures, and other, net</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1 %</w:t>
            </w:r>
          </w:p>
        </w:tc>
        <w:tc>
          <w:tcPr>
            <w:tcW w:w="100" w:type="dxa"/>
            <w:vAlign w:val="bottom"/>
            <w:shd w:val="clear" w:color="auto" w:fill="DBDBDB"/>
          </w:tcPr>
          <w:p>
            <w:pPr>
              <w:spacing w:after="0"/>
              <w:rPr>
                <w:sz w:val="19"/>
                <w:szCs w:val="19"/>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1 %</w:t>
            </w:r>
          </w:p>
        </w:tc>
        <w:tc>
          <w:tcPr>
            <w:tcW w:w="100" w:type="dxa"/>
            <w:vAlign w:val="bottom"/>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6640" w:type="dxa"/>
            <w:vAlign w:val="bottom"/>
          </w:tcPr>
          <w:p>
            <w:pPr>
              <w:ind w:left="20"/>
              <w:spacing w:after="0"/>
              <w:rPr>
                <w:sz w:val="20"/>
                <w:szCs w:val="20"/>
                <w:color w:val="auto"/>
              </w:rPr>
            </w:pPr>
            <w:r>
              <w:rPr>
                <w:rFonts w:ascii="Arial" w:cs="Arial" w:eastAsia="Arial" w:hAnsi="Arial"/>
                <w:sz w:val="18"/>
                <w:szCs w:val="18"/>
                <w:color w:val="auto"/>
              </w:rPr>
              <w:t>Total % change</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26 %</w:t>
            </w:r>
          </w:p>
        </w:tc>
        <w:tc>
          <w:tcPr>
            <w:tcW w:w="20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8 %</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Q3 2021 compared to Q3 2020</w:t>
      </w:r>
    </w:p>
    <w:p>
      <w:pPr>
        <w:spacing w:after="0" w:line="139"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Sales increased due to higher sales volumes, favorable pricing, the acquisition of Sparta Systems, and the favorable impact of foreign currency translation. Increased activity in the oil and gas industry and higher demand within Advanced Materials resulted in higher sales of our products and services.</w:t>
      </w:r>
    </w:p>
    <w:p>
      <w:pPr>
        <w:spacing w:after="0" w:line="94" w:lineRule="exact"/>
        <w:rPr>
          <w:sz w:val="20"/>
          <w:szCs w:val="20"/>
          <w:color w:val="auto"/>
        </w:rPr>
      </w:pPr>
    </w:p>
    <w:p>
      <w:pPr>
        <w:ind w:left="480" w:hanging="310"/>
        <w:spacing w:after="0"/>
        <w:tabs>
          <w:tab w:leader="none" w:pos="48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UOP sales increased 30% (increased 29% organic) due to higher demand for oil and gas products.</w:t>
      </w:r>
    </w:p>
    <w:p>
      <w:pPr>
        <w:spacing w:after="0" w:line="63" w:lineRule="exact"/>
        <w:rPr>
          <w:rFonts w:ascii="Arial" w:cs="Arial" w:eastAsia="Arial" w:hAnsi="Arial"/>
          <w:sz w:val="18"/>
          <w:szCs w:val="18"/>
          <w:b w:val="1"/>
          <w:bCs w:val="1"/>
          <w:color w:val="auto"/>
        </w:rPr>
      </w:pPr>
    </w:p>
    <w:p>
      <w:pPr>
        <w:ind w:left="500" w:hanging="330"/>
        <w:spacing w:after="0" w:line="261" w:lineRule="auto"/>
        <w:tabs>
          <w:tab w:leader="none" w:pos="495"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Process Solutions sales increased 2% (decreased 2% organic) driven by the acquisition of Sparta Systems and the favorable impact of foreign currency translation.</w:t>
      </w:r>
    </w:p>
    <w:p>
      <w:pPr>
        <w:spacing w:after="0" w:line="35" w:lineRule="exact"/>
        <w:rPr>
          <w:rFonts w:ascii="Arial" w:cs="Arial" w:eastAsia="Arial" w:hAnsi="Arial"/>
          <w:sz w:val="18"/>
          <w:szCs w:val="18"/>
          <w:b w:val="1"/>
          <w:bCs w:val="1"/>
          <w:color w:val="auto"/>
        </w:rPr>
      </w:pPr>
    </w:p>
    <w:p>
      <w:pPr>
        <w:ind w:left="480" w:hanging="310"/>
        <w:spacing w:after="0"/>
        <w:tabs>
          <w:tab w:leader="none" w:pos="48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Advanced Materials sales increased 14% (increased 14% organic) driven by increased demand in specialty and fluorine products.</w:t>
      </w:r>
    </w:p>
    <w:p>
      <w:pPr>
        <w:spacing w:after="0" w:line="11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Cost of products and services sold increased due to higher sales volumes and the rising cost of materials, partially offset by higher productivity.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45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Segment profit increased due to favorable pricing and higher productivity, partially offset by the rising cost of materials.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YTD 2021 compared to YTD 2020</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Sales increased due to the favorable impact of foreign currency translation, favorable pricing, the acquisition of Sparta Systems, and higher sales volumes. There was higher demand within Advanced Materials and increased activity in the oil and gas industry which positively impacted many of our UOP customers.</w:t>
      </w:r>
    </w:p>
    <w:p>
      <w:pPr>
        <w:spacing w:after="0" w:line="94" w:lineRule="exact"/>
        <w:rPr>
          <w:sz w:val="20"/>
          <w:szCs w:val="20"/>
          <w:color w:val="auto"/>
        </w:rPr>
      </w:pPr>
    </w:p>
    <w:p>
      <w:pPr>
        <w:ind w:left="500" w:hanging="330"/>
        <w:spacing w:after="0" w:line="261" w:lineRule="auto"/>
        <w:tabs>
          <w:tab w:leader="none" w:pos="495"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UOP sales increased 8% (increased 6% organic) due to higher demand for oil and gas products and services and the favorable impact of foreign currency translation.</w:t>
      </w:r>
    </w:p>
    <w:p>
      <w:pPr>
        <w:spacing w:after="0" w:line="89" w:lineRule="exact"/>
        <w:rPr>
          <w:rFonts w:ascii="Arial" w:cs="Arial" w:eastAsia="Arial" w:hAnsi="Arial"/>
          <w:sz w:val="18"/>
          <w:szCs w:val="18"/>
          <w:b w:val="1"/>
          <w:bCs w:val="1"/>
          <w:color w:val="auto"/>
        </w:rPr>
      </w:pPr>
    </w:p>
    <w:p>
      <w:pPr>
        <w:ind w:left="500" w:hanging="330"/>
        <w:spacing w:after="0" w:line="261" w:lineRule="auto"/>
        <w:tabs>
          <w:tab w:leader="none" w:pos="495"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Process Solutions sales increased 1% (decreased 4% organic) driven by the acquisition of Sparta Systems and the favorable impact of foreign currency translation, partially offset by lower demand for products and services.</w:t>
      </w:r>
    </w:p>
    <w:p>
      <w:pPr>
        <w:spacing w:after="0" w:line="89" w:lineRule="exact"/>
        <w:rPr>
          <w:rFonts w:ascii="Arial" w:cs="Arial" w:eastAsia="Arial" w:hAnsi="Arial"/>
          <w:sz w:val="18"/>
          <w:szCs w:val="18"/>
          <w:b w:val="1"/>
          <w:bCs w:val="1"/>
          <w:color w:val="auto"/>
        </w:rPr>
      </w:pPr>
    </w:p>
    <w:p>
      <w:pPr>
        <w:ind w:left="500" w:hanging="330"/>
        <w:spacing w:after="0" w:line="261" w:lineRule="auto"/>
        <w:tabs>
          <w:tab w:leader="none" w:pos="495"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Advanced Materials sales increased 19% (increased 17% organic) driven by increased demand in fluorine and specialty products and the favorable impact of foreign currency translation.</w:t>
      </w:r>
    </w:p>
    <w:p>
      <w:pPr>
        <w:spacing w:after="0" w:line="9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Cost of products and services sold increased due to higher sales volumes of lower margin products, the rising cost of materials, and the unfavorable impact of foreign currency translation, partially offset by higher productivity.</w:t>
      </w:r>
    </w:p>
    <w:p>
      <w:pPr>
        <w:spacing w:after="0" w:line="90"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Segment profit increased due to favorable pricing, higher productivity, and the favorable impact of foreign currency translation, partially offset by the rising cost of materials, and higher sales volumes of lower margin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46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49" w:name="page50"/>
    <w:bookmarkEnd w:id="49"/>
    <w:p>
      <w:pPr>
        <w:spacing w:after="0"/>
        <w:rPr>
          <w:sz w:val="20"/>
          <w:szCs w:val="20"/>
          <w:color w:val="auto"/>
        </w:rPr>
      </w:pPr>
      <w:r>
        <w:rPr>
          <w:rFonts w:ascii="Arial" w:cs="Arial" w:eastAsia="Arial" w:hAnsi="Arial"/>
          <w:sz w:val="25"/>
          <w:szCs w:val="25"/>
          <w:b w:val="1"/>
          <w:bCs w:val="1"/>
          <w:color w:val="auto"/>
        </w:rPr>
        <w:t>SAFETY AND PRODUCTIVITY SOLUTIONS</w:t>
      </w:r>
    </w:p>
    <w:p>
      <w:pPr>
        <w:spacing w:after="0" w:line="3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151130</wp:posOffset>
            </wp:positionV>
            <wp:extent cx="5854700" cy="23145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854700"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0" w:type="dxa"/>
            <w:vAlign w:val="bottom"/>
            <w:gridSpan w:val="10"/>
          </w:tcPr>
          <w:p>
            <w:pPr>
              <w:jc w:val="center"/>
              <w:ind w:right="9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40" w:type="dxa"/>
            <w:vAlign w:val="bottom"/>
            <w:gridSpan w:val="9"/>
          </w:tcPr>
          <w:p>
            <w:pPr>
              <w:jc w:val="center"/>
              <w:spacing w:after="0"/>
              <w:rPr>
                <w:sz w:val="20"/>
                <w:szCs w:val="20"/>
                <w:color w:val="auto"/>
              </w:rPr>
            </w:pPr>
            <w:r>
              <w:rPr>
                <w:rFonts w:ascii="Arial" w:cs="Arial" w:eastAsia="Arial" w:hAnsi="Arial"/>
                <w:sz w:val="14"/>
                <w:szCs w:val="14"/>
                <w:b w:val="1"/>
                <w:bCs w:val="1"/>
                <w:color w:val="auto"/>
              </w:rPr>
              <w:t>Nine Months Ended</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820" w:type="dxa"/>
            <w:vAlign w:val="bottom"/>
          </w:tcPr>
          <w:p>
            <w:pPr>
              <w:spacing w:after="0"/>
              <w:rPr>
                <w:sz w:val="15"/>
                <w:szCs w:val="15"/>
                <w:color w:val="auto"/>
              </w:rPr>
            </w:pPr>
          </w:p>
        </w:tc>
        <w:tc>
          <w:tcPr>
            <w:tcW w:w="240" w:type="dxa"/>
            <w:vAlign w:val="bottom"/>
            <w:tcBorders>
              <w:bottom w:val="single" w:sz="8" w:color="DC202E"/>
            </w:tcBorders>
          </w:tcPr>
          <w:p>
            <w:pPr>
              <w:spacing w:after="0"/>
              <w:rPr>
                <w:sz w:val="15"/>
                <w:szCs w:val="15"/>
                <w:color w:val="auto"/>
              </w:rPr>
            </w:pPr>
          </w:p>
        </w:tc>
        <w:tc>
          <w:tcPr>
            <w:tcW w:w="620" w:type="dxa"/>
            <w:vAlign w:val="bottom"/>
            <w:tcBorders>
              <w:bottom w:val="single" w:sz="8" w:color="DC202E"/>
            </w:tcBorders>
          </w:tcPr>
          <w:p>
            <w:pPr>
              <w:spacing w:after="0"/>
              <w:rPr>
                <w:sz w:val="15"/>
                <w:szCs w:val="15"/>
                <w:color w:val="auto"/>
              </w:rPr>
            </w:pPr>
          </w:p>
        </w:tc>
        <w:tc>
          <w:tcPr>
            <w:tcW w:w="60" w:type="dxa"/>
            <w:vAlign w:val="bottom"/>
            <w:tcBorders>
              <w:bottom w:val="single" w:sz="8" w:color="DC202E"/>
            </w:tcBorders>
          </w:tcPr>
          <w:p>
            <w:pPr>
              <w:spacing w:after="0"/>
              <w:rPr>
                <w:sz w:val="15"/>
                <w:szCs w:val="15"/>
                <w:color w:val="auto"/>
              </w:rPr>
            </w:pPr>
          </w:p>
        </w:tc>
        <w:tc>
          <w:tcPr>
            <w:tcW w:w="120" w:type="dxa"/>
            <w:vAlign w:val="bottom"/>
            <w:tcBorders>
              <w:bottom w:val="single" w:sz="8" w:color="DC202E"/>
            </w:tcBorders>
          </w:tcPr>
          <w:p>
            <w:pPr>
              <w:spacing w:after="0"/>
              <w:rPr>
                <w:sz w:val="15"/>
                <w:szCs w:val="15"/>
                <w:color w:val="auto"/>
              </w:rPr>
            </w:pPr>
          </w:p>
        </w:tc>
        <w:tc>
          <w:tcPr>
            <w:tcW w:w="1040" w:type="dxa"/>
            <w:vAlign w:val="bottom"/>
            <w:tcBorders>
              <w:bottom w:val="single" w:sz="8" w:color="DC202E"/>
            </w:tcBorders>
            <w:gridSpan w:val="4"/>
          </w:tcPr>
          <w:p>
            <w:pPr>
              <w:jc w:val="center"/>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DC202E"/>
            </w:tcBorders>
          </w:tcPr>
          <w:p>
            <w:pPr>
              <w:spacing w:after="0"/>
              <w:rPr>
                <w:sz w:val="15"/>
                <w:szCs w:val="15"/>
                <w:color w:val="auto"/>
              </w:rPr>
            </w:pPr>
          </w:p>
        </w:tc>
        <w:tc>
          <w:tcPr>
            <w:tcW w:w="120" w:type="dxa"/>
            <w:vAlign w:val="bottom"/>
            <w:tcBorders>
              <w:bottom w:val="single" w:sz="8" w:color="DC202E"/>
            </w:tcBorders>
          </w:tcPr>
          <w:p>
            <w:pPr>
              <w:spacing w:after="0"/>
              <w:rPr>
                <w:sz w:val="15"/>
                <w:szCs w:val="15"/>
                <w:color w:val="auto"/>
              </w:rPr>
            </w:pPr>
          </w:p>
        </w:tc>
        <w:tc>
          <w:tcPr>
            <w:tcW w:w="80" w:type="dxa"/>
            <w:vAlign w:val="bottom"/>
            <w:tcBorders>
              <w:bottom w:val="single" w:sz="8" w:color="DC202E"/>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DC202E"/>
            </w:tcBorders>
          </w:tcPr>
          <w:p>
            <w:pPr>
              <w:spacing w:after="0"/>
              <w:rPr>
                <w:sz w:val="15"/>
                <w:szCs w:val="15"/>
                <w:color w:val="auto"/>
              </w:rPr>
            </w:pPr>
          </w:p>
        </w:tc>
        <w:tc>
          <w:tcPr>
            <w:tcW w:w="720" w:type="dxa"/>
            <w:vAlign w:val="bottom"/>
            <w:tcBorders>
              <w:bottom w:val="single" w:sz="8" w:color="DC202E"/>
            </w:tcBorders>
          </w:tcPr>
          <w:p>
            <w:pPr>
              <w:spacing w:after="0"/>
              <w:rPr>
                <w:sz w:val="15"/>
                <w:szCs w:val="15"/>
                <w:color w:val="auto"/>
              </w:rPr>
            </w:pPr>
          </w:p>
        </w:tc>
        <w:tc>
          <w:tcPr>
            <w:tcW w:w="80" w:type="dxa"/>
            <w:vAlign w:val="bottom"/>
            <w:tcBorders>
              <w:bottom w:val="single" w:sz="8" w:color="DC202E"/>
            </w:tcBorders>
          </w:tcPr>
          <w:p>
            <w:pPr>
              <w:spacing w:after="0"/>
              <w:rPr>
                <w:sz w:val="15"/>
                <w:szCs w:val="15"/>
                <w:color w:val="auto"/>
              </w:rPr>
            </w:pPr>
          </w:p>
        </w:tc>
        <w:tc>
          <w:tcPr>
            <w:tcW w:w="40" w:type="dxa"/>
            <w:vAlign w:val="bottom"/>
            <w:tcBorders>
              <w:bottom w:val="single" w:sz="8" w:color="DC202E"/>
            </w:tcBorders>
          </w:tcPr>
          <w:p>
            <w:pPr>
              <w:spacing w:after="0"/>
              <w:rPr>
                <w:sz w:val="15"/>
                <w:szCs w:val="15"/>
                <w:color w:val="auto"/>
              </w:rPr>
            </w:pPr>
          </w:p>
        </w:tc>
        <w:tc>
          <w:tcPr>
            <w:tcW w:w="60" w:type="dxa"/>
            <w:vAlign w:val="bottom"/>
            <w:tcBorders>
              <w:bottom w:val="single" w:sz="8" w:color="DC202E"/>
            </w:tcBorders>
          </w:tcPr>
          <w:p>
            <w:pPr>
              <w:spacing w:after="0"/>
              <w:rPr>
                <w:sz w:val="15"/>
                <w:szCs w:val="15"/>
                <w:color w:val="auto"/>
              </w:rPr>
            </w:pPr>
          </w:p>
        </w:tc>
        <w:tc>
          <w:tcPr>
            <w:tcW w:w="1260" w:type="dxa"/>
            <w:vAlign w:val="bottom"/>
            <w:tcBorders>
              <w:bottom w:val="single" w:sz="8" w:color="DC202E"/>
            </w:tcBorders>
            <w:gridSpan w:val="6"/>
          </w:tcPr>
          <w:p>
            <w:pPr>
              <w:jc w:val="center"/>
              <w:ind w:right="18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DC202E"/>
            </w:tcBorders>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ind w:right="198"/>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83"/>
        </w:trPr>
        <w:tc>
          <w:tcPr>
            <w:tcW w:w="4820" w:type="dxa"/>
            <w:vAlign w:val="bottom"/>
            <w:tcBorders>
              <w:bottom w:val="single" w:sz="8" w:color="DBDBDB"/>
            </w:tcBorders>
          </w:tcPr>
          <w:p>
            <w:pPr>
              <w:spacing w:after="0"/>
              <w:rPr>
                <w:sz w:val="15"/>
                <w:szCs w:val="15"/>
                <w:color w:val="auto"/>
              </w:rPr>
            </w:pPr>
          </w:p>
        </w:tc>
        <w:tc>
          <w:tcPr>
            <w:tcW w:w="240" w:type="dxa"/>
            <w:vAlign w:val="bottom"/>
            <w:tcBorders>
              <w:bottom w:val="single" w:sz="8" w:color="DC202E"/>
            </w:tcBorders>
          </w:tcPr>
          <w:p>
            <w:pPr>
              <w:spacing w:after="0"/>
              <w:rPr>
                <w:sz w:val="15"/>
                <w:szCs w:val="15"/>
                <w:color w:val="auto"/>
              </w:rPr>
            </w:pPr>
          </w:p>
        </w:tc>
        <w:tc>
          <w:tcPr>
            <w:tcW w:w="620" w:type="dxa"/>
            <w:vAlign w:val="bottom"/>
            <w:tcBorders>
              <w:bottom w:val="single" w:sz="8" w:color="DC202E"/>
            </w:tcBorders>
            <w:vMerge w:val="continue"/>
          </w:tcPr>
          <w:p>
            <w:pPr>
              <w:spacing w:after="0"/>
              <w:rPr>
                <w:sz w:val="15"/>
                <w:szCs w:val="15"/>
                <w:color w:val="auto"/>
              </w:rPr>
            </w:pPr>
          </w:p>
        </w:tc>
        <w:tc>
          <w:tcPr>
            <w:tcW w:w="60" w:type="dxa"/>
            <w:vAlign w:val="bottom"/>
            <w:tcBorders>
              <w:bottom w:val="single" w:sz="8" w:color="DC202E"/>
            </w:tcBorders>
          </w:tcPr>
          <w:p>
            <w:pPr>
              <w:spacing w:after="0"/>
              <w:rPr>
                <w:sz w:val="15"/>
                <w:szCs w:val="15"/>
                <w:color w:val="auto"/>
              </w:rPr>
            </w:pPr>
          </w:p>
        </w:tc>
        <w:tc>
          <w:tcPr>
            <w:tcW w:w="120" w:type="dxa"/>
            <w:vAlign w:val="bottom"/>
            <w:tcBorders>
              <w:bottom w:val="single" w:sz="8" w:color="DBDBDB"/>
            </w:tcBorders>
          </w:tcPr>
          <w:p>
            <w:pPr>
              <w:spacing w:after="0"/>
              <w:rPr>
                <w:sz w:val="15"/>
                <w:szCs w:val="15"/>
                <w:color w:val="auto"/>
              </w:rPr>
            </w:pPr>
          </w:p>
        </w:tc>
        <w:tc>
          <w:tcPr>
            <w:tcW w:w="200" w:type="dxa"/>
            <w:vAlign w:val="bottom"/>
            <w:tcBorders>
              <w:bottom w:val="single" w:sz="8" w:color="DC202E"/>
            </w:tcBorders>
          </w:tcPr>
          <w:p>
            <w:pPr>
              <w:spacing w:after="0"/>
              <w:rPr>
                <w:sz w:val="15"/>
                <w:szCs w:val="15"/>
                <w:color w:val="auto"/>
              </w:rPr>
            </w:pPr>
          </w:p>
        </w:tc>
        <w:tc>
          <w:tcPr>
            <w:tcW w:w="700" w:type="dxa"/>
            <w:vAlign w:val="bottom"/>
            <w:tcBorders>
              <w:bottom w:val="single" w:sz="8" w:color="DC202E"/>
            </w:tcBorders>
            <w:vMerge w:val="continue"/>
          </w:tcPr>
          <w:p>
            <w:pPr>
              <w:spacing w:after="0"/>
              <w:rPr>
                <w:sz w:val="15"/>
                <w:szCs w:val="15"/>
                <w:color w:val="auto"/>
              </w:rPr>
            </w:pPr>
          </w:p>
        </w:tc>
        <w:tc>
          <w:tcPr>
            <w:tcW w:w="20" w:type="dxa"/>
            <w:vAlign w:val="bottom"/>
            <w:tcBorders>
              <w:bottom w:val="single" w:sz="8" w:color="DC202E"/>
            </w:tcBorders>
          </w:tcPr>
          <w:p>
            <w:pPr>
              <w:spacing w:after="0"/>
              <w:rPr>
                <w:sz w:val="15"/>
                <w:szCs w:val="15"/>
                <w:color w:val="auto"/>
              </w:rPr>
            </w:pPr>
          </w:p>
        </w:tc>
        <w:tc>
          <w:tcPr>
            <w:tcW w:w="120" w:type="dxa"/>
            <w:vAlign w:val="bottom"/>
            <w:tcBorders>
              <w:bottom w:val="single" w:sz="8" w:color="DBDBDB"/>
            </w:tcBorders>
          </w:tcPr>
          <w:p>
            <w:pPr>
              <w:spacing w:after="0"/>
              <w:rPr>
                <w:sz w:val="15"/>
                <w:szCs w:val="15"/>
                <w:color w:val="auto"/>
              </w:rPr>
            </w:pPr>
          </w:p>
        </w:tc>
        <w:tc>
          <w:tcPr>
            <w:tcW w:w="1080" w:type="dxa"/>
            <w:vAlign w:val="bottom"/>
            <w:tcBorders>
              <w:bottom w:val="single" w:sz="8" w:color="DC202E"/>
            </w:tcBorders>
            <w:gridSpan w:val="3"/>
          </w:tcPr>
          <w:p>
            <w:pPr>
              <w:jc w:val="right"/>
              <w:ind w:right="280"/>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DBDBDB"/>
            </w:tcBorders>
          </w:tcPr>
          <w:p>
            <w:pPr>
              <w:spacing w:after="0"/>
              <w:rPr>
                <w:sz w:val="15"/>
                <w:szCs w:val="15"/>
                <w:color w:val="auto"/>
              </w:rPr>
            </w:pPr>
          </w:p>
        </w:tc>
        <w:tc>
          <w:tcPr>
            <w:tcW w:w="140" w:type="dxa"/>
            <w:vAlign w:val="bottom"/>
            <w:tcBorders>
              <w:bottom w:val="single" w:sz="8" w:color="DC202E"/>
            </w:tcBorders>
          </w:tcPr>
          <w:p>
            <w:pPr>
              <w:spacing w:after="0"/>
              <w:rPr>
                <w:sz w:val="15"/>
                <w:szCs w:val="15"/>
                <w:color w:val="auto"/>
              </w:rPr>
            </w:pPr>
          </w:p>
        </w:tc>
        <w:tc>
          <w:tcPr>
            <w:tcW w:w="720" w:type="dxa"/>
            <w:vAlign w:val="bottom"/>
            <w:tcBorders>
              <w:bottom w:val="single" w:sz="8" w:color="DC202E"/>
            </w:tcBorders>
            <w:vMerge w:val="continue"/>
          </w:tcPr>
          <w:p>
            <w:pPr>
              <w:spacing w:after="0"/>
              <w:rPr>
                <w:sz w:val="15"/>
                <w:szCs w:val="15"/>
                <w:color w:val="auto"/>
              </w:rPr>
            </w:pPr>
          </w:p>
        </w:tc>
        <w:tc>
          <w:tcPr>
            <w:tcW w:w="80" w:type="dxa"/>
            <w:vAlign w:val="bottom"/>
            <w:tcBorders>
              <w:bottom w:val="single" w:sz="8" w:color="DC202E"/>
            </w:tcBorders>
          </w:tcPr>
          <w:p>
            <w:pPr>
              <w:spacing w:after="0"/>
              <w:rPr>
                <w:sz w:val="15"/>
                <w:szCs w:val="15"/>
                <w:color w:val="auto"/>
              </w:rPr>
            </w:pPr>
          </w:p>
        </w:tc>
        <w:tc>
          <w:tcPr>
            <w:tcW w:w="40" w:type="dxa"/>
            <w:vAlign w:val="bottom"/>
            <w:tcBorders>
              <w:bottom w:val="single" w:sz="8" w:color="DBDBDB"/>
            </w:tcBorders>
          </w:tcPr>
          <w:p>
            <w:pPr>
              <w:spacing w:after="0"/>
              <w:rPr>
                <w:sz w:val="15"/>
                <w:szCs w:val="15"/>
                <w:color w:val="auto"/>
              </w:rPr>
            </w:pPr>
          </w:p>
        </w:tc>
        <w:tc>
          <w:tcPr>
            <w:tcW w:w="60" w:type="dxa"/>
            <w:vAlign w:val="bottom"/>
            <w:tcBorders>
              <w:bottom w:val="single" w:sz="8" w:color="DBDBDB"/>
            </w:tcBorders>
          </w:tcPr>
          <w:p>
            <w:pPr>
              <w:spacing w:after="0"/>
              <w:rPr>
                <w:sz w:val="15"/>
                <w:szCs w:val="15"/>
                <w:color w:val="auto"/>
              </w:rPr>
            </w:pPr>
          </w:p>
        </w:tc>
        <w:tc>
          <w:tcPr>
            <w:tcW w:w="180" w:type="dxa"/>
            <w:vAlign w:val="bottom"/>
            <w:tcBorders>
              <w:bottom w:val="single" w:sz="8" w:color="DC202E"/>
            </w:tcBorders>
          </w:tcPr>
          <w:p>
            <w:pPr>
              <w:spacing w:after="0"/>
              <w:rPr>
                <w:sz w:val="15"/>
                <w:szCs w:val="15"/>
                <w:color w:val="auto"/>
              </w:rPr>
            </w:pPr>
          </w:p>
        </w:tc>
        <w:tc>
          <w:tcPr>
            <w:tcW w:w="760" w:type="dxa"/>
            <w:vAlign w:val="bottom"/>
            <w:tcBorders>
              <w:bottom w:val="single" w:sz="8" w:color="DC202E"/>
            </w:tcBorders>
            <w:vMerge w:val="continue"/>
          </w:tcPr>
          <w:p>
            <w:pPr>
              <w:spacing w:after="0"/>
              <w:rPr>
                <w:sz w:val="15"/>
                <w:szCs w:val="15"/>
                <w:color w:val="auto"/>
              </w:rPr>
            </w:pPr>
          </w:p>
        </w:tc>
        <w:tc>
          <w:tcPr>
            <w:tcW w:w="20" w:type="dxa"/>
            <w:vAlign w:val="bottom"/>
            <w:tcBorders>
              <w:bottom w:val="single" w:sz="8" w:color="DBDBDB"/>
            </w:tcBorders>
          </w:tcPr>
          <w:p>
            <w:pPr>
              <w:spacing w:after="0"/>
              <w:rPr>
                <w:sz w:val="15"/>
                <w:szCs w:val="15"/>
                <w:color w:val="auto"/>
              </w:rPr>
            </w:pPr>
          </w:p>
        </w:tc>
        <w:tc>
          <w:tcPr>
            <w:tcW w:w="80" w:type="dxa"/>
            <w:vAlign w:val="bottom"/>
            <w:tcBorders>
              <w:bottom w:val="single" w:sz="8" w:color="DBDBDB"/>
            </w:tcBorders>
          </w:tcPr>
          <w:p>
            <w:pPr>
              <w:spacing w:after="0"/>
              <w:rPr>
                <w:sz w:val="15"/>
                <w:szCs w:val="15"/>
                <w:color w:val="auto"/>
              </w:rPr>
            </w:pPr>
          </w:p>
        </w:tc>
        <w:tc>
          <w:tcPr>
            <w:tcW w:w="20" w:type="dxa"/>
            <w:vAlign w:val="bottom"/>
            <w:tcBorders>
              <w:bottom w:val="single" w:sz="8" w:color="DC202E"/>
            </w:tcBorders>
          </w:tcPr>
          <w:p>
            <w:pPr>
              <w:spacing w:after="0"/>
              <w:rPr>
                <w:sz w:val="15"/>
                <w:szCs w:val="15"/>
                <w:color w:val="auto"/>
              </w:rPr>
            </w:pPr>
          </w:p>
        </w:tc>
        <w:tc>
          <w:tcPr>
            <w:tcW w:w="200" w:type="dxa"/>
            <w:vAlign w:val="bottom"/>
            <w:tcBorders>
              <w:bottom w:val="single" w:sz="8" w:color="DC202E"/>
            </w:tcBorders>
          </w:tcPr>
          <w:p>
            <w:pPr>
              <w:spacing w:after="0"/>
              <w:rPr>
                <w:sz w:val="15"/>
                <w:szCs w:val="15"/>
                <w:color w:val="auto"/>
              </w:rPr>
            </w:pPr>
          </w:p>
        </w:tc>
        <w:tc>
          <w:tcPr>
            <w:tcW w:w="860" w:type="dxa"/>
            <w:vAlign w:val="bottom"/>
            <w:tcBorders>
              <w:bottom w:val="single" w:sz="8" w:color="DC202E"/>
            </w:tcBorders>
          </w:tcPr>
          <w:p>
            <w:pPr>
              <w:jc w:val="center"/>
              <w:ind w:right="13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9"/>
        </w:trPr>
        <w:tc>
          <w:tcPr>
            <w:tcW w:w="48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1,861</w:t>
            </w:r>
          </w:p>
        </w:tc>
        <w:tc>
          <w:tcPr>
            <w:tcW w:w="380" w:type="dxa"/>
            <w:vAlign w:val="bottom"/>
            <w:gridSpan w:val="3"/>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1,578</w:t>
            </w:r>
          </w:p>
        </w:tc>
        <w:tc>
          <w:tcPr>
            <w:tcW w:w="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080" w:type="dxa"/>
            <w:vAlign w:val="bottom"/>
            <w:gridSpan w:val="3"/>
            <w:shd w:val="clear" w:color="auto" w:fill="DBDBDB"/>
          </w:tcPr>
          <w:p>
            <w:pPr>
              <w:jc w:val="right"/>
              <w:ind w:right="20"/>
              <w:spacing w:after="0"/>
              <w:rPr>
                <w:sz w:val="20"/>
                <w:szCs w:val="20"/>
                <w:color w:val="auto"/>
              </w:rPr>
            </w:pPr>
            <w:r>
              <w:rPr>
                <w:rFonts w:ascii="Arial" w:cs="Arial" w:eastAsia="Arial" w:hAnsi="Arial"/>
                <w:sz w:val="18"/>
                <w:szCs w:val="18"/>
                <w:color w:val="auto"/>
              </w:rPr>
              <w:t>18 %</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ind w:left="2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6,062</w:t>
            </w:r>
          </w:p>
        </w:tc>
        <w:tc>
          <w:tcPr>
            <w:tcW w:w="360" w:type="dxa"/>
            <w:vAlign w:val="bottom"/>
            <w:gridSpan w:val="4"/>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4,541</w:t>
            </w:r>
          </w:p>
        </w:tc>
        <w:tc>
          <w:tcPr>
            <w:tcW w:w="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30"/>
        </w:trPr>
        <w:tc>
          <w:tcPr>
            <w:tcW w:w="4820" w:type="dxa"/>
            <w:vAlign w:val="bottom"/>
          </w:tcPr>
          <w:p>
            <w:pPr>
              <w:ind w:left="220"/>
              <w:spacing w:after="0"/>
              <w:rPr>
                <w:sz w:val="20"/>
                <w:szCs w:val="20"/>
                <w:color w:val="auto"/>
              </w:rPr>
            </w:pPr>
            <w:r>
              <w:rPr>
                <w:rFonts w:ascii="Arial" w:cs="Arial" w:eastAsia="Arial" w:hAnsi="Arial"/>
                <w:sz w:val="18"/>
                <w:szCs w:val="18"/>
                <w:color w:val="auto"/>
              </w:rPr>
              <w:t>Cost of products and services sold</w:t>
            </w: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1,369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1,113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4,442</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3,164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DBDBDB"/>
          </w:tcPr>
          <w:p>
            <w:pPr>
              <w:ind w:left="220"/>
              <w:spacing w:after="0"/>
              <w:rPr>
                <w:sz w:val="20"/>
                <w:szCs w:val="20"/>
                <w:color w:val="auto"/>
              </w:rPr>
            </w:pPr>
            <w:r>
              <w:rPr>
                <w:rFonts w:ascii="Arial" w:cs="Arial" w:eastAsia="Arial" w:hAnsi="Arial"/>
                <w:sz w:val="18"/>
                <w:szCs w:val="18"/>
                <w:color w:val="auto"/>
              </w:rPr>
              <w:t>Selling, general and administrative and other expenses</w:t>
            </w:r>
          </w:p>
        </w:tc>
        <w:tc>
          <w:tcPr>
            <w:tcW w:w="240" w:type="dxa"/>
            <w:vAlign w:val="bottom"/>
            <w:tcBorders>
              <w:bottom w:val="single" w:sz="8" w:color="auto"/>
            </w:tcBorders>
            <w:shd w:val="clear" w:color="auto" w:fill="DBDBDB"/>
          </w:tcPr>
          <w:p>
            <w:pPr>
              <w:spacing w:after="0"/>
              <w:rPr>
                <w:sz w:val="19"/>
                <w:szCs w:val="19"/>
                <w:color w:val="auto"/>
              </w:rPr>
            </w:pPr>
          </w:p>
        </w:tc>
        <w:tc>
          <w:tcPr>
            <w:tcW w:w="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247</w:t>
            </w:r>
          </w:p>
        </w:tc>
        <w:tc>
          <w:tcPr>
            <w:tcW w:w="60" w:type="dxa"/>
            <w:vAlign w:val="bottom"/>
            <w:tcBorders>
              <w:bottom w:val="single" w:sz="8" w:color="auto"/>
            </w:tcBorders>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00" w:type="dxa"/>
            <w:vAlign w:val="bottom"/>
            <w:tcBorders>
              <w:bottom w:val="single" w:sz="8" w:color="auto"/>
            </w:tcBorders>
            <w:shd w:val="clear" w:color="auto" w:fill="DBDBDB"/>
          </w:tcPr>
          <w:p>
            <w:pPr>
              <w:spacing w:after="0"/>
              <w:rPr>
                <w:sz w:val="19"/>
                <w:szCs w:val="19"/>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246</w:t>
            </w:r>
          </w:p>
        </w:tc>
        <w:tc>
          <w:tcPr>
            <w:tcW w:w="20" w:type="dxa"/>
            <w:vAlign w:val="bottom"/>
            <w:tcBorders>
              <w:bottom w:val="single" w:sz="8" w:color="auto"/>
            </w:tcBorders>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spacing w:after="0"/>
              <w:rPr>
                <w:sz w:val="19"/>
                <w:szCs w:val="19"/>
                <w:color w:val="auto"/>
              </w:rPr>
            </w:pP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780</w:t>
            </w:r>
          </w:p>
        </w:tc>
        <w:tc>
          <w:tcPr>
            <w:tcW w:w="80" w:type="dxa"/>
            <w:vAlign w:val="bottom"/>
            <w:tcBorders>
              <w:bottom w:val="single" w:sz="8" w:color="auto"/>
            </w:tcBorders>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767</w:t>
            </w:r>
          </w:p>
        </w:tc>
        <w:tc>
          <w:tcPr>
            <w:tcW w:w="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rPr>
                <w:sz w:val="20"/>
                <w:szCs w:val="20"/>
                <w:color w:val="auto"/>
              </w:rPr>
            </w:pPr>
            <w:r>
              <w:rPr>
                <w:rFonts w:ascii="Arial" w:cs="Arial" w:eastAsia="Arial" w:hAnsi="Arial"/>
                <w:sz w:val="18"/>
                <w:szCs w:val="18"/>
                <w:color w:val="auto"/>
              </w:rPr>
              <w:t>Segment profit</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w:t>
            </w:r>
          </w:p>
        </w:tc>
        <w:tc>
          <w:tcPr>
            <w:tcW w:w="80" w:type="dxa"/>
            <w:vAlign w:val="bottom"/>
            <w:tcBorders>
              <w:bottom w:val="single" w:sz="8" w:color="auto"/>
            </w:tcBorders>
          </w:tcPr>
          <w:p>
            <w:pPr>
              <w:spacing w:after="0"/>
              <w:rPr>
                <w:sz w:val="19"/>
                <w:szCs w:val="19"/>
                <w:color w:val="auto"/>
              </w:rPr>
            </w:pPr>
          </w:p>
        </w:tc>
        <w:tc>
          <w:tcPr>
            <w:tcW w:w="100" w:type="dxa"/>
            <w:vAlign w:val="bottom"/>
            <w:gridSpan w:val="2"/>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8"/>
        </w:trPr>
        <w:tc>
          <w:tcPr>
            <w:tcW w:w="4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Borders>
              <w:bottom w:val="single" w:sz="8" w:color="DC202E"/>
            </w:tcBorders>
          </w:tcPr>
          <w:p>
            <w:pPr>
              <w:spacing w:after="0"/>
              <w:rPr>
                <w:sz w:val="24"/>
                <w:szCs w:val="24"/>
                <w:color w:val="auto"/>
              </w:rPr>
            </w:pPr>
          </w:p>
        </w:tc>
        <w:tc>
          <w:tcPr>
            <w:tcW w:w="120" w:type="dxa"/>
            <w:vAlign w:val="bottom"/>
            <w:tcBorders>
              <w:bottom w:val="single" w:sz="8" w:color="DC202E"/>
            </w:tcBorders>
          </w:tcPr>
          <w:p>
            <w:pPr>
              <w:spacing w:after="0"/>
              <w:rPr>
                <w:sz w:val="24"/>
                <w:szCs w:val="24"/>
                <w:color w:val="auto"/>
              </w:rPr>
            </w:pPr>
          </w:p>
        </w:tc>
        <w:tc>
          <w:tcPr>
            <w:tcW w:w="880" w:type="dxa"/>
            <w:vAlign w:val="bottom"/>
            <w:tcBorders>
              <w:bottom w:val="single" w:sz="8" w:color="DC202E"/>
            </w:tcBorders>
          </w:tcPr>
          <w:p>
            <w:pPr>
              <w:spacing w:after="0"/>
              <w:rPr>
                <w:sz w:val="24"/>
                <w:szCs w:val="24"/>
                <w:color w:val="auto"/>
              </w:rPr>
            </w:pPr>
          </w:p>
        </w:tc>
        <w:tc>
          <w:tcPr>
            <w:tcW w:w="120" w:type="dxa"/>
            <w:vAlign w:val="bottom"/>
            <w:tcBorders>
              <w:bottom w:val="single" w:sz="8" w:color="DC202E"/>
            </w:tcBorders>
          </w:tcPr>
          <w:p>
            <w:pPr>
              <w:spacing w:after="0"/>
              <w:rPr>
                <w:sz w:val="24"/>
                <w:szCs w:val="24"/>
                <w:color w:val="auto"/>
              </w:rPr>
            </w:pPr>
          </w:p>
        </w:tc>
        <w:tc>
          <w:tcPr>
            <w:tcW w:w="80" w:type="dxa"/>
            <w:vAlign w:val="bottom"/>
            <w:tcBorders>
              <w:bottom w:val="single" w:sz="8" w:color="DC202E"/>
            </w:tcBorders>
          </w:tcPr>
          <w:p>
            <w:pPr>
              <w:spacing w:after="0"/>
              <w:rPr>
                <w:sz w:val="24"/>
                <w:szCs w:val="24"/>
                <w:color w:val="auto"/>
              </w:rPr>
            </w:pPr>
          </w:p>
        </w:tc>
        <w:tc>
          <w:tcPr>
            <w:tcW w:w="100" w:type="dxa"/>
            <w:vAlign w:val="bottom"/>
            <w:tcBorders>
              <w:bottom w:val="single" w:sz="8" w:color="DC202E"/>
            </w:tcBorders>
          </w:tcPr>
          <w:p>
            <w:pPr>
              <w:spacing w:after="0"/>
              <w:rPr>
                <w:sz w:val="24"/>
                <w:szCs w:val="24"/>
                <w:color w:val="auto"/>
              </w:rPr>
            </w:pPr>
          </w:p>
        </w:tc>
        <w:tc>
          <w:tcPr>
            <w:tcW w:w="140" w:type="dxa"/>
            <w:vAlign w:val="bottom"/>
            <w:tcBorders>
              <w:bottom w:val="single" w:sz="8" w:color="DC202E"/>
            </w:tcBorders>
          </w:tcPr>
          <w:p>
            <w:pPr>
              <w:spacing w:after="0"/>
              <w:rPr>
                <w:sz w:val="24"/>
                <w:szCs w:val="24"/>
                <w:color w:val="auto"/>
              </w:rPr>
            </w:pPr>
          </w:p>
        </w:tc>
        <w:tc>
          <w:tcPr>
            <w:tcW w:w="2160" w:type="dxa"/>
            <w:vAlign w:val="bottom"/>
            <w:tcBorders>
              <w:bottom w:val="single" w:sz="8" w:color="DC202E"/>
            </w:tcBorders>
            <w:gridSpan w:val="10"/>
          </w:tcPr>
          <w:p>
            <w:pPr>
              <w:ind w:left="320"/>
              <w:spacing w:after="0"/>
              <w:rPr>
                <w:sz w:val="20"/>
                <w:szCs w:val="20"/>
                <w:color w:val="auto"/>
              </w:rPr>
            </w:pPr>
            <w:r>
              <w:rPr>
                <w:rFonts w:ascii="Arial" w:cs="Arial" w:eastAsia="Arial" w:hAnsi="Arial"/>
                <w:sz w:val="14"/>
                <w:szCs w:val="14"/>
                <w:b w:val="1"/>
                <w:bCs w:val="1"/>
                <w:color w:val="auto"/>
              </w:rPr>
              <w:t>2021 vs. 2020</w:t>
            </w:r>
          </w:p>
        </w:tc>
        <w:tc>
          <w:tcPr>
            <w:tcW w:w="860" w:type="dxa"/>
            <w:vAlign w:val="bottom"/>
            <w:tcBorders>
              <w:bottom w:val="single" w:sz="8" w:color="DC202E"/>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gridSpan w:val="6"/>
          </w:tcPr>
          <w:p>
            <w:pPr>
              <w:jc w:val="right"/>
              <w:ind w:right="295"/>
              <w:spacing w:after="0" w:line="149" w:lineRule="exact"/>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40" w:type="dxa"/>
            <w:vAlign w:val="bottom"/>
            <w:gridSpan w:val="6"/>
          </w:tcPr>
          <w:p>
            <w:pPr>
              <w:jc w:val="right"/>
              <w:ind w:right="337"/>
              <w:spacing w:after="0" w:line="149" w:lineRule="exact"/>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3"/>
        </w:trPr>
        <w:tc>
          <w:tcPr>
            <w:tcW w:w="4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Borders>
              <w:bottom w:val="single" w:sz="8" w:color="DC202E"/>
            </w:tcBorders>
          </w:tcPr>
          <w:p>
            <w:pPr>
              <w:spacing w:after="0"/>
              <w:rPr>
                <w:sz w:val="15"/>
                <w:szCs w:val="15"/>
                <w:color w:val="auto"/>
              </w:rPr>
            </w:pPr>
          </w:p>
        </w:tc>
        <w:tc>
          <w:tcPr>
            <w:tcW w:w="120" w:type="dxa"/>
            <w:vAlign w:val="bottom"/>
            <w:tcBorders>
              <w:bottom w:val="single" w:sz="8" w:color="DC202E"/>
            </w:tcBorders>
          </w:tcPr>
          <w:p>
            <w:pPr>
              <w:spacing w:after="0"/>
              <w:rPr>
                <w:sz w:val="15"/>
                <w:szCs w:val="15"/>
                <w:color w:val="auto"/>
              </w:rPr>
            </w:pPr>
          </w:p>
        </w:tc>
        <w:tc>
          <w:tcPr>
            <w:tcW w:w="2040" w:type="dxa"/>
            <w:vAlign w:val="bottom"/>
            <w:tcBorders>
              <w:bottom w:val="single" w:sz="8" w:color="DC202E"/>
            </w:tcBorders>
            <w:gridSpan w:val="6"/>
          </w:tcPr>
          <w:p>
            <w:pPr>
              <w:jc w:val="right"/>
              <w:ind w:right="515"/>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Borders>
              <w:bottom w:val="single" w:sz="8" w:color="DC202E"/>
            </w:tcBorders>
          </w:tcPr>
          <w:p>
            <w:pPr>
              <w:spacing w:after="0"/>
              <w:rPr>
                <w:sz w:val="15"/>
                <w:szCs w:val="15"/>
                <w:color w:val="auto"/>
              </w:rPr>
            </w:pPr>
          </w:p>
        </w:tc>
        <w:tc>
          <w:tcPr>
            <w:tcW w:w="180" w:type="dxa"/>
            <w:vAlign w:val="bottom"/>
            <w:tcBorders>
              <w:bottom w:val="single" w:sz="8" w:color="DC202E"/>
            </w:tcBorders>
          </w:tcPr>
          <w:p>
            <w:pPr>
              <w:spacing w:after="0"/>
              <w:rPr>
                <w:sz w:val="15"/>
                <w:szCs w:val="15"/>
                <w:color w:val="auto"/>
              </w:rPr>
            </w:pPr>
          </w:p>
        </w:tc>
        <w:tc>
          <w:tcPr>
            <w:tcW w:w="1940" w:type="dxa"/>
            <w:vAlign w:val="bottom"/>
            <w:tcBorders>
              <w:bottom w:val="single" w:sz="8" w:color="DC202E"/>
            </w:tcBorders>
            <w:gridSpan w:val="6"/>
          </w:tcPr>
          <w:p>
            <w:pPr>
              <w:jc w:val="right"/>
              <w:ind w:right="517"/>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8"/>
        </w:trPr>
        <w:tc>
          <w:tcPr>
            <w:tcW w:w="5060" w:type="dxa"/>
            <w:vAlign w:val="bottom"/>
            <w:gridSpan w:val="2"/>
            <w:vMerge w:val="restart"/>
          </w:tcPr>
          <w:p>
            <w:pPr>
              <w:ind w:left="1760"/>
              <w:spacing w:after="0"/>
              <w:rPr>
                <w:sz w:val="20"/>
                <w:szCs w:val="20"/>
                <w:color w:val="auto"/>
              </w:rPr>
            </w:pPr>
            <w:r>
              <w:rPr>
                <w:rFonts w:ascii="Arial" w:cs="Arial" w:eastAsia="Arial" w:hAnsi="Arial"/>
                <w:sz w:val="14"/>
                <w:szCs w:val="14"/>
                <w:b w:val="1"/>
                <w:bCs w:val="1"/>
                <w:color w:val="auto"/>
              </w:rPr>
              <w:t>Factors Contributing to Year-Over-Year Change</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4"/>
            <w:vMerge w:val="restart"/>
          </w:tcPr>
          <w:p>
            <w:pPr>
              <w:ind w:left="180"/>
              <w:spacing w:after="0"/>
              <w:rPr>
                <w:sz w:val="20"/>
                <w:szCs w:val="20"/>
                <w:color w:val="auto"/>
              </w:rPr>
            </w:pPr>
            <w:r>
              <w:rPr>
                <w:rFonts w:ascii="Arial" w:cs="Arial" w:eastAsia="Arial" w:hAnsi="Arial"/>
                <w:sz w:val="14"/>
                <w:szCs w:val="14"/>
                <w:b w:val="1"/>
                <w:bCs w:val="1"/>
                <w:color w:val="auto"/>
              </w:rPr>
              <w:t>Sales</w:t>
            </w:r>
          </w:p>
        </w:tc>
        <w:tc>
          <w:tcPr>
            <w:tcW w:w="8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Segment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5"/>
            <w:vMerge w:val="restart"/>
          </w:tcPr>
          <w:p>
            <w:pPr>
              <w:ind w:left="80"/>
              <w:spacing w:after="0"/>
              <w:rPr>
                <w:sz w:val="20"/>
                <w:szCs w:val="20"/>
                <w:color w:val="auto"/>
              </w:rPr>
            </w:pPr>
            <w:r>
              <w:rPr>
                <w:rFonts w:ascii="Arial" w:cs="Arial" w:eastAsia="Arial" w:hAnsi="Arial"/>
                <w:sz w:val="14"/>
                <w:szCs w:val="14"/>
                <w:b w:val="1"/>
                <w:bCs w:val="1"/>
                <w:color w:val="auto"/>
              </w:rPr>
              <w:t>Sales</w:t>
            </w:r>
          </w:p>
        </w:tc>
        <w:tc>
          <w:tcPr>
            <w:tcW w:w="86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rPr>
              <w:t>Segment</w:t>
            </w:r>
          </w:p>
        </w:tc>
        <w:tc>
          <w:tcPr>
            <w:tcW w:w="0" w:type="dxa"/>
            <w:vAlign w:val="bottom"/>
          </w:tcPr>
          <w:p>
            <w:pPr>
              <w:spacing w:after="0"/>
              <w:rPr>
                <w:sz w:val="1"/>
                <w:szCs w:val="1"/>
                <w:color w:val="auto"/>
              </w:rPr>
            </w:pPr>
          </w:p>
        </w:tc>
      </w:tr>
      <w:tr>
        <w:trPr>
          <w:trHeight w:val="183"/>
        </w:trPr>
        <w:tc>
          <w:tcPr>
            <w:tcW w:w="5060" w:type="dxa"/>
            <w:vAlign w:val="bottom"/>
            <w:gridSpan w:val="2"/>
            <w:vMerge w:val="continue"/>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4"/>
            <w:vMerge w:val="continue"/>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ind w:right="255"/>
              <w:spacing w:after="0"/>
              <w:rPr>
                <w:sz w:val="20"/>
                <w:szCs w:val="20"/>
                <w:color w:val="auto"/>
              </w:rPr>
            </w:pPr>
            <w:r>
              <w:rPr>
                <w:rFonts w:ascii="Arial" w:cs="Arial" w:eastAsia="Arial" w:hAnsi="Arial"/>
                <w:sz w:val="14"/>
                <w:szCs w:val="14"/>
                <w:b w:val="1"/>
                <w:bCs w:val="1"/>
                <w:color w:val="auto"/>
                <w:w w:val="98"/>
              </w:rPr>
              <w:t>Profit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5"/>
            <w:vMerge w:val="continue"/>
          </w:tcPr>
          <w:p>
            <w:pPr>
              <w:spacing w:after="0"/>
              <w:rPr>
                <w:sz w:val="15"/>
                <w:szCs w:val="15"/>
                <w:color w:val="auto"/>
              </w:rPr>
            </w:pPr>
          </w:p>
        </w:tc>
        <w:tc>
          <w:tcPr>
            <w:tcW w:w="860" w:type="dxa"/>
            <w:vAlign w:val="bottom"/>
          </w:tcPr>
          <w:p>
            <w:pPr>
              <w:jc w:val="center"/>
              <w:ind w:right="117"/>
              <w:spacing w:after="0"/>
              <w:rPr>
                <w:sz w:val="20"/>
                <w:szCs w:val="20"/>
                <w:color w:val="auto"/>
              </w:rPr>
            </w:pPr>
            <w:r>
              <w:rPr>
                <w:rFonts w:ascii="Arial" w:cs="Arial" w:eastAsia="Arial" w:hAnsi="Arial"/>
                <w:sz w:val="14"/>
                <w:szCs w:val="14"/>
                <w:b w:val="1"/>
                <w:bCs w:val="1"/>
                <w:color w:val="auto"/>
              </w:rPr>
              <w:t>Profit</w:t>
            </w:r>
          </w:p>
        </w:tc>
        <w:tc>
          <w:tcPr>
            <w:tcW w:w="0" w:type="dxa"/>
            <w:vAlign w:val="bottom"/>
          </w:tcPr>
          <w:p>
            <w:pPr>
              <w:spacing w:after="0"/>
              <w:rPr>
                <w:sz w:val="1"/>
                <w:szCs w:val="1"/>
                <w:color w:val="auto"/>
              </w:rPr>
            </w:pPr>
          </w:p>
        </w:tc>
      </w:tr>
      <w:tr>
        <w:trPr>
          <w:trHeight w:val="230"/>
        </w:trPr>
        <w:tc>
          <w:tcPr>
            <w:tcW w:w="4820" w:type="dxa"/>
            <w:vAlign w:val="bottom"/>
            <w:tcBorders>
              <w:top w:val="single" w:sz="8" w:color="DC202E"/>
            </w:tcBorders>
            <w:shd w:val="clear" w:color="auto" w:fill="DBDBDB"/>
          </w:tcPr>
          <w:p>
            <w:pPr>
              <w:ind w:left="20"/>
              <w:spacing w:after="0"/>
              <w:rPr>
                <w:sz w:val="20"/>
                <w:szCs w:val="20"/>
                <w:color w:val="auto"/>
              </w:rPr>
            </w:pPr>
            <w:r>
              <w:rPr>
                <w:rFonts w:ascii="Arial" w:cs="Arial" w:eastAsia="Arial" w:hAnsi="Arial"/>
                <w:sz w:val="18"/>
                <w:szCs w:val="18"/>
                <w:color w:val="auto"/>
              </w:rPr>
              <w:t>Organic</w:t>
            </w:r>
          </w:p>
        </w:tc>
        <w:tc>
          <w:tcPr>
            <w:tcW w:w="240" w:type="dxa"/>
            <w:vAlign w:val="bottom"/>
            <w:tcBorders>
              <w:top w:val="single" w:sz="8" w:color="DC202E"/>
            </w:tcBorders>
            <w:shd w:val="clear" w:color="auto" w:fill="DBDBDB"/>
          </w:tcPr>
          <w:p>
            <w:pPr>
              <w:spacing w:after="0"/>
              <w:rPr>
                <w:sz w:val="19"/>
                <w:szCs w:val="19"/>
                <w:color w:val="auto"/>
              </w:rPr>
            </w:pPr>
          </w:p>
        </w:tc>
        <w:tc>
          <w:tcPr>
            <w:tcW w:w="620" w:type="dxa"/>
            <w:vAlign w:val="bottom"/>
            <w:tcBorders>
              <w:top w:val="single" w:sz="8" w:color="DC202E"/>
            </w:tcBorders>
            <w:shd w:val="clear" w:color="auto" w:fill="DBDBDB"/>
          </w:tcPr>
          <w:p>
            <w:pPr>
              <w:spacing w:after="0"/>
              <w:rPr>
                <w:sz w:val="19"/>
                <w:szCs w:val="19"/>
                <w:color w:val="auto"/>
              </w:rPr>
            </w:pPr>
          </w:p>
        </w:tc>
        <w:tc>
          <w:tcPr>
            <w:tcW w:w="60" w:type="dxa"/>
            <w:vAlign w:val="bottom"/>
            <w:tcBorders>
              <w:top w:val="single" w:sz="8" w:color="DC202E"/>
            </w:tcBorders>
            <w:shd w:val="clear" w:color="auto" w:fill="DBDBDB"/>
          </w:tcPr>
          <w:p>
            <w:pPr>
              <w:spacing w:after="0"/>
              <w:rPr>
                <w:sz w:val="19"/>
                <w:szCs w:val="19"/>
                <w:color w:val="auto"/>
              </w:rPr>
            </w:pPr>
          </w:p>
        </w:tc>
        <w:tc>
          <w:tcPr>
            <w:tcW w:w="120" w:type="dxa"/>
            <w:vAlign w:val="bottom"/>
            <w:tcBorders>
              <w:top w:val="single" w:sz="8" w:color="DC202E"/>
            </w:tcBorders>
            <w:shd w:val="clear" w:color="auto" w:fill="DBDBDB"/>
          </w:tcPr>
          <w:p>
            <w:pPr>
              <w:spacing w:after="0"/>
              <w:rPr>
                <w:sz w:val="19"/>
                <w:szCs w:val="19"/>
                <w:color w:val="auto"/>
              </w:rPr>
            </w:pPr>
          </w:p>
        </w:tc>
        <w:tc>
          <w:tcPr>
            <w:tcW w:w="200" w:type="dxa"/>
            <w:vAlign w:val="bottom"/>
            <w:tcBorders>
              <w:top w:val="single" w:sz="8" w:color="DC202E"/>
            </w:tcBorders>
            <w:shd w:val="clear" w:color="auto" w:fill="DBDBDB"/>
          </w:tcPr>
          <w:p>
            <w:pPr>
              <w:spacing w:after="0"/>
              <w:rPr>
                <w:sz w:val="19"/>
                <w:szCs w:val="19"/>
                <w:color w:val="auto"/>
              </w:rPr>
            </w:pPr>
          </w:p>
        </w:tc>
        <w:tc>
          <w:tcPr>
            <w:tcW w:w="700" w:type="dxa"/>
            <w:vAlign w:val="bottom"/>
            <w:tcBorders>
              <w:top w:val="single" w:sz="8" w:color="DC202E"/>
            </w:tcBorders>
            <w:shd w:val="clear" w:color="auto" w:fill="DBDBDB"/>
          </w:tcPr>
          <w:p>
            <w:pPr>
              <w:spacing w:after="0"/>
              <w:rPr>
                <w:sz w:val="19"/>
                <w:szCs w:val="19"/>
                <w:color w:val="auto"/>
              </w:rPr>
            </w:pPr>
          </w:p>
        </w:tc>
        <w:tc>
          <w:tcPr>
            <w:tcW w:w="20" w:type="dxa"/>
            <w:vAlign w:val="bottom"/>
            <w:tcBorders>
              <w:top w:val="single" w:sz="8" w:color="DC202E"/>
            </w:tcBorders>
            <w:shd w:val="clear" w:color="auto" w:fill="DBDBDB"/>
          </w:tcPr>
          <w:p>
            <w:pPr>
              <w:spacing w:after="0"/>
              <w:rPr>
                <w:sz w:val="19"/>
                <w:szCs w:val="19"/>
                <w:color w:val="auto"/>
              </w:rPr>
            </w:pPr>
          </w:p>
        </w:tc>
        <w:tc>
          <w:tcPr>
            <w:tcW w:w="120" w:type="dxa"/>
            <w:vAlign w:val="bottom"/>
            <w:tcBorders>
              <w:top w:val="single" w:sz="8" w:color="DC202E"/>
            </w:tcBorders>
            <w:shd w:val="clear" w:color="auto" w:fill="DBDBDB"/>
          </w:tcPr>
          <w:p>
            <w:pPr>
              <w:spacing w:after="0"/>
              <w:rPr>
                <w:sz w:val="19"/>
                <w:szCs w:val="19"/>
                <w:color w:val="auto"/>
              </w:rPr>
            </w:pPr>
          </w:p>
        </w:tc>
        <w:tc>
          <w:tcPr>
            <w:tcW w:w="880" w:type="dxa"/>
            <w:vAlign w:val="bottom"/>
            <w:tcBorders>
              <w:top w:val="single" w:sz="8" w:color="DC202E"/>
            </w:tcBorders>
            <w:shd w:val="clear" w:color="auto" w:fill="DBDBDB"/>
          </w:tcPr>
          <w:p>
            <w:pPr>
              <w:jc w:val="right"/>
              <w:spacing w:after="0"/>
              <w:rPr>
                <w:sz w:val="20"/>
                <w:szCs w:val="20"/>
                <w:color w:val="auto"/>
              </w:rPr>
            </w:pPr>
            <w:r>
              <w:rPr>
                <w:rFonts w:ascii="Arial" w:cs="Arial" w:eastAsia="Arial" w:hAnsi="Arial"/>
                <w:sz w:val="18"/>
                <w:szCs w:val="18"/>
                <w:color w:val="auto"/>
              </w:rPr>
              <w:t>21 %</w:t>
            </w:r>
          </w:p>
        </w:tc>
        <w:tc>
          <w:tcPr>
            <w:tcW w:w="120" w:type="dxa"/>
            <w:vAlign w:val="bottom"/>
            <w:tcBorders>
              <w:top w:val="single" w:sz="8" w:color="DBDBDB"/>
            </w:tcBorders>
            <w:shd w:val="clear" w:color="auto" w:fill="DBDBDB"/>
          </w:tcPr>
          <w:p>
            <w:pPr>
              <w:spacing w:after="0"/>
              <w:rPr>
                <w:sz w:val="19"/>
                <w:szCs w:val="19"/>
                <w:color w:val="auto"/>
              </w:rPr>
            </w:pPr>
          </w:p>
        </w:tc>
        <w:tc>
          <w:tcPr>
            <w:tcW w:w="80" w:type="dxa"/>
            <w:vAlign w:val="bottom"/>
            <w:tcBorders>
              <w:top w:val="single" w:sz="8" w:color="DC202E"/>
            </w:tcBorders>
            <w:shd w:val="clear" w:color="auto" w:fill="DBDBDB"/>
          </w:tcPr>
          <w:p>
            <w:pPr>
              <w:spacing w:after="0"/>
              <w:rPr>
                <w:sz w:val="19"/>
                <w:szCs w:val="19"/>
                <w:color w:val="auto"/>
              </w:rPr>
            </w:pPr>
          </w:p>
        </w:tc>
        <w:tc>
          <w:tcPr>
            <w:tcW w:w="100" w:type="dxa"/>
            <w:vAlign w:val="bottom"/>
            <w:tcBorders>
              <w:top w:val="single" w:sz="8" w:color="DC202E"/>
            </w:tcBorders>
            <w:shd w:val="clear" w:color="auto" w:fill="DBDBDB"/>
          </w:tcPr>
          <w:p>
            <w:pPr>
              <w:spacing w:after="0"/>
              <w:rPr>
                <w:sz w:val="19"/>
                <w:szCs w:val="19"/>
                <w:color w:val="auto"/>
              </w:rPr>
            </w:pPr>
          </w:p>
        </w:tc>
        <w:tc>
          <w:tcPr>
            <w:tcW w:w="140" w:type="dxa"/>
            <w:vAlign w:val="bottom"/>
            <w:tcBorders>
              <w:top w:val="single" w:sz="8" w:color="DC202E"/>
            </w:tcBorders>
            <w:shd w:val="clear" w:color="auto" w:fill="DBDBDB"/>
          </w:tcPr>
          <w:p>
            <w:pPr>
              <w:spacing w:after="0"/>
              <w:rPr>
                <w:sz w:val="19"/>
                <w:szCs w:val="19"/>
                <w:color w:val="auto"/>
              </w:rPr>
            </w:pPr>
          </w:p>
        </w:tc>
        <w:tc>
          <w:tcPr>
            <w:tcW w:w="720" w:type="dxa"/>
            <w:vAlign w:val="bottom"/>
            <w:tcBorders>
              <w:top w:val="single" w:sz="8" w:color="DC202E"/>
            </w:tcBorders>
            <w:shd w:val="clear" w:color="auto" w:fill="DBDBDB"/>
          </w:tcPr>
          <w:p>
            <w:pPr>
              <w:jc w:val="right"/>
              <w:spacing w:after="0"/>
              <w:rPr>
                <w:sz w:val="20"/>
                <w:szCs w:val="20"/>
                <w:color w:val="auto"/>
              </w:rPr>
            </w:pPr>
            <w:r>
              <w:rPr>
                <w:rFonts w:ascii="Arial" w:cs="Arial" w:eastAsia="Arial" w:hAnsi="Arial"/>
                <w:sz w:val="18"/>
                <w:szCs w:val="18"/>
                <w:color w:val="auto"/>
              </w:rPr>
              <w:t>14 %</w:t>
            </w:r>
          </w:p>
        </w:tc>
        <w:tc>
          <w:tcPr>
            <w:tcW w:w="80" w:type="dxa"/>
            <w:vAlign w:val="bottom"/>
            <w:tcBorders>
              <w:top w:val="single" w:sz="8" w:color="DBDBDB"/>
            </w:tcBorders>
            <w:shd w:val="clear" w:color="auto" w:fill="DBDBDB"/>
          </w:tcPr>
          <w:p>
            <w:pPr>
              <w:spacing w:after="0"/>
              <w:rPr>
                <w:sz w:val="19"/>
                <w:szCs w:val="19"/>
                <w:color w:val="auto"/>
              </w:rPr>
            </w:pPr>
          </w:p>
        </w:tc>
        <w:tc>
          <w:tcPr>
            <w:tcW w:w="40" w:type="dxa"/>
            <w:vAlign w:val="bottom"/>
            <w:tcBorders>
              <w:top w:val="single" w:sz="8" w:color="DBDBDB"/>
            </w:tcBorders>
            <w:shd w:val="clear" w:color="auto" w:fill="DBDBDB"/>
          </w:tcPr>
          <w:p>
            <w:pPr>
              <w:spacing w:after="0"/>
              <w:rPr>
                <w:sz w:val="19"/>
                <w:szCs w:val="19"/>
                <w:color w:val="auto"/>
              </w:rPr>
            </w:pPr>
          </w:p>
        </w:tc>
        <w:tc>
          <w:tcPr>
            <w:tcW w:w="60" w:type="dxa"/>
            <w:vAlign w:val="bottom"/>
            <w:tcBorders>
              <w:top w:val="single" w:sz="8" w:color="DC202E"/>
            </w:tcBorders>
            <w:shd w:val="clear" w:color="auto" w:fill="DBDBDB"/>
          </w:tcPr>
          <w:p>
            <w:pPr>
              <w:spacing w:after="0"/>
              <w:rPr>
                <w:sz w:val="19"/>
                <w:szCs w:val="19"/>
                <w:color w:val="auto"/>
              </w:rPr>
            </w:pPr>
          </w:p>
        </w:tc>
        <w:tc>
          <w:tcPr>
            <w:tcW w:w="180" w:type="dxa"/>
            <w:vAlign w:val="bottom"/>
            <w:tcBorders>
              <w:top w:val="single" w:sz="8" w:color="DC202E"/>
            </w:tcBorders>
            <w:shd w:val="clear" w:color="auto" w:fill="DBDBDB"/>
          </w:tcPr>
          <w:p>
            <w:pPr>
              <w:spacing w:after="0"/>
              <w:rPr>
                <w:sz w:val="19"/>
                <w:szCs w:val="19"/>
                <w:color w:val="auto"/>
              </w:rPr>
            </w:pPr>
          </w:p>
        </w:tc>
        <w:tc>
          <w:tcPr>
            <w:tcW w:w="780" w:type="dxa"/>
            <w:vAlign w:val="bottom"/>
            <w:tcBorders>
              <w:top w:val="single" w:sz="8" w:color="DC202E"/>
            </w:tcBorders>
            <w:gridSpan w:val="2"/>
            <w:shd w:val="clear" w:color="auto" w:fill="DBDBDB"/>
          </w:tcPr>
          <w:p>
            <w:pPr>
              <w:jc w:val="right"/>
              <w:ind w:right="20"/>
              <w:spacing w:after="0"/>
              <w:rPr>
                <w:sz w:val="20"/>
                <w:szCs w:val="20"/>
                <w:color w:val="auto"/>
              </w:rPr>
            </w:pPr>
            <w:r>
              <w:rPr>
                <w:rFonts w:ascii="Arial" w:cs="Arial" w:eastAsia="Arial" w:hAnsi="Arial"/>
                <w:sz w:val="18"/>
                <w:szCs w:val="18"/>
                <w:color w:val="auto"/>
              </w:rPr>
              <w:t>34 %</w:t>
            </w:r>
          </w:p>
        </w:tc>
        <w:tc>
          <w:tcPr>
            <w:tcW w:w="80" w:type="dxa"/>
            <w:vAlign w:val="bottom"/>
            <w:tcBorders>
              <w:top w:val="single" w:sz="8" w:color="DBDBDB"/>
            </w:tcBorders>
            <w:shd w:val="clear" w:color="auto" w:fill="DBDBDB"/>
          </w:tcPr>
          <w:p>
            <w:pPr>
              <w:spacing w:after="0"/>
              <w:rPr>
                <w:sz w:val="19"/>
                <w:szCs w:val="19"/>
                <w:color w:val="auto"/>
              </w:rPr>
            </w:pPr>
          </w:p>
        </w:tc>
        <w:tc>
          <w:tcPr>
            <w:tcW w:w="20" w:type="dxa"/>
            <w:vAlign w:val="bottom"/>
            <w:tcBorders>
              <w:top w:val="single" w:sz="8" w:color="DBDBDB"/>
            </w:tcBorders>
            <w:shd w:val="clear" w:color="auto" w:fill="DBDBDB"/>
          </w:tcPr>
          <w:p>
            <w:pPr>
              <w:spacing w:after="0"/>
              <w:rPr>
                <w:sz w:val="19"/>
                <w:szCs w:val="19"/>
                <w:color w:val="auto"/>
              </w:rPr>
            </w:pPr>
          </w:p>
        </w:tc>
        <w:tc>
          <w:tcPr>
            <w:tcW w:w="200" w:type="dxa"/>
            <w:vAlign w:val="bottom"/>
            <w:tcBorders>
              <w:top w:val="single" w:sz="8" w:color="DC202E"/>
            </w:tcBorders>
            <w:shd w:val="clear" w:color="auto" w:fill="DBDBDB"/>
          </w:tcPr>
          <w:p>
            <w:pPr>
              <w:spacing w:after="0"/>
              <w:rPr>
                <w:sz w:val="19"/>
                <w:szCs w:val="19"/>
                <w:color w:val="auto"/>
              </w:rPr>
            </w:pPr>
          </w:p>
        </w:tc>
        <w:tc>
          <w:tcPr>
            <w:tcW w:w="860" w:type="dxa"/>
            <w:vAlign w:val="bottom"/>
            <w:tcBorders>
              <w:top w:val="single" w:sz="8" w:color="DC202E"/>
            </w:tcBorders>
            <w:shd w:val="clear" w:color="auto" w:fill="DBDBDB"/>
          </w:tcPr>
          <w:p>
            <w:pPr>
              <w:jc w:val="right"/>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Foreign currency translation</w:t>
            </w: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1 %</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3 %</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30"/>
        </w:trPr>
        <w:tc>
          <w:tcPr>
            <w:tcW w:w="4820" w:type="dxa"/>
            <w:vAlign w:val="bottom"/>
            <w:shd w:val="clear" w:color="auto" w:fill="DBDBDB"/>
          </w:tcPr>
          <w:p>
            <w:pPr>
              <w:ind w:left="20"/>
              <w:spacing w:after="0"/>
              <w:rPr>
                <w:sz w:val="20"/>
                <w:szCs w:val="20"/>
                <w:color w:val="auto"/>
              </w:rPr>
            </w:pPr>
            <w:r>
              <w:rPr>
                <w:rFonts w:ascii="Arial" w:cs="Arial" w:eastAsia="Arial" w:hAnsi="Arial"/>
                <w:sz w:val="18"/>
                <w:szCs w:val="18"/>
                <w:color w:val="auto"/>
              </w:rPr>
              <w:t>Acquisitions, divestitures, and other, net</w:t>
            </w:r>
          </w:p>
        </w:tc>
        <w:tc>
          <w:tcPr>
            <w:tcW w:w="240" w:type="dxa"/>
            <w:vAlign w:val="bottom"/>
            <w:shd w:val="clear" w:color="auto" w:fill="DBDBDB"/>
          </w:tcPr>
          <w:p>
            <w:pPr>
              <w:spacing w:after="0"/>
              <w:rPr>
                <w:sz w:val="19"/>
                <w:szCs w:val="19"/>
                <w:color w:val="auto"/>
              </w:rPr>
            </w:pPr>
          </w:p>
        </w:tc>
        <w:tc>
          <w:tcPr>
            <w:tcW w:w="62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700" w:type="dxa"/>
            <w:vAlign w:val="bottom"/>
            <w:shd w:val="clear" w:color="auto" w:fill="DBDBDB"/>
          </w:tcPr>
          <w:p>
            <w:pPr>
              <w:spacing w:after="0"/>
              <w:rPr>
                <w:sz w:val="19"/>
                <w:szCs w:val="19"/>
                <w:color w:val="auto"/>
              </w:rPr>
            </w:pPr>
          </w:p>
        </w:tc>
        <w:tc>
          <w:tcPr>
            <w:tcW w:w="20" w:type="dxa"/>
            <w:vAlign w:val="bottom"/>
            <w:tcBorders>
              <w:bottom w:val="single" w:sz="8" w:color="auto"/>
            </w:tcBorders>
            <w:shd w:val="clear" w:color="auto" w:fill="DBDBDB"/>
          </w:tcPr>
          <w:p>
            <w:pPr>
              <w:spacing w:after="0"/>
              <w:rPr>
                <w:sz w:val="19"/>
                <w:szCs w:val="19"/>
                <w:color w:val="auto"/>
              </w:rPr>
            </w:pPr>
          </w:p>
        </w:tc>
        <w:tc>
          <w:tcPr>
            <w:tcW w:w="120" w:type="dxa"/>
            <w:vAlign w:val="bottom"/>
            <w:tcBorders>
              <w:bottom w:val="single" w:sz="8" w:color="auto"/>
            </w:tcBorders>
            <w:shd w:val="clear" w:color="auto" w:fill="DBDBDB"/>
          </w:tcPr>
          <w:p>
            <w:pPr>
              <w:spacing w:after="0"/>
              <w:rPr>
                <w:sz w:val="19"/>
                <w:szCs w:val="19"/>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DBDBDB"/>
          </w:tcPr>
          <w:p>
            <w:pPr>
              <w:spacing w:after="0"/>
              <w:rPr>
                <w:sz w:val="19"/>
                <w:szCs w:val="19"/>
                <w:color w:val="auto"/>
              </w:rPr>
            </w:pPr>
          </w:p>
        </w:tc>
        <w:tc>
          <w:tcPr>
            <w:tcW w:w="80" w:type="dxa"/>
            <w:vAlign w:val="bottom"/>
            <w:tcBorders>
              <w:bottom w:val="single" w:sz="8" w:color="auto"/>
            </w:tcBorders>
            <w:shd w:val="clear" w:color="auto" w:fill="DBDBDB"/>
          </w:tcPr>
          <w:p>
            <w:pPr>
              <w:spacing w:after="0"/>
              <w:rPr>
                <w:sz w:val="19"/>
                <w:szCs w:val="19"/>
                <w:color w:val="auto"/>
              </w:rPr>
            </w:pPr>
          </w:p>
        </w:tc>
        <w:tc>
          <w:tcPr>
            <w:tcW w:w="100" w:type="dxa"/>
            <w:vAlign w:val="bottom"/>
            <w:tcBorders>
              <w:bottom w:val="single" w:sz="8" w:color="auto"/>
            </w:tcBorders>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spacing w:after="0"/>
              <w:rPr>
                <w:sz w:val="19"/>
                <w:szCs w:val="19"/>
                <w:color w:val="auto"/>
              </w:rPr>
            </w:pP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60" w:type="dxa"/>
            <w:vAlign w:val="bottom"/>
            <w:tcBorders>
              <w:bottom w:val="single" w:sz="8" w:color="auto"/>
            </w:tcBorders>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780" w:type="dxa"/>
            <w:vAlign w:val="bottom"/>
            <w:tcBorders>
              <w:bottom w:val="single" w:sz="8" w:color="auto"/>
            </w:tcBorders>
            <w:gridSpan w:val="2"/>
            <w:shd w:val="clear" w:color="auto" w:fill="DBDBDB"/>
          </w:tcPr>
          <w:p>
            <w:pPr>
              <w:jc w:val="right"/>
              <w:ind w:right="20"/>
              <w:spacing w:after="0"/>
              <w:rPr>
                <w:sz w:val="20"/>
                <w:szCs w:val="20"/>
                <w:color w:val="auto"/>
              </w:rPr>
            </w:pPr>
            <w:r>
              <w:rPr>
                <w:rFonts w:ascii="Arial" w:cs="Arial" w:eastAsia="Arial" w:hAnsi="Arial"/>
                <w:sz w:val="18"/>
                <w:szCs w:val="18"/>
                <w:color w:val="auto"/>
              </w:rPr>
              <w:t>(3)%</w:t>
            </w:r>
          </w:p>
        </w:tc>
        <w:tc>
          <w:tcPr>
            <w:tcW w:w="8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200" w:type="dxa"/>
            <w:vAlign w:val="bottom"/>
            <w:tcBorders>
              <w:bottom w:val="single" w:sz="8" w:color="auto"/>
            </w:tcBorders>
            <w:shd w:val="clear" w:color="auto" w:fill="DBDBDB"/>
          </w:tcPr>
          <w:p>
            <w:pPr>
              <w:spacing w:after="0"/>
              <w:rPr>
                <w:sz w:val="19"/>
                <w:szCs w:val="19"/>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rPr>
                <w:sz w:val="20"/>
                <w:szCs w:val="20"/>
                <w:color w:val="auto"/>
              </w:rPr>
            </w:pPr>
            <w:r>
              <w:rPr>
                <w:rFonts w:ascii="Arial" w:cs="Arial" w:eastAsia="Arial" w:hAnsi="Arial"/>
                <w:sz w:val="18"/>
                <w:szCs w:val="18"/>
                <w:color w:val="auto"/>
              </w:rPr>
              <w:t>Total % change</w:t>
            </w: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18 %</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12 %</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33 %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1"/>
        </w:trPr>
        <w:tc>
          <w:tcPr>
            <w:tcW w:w="4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Q3 2021 compared to Q3 2020</w:t>
      </w:r>
    </w:p>
    <w:p>
      <w:pPr>
        <w:spacing w:after="0" w:line="13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Sales increased due to higher sales volumes and favorable pricing, partially offset by the sale of the retail footwear business. The higher sales volumes were primarily driven by warehouse automation and services and Productivity Solutions and Services.</w:t>
      </w:r>
    </w:p>
    <w:p>
      <w:pPr>
        <w:spacing w:after="0" w:line="90" w:lineRule="exact"/>
        <w:rPr>
          <w:sz w:val="20"/>
          <w:szCs w:val="20"/>
          <w:color w:val="auto"/>
        </w:rPr>
      </w:pPr>
    </w:p>
    <w:p>
      <w:pPr>
        <w:ind w:left="660" w:right="20" w:hanging="328"/>
        <w:spacing w:after="0" w:line="261" w:lineRule="auto"/>
        <w:tabs>
          <w:tab w:leader="none" w:pos="655"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Sales in Safety and Retail decreased 12% (decreased 5% organic) due to the sale of the retail footwear business and lower sales volumes, partially offset by favorable pricing.</w:t>
      </w:r>
    </w:p>
    <w:p>
      <w:pPr>
        <w:spacing w:after="0" w:line="35" w:lineRule="exact"/>
        <w:rPr>
          <w:rFonts w:ascii="Arial" w:cs="Arial" w:eastAsia="Arial" w:hAnsi="Arial"/>
          <w:sz w:val="18"/>
          <w:szCs w:val="18"/>
          <w:b w:val="1"/>
          <w:bCs w:val="1"/>
          <w:color w:val="auto"/>
        </w:rPr>
      </w:pPr>
    </w:p>
    <w:p>
      <w:pPr>
        <w:ind w:left="660" w:hanging="328"/>
        <w:spacing w:after="0"/>
        <w:tabs>
          <w:tab w:leader="none" w:pos="66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Sales in Productivity Solutions and Services increased 26% (increased 25% organic) due to higher demand.</w:t>
      </w:r>
    </w:p>
    <w:p>
      <w:pPr>
        <w:spacing w:after="0" w:line="63" w:lineRule="exact"/>
        <w:rPr>
          <w:rFonts w:ascii="Arial" w:cs="Arial" w:eastAsia="Arial" w:hAnsi="Arial"/>
          <w:sz w:val="18"/>
          <w:szCs w:val="18"/>
          <w:b w:val="1"/>
          <w:bCs w:val="1"/>
          <w:color w:val="auto"/>
        </w:rPr>
      </w:pPr>
    </w:p>
    <w:p>
      <w:pPr>
        <w:ind w:left="660" w:hanging="328"/>
        <w:spacing w:after="0" w:line="261" w:lineRule="auto"/>
        <w:tabs>
          <w:tab w:leader="none" w:pos="655"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Sales in Warehouse and Workflow Solutions increased 61% (increased 60% organic) due to higher sales volumes. Sales volume growth was driven by strong demand for our warehouse automation and services.</w:t>
      </w:r>
    </w:p>
    <w:p>
      <w:pPr>
        <w:spacing w:after="0" w:line="35" w:lineRule="exact"/>
        <w:rPr>
          <w:rFonts w:ascii="Arial" w:cs="Arial" w:eastAsia="Arial" w:hAnsi="Arial"/>
          <w:sz w:val="18"/>
          <w:szCs w:val="18"/>
          <w:b w:val="1"/>
          <w:bCs w:val="1"/>
          <w:color w:val="auto"/>
        </w:rPr>
      </w:pPr>
    </w:p>
    <w:p>
      <w:pPr>
        <w:ind w:left="660" w:right="20" w:hanging="328"/>
        <w:spacing w:after="0" w:line="261" w:lineRule="auto"/>
        <w:tabs>
          <w:tab w:leader="none" w:pos="655"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Sales in Advanced Sensing Technologies was flat (decreased 1% organic) due to the favorable impact of foreign currency translation, offset by lower sales volumes.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47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50" w:name="page51"/>
    <w:bookmarkEnd w:id="50"/>
    <w:p>
      <w:pPr>
        <w:jc w:val="both"/>
        <w:spacing w:after="0" w:line="261" w:lineRule="auto"/>
        <w:rPr>
          <w:sz w:val="20"/>
          <w:szCs w:val="20"/>
          <w:color w:val="auto"/>
        </w:rPr>
      </w:pPr>
      <w:r>
        <w:rPr>
          <w:rFonts w:ascii="Arial" w:cs="Arial" w:eastAsia="Arial" w:hAnsi="Arial"/>
          <w:sz w:val="18"/>
          <w:szCs w:val="18"/>
          <w:color w:val="auto"/>
        </w:rPr>
        <w:t>Cost of products and services sold increased due to higher sales volumes on lower margin products, the rising cost of materials, and labor installation inefficiencies due to supply chain constraints.</w:t>
      </w:r>
    </w:p>
    <w:p>
      <w:pPr>
        <w:spacing w:after="0" w:line="9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Segment profit increased primarily due to higher sales volumes, partially offset by higher sales of lower margin products, the rising cost of materials, and labor installation inefficiencies due to supply chain constraints.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YTD 2021 compared to YTD 2020</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Sales increased due to higher sales volumes, favorable pricing, and the favorable impact of foreign currency translation, partially offset by the sale of the retail footwear business. The higher sales volumes were driven by warehouse automation and services and Productivity Solutions and Services.</w:t>
      </w:r>
    </w:p>
    <w:p>
      <w:pPr>
        <w:spacing w:after="0" w:line="94" w:lineRule="exact"/>
        <w:rPr>
          <w:sz w:val="20"/>
          <w:szCs w:val="20"/>
          <w:color w:val="auto"/>
        </w:rPr>
      </w:pPr>
    </w:p>
    <w:p>
      <w:pPr>
        <w:ind w:left="660" w:hanging="328"/>
        <w:spacing w:after="0" w:line="261" w:lineRule="auto"/>
        <w:tabs>
          <w:tab w:leader="none" w:pos="655"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Sales in Safety and Retail increased 17% (increased 21% organic) due to higher sales volumes, favorable pricing, and the favorable impact of foreign currency translation, partially offset by the sale of the retail footwear business.</w:t>
      </w:r>
    </w:p>
    <w:p>
      <w:pPr>
        <w:spacing w:after="0" w:line="89" w:lineRule="exact"/>
        <w:rPr>
          <w:rFonts w:ascii="Arial" w:cs="Arial" w:eastAsia="Arial" w:hAnsi="Arial"/>
          <w:sz w:val="18"/>
          <w:szCs w:val="18"/>
          <w:b w:val="1"/>
          <w:bCs w:val="1"/>
          <w:color w:val="auto"/>
        </w:rPr>
      </w:pPr>
    </w:p>
    <w:p>
      <w:pPr>
        <w:ind w:left="660" w:right="20" w:hanging="328"/>
        <w:spacing w:after="0" w:line="261" w:lineRule="auto"/>
        <w:tabs>
          <w:tab w:leader="none" w:pos="655"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Sales in Productivity Solutions and Services increased 29% (increased 26% organic) due to higher demand and the favorable impact of foreign currency translation.</w:t>
      </w:r>
    </w:p>
    <w:p>
      <w:pPr>
        <w:spacing w:after="0" w:line="89" w:lineRule="exact"/>
        <w:rPr>
          <w:rFonts w:ascii="Arial" w:cs="Arial" w:eastAsia="Arial" w:hAnsi="Arial"/>
          <w:sz w:val="18"/>
          <w:szCs w:val="18"/>
          <w:b w:val="1"/>
          <w:bCs w:val="1"/>
          <w:color w:val="auto"/>
        </w:rPr>
      </w:pPr>
    </w:p>
    <w:p>
      <w:pPr>
        <w:ind w:left="660" w:hanging="328"/>
        <w:spacing w:after="0" w:line="261" w:lineRule="auto"/>
        <w:tabs>
          <w:tab w:leader="none" w:pos="655"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Sales in Warehouse and Workflow Solutions increased 67% (increased 66% organic) due to higher sales volumes. Sales volume growth was driven by strong demand for our warehouse automation and services.</w:t>
      </w:r>
    </w:p>
    <w:p>
      <w:pPr>
        <w:spacing w:after="0" w:line="89" w:lineRule="exact"/>
        <w:rPr>
          <w:rFonts w:ascii="Arial" w:cs="Arial" w:eastAsia="Arial" w:hAnsi="Arial"/>
          <w:sz w:val="18"/>
          <w:szCs w:val="18"/>
          <w:b w:val="1"/>
          <w:bCs w:val="1"/>
          <w:color w:val="auto"/>
        </w:rPr>
      </w:pPr>
    </w:p>
    <w:p>
      <w:pPr>
        <w:ind w:left="660" w:hanging="328"/>
        <w:spacing w:after="0" w:line="261" w:lineRule="auto"/>
        <w:tabs>
          <w:tab w:leader="none" w:pos="655"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Sales in Advanced Sensing Technologies increased 2% (decreased 1% organic) due to the favorable impact of foreign currency translation, partially offset by lower sales volumes.</w:t>
      </w:r>
    </w:p>
    <w:p>
      <w:pPr>
        <w:spacing w:after="0" w:line="9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Cost of products and services sold increased due to higher sales volumes on lower margin products, the rising cost of materials, and the unfavorable impact of foreign currency translation.</w:t>
      </w:r>
    </w:p>
    <w:p>
      <w:pPr>
        <w:spacing w:after="0" w:line="9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Segment profit increased primarily due to higher sales volumes, partially offset by higher sales volumes of lower margin products, and the rising cost of materials.</w:t>
      </w:r>
    </w:p>
    <w:p>
      <w:pPr>
        <w:spacing w:after="0" w:line="27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REPOSITIONING CHARGES</w:t>
      </w:r>
    </w:p>
    <w:p>
      <w:pPr>
        <w:spacing w:after="0" w:line="1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See Note 5 Repositioning and Other Charges of Notes to Consolidated Financial Statements for a discussion of our repositioning actions and related charges incurred in the nine months ended September 30, 2021 and 2020. Cash spending related to our repositioning actions was $286 million in the nine months ended September 30, 2021, and was funded through operating cash flows.</w:t>
      </w:r>
    </w:p>
    <w:p>
      <w:pPr>
        <w:spacing w:after="0" w:line="253" w:lineRule="exact"/>
        <w:rPr>
          <w:sz w:val="20"/>
          <w:szCs w:val="20"/>
          <w:color w:val="auto"/>
        </w:rPr>
      </w:pPr>
    </w:p>
    <w:p>
      <w:pPr>
        <w:spacing w:after="0"/>
        <w:rPr>
          <w:sz w:val="20"/>
          <w:szCs w:val="20"/>
          <w:color w:val="auto"/>
        </w:rPr>
      </w:pPr>
      <w:r>
        <w:rPr>
          <w:rFonts w:ascii="Arial" w:cs="Arial" w:eastAsia="Arial" w:hAnsi="Arial"/>
          <w:sz w:val="25"/>
          <w:szCs w:val="25"/>
          <w:b w:val="1"/>
          <w:bCs w:val="1"/>
          <w:color w:val="DC202E"/>
        </w:rPr>
        <w:t>LIQUIDITY AND CAPITAL RESOURCES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tables in millions)</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continue to manage our businesses to maximize operating cash flows as the primary source of liquidity. Each of our businesses is focused on increasing operating cash flows through revenue growth, margin expansion and improved working capital turnover. Additional sources of liquidity include committed credit lines, short-term debt from the commercial paper market, long-term borrowings, access to the public debt and equity markets, U.S. cash balances and the ability to access non-U.S. cash as a result of the U.S. Tax Cuts and Jobs Act.</w:t>
      </w:r>
    </w:p>
    <w:p>
      <w:pPr>
        <w:spacing w:after="0" w:line="28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CASH</w:t>
      </w:r>
    </w:p>
    <w:p>
      <w:pPr>
        <w:spacing w:after="0" w:line="1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monitor the third-party depository institutions that hold our cash and cash equivalents on a daily basis. Our emphasis is primarily safety of principal and secondarily maximizing yield of those funds. We diversify our cash and cash equivalents among counterparties to minimize exposure to any one of these entities. As of September 30, 2021, and December 31, 2020, we held $12.1 billion and $15.2 billion, respectively, of cash and cash equivalents, including our short-term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48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51" w:name="page52"/>
    <w:bookmarkEnd w:id="51"/>
    <w:p>
      <w:pPr>
        <w:spacing w:after="0"/>
        <w:rPr>
          <w:sz w:val="20"/>
          <w:szCs w:val="20"/>
          <w:color w:val="auto"/>
        </w:rPr>
      </w:pPr>
      <w:r>
        <w:rPr>
          <w:rFonts w:ascii="Arial" w:cs="Arial" w:eastAsia="Arial" w:hAnsi="Arial"/>
          <w:sz w:val="25"/>
          <w:szCs w:val="25"/>
          <w:b w:val="1"/>
          <w:bCs w:val="1"/>
          <w:color w:val="auto"/>
        </w:rPr>
        <w:t>BORROWINGS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Consolidated total borrowings were $21.2 billion and $22.4 billion as of September 30, 2021, and December 31, 2020.</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2021</w:t>
            </w:r>
          </w:p>
        </w:tc>
        <w:tc>
          <w:tcPr>
            <w:tcW w:w="180" w:type="dxa"/>
            <w:vAlign w:val="bottom"/>
          </w:tcPr>
          <w:p>
            <w:pPr>
              <w:spacing w:after="0"/>
              <w:rPr>
                <w:sz w:val="17"/>
                <w:szCs w:val="17"/>
                <w:color w:val="auto"/>
              </w:rPr>
            </w:pPr>
          </w:p>
        </w:tc>
        <w:tc>
          <w:tcPr>
            <w:tcW w:w="1600" w:type="dxa"/>
            <w:vAlign w:val="bottom"/>
          </w:tcPr>
          <w:p>
            <w:pPr>
              <w:jc w:val="right"/>
              <w:ind w:right="153"/>
              <w:spacing w:after="0"/>
              <w:rPr>
                <w:sz w:val="20"/>
                <w:szCs w:val="20"/>
                <w:color w:val="auto"/>
              </w:rPr>
            </w:pPr>
            <w:r>
              <w:rPr>
                <w:rFonts w:ascii="Arial" w:cs="Arial" w:eastAsia="Arial" w:hAnsi="Arial"/>
                <w:sz w:val="14"/>
                <w:szCs w:val="14"/>
                <w:b w:val="1"/>
                <w:bCs w:val="1"/>
                <w:color w:val="auto"/>
              </w:rPr>
              <w:t>December 31, 2020</w:t>
            </w:r>
          </w:p>
        </w:tc>
      </w:tr>
      <w:tr>
        <w:trPr>
          <w:trHeight w:val="229"/>
        </w:trPr>
        <w:tc>
          <w:tcPr>
            <w:tcW w:w="75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Commercial paper and other short-term borrowings</w:t>
            </w:r>
          </w:p>
        </w:tc>
        <w:tc>
          <w:tcPr>
            <w:tcW w:w="160" w:type="dxa"/>
            <w:vAlign w:val="bottom"/>
            <w:tcBorders>
              <w:top w:val="single" w:sz="8" w:color="DC202E"/>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DC202E"/>
            </w:tcBorders>
            <w:shd w:val="clear" w:color="auto" w:fill="DBDBDB"/>
          </w:tcPr>
          <w:p>
            <w:pPr>
              <w:jc w:val="right"/>
              <w:spacing w:after="0"/>
              <w:rPr>
                <w:sz w:val="20"/>
                <w:szCs w:val="20"/>
                <w:color w:val="auto"/>
              </w:rPr>
            </w:pPr>
            <w:r>
              <w:rPr>
                <w:rFonts w:ascii="Arial" w:cs="Arial" w:eastAsia="Arial" w:hAnsi="Arial"/>
                <w:sz w:val="18"/>
                <w:szCs w:val="18"/>
                <w:color w:val="auto"/>
              </w:rPr>
              <w:t>3,559</w:t>
            </w:r>
          </w:p>
        </w:tc>
        <w:tc>
          <w:tcPr>
            <w:tcW w:w="12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DC202E"/>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DC202E"/>
            </w:tcBorders>
            <w:shd w:val="clear" w:color="auto" w:fill="DBDBDB"/>
          </w:tcPr>
          <w:p>
            <w:pPr>
              <w:jc w:val="right"/>
              <w:spacing w:after="0"/>
              <w:rPr>
                <w:sz w:val="20"/>
                <w:szCs w:val="20"/>
                <w:color w:val="auto"/>
              </w:rPr>
            </w:pPr>
            <w:r>
              <w:rPr>
                <w:rFonts w:ascii="Arial" w:cs="Arial" w:eastAsia="Arial" w:hAnsi="Arial"/>
                <w:sz w:val="18"/>
                <w:szCs w:val="18"/>
                <w:color w:val="auto"/>
              </w:rPr>
              <w:t>3,597</w:t>
            </w: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Variable rate notes</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1,122</w:t>
            </w:r>
          </w:p>
        </w:tc>
      </w:tr>
      <w:tr>
        <w:trPr>
          <w:trHeight w:val="229"/>
        </w:trPr>
        <w:tc>
          <w:tcPr>
            <w:tcW w:w="7580" w:type="dxa"/>
            <w:vAlign w:val="bottom"/>
            <w:shd w:val="clear" w:color="auto" w:fill="DBDBDB"/>
          </w:tcPr>
          <w:p>
            <w:pPr>
              <w:ind w:left="20"/>
              <w:spacing w:after="0"/>
              <w:rPr>
                <w:sz w:val="20"/>
                <w:szCs w:val="20"/>
                <w:color w:val="auto"/>
              </w:rPr>
            </w:pPr>
            <w:r>
              <w:rPr>
                <w:rFonts w:ascii="Arial" w:cs="Arial" w:eastAsia="Arial" w:hAnsi="Arial"/>
                <w:sz w:val="18"/>
                <w:szCs w:val="18"/>
                <w:color w:val="auto"/>
              </w:rPr>
              <w:t>Fixed rate notes</w:t>
            </w:r>
          </w:p>
        </w:tc>
        <w:tc>
          <w:tcPr>
            <w:tcW w:w="160" w:type="dxa"/>
            <w:vAlign w:val="bottom"/>
            <w:shd w:val="clear" w:color="auto" w:fill="DBDBDB"/>
          </w:tcPr>
          <w:p>
            <w:pPr>
              <w:spacing w:after="0"/>
              <w:rPr>
                <w:sz w:val="19"/>
                <w:szCs w:val="19"/>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16,897</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17,399</w:t>
            </w:r>
          </w:p>
        </w:tc>
      </w:tr>
      <w:tr>
        <w:trPr>
          <w:trHeight w:val="229"/>
        </w:trPr>
        <w:tc>
          <w:tcPr>
            <w:tcW w:w="75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w:t>
            </w:r>
          </w:p>
        </w:tc>
      </w:tr>
      <w:tr>
        <w:trPr>
          <w:trHeight w:val="248"/>
        </w:trPr>
        <w:tc>
          <w:tcPr>
            <w:tcW w:w="75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 borrowings</w:t>
            </w: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21,249</w:t>
            </w:r>
          </w:p>
        </w:tc>
        <w:tc>
          <w:tcPr>
            <w:tcW w:w="120" w:type="dxa"/>
            <w:vAlign w:val="bottom"/>
            <w:tcBorders>
              <w:bottom w:val="single" w:sz="8" w:color="DBDBDB"/>
            </w:tcBorders>
            <w:shd w:val="clear" w:color="auto" w:fill="DBDBDB"/>
          </w:tcPr>
          <w:p>
            <w:pPr>
              <w:spacing w:after="0"/>
              <w:rPr>
                <w:sz w:val="21"/>
                <w:szCs w:val="21"/>
                <w:color w:val="auto"/>
              </w:rPr>
            </w:pP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22,384</w:t>
            </w:r>
          </w:p>
        </w:tc>
      </w:tr>
      <w:tr>
        <w:trPr>
          <w:trHeight w:val="20"/>
        </w:trPr>
        <w:tc>
          <w:tcPr>
            <w:tcW w:w="758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6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600" w:type="dxa"/>
            <w:vAlign w:val="bottom"/>
            <w:tcBorders>
              <w:top w:val="single" w:sz="8" w:color="DBDBDB"/>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 source of liquidity is our ability to access the commercial paper market. Commercial paper notes are sold at a discount or premium and have a maturity of not more than 365 days from date of issuance. Borrowings under the commercial paper program are available for general corporate purposes as well as for financing acquisitions.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also have the following revolving credit agreements, which can provide financing for general corporate purposes:</w:t>
      </w:r>
    </w:p>
    <w:p>
      <w:pPr>
        <w:spacing w:after="0" w:line="131" w:lineRule="exact"/>
        <w:rPr>
          <w:sz w:val="20"/>
          <w:szCs w:val="20"/>
          <w:color w:val="auto"/>
        </w:rPr>
      </w:pPr>
    </w:p>
    <w:p>
      <w:pPr>
        <w:jc w:val="both"/>
        <w:ind w:left="660" w:hanging="328"/>
        <w:spacing w:after="0" w:line="216" w:lineRule="auto"/>
        <w:tabs>
          <w:tab w:leader="none" w:pos="655" w:val="left"/>
        </w:tabs>
        <w:numPr>
          <w:ilvl w:val="0"/>
          <w:numId w:val="30"/>
        </w:numPr>
        <w:rPr>
          <w:rFonts w:ascii="Arial" w:cs="Arial" w:eastAsia="Arial" w:hAnsi="Arial"/>
          <w:sz w:val="22"/>
          <w:szCs w:val="22"/>
          <w:color w:val="auto"/>
        </w:rPr>
      </w:pPr>
      <w:r>
        <w:rPr>
          <w:rFonts w:ascii="Arial" w:cs="Arial" w:eastAsia="Arial" w:hAnsi="Arial"/>
          <w:sz w:val="18"/>
          <w:szCs w:val="18"/>
          <w:color w:val="auto"/>
        </w:rPr>
        <w:t>A $1.5 billion 364-Day Credit Agreement (the 364-Day Credit Agreement) with a syndicate of banks, dated March 31, 2021. Amounts borrowed under the 364-Day Credit Agreement are required to be repaid no later than March 30, 2022, unless (i) we elect to convert all then outstanding amounts into a term loan, upon which such amounts shall be repaid in full on March 30, 2023, or (ii) the 364-Day Credit Agreement is terminated earlier pursuant to its terms. The 364-Day Credit Agreement replaces the previously reported $1.5 billion 364-day credit agreement dated as of April 10, 2020, which was terminated in accordance with its terms effective March 31, 2021. As of September 30, 2021, there were no outstanding borrowings under our 364-Day Credit Agreement.</w:t>
      </w:r>
    </w:p>
    <w:p>
      <w:pPr>
        <w:spacing w:after="0" w:line="109" w:lineRule="exact"/>
        <w:rPr>
          <w:rFonts w:ascii="Arial" w:cs="Arial" w:eastAsia="Arial" w:hAnsi="Arial"/>
          <w:sz w:val="22"/>
          <w:szCs w:val="22"/>
          <w:color w:val="auto"/>
        </w:rPr>
      </w:pPr>
    </w:p>
    <w:p>
      <w:pPr>
        <w:jc w:val="both"/>
        <w:ind w:left="660" w:hanging="328"/>
        <w:spacing w:after="0" w:line="216" w:lineRule="auto"/>
        <w:tabs>
          <w:tab w:leader="none" w:pos="655" w:val="left"/>
        </w:tabs>
        <w:numPr>
          <w:ilvl w:val="0"/>
          <w:numId w:val="30"/>
        </w:numPr>
        <w:rPr>
          <w:rFonts w:ascii="Arial" w:cs="Arial" w:eastAsia="Arial" w:hAnsi="Arial"/>
          <w:sz w:val="22"/>
          <w:szCs w:val="22"/>
          <w:color w:val="auto"/>
        </w:rPr>
      </w:pPr>
      <w:r>
        <w:rPr>
          <w:rFonts w:ascii="Arial" w:cs="Arial" w:eastAsia="Arial" w:hAnsi="Arial"/>
          <w:sz w:val="18"/>
          <w:szCs w:val="18"/>
          <w:color w:val="auto"/>
        </w:rPr>
        <w:t>A $4.0 billion Five Year Credit Agreement (the 5-Year Credit Agreement) with a syndicate of banks, dated March 31, 2021. Commitments under the 5-Year Credit Agreement can be increased pursuant to the terms of the 5-Year Credit Agreement to an aggregate amount not to exceed $4.5 billion. The 5-Year Credit Agreement amended and restated the previously reported $4.0 billion amended and restated five year credit agreement dated as of April 26, 2019. As of September 30, 2021, there were no outstanding borrowings under our 5-Year Credit Agreement.</w:t>
      </w:r>
    </w:p>
    <w:p>
      <w:pPr>
        <w:spacing w:after="0" w:line="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also have a current shelf registration statement with the SEC under which we may issue additional debt securities, common stock and preferred stock that may be offered in one or more offerings on terms to be determined at the time of the offering. We anticipate that net proceeds of any offering would be used for general corporate purposes, including repayment of existing indebtedness, share repurchases, capital expenditures and acquisitions.</w:t>
      </w:r>
    </w:p>
    <w:p>
      <w:pPr>
        <w:spacing w:after="0" w:line="9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additional information, see Note 9 Long-Term Debt and Credit Agreements for discussion of long-term debt issuances and redemptions during the nine months ended September 30, 2021.</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49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52" w:name="page53"/>
    <w:bookmarkEnd w:id="52"/>
    <w:p>
      <w:pPr>
        <w:spacing w:after="0"/>
        <w:rPr>
          <w:sz w:val="20"/>
          <w:szCs w:val="20"/>
          <w:color w:val="auto"/>
        </w:rPr>
      </w:pPr>
      <w:r>
        <w:rPr>
          <w:rFonts w:ascii="Arial" w:cs="Arial" w:eastAsia="Arial" w:hAnsi="Arial"/>
          <w:sz w:val="25"/>
          <w:szCs w:val="25"/>
          <w:b w:val="1"/>
          <w:bCs w:val="1"/>
          <w:color w:val="auto"/>
        </w:rPr>
        <w:t>CREDIT RATINGS</w:t>
      </w:r>
    </w:p>
    <w:p>
      <w:pPr>
        <w:spacing w:after="0" w:line="1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ability to access the global debt capital markets and the related cost of these borrowings, is affected by the strength of our credit rating and market conditions. Our credit ratings are periodically reviewed by the major independent debt-rating agencies. As of September 30, 2021, Standard &amp; Poor's (S&amp;P), Fitch, and Moody’s have ratings on our debt set forth in the table below:</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740" w:type="dxa"/>
            <w:vAlign w:val="bottom"/>
            <w:tcBorders>
              <w:bottom w:val="single" w:sz="8" w:color="DBDBDB"/>
            </w:tcBorders>
          </w:tcPr>
          <w:p>
            <w:pPr>
              <w:spacing w:after="0"/>
              <w:rPr>
                <w:sz w:val="21"/>
                <w:szCs w:val="21"/>
                <w:color w:val="auto"/>
              </w:rPr>
            </w:pPr>
          </w:p>
        </w:tc>
        <w:tc>
          <w:tcPr>
            <w:tcW w:w="1420" w:type="dxa"/>
            <w:vAlign w:val="bottom"/>
            <w:tcBorders>
              <w:bottom w:val="single" w:sz="8" w:color="DC202E"/>
            </w:tcBorders>
          </w:tcPr>
          <w:p>
            <w:pPr>
              <w:jc w:val="center"/>
              <w:spacing w:after="0"/>
              <w:rPr>
                <w:sz w:val="20"/>
                <w:szCs w:val="20"/>
                <w:color w:val="auto"/>
              </w:rPr>
            </w:pPr>
            <w:r>
              <w:rPr>
                <w:rFonts w:ascii="Arial" w:cs="Arial" w:eastAsia="Arial" w:hAnsi="Arial"/>
                <w:sz w:val="18"/>
                <w:szCs w:val="18"/>
                <w:b w:val="1"/>
                <w:bCs w:val="1"/>
                <w:color w:val="auto"/>
              </w:rPr>
              <w:t>S&amp;P</w:t>
            </w:r>
          </w:p>
        </w:tc>
        <w:tc>
          <w:tcPr>
            <w:tcW w:w="100" w:type="dxa"/>
            <w:vAlign w:val="bottom"/>
            <w:tcBorders>
              <w:bottom w:val="single" w:sz="8" w:color="DBDBDB"/>
            </w:tcBorders>
          </w:tcPr>
          <w:p>
            <w:pPr>
              <w:spacing w:after="0"/>
              <w:rPr>
                <w:sz w:val="21"/>
                <w:szCs w:val="21"/>
                <w:color w:val="auto"/>
              </w:rPr>
            </w:pPr>
          </w:p>
        </w:tc>
        <w:tc>
          <w:tcPr>
            <w:tcW w:w="1440" w:type="dxa"/>
            <w:vAlign w:val="bottom"/>
            <w:tcBorders>
              <w:bottom w:val="single" w:sz="8" w:color="DC202E"/>
            </w:tcBorders>
          </w:tcPr>
          <w:p>
            <w:pPr>
              <w:jc w:val="center"/>
              <w:spacing w:after="0"/>
              <w:rPr>
                <w:sz w:val="20"/>
                <w:szCs w:val="20"/>
                <w:color w:val="auto"/>
              </w:rPr>
            </w:pPr>
            <w:r>
              <w:rPr>
                <w:rFonts w:ascii="Arial" w:cs="Arial" w:eastAsia="Arial" w:hAnsi="Arial"/>
                <w:sz w:val="18"/>
                <w:szCs w:val="18"/>
                <w:b w:val="1"/>
                <w:bCs w:val="1"/>
                <w:color w:val="auto"/>
                <w:w w:val="97"/>
              </w:rPr>
              <w:t>Fitch</w:t>
            </w:r>
          </w:p>
        </w:tc>
        <w:tc>
          <w:tcPr>
            <w:tcW w:w="100" w:type="dxa"/>
            <w:vAlign w:val="bottom"/>
            <w:tcBorders>
              <w:bottom w:val="single" w:sz="8" w:color="DBDBDB"/>
            </w:tcBorders>
          </w:tcPr>
          <w:p>
            <w:pPr>
              <w:spacing w:after="0"/>
              <w:rPr>
                <w:sz w:val="21"/>
                <w:szCs w:val="21"/>
                <w:color w:val="auto"/>
              </w:rPr>
            </w:pPr>
          </w:p>
        </w:tc>
        <w:tc>
          <w:tcPr>
            <w:tcW w:w="1440" w:type="dxa"/>
            <w:vAlign w:val="bottom"/>
            <w:tcBorders>
              <w:bottom w:val="single" w:sz="8" w:color="DC202E"/>
            </w:tcBorders>
          </w:tcPr>
          <w:p>
            <w:pPr>
              <w:jc w:val="center"/>
              <w:spacing w:after="0"/>
              <w:rPr>
                <w:sz w:val="20"/>
                <w:szCs w:val="20"/>
                <w:color w:val="auto"/>
              </w:rPr>
            </w:pPr>
            <w:r>
              <w:rPr>
                <w:rFonts w:ascii="Arial" w:cs="Arial" w:eastAsia="Arial" w:hAnsi="Arial"/>
                <w:sz w:val="18"/>
                <w:szCs w:val="18"/>
                <w:b w:val="1"/>
                <w:bCs w:val="1"/>
                <w:color w:val="auto"/>
                <w:w w:val="99"/>
              </w:rPr>
              <w:t>Moody's</w:t>
            </w:r>
          </w:p>
        </w:tc>
      </w:tr>
      <w:tr>
        <w:trPr>
          <w:trHeight w:val="230"/>
        </w:trPr>
        <w:tc>
          <w:tcPr>
            <w:tcW w:w="6740" w:type="dxa"/>
            <w:vAlign w:val="bottom"/>
            <w:shd w:val="clear" w:color="auto" w:fill="DBDBDB"/>
          </w:tcPr>
          <w:p>
            <w:pPr>
              <w:ind w:left="20"/>
              <w:spacing w:after="0"/>
              <w:rPr>
                <w:sz w:val="20"/>
                <w:szCs w:val="20"/>
                <w:color w:val="auto"/>
              </w:rPr>
            </w:pPr>
            <w:r>
              <w:rPr>
                <w:rFonts w:ascii="Arial" w:cs="Arial" w:eastAsia="Arial" w:hAnsi="Arial"/>
                <w:sz w:val="18"/>
                <w:szCs w:val="18"/>
                <w:color w:val="auto"/>
              </w:rPr>
              <w:t>Outlook</w:t>
            </w:r>
          </w:p>
        </w:tc>
        <w:tc>
          <w:tcPr>
            <w:tcW w:w="1520" w:type="dxa"/>
            <w:vAlign w:val="bottom"/>
            <w:gridSpan w:val="2"/>
            <w:shd w:val="clear" w:color="auto" w:fill="DBDBDB"/>
          </w:tcPr>
          <w:p>
            <w:pPr>
              <w:jc w:val="center"/>
              <w:ind w:right="100"/>
              <w:spacing w:after="0"/>
              <w:rPr>
                <w:sz w:val="20"/>
                <w:szCs w:val="20"/>
                <w:color w:val="auto"/>
              </w:rPr>
            </w:pPr>
            <w:r>
              <w:rPr>
                <w:rFonts w:ascii="Arial" w:cs="Arial" w:eastAsia="Arial" w:hAnsi="Arial"/>
                <w:sz w:val="18"/>
                <w:szCs w:val="18"/>
                <w:color w:val="auto"/>
                <w:w w:val="97"/>
              </w:rPr>
              <w:t>Stable</w:t>
            </w:r>
          </w:p>
        </w:tc>
        <w:tc>
          <w:tcPr>
            <w:tcW w:w="1540" w:type="dxa"/>
            <w:vAlign w:val="bottom"/>
            <w:gridSpan w:val="2"/>
            <w:shd w:val="clear" w:color="auto" w:fill="DBDBDB"/>
          </w:tcPr>
          <w:p>
            <w:pPr>
              <w:jc w:val="center"/>
              <w:ind w:right="80"/>
              <w:spacing w:after="0"/>
              <w:rPr>
                <w:sz w:val="20"/>
                <w:szCs w:val="20"/>
                <w:color w:val="auto"/>
              </w:rPr>
            </w:pPr>
            <w:r>
              <w:rPr>
                <w:rFonts w:ascii="Arial" w:cs="Arial" w:eastAsia="Arial" w:hAnsi="Arial"/>
                <w:sz w:val="18"/>
                <w:szCs w:val="18"/>
                <w:color w:val="auto"/>
                <w:w w:val="97"/>
              </w:rPr>
              <w:t>Stable</w:t>
            </w:r>
          </w:p>
        </w:tc>
        <w:tc>
          <w:tcPr>
            <w:tcW w:w="1440" w:type="dxa"/>
            <w:vAlign w:val="bottom"/>
            <w:shd w:val="clear" w:color="auto" w:fill="DBDBDB"/>
          </w:tcPr>
          <w:p>
            <w:pPr>
              <w:jc w:val="center"/>
              <w:spacing w:after="0"/>
              <w:rPr>
                <w:sz w:val="20"/>
                <w:szCs w:val="20"/>
                <w:color w:val="auto"/>
              </w:rPr>
            </w:pPr>
            <w:r>
              <w:rPr>
                <w:rFonts w:ascii="Arial" w:cs="Arial" w:eastAsia="Arial" w:hAnsi="Arial"/>
                <w:sz w:val="18"/>
                <w:szCs w:val="18"/>
                <w:color w:val="auto"/>
              </w:rPr>
              <w:t>Stable</w:t>
            </w: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Short-term</w:t>
            </w:r>
          </w:p>
        </w:tc>
        <w:tc>
          <w:tcPr>
            <w:tcW w:w="15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A-1</w:t>
            </w:r>
          </w:p>
        </w:tc>
        <w:tc>
          <w:tcPr>
            <w:tcW w:w="1540" w:type="dxa"/>
            <w:vAlign w:val="bottom"/>
            <w:gridSpan w:val="2"/>
          </w:tcPr>
          <w:p>
            <w:pPr>
              <w:jc w:val="center"/>
              <w:ind w:right="80"/>
              <w:spacing w:after="0"/>
              <w:rPr>
                <w:sz w:val="20"/>
                <w:szCs w:val="20"/>
                <w:color w:val="auto"/>
              </w:rPr>
            </w:pPr>
            <w:r>
              <w:rPr>
                <w:rFonts w:ascii="Arial" w:cs="Arial" w:eastAsia="Arial" w:hAnsi="Arial"/>
                <w:sz w:val="18"/>
                <w:szCs w:val="18"/>
                <w:color w:val="auto"/>
              </w:rPr>
              <w:t>F1</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P1</w:t>
            </w:r>
          </w:p>
        </w:tc>
      </w:tr>
      <w:tr>
        <w:trPr>
          <w:trHeight w:val="229"/>
        </w:trPr>
        <w:tc>
          <w:tcPr>
            <w:tcW w:w="6740" w:type="dxa"/>
            <w:vAlign w:val="bottom"/>
            <w:shd w:val="clear" w:color="auto" w:fill="DBDBDB"/>
          </w:tcPr>
          <w:p>
            <w:pPr>
              <w:ind w:left="20"/>
              <w:spacing w:after="0"/>
              <w:rPr>
                <w:sz w:val="20"/>
                <w:szCs w:val="20"/>
                <w:color w:val="auto"/>
              </w:rPr>
            </w:pPr>
            <w:r>
              <w:rPr>
                <w:rFonts w:ascii="Arial" w:cs="Arial" w:eastAsia="Arial" w:hAnsi="Arial"/>
                <w:sz w:val="18"/>
                <w:szCs w:val="18"/>
                <w:color w:val="auto"/>
              </w:rPr>
              <w:t>Long-term</w:t>
            </w:r>
          </w:p>
        </w:tc>
        <w:tc>
          <w:tcPr>
            <w:tcW w:w="1520" w:type="dxa"/>
            <w:vAlign w:val="bottom"/>
            <w:gridSpan w:val="2"/>
            <w:shd w:val="clear" w:color="auto" w:fill="DBDBDB"/>
          </w:tcPr>
          <w:p>
            <w:pPr>
              <w:jc w:val="center"/>
              <w:ind w:right="120"/>
              <w:spacing w:after="0"/>
              <w:rPr>
                <w:sz w:val="20"/>
                <w:szCs w:val="20"/>
                <w:color w:val="auto"/>
              </w:rPr>
            </w:pPr>
            <w:r>
              <w:rPr>
                <w:rFonts w:ascii="Arial" w:cs="Arial" w:eastAsia="Arial" w:hAnsi="Arial"/>
                <w:sz w:val="18"/>
                <w:szCs w:val="18"/>
                <w:color w:val="auto"/>
                <w:w w:val="99"/>
              </w:rPr>
              <w:t>A</w:t>
            </w:r>
          </w:p>
        </w:tc>
        <w:tc>
          <w:tcPr>
            <w:tcW w:w="1540" w:type="dxa"/>
            <w:vAlign w:val="bottom"/>
            <w:gridSpan w:val="2"/>
            <w:shd w:val="clear" w:color="auto" w:fill="DBDBDB"/>
          </w:tcPr>
          <w:p>
            <w:pPr>
              <w:jc w:val="center"/>
              <w:ind w:right="100"/>
              <w:spacing w:after="0"/>
              <w:rPr>
                <w:sz w:val="20"/>
                <w:szCs w:val="20"/>
                <w:color w:val="auto"/>
              </w:rPr>
            </w:pPr>
            <w:r>
              <w:rPr>
                <w:rFonts w:ascii="Arial" w:cs="Arial" w:eastAsia="Arial" w:hAnsi="Arial"/>
                <w:sz w:val="18"/>
                <w:szCs w:val="18"/>
                <w:color w:val="auto"/>
                <w:w w:val="99"/>
              </w:rPr>
              <w:t>A</w:t>
            </w:r>
          </w:p>
        </w:tc>
        <w:tc>
          <w:tcPr>
            <w:tcW w:w="144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A2</w:t>
            </w:r>
          </w:p>
        </w:tc>
      </w:tr>
    </w:tbl>
    <w:p>
      <w:pPr>
        <w:spacing w:after="0" w:line="17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CASH FLOW SUMMARY</w:t>
      </w:r>
    </w:p>
    <w:p>
      <w:pPr>
        <w:spacing w:after="0" w:line="14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cash flows from operating, investing and financing activities, as reflected in the Consolidated Statement of Cash Flows, are summarized as follows: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20" w:type="dxa"/>
            <w:vAlign w:val="bottom"/>
          </w:tcPr>
          <w:p>
            <w:pPr>
              <w:spacing w:after="0"/>
              <w:rPr>
                <w:sz w:val="17"/>
                <w:szCs w:val="17"/>
                <w:color w:val="auto"/>
              </w:rPr>
            </w:pPr>
          </w:p>
        </w:tc>
        <w:tc>
          <w:tcPr>
            <w:tcW w:w="240" w:type="dxa"/>
            <w:vAlign w:val="bottom"/>
            <w:tcBorders>
              <w:bottom w:val="single" w:sz="8" w:color="DC202E"/>
            </w:tcBorders>
          </w:tcPr>
          <w:p>
            <w:pPr>
              <w:spacing w:after="0"/>
              <w:rPr>
                <w:sz w:val="17"/>
                <w:szCs w:val="17"/>
                <w:color w:val="auto"/>
              </w:rPr>
            </w:pPr>
          </w:p>
        </w:tc>
        <w:tc>
          <w:tcPr>
            <w:tcW w:w="2840" w:type="dxa"/>
            <w:vAlign w:val="bottom"/>
            <w:tcBorders>
              <w:bottom w:val="single" w:sz="8" w:color="DC202E"/>
            </w:tcBorders>
            <w:gridSpan w:val="4"/>
          </w:tcPr>
          <w:p>
            <w:pPr>
              <w:jc w:val="right"/>
              <w:ind w:right="273"/>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8120" w:type="dxa"/>
            <w:vAlign w:val="bottom"/>
            <w:tcBorders>
              <w:bottom w:val="single" w:sz="8" w:color="DBDBDB"/>
            </w:tcBorders>
          </w:tcPr>
          <w:p>
            <w:pPr>
              <w:spacing w:after="0"/>
              <w:rPr>
                <w:sz w:val="17"/>
                <w:szCs w:val="17"/>
                <w:color w:val="auto"/>
              </w:rPr>
            </w:pPr>
          </w:p>
        </w:tc>
        <w:tc>
          <w:tcPr>
            <w:tcW w:w="240" w:type="dxa"/>
            <w:vAlign w:val="bottom"/>
            <w:tcBorders>
              <w:bottom w:val="single" w:sz="8" w:color="DC202E"/>
            </w:tcBorders>
          </w:tcPr>
          <w:p>
            <w:pPr>
              <w:spacing w:after="0"/>
              <w:rPr>
                <w:sz w:val="17"/>
                <w:szCs w:val="17"/>
                <w:color w:val="auto"/>
              </w:rPr>
            </w:pPr>
          </w:p>
        </w:tc>
        <w:tc>
          <w:tcPr>
            <w:tcW w:w="1240" w:type="dxa"/>
            <w:vAlign w:val="bottom"/>
            <w:tcBorders>
              <w:bottom w:val="single" w:sz="8" w:color="DC202E"/>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DBDBDB"/>
            </w:tcBorders>
          </w:tcPr>
          <w:p>
            <w:pPr>
              <w:spacing w:after="0"/>
              <w:rPr>
                <w:sz w:val="17"/>
                <w:szCs w:val="17"/>
                <w:color w:val="auto"/>
              </w:rPr>
            </w:pPr>
          </w:p>
        </w:tc>
        <w:tc>
          <w:tcPr>
            <w:tcW w:w="340" w:type="dxa"/>
            <w:vAlign w:val="bottom"/>
            <w:tcBorders>
              <w:bottom w:val="single" w:sz="8" w:color="DC202E"/>
            </w:tcBorders>
          </w:tcPr>
          <w:p>
            <w:pPr>
              <w:spacing w:after="0"/>
              <w:rPr>
                <w:sz w:val="17"/>
                <w:szCs w:val="17"/>
                <w:color w:val="auto"/>
              </w:rPr>
            </w:pPr>
          </w:p>
        </w:tc>
        <w:tc>
          <w:tcPr>
            <w:tcW w:w="1140" w:type="dxa"/>
            <w:vAlign w:val="bottom"/>
            <w:tcBorders>
              <w:bottom w:val="single" w:sz="8" w:color="DC202E"/>
            </w:tcBorders>
          </w:tcPr>
          <w:p>
            <w:pPr>
              <w:jc w:val="right"/>
              <w:ind w:right="493"/>
              <w:spacing w:after="0"/>
              <w:rPr>
                <w:sz w:val="20"/>
                <w:szCs w:val="20"/>
                <w:color w:val="auto"/>
              </w:rPr>
            </w:pPr>
            <w:r>
              <w:rPr>
                <w:rFonts w:ascii="Arial" w:cs="Arial" w:eastAsia="Arial" w:hAnsi="Arial"/>
                <w:sz w:val="14"/>
                <w:szCs w:val="14"/>
                <w:b w:val="1"/>
                <w:bCs w:val="1"/>
                <w:color w:val="auto"/>
              </w:rPr>
              <w:t>2020</w:t>
            </w:r>
          </w:p>
        </w:tc>
      </w:tr>
      <w:tr>
        <w:trPr>
          <w:trHeight w:val="229"/>
        </w:trPr>
        <w:tc>
          <w:tcPr>
            <w:tcW w:w="812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provided by (used for):</w:t>
            </w:r>
          </w:p>
        </w:tc>
        <w:tc>
          <w:tcPr>
            <w:tcW w:w="240" w:type="dxa"/>
            <w:vAlign w:val="bottom"/>
            <w:shd w:val="clear" w:color="auto" w:fill="DBDBDB"/>
          </w:tcPr>
          <w:p>
            <w:pPr>
              <w:spacing w:after="0"/>
              <w:rPr>
                <w:sz w:val="19"/>
                <w:szCs w:val="19"/>
                <w:color w:val="auto"/>
              </w:rPr>
            </w:pPr>
          </w:p>
        </w:tc>
        <w:tc>
          <w:tcPr>
            <w:tcW w:w="12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r>
      <w:tr>
        <w:trPr>
          <w:trHeight w:val="229"/>
        </w:trPr>
        <w:tc>
          <w:tcPr>
            <w:tcW w:w="8120" w:type="dxa"/>
            <w:vAlign w:val="bottom"/>
          </w:tcPr>
          <w:p>
            <w:pPr>
              <w:ind w:left="20"/>
              <w:spacing w:after="0"/>
              <w:rPr>
                <w:sz w:val="20"/>
                <w:szCs w:val="20"/>
                <w:color w:val="auto"/>
              </w:rPr>
            </w:pPr>
            <w:r>
              <w:rPr>
                <w:rFonts w:ascii="Arial" w:cs="Arial" w:eastAsia="Arial" w:hAnsi="Arial"/>
                <w:sz w:val="18"/>
                <w:szCs w:val="18"/>
                <w:color w:val="auto"/>
              </w:rPr>
              <w:t>Operating activities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3,375</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3,426</w:t>
            </w:r>
          </w:p>
        </w:tc>
      </w:tr>
      <w:tr>
        <w:trPr>
          <w:trHeight w:val="230"/>
        </w:trPr>
        <w:tc>
          <w:tcPr>
            <w:tcW w:w="8120" w:type="dxa"/>
            <w:vAlign w:val="bottom"/>
            <w:shd w:val="clear" w:color="auto" w:fill="DBDBDB"/>
          </w:tcPr>
          <w:p>
            <w:pPr>
              <w:ind w:left="20"/>
              <w:spacing w:after="0"/>
              <w:rPr>
                <w:sz w:val="20"/>
                <w:szCs w:val="20"/>
                <w:color w:val="auto"/>
              </w:rPr>
            </w:pPr>
            <w:r>
              <w:rPr>
                <w:rFonts w:ascii="Arial" w:cs="Arial" w:eastAsia="Arial" w:hAnsi="Arial"/>
                <w:sz w:val="18"/>
                <w:szCs w:val="18"/>
                <w:color w:val="auto"/>
              </w:rPr>
              <w:t>Investing activities</w:t>
            </w:r>
          </w:p>
        </w:tc>
        <w:tc>
          <w:tcPr>
            <w:tcW w:w="24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(1,347)</w:t>
            </w:r>
          </w:p>
        </w:tc>
        <w:tc>
          <w:tcPr>
            <w:tcW w:w="12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(410)</w:t>
            </w:r>
          </w:p>
        </w:tc>
      </w:tr>
      <w:tr>
        <w:trPr>
          <w:trHeight w:val="229"/>
        </w:trPr>
        <w:tc>
          <w:tcPr>
            <w:tcW w:w="8120" w:type="dxa"/>
            <w:vAlign w:val="bottom"/>
          </w:tcPr>
          <w:p>
            <w:pPr>
              <w:ind w:left="20"/>
              <w:spacing w:after="0"/>
              <w:rPr>
                <w:sz w:val="20"/>
                <w:szCs w:val="20"/>
                <w:color w:val="auto"/>
              </w:rPr>
            </w:pPr>
            <w:r>
              <w:rPr>
                <w:rFonts w:ascii="Arial" w:cs="Arial" w:eastAsia="Arial" w:hAnsi="Arial"/>
                <w:sz w:val="18"/>
                <w:szCs w:val="18"/>
                <w:color w:val="auto"/>
              </w:rPr>
              <w:t>Financing activities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(5,195)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1,972</w:t>
            </w:r>
          </w:p>
        </w:tc>
      </w:tr>
      <w:tr>
        <w:trPr>
          <w:trHeight w:val="229"/>
        </w:trPr>
        <w:tc>
          <w:tcPr>
            <w:tcW w:w="8120" w:type="dxa"/>
            <w:vAlign w:val="bottom"/>
            <w:shd w:val="clear" w:color="auto" w:fill="DBDBDB"/>
          </w:tcPr>
          <w:p>
            <w:pPr>
              <w:ind w:left="20"/>
              <w:spacing w:after="0"/>
              <w:rPr>
                <w:sz w:val="20"/>
                <w:szCs w:val="20"/>
                <w:color w:val="auto"/>
              </w:rPr>
            </w:pPr>
            <w:r>
              <w:rPr>
                <w:rFonts w:ascii="Arial" w:cs="Arial" w:eastAsia="Arial" w:hAnsi="Arial"/>
                <w:sz w:val="18"/>
                <w:szCs w:val="18"/>
                <w:color w:val="auto"/>
              </w:rPr>
              <w:t>Effect of exchange rate changes on cash</w:t>
            </w:r>
          </w:p>
        </w:tc>
        <w:tc>
          <w:tcPr>
            <w:tcW w:w="240" w:type="dxa"/>
            <w:vAlign w:val="bottom"/>
            <w:tcBorders>
              <w:bottom w:val="single" w:sz="8" w:color="auto"/>
            </w:tcBorders>
            <w:shd w:val="clear" w:color="auto" w:fill="DBDBDB"/>
          </w:tcPr>
          <w:p>
            <w:pPr>
              <w:spacing w:after="0"/>
              <w:rPr>
                <w:sz w:val="19"/>
                <w:szCs w:val="19"/>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DBDBDB"/>
          </w:tcPr>
          <w:p>
            <w:pPr>
              <w:spacing w:after="0"/>
              <w:rPr>
                <w:sz w:val="19"/>
                <w:szCs w:val="19"/>
                <w:color w:val="auto"/>
              </w:rPr>
            </w:pPr>
          </w:p>
        </w:tc>
        <w:tc>
          <w:tcPr>
            <w:tcW w:w="340" w:type="dxa"/>
            <w:vAlign w:val="bottom"/>
            <w:tcBorders>
              <w:bottom w:val="single" w:sz="8" w:color="auto"/>
            </w:tcBorders>
            <w:shd w:val="clear" w:color="auto" w:fill="DBDBDB"/>
          </w:tcPr>
          <w:p>
            <w:pPr>
              <w:spacing w:after="0"/>
              <w:rPr>
                <w:sz w:val="19"/>
                <w:szCs w:val="19"/>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(19)</w:t>
            </w:r>
          </w:p>
        </w:tc>
      </w:tr>
      <w:tr>
        <w:trPr>
          <w:trHeight w:val="223"/>
        </w:trPr>
        <w:tc>
          <w:tcPr>
            <w:tcW w:w="8120" w:type="dxa"/>
            <w:vAlign w:val="bottom"/>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(3,188)</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4,969</w:t>
            </w:r>
          </w:p>
        </w:tc>
      </w:tr>
      <w:tr>
        <w:trPr>
          <w:trHeight w:val="21"/>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Cash provided by operating activities decreased by $51 million due to an unfavorable impact to working capital of $ 427 million, a net unfavorable impact of changes in assets and liabilities, which resulted in a $183 million use of cash during the nine months ended September 30, 2021, compared to providing cash of $ 135 million during the nine months ended September 30, 2020. The overall change was partially offset by an increase in net income of $694 million.</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Cash used for investing activities increased by $937 million primarily due to $1,334 million in cash paid for acquisitions and $346 million net increase in investments, partially offset by $375 million cash receipt from Garrett Motion Inc. (Garrett), $ 203 million in proceeds from the sale of the retail footwear business, and $163 million increase in cash receipts from settlements of derivative contracts.</w:t>
      </w:r>
    </w:p>
    <w:p>
      <w:pPr>
        <w:spacing w:after="0" w:line="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Cash used for financing activities increased by $7,167 million primarily due to $7,596 million decrease of proceeds from the issuance of long-term debt, $350 million increase in repurchases of common stock, $62 million decrease in the net proceeds from the issuance of commercial paper and other short-term borrowings, and $29 million increase in cash dividends paid. This was partially offset by a $882 million decrease in repayments of long-term debt.</w:t>
      </w:r>
    </w:p>
    <w:p>
      <w:pPr>
        <w:spacing w:after="0" w:line="28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CASH REQUIREMENTS AND ASSESSMENT OF CURRENT LIQUIDITY</w:t>
      </w:r>
    </w:p>
    <w:p>
      <w:pPr>
        <w:spacing w:after="0" w:line="1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to our normal operating cash requirements, our principal future cash requirements will be to fund capital expenditures, share repurchases, dividends, strategic acquisitions and debt repayments. On February 12, 2021, the Board of Directors authorized the repurchase of up to a total of $10 billion of Honeywell common stock, which included amounts remaining under, and replaced, the previously approved share repurchase program. During the nine months ended September 30, 2021, the Company repurchased common stock of $2,499 million. Refer to the section titled Liquidity and Capital Resources of our 2020 Form 10-K for a discussion of our expected capital expenditures, share repurchases and dividends for 2021.</w:t>
      </w:r>
    </w:p>
    <w:p>
      <w:pPr>
        <w:spacing w:after="0" w:line="10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continue to identify opportunities to improve our liquidity and working capital efficiency, which includes the extension of payment terms with our suppliers and sales of our trade receivables to unaffiliated financial institutions without recourse. The impact of these programs are not material to our overall liquidity.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50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53" w:name="page54"/>
    <w:bookmarkEnd w:id="53"/>
    <w:p>
      <w:pPr>
        <w:jc w:val="both"/>
        <w:spacing w:after="0" w:line="253" w:lineRule="auto"/>
        <w:rPr>
          <w:sz w:val="20"/>
          <w:szCs w:val="20"/>
          <w:color w:val="auto"/>
        </w:rPr>
      </w:pPr>
      <w:r>
        <w:rPr>
          <w:rFonts w:ascii="Arial" w:cs="Arial" w:eastAsia="Arial" w:hAnsi="Arial"/>
          <w:sz w:val="18"/>
          <w:szCs w:val="18"/>
          <w:color w:val="auto"/>
        </w:rPr>
        <w:t>We continue to assess the relative strength of each business in our portfolio as to strategic fit, market position, profit and cash flow contribution in order to identify target investment and acquisition opportunities in order to upgrade our combined portfolio. We identify acquisition candidates that will further our strategic plan and strengthen our existing core businesses. We also identify businesses that do not fit into our long-term strategic plan based on their market position, relative profitability or growth potential. These businesses are considered for potential divestiture, restructuring or other repositioning actions, subject to regulatory constraints.</w:t>
      </w:r>
    </w:p>
    <w:p>
      <w:pPr>
        <w:spacing w:after="0" w:line="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Based on past performance and current expectations, we believe that our operating cash flows will be sufficient to meet our future operating cash needs. Our available cash, committed credit lines and access to the public debt and equity markets provide additional sources of short-term and long-term liquidity to fund current operations, debt maturities, and future investment opportunities.</w:t>
      </w:r>
    </w:p>
    <w:p>
      <w:pPr>
        <w:spacing w:after="0" w:line="9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See Note 9 Long-term Debt and Credit Agreements of Notes to Consolidated Financial Statements for additional discussion of items impacting our liquidity.</w:t>
      </w:r>
    </w:p>
    <w:p>
      <w:pPr>
        <w:spacing w:after="0" w:line="276" w:lineRule="exact"/>
        <w:rPr>
          <w:sz w:val="20"/>
          <w:szCs w:val="20"/>
          <w:color w:val="auto"/>
        </w:rPr>
      </w:pPr>
    </w:p>
    <w:p>
      <w:pPr>
        <w:spacing w:after="0"/>
        <w:rPr>
          <w:sz w:val="20"/>
          <w:szCs w:val="20"/>
          <w:color w:val="auto"/>
        </w:rPr>
      </w:pPr>
      <w:r>
        <w:rPr>
          <w:rFonts w:ascii="Arial" w:cs="Arial" w:eastAsia="Arial" w:hAnsi="Arial"/>
          <w:sz w:val="25"/>
          <w:szCs w:val="25"/>
          <w:b w:val="1"/>
          <w:bCs w:val="1"/>
          <w:color w:val="DC202E"/>
        </w:rPr>
        <w:t>OTHER MATTERS</w:t>
      </w:r>
    </w:p>
    <w:p>
      <w:pPr>
        <w:spacing w:after="0" w:line="22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LITIGATION</w:t>
      </w:r>
    </w:p>
    <w:p>
      <w:pPr>
        <w:spacing w:after="0" w:line="1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subject to a number of lawsuits, investigations and claims (some of which involve substantial amounts) arising out of the conduct of our business. See Note 15 Commitments and Contingencies of Notes to Consolidated Financial Statements for further discussion of environmental, asbestos and other litigation matters.</w:t>
      </w:r>
    </w:p>
    <w:p>
      <w:pPr>
        <w:spacing w:after="0" w:line="28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CRITICAL ACCOUNTING ESTIMATES</w:t>
      </w:r>
    </w:p>
    <w:p>
      <w:pPr>
        <w:spacing w:after="0" w:line="147" w:lineRule="exact"/>
        <w:rPr>
          <w:sz w:val="20"/>
          <w:szCs w:val="20"/>
          <w:color w:val="auto"/>
        </w:rPr>
      </w:pPr>
    </w:p>
    <w:p>
      <w:pPr>
        <w:jc w:val="both"/>
        <w:spacing w:after="0"/>
        <w:rPr>
          <w:sz w:val="20"/>
          <w:szCs w:val="20"/>
          <w:color w:val="auto"/>
        </w:rPr>
      </w:pPr>
      <w:r>
        <w:rPr>
          <w:rFonts w:ascii="Arial" w:cs="Arial" w:eastAsia="Arial" w:hAnsi="Arial"/>
          <w:sz w:val="18"/>
          <w:szCs w:val="18"/>
          <w:color w:val="auto"/>
        </w:rPr>
        <w:t>Other than as noted below, there have been no material changes to our Critical Accounting Estimates presented in our 2020 Annual Report on Form 10-K. For a discussion of the Company’s Critical Accounting Estimates, see the section titled Critical Accounting Estimates in our 2020 Annual Report on Form 10-K.</w:t>
      </w:r>
    </w:p>
    <w:p>
      <w:pPr>
        <w:spacing w:after="0" w:line="9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April 26, 2021, the United States Bankruptcy Court for the Southern District of New York (the Bankruptcy Court) confirmed Garrett's amended Chapter 11 plan of reorganization (the Confirmed Plan) and on April 30, 2021, Garrett emerged from bankruptcy. In accordance with Garrett’s emergence from bankruptcy and the Confirmed Plan, the Company received from Garrett an initial payment of $375 million and 834.8 million shares of Series B Preferred Stock in full satisfaction of our indemnification and reimbursement agreement and tax matters agreement. As a result, we updated our Critical Accounting Estimate for Reimbursement Receivables to exclude receivable amounts from Garrett which were satisfied in full. See Note 15 Commitments and Contingencies of Notes to the Consolidated Financial Statements for further discussion on Garrett.</w:t>
      </w:r>
    </w:p>
    <w:p>
      <w:pPr>
        <w:spacing w:after="0" w:line="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Reimbursement Receivables</w:t>
      </w:r>
      <w:r>
        <w:rPr>
          <w:rFonts w:ascii="Arial" w:cs="Arial" w:eastAsia="Arial" w:hAnsi="Arial"/>
          <w:sz w:val="18"/>
          <w:szCs w:val="18"/>
          <w:color w:val="auto"/>
        </w:rPr>
        <w:t>—In conjunction with the Resideo Technologies, Inc. (Resideo) spin-off, the Company entered into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reimbursement agreement under which Honeywell receives cash payments as reimbursement primarily related to net spending for environmental matters at certain sites as defined in the reimbursement agreement. Accordingly, the Company recorded receivables based on estimates of the underlying reimbursable Honeywell environmental spend, and we monitor the recoverability of such receivables, which are subject to the terms of applicable credit agreements and general ability to pay.</w:t>
      </w:r>
    </w:p>
    <w:p>
      <w:pPr>
        <w:spacing w:after="0" w:line="28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RECENT ACCOUNTING PRONOUNCEMENTS</w:t>
      </w:r>
    </w:p>
    <w:p>
      <w:pPr>
        <w:spacing w:after="0" w:line="14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See Note 2 Summary of Significant Accounting Policies of Notes to Consolidated Financial Statements for a discussion of recent accounting pronouncements.</w:t>
      </w:r>
    </w:p>
    <w:p>
      <w:pPr>
        <w:spacing w:after="0" w:line="267" w:lineRule="exact"/>
        <w:rPr>
          <w:sz w:val="20"/>
          <w:szCs w:val="20"/>
          <w:color w:val="auto"/>
        </w:rPr>
      </w:pPr>
    </w:p>
    <w:p>
      <w:pPr>
        <w:ind w:right="820"/>
        <w:spacing w:after="0" w:line="278" w:lineRule="auto"/>
        <w:rPr>
          <w:sz w:val="20"/>
          <w:szCs w:val="20"/>
          <w:color w:val="auto"/>
        </w:rPr>
      </w:pPr>
      <w:r>
        <w:rPr>
          <w:rFonts w:ascii="Arial" w:cs="Arial" w:eastAsia="Arial" w:hAnsi="Arial"/>
          <w:sz w:val="29"/>
          <w:szCs w:val="29"/>
          <w:b w:val="1"/>
          <w:bCs w:val="1"/>
          <w:color w:val="DC202E"/>
        </w:rPr>
        <w:t>ITEM 3. QUANTITATIVE AND QUALITATIVE DISCLOSURES ABOUT MARKET RISKS</w:t>
      </w:r>
    </w:p>
    <w:p>
      <w:pPr>
        <w:spacing w:after="0" w:line="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a discussion of the Company’s quantitative and qualitative disclosures about market risks, see the section titled Quantitative and Qualitative Disclosures About Market Risks in our 2020 Annual Report on Form 10-K. As of September 30, 2021, there has been no material change in this information.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51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54" w:name="page55"/>
    <w:bookmarkEnd w:id="54"/>
    <w:p>
      <w:pPr>
        <w:spacing w:after="0"/>
        <w:rPr>
          <w:sz w:val="20"/>
          <w:szCs w:val="20"/>
          <w:color w:val="auto"/>
        </w:rPr>
      </w:pPr>
      <w:r>
        <w:rPr>
          <w:rFonts w:ascii="Arial" w:cs="Arial" w:eastAsia="Arial" w:hAnsi="Arial"/>
          <w:sz w:val="29"/>
          <w:szCs w:val="29"/>
          <w:b w:val="1"/>
          <w:bCs w:val="1"/>
          <w:color w:val="DC202E"/>
        </w:rPr>
        <w:t>ITEM 4. CONTROLS AND PROCEDURES</w:t>
      </w:r>
    </w:p>
    <w:p>
      <w:pPr>
        <w:spacing w:after="0" w:line="15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Honeywell management, including the Chief Executive Officer and Chief Financial Officer, conducted an evaluation of the effectiveness of our disclosure controls and procedures (as defined in Rules 13a-15(e) or 15d-15(e) promulgated under the Securities Exchange Act of 1934, as amended (Exchange Act)) as of the end of the period covered by this Quarterly Report on Form 10-Q. Based upon that evaluation, the Chief Executive Officer and the Chief Financial Officer concluded that such disclosure controls and procedures were effective as of the end of the period covered by this Quarterly Report on Form 10-Q to ensure information required to be disclosed in the reports that Honeywell files or submits under the Exchange Act is recorded, processed, summarized, and reported within the time periods specified in the Securities and Exchange Commission's rules and forms, and that it is accumulated and communicated to our management, including our Chief Executive Officer, our Chief Financial Officer, and our Controller, as appropriate, to allow timely decisions regarding required disclosure. There were no changes that materially affected, or are reasonably likely to materially affect, Honeywell’s internal control over financial reporting that occurred during the period covered by this Quarterly Report on Form 10-Q.</w:t>
      </w:r>
    </w:p>
    <w:p>
      <w:pPr>
        <w:spacing w:after="0" w:line="280" w:lineRule="exact"/>
        <w:rPr>
          <w:sz w:val="20"/>
          <w:szCs w:val="20"/>
          <w:color w:val="auto"/>
        </w:rPr>
      </w:pPr>
    </w:p>
    <w:p>
      <w:pPr>
        <w:spacing w:after="0"/>
        <w:rPr>
          <w:sz w:val="20"/>
          <w:szCs w:val="20"/>
          <w:color w:val="auto"/>
        </w:rPr>
      </w:pPr>
      <w:r>
        <w:rPr>
          <w:rFonts w:ascii="Arial" w:cs="Arial" w:eastAsia="Arial" w:hAnsi="Arial"/>
          <w:sz w:val="29"/>
          <w:szCs w:val="29"/>
          <w:b w:val="1"/>
          <w:bCs w:val="1"/>
          <w:color w:val="DC202E"/>
        </w:rPr>
        <w:t>PART II. OTHER INFORMATION</w:t>
      </w:r>
    </w:p>
    <w:p>
      <w:pPr>
        <w:spacing w:after="0" w:line="23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 LEGAL PROCEEDINGS</w:t>
      </w:r>
    </w:p>
    <w:p>
      <w:pPr>
        <w:spacing w:after="0" w:line="147" w:lineRule="exact"/>
        <w:rPr>
          <w:sz w:val="20"/>
          <w:szCs w:val="20"/>
          <w:color w:val="auto"/>
        </w:rPr>
      </w:pPr>
    </w:p>
    <w:p>
      <w:pPr>
        <w:jc w:val="both"/>
        <w:spacing w:after="0" w:line="256" w:lineRule="auto"/>
        <w:rPr>
          <w:rFonts w:ascii="Arial" w:cs="Arial" w:eastAsia="Arial" w:hAnsi="Arial"/>
          <w:sz w:val="18"/>
          <w:szCs w:val="18"/>
          <w:color w:val="auto"/>
        </w:rPr>
      </w:pPr>
      <w:r>
        <w:rPr>
          <w:rFonts w:ascii="Arial" w:cs="Arial" w:eastAsia="Arial" w:hAnsi="Arial"/>
          <w:sz w:val="18"/>
          <w:szCs w:val="18"/>
          <w:color w:val="auto"/>
        </w:rPr>
        <w:t xml:space="preserve">We are subject to a number of lawsuits, investigations and claims (some of which involve substantial amounts) arising out of the conduct of our business. See </w:t>
      </w:r>
      <w:hyperlink w:anchor="page26">
        <w:r>
          <w:rPr>
            <w:rFonts w:ascii="Arial" w:cs="Arial" w:eastAsia="Arial" w:hAnsi="Arial"/>
            <w:sz w:val="18"/>
            <w:szCs w:val="18"/>
            <w:u w:val="single" w:color="auto"/>
            <w:color w:val="0000FF"/>
          </w:rPr>
          <w:t>Note 15 Commitments and Contingencies of Notes to Consolidated Financial Statements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a discussion of environmental, asbestos and other litigation matters.</w:t>
      </w:r>
    </w:p>
    <w:p>
      <w:pPr>
        <w:spacing w:after="0" w:line="9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There were no matters requiring disclosure pursuant to the requirement to disclose certain environmental matters involving potential monetary sanctions in excess of $300,000.</w:t>
      </w:r>
    </w:p>
    <w:p>
      <w:pPr>
        <w:spacing w:after="0" w:line="27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1A. RISK FACTORS</w:t>
      </w:r>
    </w:p>
    <w:p>
      <w:pPr>
        <w:spacing w:after="0" w:line="1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Other than as noted below, there have been no material changes to our Risk Factors presented in our 2020 Annual Report on Form 10-K under the section titled Risk Factors. For further discussion of our Risk Factors, refer to the section titled Risk Factors in our 2020 Annual Report on Form 10-K.</w:t>
      </w:r>
    </w:p>
    <w:p>
      <w:pPr>
        <w:spacing w:after="0" w:line="28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DC202E"/>
        </w:rPr>
        <w:t>The U.S. presidential executive order concerning mandatory COVID-19 vaccination of U.S.-based employees of companies that work on or in support of federal contracts could have a material adverse impact on our business and results of operations.</w:t>
      </w:r>
    </w:p>
    <w:p>
      <w:pPr>
        <w:spacing w:after="0" w:line="6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September 9, 2021, President Biden issued an executive order requiring all employers with U.S. Government contracts to ensure that their U.S.-based employees, contractors, and subcontractors, that work on or in support of U.S. Government contracts, are fully vaccinated by December 8, 2021. The executive order includes on-site and remote U.S.-based employees, contractors and subcontractors and it only permits limited exceptions for medical and religious reasons.</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on September 9, 2021, President Biden announced that he has directed OSHA to develop an ETS mandating either the full vaccination or weekly testing of employees for employers with 100 or more employees. OSHA has not issued the ETS nor provided any additional information on its contents or requirements.</w:t>
      </w: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It is currently not possible to predict with certainty the impact the executive order or OSHA ETS will have on our workforce. As a U.S. Government contractor, we are requiring all U.S. based employees, contractors and subcontractors that service or support our U.S. Government contracts to be fully vaccinated by December 8, 2021. Employees who are not subject to this requirement and who are not fully vaccinated may be subject to the ETS that will require them to get a COVID-19 test at least once a week. Additional vaccine mandates may be announced in jurisdictions in which our businesses operate. Our implementation of these requirements may result in attrition, including attrition of critically skilled labor, and difficulty securing future labor needs, which could have a material adverse effect on our business, financial condition, and results of operations.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52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3"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i w:val="1"/>
          <w:iCs w:val="1"/>
          <w:color w:val="DC202E"/>
        </w:rPr>
        <w:t>Garrett Emergence from Bankruptcy</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April 26, 2021, the Bankruptcy Court confirmed Garrett's amended Chapter 11 plan of reorganization and on April 30, 2021, Garrett emerged from bankruptcy. As such, the risk factor discussing Garrett and the potential outcome of Garrett's bankruptcy proceedings as disclosed in our 2020 Annual Report on Form 10-K under the section titled Risk Factors was no longer a risk as of June 30, 2021. See Note 15 Commitments and Contingencies of Notes to the Consolidated Financial Statements for further discussion on Garrett.</w:t>
      </w:r>
    </w:p>
    <w:p>
      <w:pPr>
        <w:spacing w:after="0" w:line="28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2. UNREGISTERED SALES OF EQUITY SECURITIES AND USE OF PROCEEDS</w:t>
      </w:r>
    </w:p>
    <w:p>
      <w:pPr>
        <w:spacing w:after="0" w:line="1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Honeywell purchased 2,910,464 shares of its common stock, par value $1 per share, in the quarter ended September 30, 2021. On February 12, 2021, the Board of Directors authorized the repurchase of up to a total of $10 billion of Honeywell common stock, which included approximately $2.8 billion remaining under, and replaced, the previously approved share repurchase program, which was approved in April 2019, and authorized repurchases of up to $10 billion.</w:t>
      </w:r>
    </w:p>
    <w:p>
      <w:pPr>
        <w:spacing w:after="0" w:line="9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Repurchases may be made through a variety of methods, which could include open market purchases, accelerated share repurchase transactions, negotiated block transactions, 10b5-1 plans, other transactions that may be structured through investment banking institutions or privately negotiated, or a combination of the foregoing. Honeywell presently expects to repurchase outstanding shares from time to time (i) to offset the dilutive impact of employee stock-based compensation plans, including option exercises, restricted unit vesting and matching contributions under our savings plans, and (ii) to reduce share count via share repurchases as and when attractive opportunities arise. The amount and timing of future repurchases may vary depending on market conditions and the level of operating, financing and other investing activities.</w:t>
      </w:r>
    </w:p>
    <w:p>
      <w:pPr>
        <w:spacing w:after="0" w:line="9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of September 30, 2021, $ 8.0 billion remained available for additional share repurchases. The following table summarizes Honeywell’s purchase of its common stock for the quarter ended September 30, 2021:</w:t>
      </w:r>
    </w:p>
    <w:p>
      <w:pPr>
        <w:spacing w:after="0" w:line="118"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Issuer Purchases of Equity Securities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300" w:type="dxa"/>
            <w:vAlign w:val="bottom"/>
            <w:tcBorders>
              <w:top w:val="single" w:sz="8" w:color="DC202E"/>
            </w:tcBorders>
          </w:tcPr>
          <w:p>
            <w:pPr>
              <w:spacing w:after="0"/>
              <w:rPr>
                <w:sz w:val="13"/>
                <w:szCs w:val="13"/>
                <w:color w:val="auto"/>
              </w:rPr>
            </w:pPr>
          </w:p>
        </w:tc>
        <w:tc>
          <w:tcPr>
            <w:tcW w:w="2600" w:type="dxa"/>
            <w:vAlign w:val="bottom"/>
            <w:tcBorders>
              <w:top w:val="single" w:sz="8" w:color="DC202E"/>
            </w:tcBorders>
          </w:tcPr>
          <w:p>
            <w:pPr>
              <w:spacing w:after="0"/>
              <w:rPr>
                <w:sz w:val="13"/>
                <w:szCs w:val="13"/>
                <w:color w:val="auto"/>
              </w:rPr>
            </w:pPr>
          </w:p>
        </w:tc>
        <w:tc>
          <w:tcPr>
            <w:tcW w:w="100" w:type="dxa"/>
            <w:vAlign w:val="bottom"/>
            <w:tcBorders>
              <w:top w:val="single" w:sz="8" w:color="DC202E"/>
            </w:tcBorders>
          </w:tcPr>
          <w:p>
            <w:pPr>
              <w:spacing w:after="0"/>
              <w:rPr>
                <w:sz w:val="13"/>
                <w:szCs w:val="13"/>
                <w:color w:val="auto"/>
              </w:rPr>
            </w:pPr>
          </w:p>
        </w:tc>
        <w:tc>
          <w:tcPr>
            <w:tcW w:w="140" w:type="dxa"/>
            <w:vAlign w:val="bottom"/>
            <w:tcBorders>
              <w:top w:val="single" w:sz="8" w:color="DC202E"/>
            </w:tcBorders>
          </w:tcPr>
          <w:p>
            <w:pPr>
              <w:spacing w:after="0"/>
              <w:rPr>
                <w:sz w:val="13"/>
                <w:szCs w:val="13"/>
                <w:color w:val="auto"/>
              </w:rPr>
            </w:pPr>
          </w:p>
        </w:tc>
        <w:tc>
          <w:tcPr>
            <w:tcW w:w="1180" w:type="dxa"/>
            <w:vAlign w:val="bottom"/>
            <w:tcBorders>
              <w:top w:val="single" w:sz="8" w:color="DC202E"/>
            </w:tcBorders>
          </w:tcPr>
          <w:p>
            <w:pPr>
              <w:spacing w:after="0"/>
              <w:rPr>
                <w:sz w:val="13"/>
                <w:szCs w:val="13"/>
                <w:color w:val="auto"/>
              </w:rPr>
            </w:pPr>
          </w:p>
        </w:tc>
        <w:tc>
          <w:tcPr>
            <w:tcW w:w="120" w:type="dxa"/>
            <w:vAlign w:val="bottom"/>
            <w:tcBorders>
              <w:top w:val="single" w:sz="8" w:color="DC202E"/>
            </w:tcBorders>
          </w:tcPr>
          <w:p>
            <w:pPr>
              <w:spacing w:after="0"/>
              <w:rPr>
                <w:sz w:val="13"/>
                <w:szCs w:val="13"/>
                <w:color w:val="auto"/>
              </w:rPr>
            </w:pPr>
          </w:p>
        </w:tc>
        <w:tc>
          <w:tcPr>
            <w:tcW w:w="1320" w:type="dxa"/>
            <w:vAlign w:val="bottom"/>
            <w:tcBorders>
              <w:top w:val="single" w:sz="8" w:color="DC202E"/>
            </w:tcBorders>
          </w:tcPr>
          <w:p>
            <w:pPr>
              <w:spacing w:after="0"/>
              <w:rPr>
                <w:sz w:val="13"/>
                <w:szCs w:val="13"/>
                <w:color w:val="auto"/>
              </w:rPr>
            </w:pPr>
          </w:p>
        </w:tc>
        <w:tc>
          <w:tcPr>
            <w:tcW w:w="100" w:type="dxa"/>
            <w:vAlign w:val="bottom"/>
            <w:tcBorders>
              <w:top w:val="single" w:sz="8" w:color="DC202E"/>
            </w:tcBorders>
          </w:tcPr>
          <w:p>
            <w:pPr>
              <w:spacing w:after="0"/>
              <w:rPr>
                <w:sz w:val="13"/>
                <w:szCs w:val="13"/>
                <w:color w:val="auto"/>
              </w:rPr>
            </w:pPr>
          </w:p>
        </w:tc>
        <w:tc>
          <w:tcPr>
            <w:tcW w:w="120" w:type="dxa"/>
            <w:vAlign w:val="bottom"/>
            <w:tcBorders>
              <w:top w:val="single" w:sz="8" w:color="DC202E"/>
            </w:tcBorders>
          </w:tcPr>
          <w:p>
            <w:pPr>
              <w:spacing w:after="0"/>
              <w:rPr>
                <w:sz w:val="13"/>
                <w:szCs w:val="13"/>
                <w:color w:val="auto"/>
              </w:rPr>
            </w:pPr>
          </w:p>
        </w:tc>
        <w:tc>
          <w:tcPr>
            <w:tcW w:w="1220" w:type="dxa"/>
            <w:vAlign w:val="bottom"/>
            <w:tcBorders>
              <w:top w:val="single" w:sz="8" w:color="DC202E"/>
            </w:tcBorders>
          </w:tcPr>
          <w:p>
            <w:pPr>
              <w:jc w:val="center"/>
              <w:ind w:right="21"/>
              <w:spacing w:after="0" w:line="155" w:lineRule="exact"/>
              <w:rPr>
                <w:sz w:val="20"/>
                <w:szCs w:val="20"/>
                <w:color w:val="auto"/>
              </w:rPr>
            </w:pPr>
            <w:r>
              <w:rPr>
                <w:rFonts w:ascii="Arial" w:cs="Arial" w:eastAsia="Arial" w:hAnsi="Arial"/>
                <w:sz w:val="14"/>
                <w:szCs w:val="14"/>
                <w:b w:val="1"/>
                <w:bCs w:val="1"/>
                <w:color w:val="auto"/>
              </w:rPr>
              <w:t>Approximate</w:t>
            </w:r>
          </w:p>
        </w:tc>
        <w:tc>
          <w:tcPr>
            <w:tcW w:w="0" w:type="dxa"/>
            <w:vAlign w:val="bottom"/>
          </w:tcPr>
          <w:p>
            <w:pPr>
              <w:spacing w:after="0"/>
              <w:rPr>
                <w:sz w:val="1"/>
                <w:szCs w:val="1"/>
                <w:color w:val="auto"/>
              </w:rPr>
            </w:pPr>
          </w:p>
        </w:tc>
      </w:tr>
      <w:tr>
        <w:trPr>
          <w:trHeight w:val="135"/>
        </w:trPr>
        <w:tc>
          <w:tcPr>
            <w:tcW w:w="430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1"/>
                <w:szCs w:val="11"/>
                <w:color w:val="auto"/>
              </w:rPr>
            </w:pPr>
          </w:p>
        </w:tc>
        <w:tc>
          <w:tcPr>
            <w:tcW w:w="1220" w:type="dxa"/>
            <w:vAlign w:val="bottom"/>
          </w:tcPr>
          <w:p>
            <w:pPr>
              <w:jc w:val="center"/>
              <w:ind w:right="21"/>
              <w:spacing w:after="0" w:line="135" w:lineRule="exact"/>
              <w:rPr>
                <w:sz w:val="20"/>
                <w:szCs w:val="20"/>
                <w:color w:val="auto"/>
              </w:rPr>
            </w:pPr>
            <w:r>
              <w:rPr>
                <w:rFonts w:ascii="Arial" w:cs="Arial" w:eastAsia="Arial" w:hAnsi="Arial"/>
                <w:sz w:val="14"/>
                <w:szCs w:val="14"/>
                <w:b w:val="1"/>
                <w:bCs w:val="1"/>
                <w:color w:val="auto"/>
              </w:rPr>
              <w:t>Dollar Value of</w:t>
            </w:r>
          </w:p>
        </w:tc>
        <w:tc>
          <w:tcPr>
            <w:tcW w:w="0" w:type="dxa"/>
            <w:vAlign w:val="bottom"/>
          </w:tcPr>
          <w:p>
            <w:pPr>
              <w:spacing w:after="0"/>
              <w:rPr>
                <w:sz w:val="1"/>
                <w:szCs w:val="1"/>
                <w:color w:val="auto"/>
              </w:rPr>
            </w:pPr>
          </w:p>
        </w:tc>
      </w:tr>
      <w:tr>
        <w:trPr>
          <w:trHeight w:val="135"/>
        </w:trPr>
        <w:tc>
          <w:tcPr>
            <w:tcW w:w="430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jc w:val="center"/>
              <w:ind w:right="41"/>
              <w:spacing w:after="0" w:line="135" w:lineRule="exact"/>
              <w:rPr>
                <w:sz w:val="20"/>
                <w:szCs w:val="20"/>
                <w:color w:val="auto"/>
              </w:rPr>
            </w:pPr>
            <w:r>
              <w:rPr>
                <w:rFonts w:ascii="Arial" w:cs="Arial" w:eastAsia="Arial" w:hAnsi="Arial"/>
                <w:sz w:val="14"/>
                <w:szCs w:val="14"/>
                <w:b w:val="1"/>
                <w:bCs w:val="1"/>
                <w:color w:val="auto"/>
              </w:rPr>
              <w:t>Shares that May</w:t>
            </w:r>
          </w:p>
        </w:tc>
        <w:tc>
          <w:tcPr>
            <w:tcW w:w="0" w:type="dxa"/>
            <w:vAlign w:val="bottom"/>
          </w:tcPr>
          <w:p>
            <w:pPr>
              <w:spacing w:after="0"/>
              <w:rPr>
                <w:sz w:val="1"/>
                <w:szCs w:val="1"/>
                <w:color w:val="auto"/>
              </w:rPr>
            </w:pPr>
          </w:p>
        </w:tc>
      </w:tr>
      <w:tr>
        <w:trPr>
          <w:trHeight w:val="135"/>
        </w:trPr>
        <w:tc>
          <w:tcPr>
            <w:tcW w:w="430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Shares Purchased</w:t>
            </w:r>
          </w:p>
        </w:tc>
        <w:tc>
          <w:tcPr>
            <w:tcW w:w="13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Yet be Purchased</w:t>
            </w:r>
          </w:p>
        </w:tc>
        <w:tc>
          <w:tcPr>
            <w:tcW w:w="0" w:type="dxa"/>
            <w:vAlign w:val="bottom"/>
          </w:tcPr>
          <w:p>
            <w:pPr>
              <w:spacing w:after="0"/>
              <w:rPr>
                <w:sz w:val="1"/>
                <w:szCs w:val="1"/>
                <w:color w:val="auto"/>
              </w:rPr>
            </w:pPr>
          </w:p>
        </w:tc>
      </w:tr>
      <w:tr>
        <w:trPr>
          <w:trHeight w:val="135"/>
        </w:trPr>
        <w:tc>
          <w:tcPr>
            <w:tcW w:w="4300" w:type="dxa"/>
            <w:vAlign w:val="bottom"/>
          </w:tcPr>
          <w:p>
            <w:pPr>
              <w:spacing w:after="0"/>
              <w:rPr>
                <w:sz w:val="11"/>
                <w:szCs w:val="11"/>
                <w:color w:val="auto"/>
              </w:rPr>
            </w:pPr>
          </w:p>
        </w:tc>
        <w:tc>
          <w:tcPr>
            <w:tcW w:w="2700" w:type="dxa"/>
            <w:vAlign w:val="bottom"/>
            <w:gridSpan w:val="2"/>
            <w:vMerge w:val="restart"/>
          </w:tcPr>
          <w:p>
            <w:pPr>
              <w:jc w:val="center"/>
              <w:ind w:left="1077"/>
              <w:spacing w:after="0"/>
              <w:rPr>
                <w:sz w:val="20"/>
                <w:szCs w:val="20"/>
                <w:color w:val="auto"/>
              </w:rPr>
            </w:pPr>
            <w:r>
              <w:rPr>
                <w:rFonts w:ascii="Arial" w:cs="Arial" w:eastAsia="Arial" w:hAnsi="Arial"/>
                <w:sz w:val="14"/>
                <w:szCs w:val="14"/>
                <w:b w:val="1"/>
                <w:bCs w:val="1"/>
                <w:color w:val="auto"/>
              </w:rPr>
              <w:t>Total Number of</w:t>
            </w:r>
          </w:p>
        </w:tc>
        <w:tc>
          <w:tcPr>
            <w:tcW w:w="140" w:type="dxa"/>
            <w:vAlign w:val="bottom"/>
          </w:tcPr>
          <w:p>
            <w:pPr>
              <w:spacing w:after="0"/>
              <w:rPr>
                <w:sz w:val="11"/>
                <w:szCs w:val="11"/>
                <w:color w:val="auto"/>
              </w:rPr>
            </w:pPr>
          </w:p>
        </w:tc>
        <w:tc>
          <w:tcPr>
            <w:tcW w:w="13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Average Price</w:t>
            </w:r>
          </w:p>
        </w:tc>
        <w:tc>
          <w:tcPr>
            <w:tcW w:w="14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as Part of Publicly</w:t>
            </w:r>
          </w:p>
        </w:tc>
        <w:tc>
          <w:tcPr>
            <w:tcW w:w="120" w:type="dxa"/>
            <w:vAlign w:val="bottom"/>
          </w:tcPr>
          <w:p>
            <w:pPr>
              <w:spacing w:after="0"/>
              <w:rPr>
                <w:sz w:val="11"/>
                <w:szCs w:val="11"/>
                <w:color w:val="auto"/>
              </w:rPr>
            </w:pPr>
          </w:p>
        </w:tc>
        <w:tc>
          <w:tcPr>
            <w:tcW w:w="1220" w:type="dxa"/>
            <w:vAlign w:val="bottom"/>
          </w:tcPr>
          <w:p>
            <w:pPr>
              <w:jc w:val="center"/>
              <w:ind w:right="41"/>
              <w:spacing w:after="0" w:line="135" w:lineRule="exact"/>
              <w:rPr>
                <w:sz w:val="20"/>
                <w:szCs w:val="20"/>
                <w:color w:val="auto"/>
              </w:rPr>
            </w:pPr>
            <w:r>
              <w:rPr>
                <w:rFonts w:ascii="Arial" w:cs="Arial" w:eastAsia="Arial" w:hAnsi="Arial"/>
                <w:sz w:val="14"/>
                <w:szCs w:val="14"/>
                <w:b w:val="1"/>
                <w:bCs w:val="1"/>
                <w:color w:val="auto"/>
              </w:rPr>
              <w:t>Under Plans or</w:t>
            </w:r>
          </w:p>
        </w:tc>
        <w:tc>
          <w:tcPr>
            <w:tcW w:w="0" w:type="dxa"/>
            <w:vAlign w:val="bottom"/>
          </w:tcPr>
          <w:p>
            <w:pPr>
              <w:spacing w:after="0"/>
              <w:rPr>
                <w:sz w:val="1"/>
                <w:szCs w:val="1"/>
                <w:color w:val="auto"/>
              </w:rPr>
            </w:pPr>
          </w:p>
        </w:tc>
      </w:tr>
      <w:tr>
        <w:trPr>
          <w:trHeight w:val="135"/>
        </w:trPr>
        <w:tc>
          <w:tcPr>
            <w:tcW w:w="4300" w:type="dxa"/>
            <w:vAlign w:val="bottom"/>
            <w:vMerge w:val="restart"/>
          </w:tcPr>
          <w:p>
            <w:pPr>
              <w:ind w:left="2560"/>
              <w:spacing w:after="0"/>
              <w:rPr>
                <w:sz w:val="20"/>
                <w:szCs w:val="20"/>
                <w:color w:val="auto"/>
              </w:rPr>
            </w:pPr>
            <w:r>
              <w:rPr>
                <w:rFonts w:ascii="Arial" w:cs="Arial" w:eastAsia="Arial" w:hAnsi="Arial"/>
                <w:sz w:val="14"/>
                <w:szCs w:val="14"/>
                <w:b w:val="1"/>
                <w:bCs w:val="1"/>
                <w:color w:val="auto"/>
              </w:rPr>
              <w:t>Period</w:t>
            </w:r>
          </w:p>
        </w:tc>
        <w:tc>
          <w:tcPr>
            <w:tcW w:w="27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4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Announced Plans</w:t>
            </w:r>
          </w:p>
        </w:tc>
        <w:tc>
          <w:tcPr>
            <w:tcW w:w="13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Programs (Dollars</w:t>
            </w:r>
          </w:p>
        </w:tc>
        <w:tc>
          <w:tcPr>
            <w:tcW w:w="0" w:type="dxa"/>
            <w:vAlign w:val="bottom"/>
          </w:tcPr>
          <w:p>
            <w:pPr>
              <w:spacing w:after="0"/>
              <w:rPr>
                <w:sz w:val="1"/>
                <w:szCs w:val="1"/>
                <w:color w:val="auto"/>
              </w:rPr>
            </w:pPr>
          </w:p>
        </w:tc>
      </w:tr>
      <w:tr>
        <w:trPr>
          <w:trHeight w:val="183"/>
        </w:trPr>
        <w:tc>
          <w:tcPr>
            <w:tcW w:w="4300" w:type="dxa"/>
            <w:vAlign w:val="bottom"/>
            <w:vMerge w:val="continue"/>
          </w:tcPr>
          <w:p>
            <w:pPr>
              <w:spacing w:after="0"/>
              <w:rPr>
                <w:sz w:val="15"/>
                <w:szCs w:val="15"/>
                <w:color w:val="auto"/>
              </w:rPr>
            </w:pPr>
          </w:p>
        </w:tc>
        <w:tc>
          <w:tcPr>
            <w:tcW w:w="2700" w:type="dxa"/>
            <w:vAlign w:val="bottom"/>
            <w:gridSpan w:val="2"/>
          </w:tcPr>
          <w:p>
            <w:pPr>
              <w:jc w:val="center"/>
              <w:ind w:left="1077"/>
              <w:spacing w:after="0"/>
              <w:rPr>
                <w:sz w:val="20"/>
                <w:szCs w:val="20"/>
                <w:color w:val="auto"/>
              </w:rPr>
            </w:pPr>
            <w:r>
              <w:rPr>
                <w:rFonts w:ascii="Arial" w:cs="Arial" w:eastAsia="Arial" w:hAnsi="Arial"/>
                <w:sz w:val="14"/>
                <w:szCs w:val="14"/>
                <w:b w:val="1"/>
                <w:bCs w:val="1"/>
                <w:color w:val="auto"/>
              </w:rPr>
              <w:t>Shares Purchased</w:t>
            </w:r>
          </w:p>
        </w:tc>
        <w:tc>
          <w:tcPr>
            <w:tcW w:w="140" w:type="dxa"/>
            <w:vAlign w:val="bottom"/>
          </w:tcPr>
          <w:p>
            <w:pPr>
              <w:spacing w:after="0"/>
              <w:rPr>
                <w:sz w:val="15"/>
                <w:szCs w:val="15"/>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Paid per Share</w:t>
            </w: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or Programs</w:t>
            </w:r>
          </w:p>
        </w:tc>
        <w:tc>
          <w:tcPr>
            <w:tcW w:w="120" w:type="dxa"/>
            <w:vAlign w:val="bottom"/>
          </w:tcPr>
          <w:p>
            <w:pPr>
              <w:spacing w:after="0"/>
              <w:rPr>
                <w:sz w:val="15"/>
                <w:szCs w:val="15"/>
                <w:color w:val="auto"/>
              </w:rPr>
            </w:pPr>
          </w:p>
        </w:tc>
        <w:tc>
          <w:tcPr>
            <w:tcW w:w="1220" w:type="dxa"/>
            <w:vAlign w:val="bottom"/>
          </w:tcPr>
          <w:p>
            <w:pPr>
              <w:jc w:val="center"/>
              <w:ind w:right="21"/>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30"/>
        </w:trPr>
        <w:tc>
          <w:tcPr>
            <w:tcW w:w="4300" w:type="dxa"/>
            <w:vAlign w:val="bottom"/>
            <w:tcBorders>
              <w:top w:val="single" w:sz="8" w:color="DC202E"/>
            </w:tcBorders>
            <w:shd w:val="clear" w:color="auto" w:fill="DBDBDB"/>
          </w:tcPr>
          <w:p>
            <w:pPr>
              <w:ind w:left="20"/>
              <w:spacing w:after="0"/>
              <w:rPr>
                <w:sz w:val="20"/>
                <w:szCs w:val="20"/>
                <w:color w:val="auto"/>
              </w:rPr>
            </w:pPr>
            <w:r>
              <w:rPr>
                <w:rFonts w:ascii="Arial" w:cs="Arial" w:eastAsia="Arial" w:hAnsi="Arial"/>
                <w:sz w:val="18"/>
                <w:szCs w:val="18"/>
                <w:color w:val="auto"/>
              </w:rPr>
              <w:t>July 1-31, 2021</w:t>
            </w:r>
          </w:p>
        </w:tc>
        <w:tc>
          <w:tcPr>
            <w:tcW w:w="2600" w:type="dxa"/>
            <w:vAlign w:val="bottom"/>
            <w:tcBorders>
              <w:top w:val="single" w:sz="8" w:color="DC202E"/>
            </w:tcBorders>
            <w:shd w:val="clear" w:color="auto" w:fill="DBDBDB"/>
          </w:tcPr>
          <w:p>
            <w:pPr>
              <w:jc w:val="right"/>
              <w:spacing w:after="0"/>
              <w:rPr>
                <w:sz w:val="20"/>
                <w:szCs w:val="20"/>
                <w:color w:val="auto"/>
              </w:rPr>
            </w:pPr>
            <w:r>
              <w:rPr>
                <w:rFonts w:ascii="Arial" w:cs="Arial" w:eastAsia="Arial" w:hAnsi="Arial"/>
                <w:sz w:val="18"/>
                <w:szCs w:val="18"/>
                <w:color w:val="auto"/>
              </w:rPr>
              <w:t>295,024</w:t>
            </w:r>
          </w:p>
        </w:tc>
        <w:tc>
          <w:tcPr>
            <w:tcW w:w="10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DC202E"/>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DC202E"/>
            </w:tcBorders>
            <w:shd w:val="clear" w:color="auto" w:fill="DBDBDB"/>
          </w:tcPr>
          <w:p>
            <w:pPr>
              <w:jc w:val="right"/>
              <w:spacing w:after="0"/>
              <w:rPr>
                <w:sz w:val="20"/>
                <w:szCs w:val="20"/>
                <w:color w:val="auto"/>
              </w:rPr>
            </w:pPr>
            <w:r>
              <w:rPr>
                <w:rFonts w:ascii="Arial" w:cs="Arial" w:eastAsia="Arial" w:hAnsi="Arial"/>
                <w:sz w:val="18"/>
                <w:szCs w:val="18"/>
                <w:color w:val="auto"/>
              </w:rPr>
              <w:t>220.55</w:t>
            </w:r>
          </w:p>
        </w:tc>
        <w:tc>
          <w:tcPr>
            <w:tcW w:w="120" w:type="dxa"/>
            <w:vAlign w:val="bottom"/>
            <w:tcBorders>
              <w:top w:val="single" w:sz="8" w:color="DBDBDB"/>
            </w:tcBorders>
            <w:shd w:val="clear" w:color="auto" w:fill="DBDBDB"/>
          </w:tcPr>
          <w:p>
            <w:pPr>
              <w:spacing w:after="0"/>
              <w:rPr>
                <w:sz w:val="19"/>
                <w:szCs w:val="19"/>
                <w:color w:val="auto"/>
              </w:rPr>
            </w:pPr>
          </w:p>
        </w:tc>
        <w:tc>
          <w:tcPr>
            <w:tcW w:w="1320" w:type="dxa"/>
            <w:vAlign w:val="bottom"/>
            <w:tcBorders>
              <w:top w:val="single" w:sz="8" w:color="DC202E"/>
            </w:tcBorders>
            <w:shd w:val="clear" w:color="auto" w:fill="DBDBDB"/>
          </w:tcPr>
          <w:p>
            <w:pPr>
              <w:jc w:val="right"/>
              <w:ind w:right="1"/>
              <w:spacing w:after="0"/>
              <w:rPr>
                <w:sz w:val="20"/>
                <w:szCs w:val="20"/>
                <w:color w:val="auto"/>
              </w:rPr>
            </w:pPr>
            <w:r>
              <w:rPr>
                <w:rFonts w:ascii="Arial" w:cs="Arial" w:eastAsia="Arial" w:hAnsi="Arial"/>
                <w:sz w:val="18"/>
                <w:szCs w:val="18"/>
                <w:color w:val="auto"/>
              </w:rPr>
              <w:t>295,024</w:t>
            </w:r>
          </w:p>
        </w:tc>
        <w:tc>
          <w:tcPr>
            <w:tcW w:w="100" w:type="dxa"/>
            <w:vAlign w:val="bottom"/>
            <w:tcBorders>
              <w:top w:val="single" w:sz="8" w:color="DBDBDB"/>
            </w:tcBorders>
            <w:shd w:val="clear" w:color="auto" w:fill="DBDBDB"/>
          </w:tcPr>
          <w:p>
            <w:pPr>
              <w:spacing w:after="0"/>
              <w:rPr>
                <w:sz w:val="19"/>
                <w:szCs w:val="19"/>
                <w:color w:val="auto"/>
              </w:rPr>
            </w:pPr>
          </w:p>
        </w:tc>
        <w:tc>
          <w:tcPr>
            <w:tcW w:w="120" w:type="dxa"/>
            <w:vAlign w:val="bottom"/>
            <w:tcBorders>
              <w:top w:val="single" w:sz="8" w:color="DC202E"/>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DC202E"/>
            </w:tcBorders>
            <w:shd w:val="clear" w:color="auto" w:fill="DBDBDB"/>
          </w:tcPr>
          <w:p>
            <w:pPr>
              <w:jc w:val="right"/>
              <w:ind w:right="1"/>
              <w:spacing w:after="0"/>
              <w:rPr>
                <w:sz w:val="20"/>
                <w:szCs w:val="20"/>
                <w:color w:val="auto"/>
              </w:rPr>
            </w:pPr>
            <w:r>
              <w:rPr>
                <w:rFonts w:ascii="Arial" w:cs="Arial" w:eastAsia="Arial" w:hAnsi="Arial"/>
                <w:sz w:val="18"/>
                <w:szCs w:val="18"/>
                <w:color w:val="auto"/>
              </w:rPr>
              <w:t>8,572</w:t>
            </w:r>
          </w:p>
        </w:tc>
        <w:tc>
          <w:tcPr>
            <w:tcW w:w="0" w:type="dxa"/>
            <w:vAlign w:val="bottom"/>
          </w:tcPr>
          <w:p>
            <w:pPr>
              <w:spacing w:after="0"/>
              <w:rPr>
                <w:sz w:val="1"/>
                <w:szCs w:val="1"/>
                <w:color w:val="auto"/>
              </w:rPr>
            </w:pPr>
          </w:p>
        </w:tc>
      </w:tr>
      <w:tr>
        <w:trPr>
          <w:trHeight w:val="229"/>
        </w:trPr>
        <w:tc>
          <w:tcPr>
            <w:tcW w:w="4300" w:type="dxa"/>
            <w:vAlign w:val="bottom"/>
          </w:tcPr>
          <w:p>
            <w:pPr>
              <w:ind w:left="20"/>
              <w:spacing w:after="0"/>
              <w:rPr>
                <w:sz w:val="20"/>
                <w:szCs w:val="20"/>
                <w:color w:val="auto"/>
              </w:rPr>
            </w:pPr>
            <w:r>
              <w:rPr>
                <w:rFonts w:ascii="Arial" w:cs="Arial" w:eastAsia="Arial" w:hAnsi="Arial"/>
                <w:sz w:val="18"/>
                <w:szCs w:val="18"/>
                <w:color w:val="auto"/>
              </w:rPr>
              <w:t>August 1-31, 2021</w:t>
            </w:r>
          </w:p>
        </w:tc>
        <w:tc>
          <w:tcPr>
            <w:tcW w:w="2600" w:type="dxa"/>
            <w:vAlign w:val="bottom"/>
          </w:tcPr>
          <w:p>
            <w:pPr>
              <w:jc w:val="right"/>
              <w:spacing w:after="0"/>
              <w:rPr>
                <w:sz w:val="20"/>
                <w:szCs w:val="20"/>
                <w:color w:val="auto"/>
              </w:rPr>
            </w:pPr>
            <w:r>
              <w:rPr>
                <w:rFonts w:ascii="Arial" w:cs="Arial" w:eastAsia="Arial" w:hAnsi="Arial"/>
                <w:sz w:val="18"/>
                <w:szCs w:val="18"/>
                <w:color w:val="auto"/>
              </w:rPr>
              <w:t>932,000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230.92</w:t>
            </w:r>
          </w:p>
        </w:tc>
        <w:tc>
          <w:tcPr>
            <w:tcW w:w="120" w:type="dxa"/>
            <w:vAlign w:val="bottom"/>
          </w:tcPr>
          <w:p>
            <w:pPr>
              <w:spacing w:after="0"/>
              <w:rPr>
                <w:sz w:val="19"/>
                <w:szCs w:val="19"/>
                <w:color w:val="auto"/>
              </w:rPr>
            </w:pPr>
          </w:p>
        </w:tc>
        <w:tc>
          <w:tcPr>
            <w:tcW w:w="1320" w:type="dxa"/>
            <w:vAlign w:val="bottom"/>
          </w:tcPr>
          <w:p>
            <w:pPr>
              <w:jc w:val="right"/>
              <w:ind w:right="1"/>
              <w:spacing w:after="0"/>
              <w:rPr>
                <w:sz w:val="20"/>
                <w:szCs w:val="20"/>
                <w:color w:val="auto"/>
              </w:rPr>
            </w:pPr>
            <w:r>
              <w:rPr>
                <w:rFonts w:ascii="Arial" w:cs="Arial" w:eastAsia="Arial" w:hAnsi="Arial"/>
                <w:sz w:val="18"/>
                <w:szCs w:val="18"/>
                <w:color w:val="auto"/>
              </w:rPr>
              <w:t>932,000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
              <w:spacing w:after="0"/>
              <w:rPr>
                <w:sz w:val="20"/>
                <w:szCs w:val="20"/>
                <w:color w:val="auto"/>
              </w:rPr>
            </w:pPr>
            <w:r>
              <w:rPr>
                <w:rFonts w:ascii="Arial" w:cs="Arial" w:eastAsia="Arial" w:hAnsi="Arial"/>
                <w:sz w:val="18"/>
                <w:szCs w:val="18"/>
                <w:color w:val="auto"/>
              </w:rPr>
              <w:t>8,357</w:t>
            </w:r>
          </w:p>
        </w:tc>
        <w:tc>
          <w:tcPr>
            <w:tcW w:w="0" w:type="dxa"/>
            <w:vAlign w:val="bottom"/>
          </w:tcPr>
          <w:p>
            <w:pPr>
              <w:spacing w:after="0"/>
              <w:rPr>
                <w:sz w:val="1"/>
                <w:szCs w:val="1"/>
                <w:color w:val="auto"/>
              </w:rPr>
            </w:pPr>
          </w:p>
        </w:tc>
      </w:tr>
      <w:tr>
        <w:trPr>
          <w:trHeight w:val="230"/>
        </w:trPr>
        <w:tc>
          <w:tcPr>
            <w:tcW w:w="4300" w:type="dxa"/>
            <w:vAlign w:val="bottom"/>
            <w:shd w:val="clear" w:color="auto" w:fill="DBDBDB"/>
          </w:tcPr>
          <w:p>
            <w:pPr>
              <w:ind w:left="20"/>
              <w:spacing w:after="0"/>
              <w:rPr>
                <w:sz w:val="20"/>
                <w:szCs w:val="20"/>
                <w:color w:val="auto"/>
              </w:rPr>
            </w:pPr>
            <w:r>
              <w:rPr>
                <w:rFonts w:ascii="Arial" w:cs="Arial" w:eastAsia="Arial" w:hAnsi="Arial"/>
                <w:sz w:val="18"/>
                <w:szCs w:val="18"/>
                <w:color w:val="auto"/>
              </w:rPr>
              <w:t>September 1-30, 2021</w:t>
            </w:r>
          </w:p>
        </w:tc>
        <w:tc>
          <w:tcPr>
            <w:tcW w:w="2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1,683,440</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219.79</w:t>
            </w:r>
          </w:p>
        </w:tc>
        <w:tc>
          <w:tcPr>
            <w:tcW w:w="120" w:type="dxa"/>
            <w:vAlign w:val="bottom"/>
            <w:shd w:val="clear" w:color="auto" w:fill="DBDBDB"/>
          </w:tcPr>
          <w:p>
            <w:pPr>
              <w:spacing w:after="0"/>
              <w:rPr>
                <w:sz w:val="19"/>
                <w:szCs w:val="19"/>
                <w:color w:val="auto"/>
              </w:rPr>
            </w:pPr>
          </w:p>
        </w:tc>
        <w:tc>
          <w:tcPr>
            <w:tcW w:w="1320" w:type="dxa"/>
            <w:vAlign w:val="bottom"/>
            <w:shd w:val="clear" w:color="auto" w:fill="DBDBDB"/>
          </w:tcPr>
          <w:p>
            <w:pPr>
              <w:jc w:val="right"/>
              <w:ind w:right="1"/>
              <w:spacing w:after="0"/>
              <w:rPr>
                <w:sz w:val="20"/>
                <w:szCs w:val="20"/>
                <w:color w:val="auto"/>
              </w:rPr>
            </w:pPr>
            <w:r>
              <w:rPr>
                <w:rFonts w:ascii="Arial" w:cs="Arial" w:eastAsia="Arial" w:hAnsi="Arial"/>
                <w:sz w:val="18"/>
                <w:szCs w:val="18"/>
                <w:color w:val="auto"/>
              </w:rPr>
              <w:t>1,683,440</w:t>
            </w: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DBDBDB"/>
          </w:tcPr>
          <w:p>
            <w:pPr>
              <w:jc w:val="right"/>
              <w:ind w:right="1"/>
              <w:spacing w:after="0"/>
              <w:rPr>
                <w:sz w:val="20"/>
                <w:szCs w:val="20"/>
                <w:color w:val="auto"/>
              </w:rPr>
            </w:pPr>
            <w:r>
              <w:rPr>
                <w:rFonts w:ascii="Arial" w:cs="Arial" w:eastAsia="Arial" w:hAnsi="Arial"/>
                <w:sz w:val="18"/>
                <w:szCs w:val="18"/>
                <w:color w:val="auto"/>
              </w:rPr>
              <w:t>7,987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4. MINE SAFETY DISCLOSURES</w:t>
      </w:r>
    </w:p>
    <w:p>
      <w:pPr>
        <w:spacing w:after="0" w:line="1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One of our wholly-owned subsidiaries has a placer claim for and operates a chabazite ore surface mine in Arizona. Information concerning mine safety and other regulatory matters associated with this mine is required by Section 1503(a) of the Dodd-Frank Wall Street Reform and Consumer Protection Act and Item 104 of Regulation S-K and is included in Exhibit 95 to this quarterly report.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53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56" w:name="page57"/>
    <w:bookmarkEnd w:id="56"/>
    <w:p>
      <w:pPr>
        <w:spacing w:after="0"/>
        <w:rPr>
          <w:sz w:val="20"/>
          <w:szCs w:val="20"/>
          <w:color w:val="auto"/>
        </w:rPr>
      </w:pPr>
      <w:r>
        <w:rPr>
          <w:rFonts w:ascii="Arial" w:cs="Arial" w:eastAsia="Arial" w:hAnsi="Arial"/>
          <w:sz w:val="25"/>
          <w:szCs w:val="25"/>
          <w:b w:val="1"/>
          <w:bCs w:val="1"/>
          <w:color w:val="auto"/>
        </w:rPr>
        <w:t>ITEM 6. EXHIBITS</w:t>
      </w:r>
    </w:p>
    <w:p>
      <w:pPr>
        <w:spacing w:after="0" w:line="3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440" w:type="dxa"/>
            <w:vAlign w:val="bottom"/>
          </w:tcPr>
          <w:p>
            <w:pPr>
              <w:jc w:val="right"/>
              <w:ind w:right="510"/>
              <w:spacing w:after="0"/>
              <w:rPr>
                <w:sz w:val="20"/>
                <w:szCs w:val="20"/>
                <w:color w:val="auto"/>
              </w:rPr>
            </w:pPr>
            <w:r>
              <w:rPr>
                <w:rFonts w:ascii="Arial" w:cs="Arial" w:eastAsia="Arial" w:hAnsi="Arial"/>
                <w:sz w:val="18"/>
                <w:szCs w:val="18"/>
                <w:b w:val="1"/>
                <w:bCs w:val="1"/>
                <w:color w:val="auto"/>
              </w:rPr>
              <w:t>Exhibit</w:t>
            </w:r>
          </w:p>
        </w:tc>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5880" w:type="dxa"/>
            <w:vAlign w:val="bottom"/>
            <w:gridSpan w:val="7"/>
            <w:vMerge w:val="restart"/>
          </w:tcPr>
          <w:p>
            <w:pPr>
              <w:ind w:left="48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37"/>
        </w:trPr>
        <w:tc>
          <w:tcPr>
            <w:tcW w:w="1440" w:type="dxa"/>
            <w:vAlign w:val="bottom"/>
            <w:tcBorders>
              <w:bottom w:val="single" w:sz="8" w:color="EE2724"/>
            </w:tcBorders>
          </w:tcPr>
          <w:p>
            <w:pPr>
              <w:jc w:val="right"/>
              <w:ind w:right="650"/>
              <w:spacing w:after="0"/>
              <w:rPr>
                <w:sz w:val="20"/>
                <w:szCs w:val="20"/>
                <w:color w:val="auto"/>
              </w:rPr>
            </w:pPr>
            <w:r>
              <w:rPr>
                <w:rFonts w:ascii="Arial" w:cs="Arial" w:eastAsia="Arial" w:hAnsi="Arial"/>
                <w:sz w:val="18"/>
                <w:szCs w:val="18"/>
                <w:b w:val="1"/>
                <w:bCs w:val="1"/>
                <w:color w:val="auto"/>
              </w:rPr>
              <w:t>No.</w:t>
            </w:r>
          </w:p>
        </w:tc>
        <w:tc>
          <w:tcPr>
            <w:tcW w:w="20" w:type="dxa"/>
            <w:vAlign w:val="bottom"/>
            <w:tcBorders>
              <w:bottom w:val="single" w:sz="8" w:color="DC202E"/>
            </w:tcBorders>
          </w:tcPr>
          <w:p>
            <w:pPr>
              <w:spacing w:after="0"/>
              <w:rPr>
                <w:sz w:val="20"/>
                <w:szCs w:val="20"/>
                <w:color w:val="auto"/>
              </w:rPr>
            </w:pPr>
          </w:p>
        </w:tc>
        <w:tc>
          <w:tcPr>
            <w:tcW w:w="1260" w:type="dxa"/>
            <w:vAlign w:val="bottom"/>
            <w:tcBorders>
              <w:bottom w:val="single" w:sz="8" w:color="DC202E"/>
            </w:tcBorders>
          </w:tcPr>
          <w:p>
            <w:pPr>
              <w:spacing w:after="0"/>
              <w:rPr>
                <w:sz w:val="20"/>
                <w:szCs w:val="20"/>
                <w:color w:val="auto"/>
              </w:rPr>
            </w:pPr>
          </w:p>
        </w:tc>
        <w:tc>
          <w:tcPr>
            <w:tcW w:w="2640" w:type="dxa"/>
            <w:vAlign w:val="bottom"/>
            <w:tcBorders>
              <w:bottom w:val="single" w:sz="8" w:color="DC202E"/>
            </w:tcBorders>
          </w:tcPr>
          <w:p>
            <w:pPr>
              <w:spacing w:after="0"/>
              <w:rPr>
                <w:sz w:val="20"/>
                <w:szCs w:val="20"/>
                <w:color w:val="auto"/>
              </w:rPr>
            </w:pPr>
          </w:p>
        </w:tc>
        <w:tc>
          <w:tcPr>
            <w:tcW w:w="5880" w:type="dxa"/>
            <w:vAlign w:val="bottom"/>
            <w:tcBorders>
              <w:bottom w:val="single" w:sz="8" w:color="DC202E"/>
            </w:tcBorders>
            <w:gridSpan w:val="7"/>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440" w:type="dxa"/>
            <w:vAlign w:val="bottom"/>
          </w:tcPr>
          <w:p>
            <w:pPr>
              <w:jc w:val="right"/>
              <w:ind w:right="270"/>
              <w:spacing w:after="0" w:line="189" w:lineRule="exact"/>
              <w:rPr>
                <w:sz w:val="20"/>
                <w:szCs w:val="20"/>
                <w:color w:val="auto"/>
              </w:rPr>
            </w:pPr>
            <w:r>
              <w:rPr>
                <w:rFonts w:ascii="Arial" w:cs="Arial" w:eastAsia="Arial" w:hAnsi="Arial"/>
                <w:sz w:val="18"/>
                <w:szCs w:val="18"/>
                <w:color w:val="auto"/>
              </w:rPr>
              <w:t>10.1*</w:t>
            </w:r>
          </w:p>
        </w:tc>
        <w:tc>
          <w:tcPr>
            <w:tcW w:w="20" w:type="dxa"/>
            <w:vAlign w:val="bottom"/>
          </w:tcPr>
          <w:p>
            <w:pPr>
              <w:spacing w:after="0"/>
              <w:rPr>
                <w:sz w:val="16"/>
                <w:szCs w:val="16"/>
                <w:color w:val="auto"/>
              </w:rPr>
            </w:pPr>
          </w:p>
        </w:tc>
        <w:tc>
          <w:tcPr>
            <w:tcW w:w="9780" w:type="dxa"/>
            <w:vAlign w:val="bottom"/>
            <w:gridSpan w:val="9"/>
          </w:tcPr>
          <w:p>
            <w:pPr>
              <w:spacing w:after="0" w:line="189" w:lineRule="exact"/>
              <w:rPr>
                <w:rFonts w:ascii="Arial" w:cs="Arial" w:eastAsia="Arial" w:hAnsi="Arial"/>
                <w:sz w:val="18"/>
                <w:szCs w:val="18"/>
                <w:color w:val="0000FF"/>
              </w:rPr>
            </w:pPr>
            <w:hyperlink r:id="rId82">
              <w:r>
                <w:rPr>
                  <w:rFonts w:ascii="Arial" w:cs="Arial" w:eastAsia="Arial" w:hAnsi="Arial"/>
                  <w:sz w:val="18"/>
                  <w:szCs w:val="18"/>
                  <w:color w:val="0000FF"/>
                </w:rPr>
                <w:t>Retirement Agreement dated July 20, 2021 between Honeywell International Inc. and Rajeev Gautum, and Exhibit A</w:t>
              </w:r>
            </w:hyperlink>
          </w:p>
        </w:tc>
        <w:tc>
          <w:tcPr>
            <w:tcW w:w="0" w:type="dxa"/>
            <w:vAlign w:val="bottom"/>
          </w:tcPr>
          <w:p>
            <w:pPr>
              <w:spacing w:after="0"/>
              <w:rPr>
                <w:sz w:val="1"/>
                <w:szCs w:val="1"/>
                <w:color w:val="auto"/>
              </w:rPr>
            </w:pPr>
          </w:p>
        </w:tc>
      </w:tr>
      <w:tr>
        <w:trPr>
          <w:trHeight w:val="169"/>
        </w:trPr>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40" w:type="dxa"/>
            <w:vAlign w:val="bottom"/>
            <w:tcBorders>
              <w:top w:val="single" w:sz="8" w:color="0000FF"/>
            </w:tcBorders>
            <w:gridSpan w:val="3"/>
          </w:tcPr>
          <w:p>
            <w:pPr>
              <w:spacing w:after="0" w:line="169" w:lineRule="exact"/>
              <w:rPr>
                <w:rFonts w:ascii="Arial" w:cs="Arial" w:eastAsia="Arial" w:hAnsi="Arial"/>
                <w:sz w:val="18"/>
                <w:szCs w:val="18"/>
                <w:color w:val="0000FF"/>
              </w:rPr>
            </w:pPr>
            <w:hyperlink r:id="rId82">
              <w:r>
                <w:rPr>
                  <w:rFonts w:ascii="Arial" w:cs="Arial" w:eastAsia="Arial" w:hAnsi="Arial"/>
                  <w:sz w:val="18"/>
                  <w:szCs w:val="18"/>
                  <w:color w:val="0000FF"/>
                </w:rPr>
                <w:t>(Consulting Agreement) thereto (incorporated by reference to Exhibit 10.8 to Honeywell's Form 10-Q for the quarter</w:t>
              </w:r>
            </w:hyperlink>
          </w:p>
        </w:tc>
        <w:tc>
          <w:tcPr>
            <w:tcW w:w="540" w:type="dxa"/>
            <w:vAlign w:val="bottom"/>
            <w:gridSpan w:val="6"/>
          </w:tcPr>
          <w:p>
            <w:pPr>
              <w:spacing w:after="0" w:line="169" w:lineRule="exact"/>
              <w:rPr>
                <w:rFonts w:ascii="Arial" w:cs="Arial" w:eastAsia="Arial" w:hAnsi="Arial"/>
                <w:sz w:val="18"/>
                <w:szCs w:val="18"/>
                <w:color w:val="0000FF"/>
              </w:rPr>
            </w:pPr>
            <w:hyperlink r:id="rId82">
              <w:r>
                <w:rPr>
                  <w:rFonts w:ascii="Arial" w:cs="Arial" w:eastAsia="Arial" w:hAnsi="Arial"/>
                  <w:sz w:val="18"/>
                  <w:szCs w:val="18"/>
                  <w:color w:val="0000FF"/>
                </w:rPr>
                <w:t>ended</w:t>
              </w:r>
            </w:hyperlink>
          </w:p>
        </w:tc>
        <w:tc>
          <w:tcPr>
            <w:tcW w:w="0" w:type="dxa"/>
            <w:vAlign w:val="bottom"/>
          </w:tcPr>
          <w:p>
            <w:pPr>
              <w:spacing w:after="0"/>
              <w:rPr>
                <w:sz w:val="1"/>
                <w:szCs w:val="1"/>
                <w:color w:val="auto"/>
              </w:rPr>
            </w:pPr>
          </w:p>
        </w:tc>
      </w:tr>
      <w:tr>
        <w:trPr>
          <w:trHeight w:val="169"/>
        </w:trPr>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40" w:type="dxa"/>
            <w:vAlign w:val="bottom"/>
            <w:tcBorders>
              <w:top w:val="single" w:sz="8" w:color="0000FF"/>
            </w:tcBorders>
            <w:gridSpan w:val="7"/>
          </w:tcPr>
          <w:p>
            <w:pPr>
              <w:spacing w:after="0" w:line="169" w:lineRule="exact"/>
              <w:rPr>
                <w:rFonts w:ascii="Arial" w:cs="Arial" w:eastAsia="Arial" w:hAnsi="Arial"/>
                <w:sz w:val="18"/>
                <w:szCs w:val="18"/>
                <w:color w:val="0000FF"/>
              </w:rPr>
            </w:pPr>
            <w:hyperlink r:id="rId82">
              <w:r>
                <w:rPr>
                  <w:rFonts w:ascii="Arial" w:cs="Arial" w:eastAsia="Arial" w:hAnsi="Arial"/>
                  <w:sz w:val="18"/>
                  <w:szCs w:val="18"/>
                  <w:color w:val="0000FF"/>
                </w:rPr>
                <w:t>June 30, 2021).</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60" w:type="dxa"/>
            <w:vAlign w:val="bottom"/>
            <w:tcBorders>
              <w:top w:val="single" w:sz="8" w:color="0000FF"/>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5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440" w:type="dxa"/>
            <w:vAlign w:val="bottom"/>
          </w:tcPr>
          <w:p>
            <w:pPr>
              <w:jc w:val="right"/>
              <w:ind w:right="270"/>
              <w:spacing w:after="0" w:line="182" w:lineRule="exact"/>
              <w:rPr>
                <w:sz w:val="20"/>
                <w:szCs w:val="20"/>
                <w:color w:val="auto"/>
              </w:rPr>
            </w:pPr>
            <w:r>
              <w:rPr>
                <w:rFonts w:ascii="Arial" w:cs="Arial" w:eastAsia="Arial" w:hAnsi="Arial"/>
                <w:sz w:val="18"/>
                <w:szCs w:val="18"/>
                <w:color w:val="auto"/>
              </w:rPr>
              <w:t>31.1</w:t>
            </w:r>
          </w:p>
        </w:tc>
        <w:tc>
          <w:tcPr>
            <w:tcW w:w="20" w:type="dxa"/>
            <w:vAlign w:val="bottom"/>
          </w:tcPr>
          <w:p>
            <w:pPr>
              <w:spacing w:after="0"/>
              <w:rPr>
                <w:sz w:val="15"/>
                <w:szCs w:val="15"/>
                <w:color w:val="auto"/>
              </w:rPr>
            </w:pPr>
          </w:p>
        </w:tc>
        <w:tc>
          <w:tcPr>
            <w:tcW w:w="9780" w:type="dxa"/>
            <w:vAlign w:val="bottom"/>
            <w:gridSpan w:val="9"/>
          </w:tcPr>
          <w:p>
            <w:pPr>
              <w:spacing w:after="0" w:line="182" w:lineRule="exact"/>
              <w:rPr>
                <w:rFonts w:ascii="Arial" w:cs="Arial" w:eastAsia="Arial" w:hAnsi="Arial"/>
                <w:sz w:val="18"/>
                <w:szCs w:val="18"/>
                <w:color w:val="0000FF"/>
              </w:rPr>
            </w:pPr>
            <w:hyperlink w:anchor="page59">
              <w:r>
                <w:rPr>
                  <w:rFonts w:ascii="Arial" w:cs="Arial" w:eastAsia="Arial" w:hAnsi="Arial"/>
                  <w:sz w:val="18"/>
                  <w:szCs w:val="18"/>
                  <w:color w:val="0000FF"/>
                </w:rPr>
                <w:t>Certification of Principal Executive Officer Pursuant to Section 302 of the Sarbanes-Oxley Act of 2002 (filed herewith)</w:t>
              </w:r>
            </w:hyperlink>
          </w:p>
        </w:tc>
        <w:tc>
          <w:tcPr>
            <w:tcW w:w="0" w:type="dxa"/>
            <w:vAlign w:val="bottom"/>
          </w:tcPr>
          <w:p>
            <w:pPr>
              <w:spacing w:after="0"/>
              <w:rPr>
                <w:sz w:val="1"/>
                <w:szCs w:val="1"/>
                <w:color w:val="auto"/>
              </w:rPr>
            </w:pPr>
          </w:p>
        </w:tc>
      </w:tr>
      <w:tr>
        <w:trPr>
          <w:trHeight w:val="21"/>
        </w:trPr>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60" w:type="dxa"/>
            <w:vAlign w:val="bottom"/>
            <w:tcBorders>
              <w:top w:val="single" w:sz="8" w:color="0000FF"/>
              <w:bottom w:val="single" w:sz="8" w:color="auto"/>
            </w:tcBorders>
          </w:tcPr>
          <w:p>
            <w:pPr>
              <w:spacing w:after="0" w:line="20" w:lineRule="exact"/>
              <w:rPr>
                <w:sz w:val="1"/>
                <w:szCs w:val="1"/>
                <w:color w:val="auto"/>
              </w:rPr>
            </w:pPr>
          </w:p>
        </w:tc>
        <w:tc>
          <w:tcPr>
            <w:tcW w:w="2640" w:type="dxa"/>
            <w:vAlign w:val="bottom"/>
            <w:tcBorders>
              <w:top w:val="single" w:sz="8" w:color="0000FF"/>
              <w:bottom w:val="single" w:sz="8" w:color="auto"/>
            </w:tcBorders>
          </w:tcPr>
          <w:p>
            <w:pPr>
              <w:spacing w:after="0" w:line="20" w:lineRule="exact"/>
              <w:rPr>
                <w:sz w:val="1"/>
                <w:szCs w:val="1"/>
                <w:color w:val="auto"/>
              </w:rPr>
            </w:pPr>
          </w:p>
        </w:tc>
        <w:tc>
          <w:tcPr>
            <w:tcW w:w="53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1440" w:type="dxa"/>
            <w:vAlign w:val="bottom"/>
          </w:tcPr>
          <w:p>
            <w:pPr>
              <w:jc w:val="right"/>
              <w:ind w:right="270"/>
              <w:spacing w:after="0" w:line="182" w:lineRule="exact"/>
              <w:rPr>
                <w:sz w:val="20"/>
                <w:szCs w:val="20"/>
                <w:color w:val="auto"/>
              </w:rPr>
            </w:pPr>
            <w:r>
              <w:rPr>
                <w:rFonts w:ascii="Arial" w:cs="Arial" w:eastAsia="Arial" w:hAnsi="Arial"/>
                <w:sz w:val="18"/>
                <w:szCs w:val="18"/>
                <w:color w:val="auto"/>
              </w:rPr>
              <w:t>31.2</w:t>
            </w:r>
          </w:p>
        </w:tc>
        <w:tc>
          <w:tcPr>
            <w:tcW w:w="20" w:type="dxa"/>
            <w:vAlign w:val="bottom"/>
          </w:tcPr>
          <w:p>
            <w:pPr>
              <w:spacing w:after="0"/>
              <w:rPr>
                <w:sz w:val="15"/>
                <w:szCs w:val="15"/>
                <w:color w:val="auto"/>
              </w:rPr>
            </w:pPr>
          </w:p>
        </w:tc>
        <w:tc>
          <w:tcPr>
            <w:tcW w:w="9780" w:type="dxa"/>
            <w:vAlign w:val="bottom"/>
            <w:gridSpan w:val="9"/>
          </w:tcPr>
          <w:p>
            <w:pPr>
              <w:spacing w:after="0" w:line="182" w:lineRule="exact"/>
              <w:rPr>
                <w:rFonts w:ascii="Arial" w:cs="Arial" w:eastAsia="Arial" w:hAnsi="Arial"/>
                <w:sz w:val="18"/>
                <w:szCs w:val="18"/>
                <w:color w:val="0000FF"/>
              </w:rPr>
            </w:pPr>
            <w:hyperlink w:anchor="page60">
              <w:r>
                <w:rPr>
                  <w:rFonts w:ascii="Arial" w:cs="Arial" w:eastAsia="Arial" w:hAnsi="Arial"/>
                  <w:sz w:val="18"/>
                  <w:szCs w:val="18"/>
                  <w:color w:val="0000FF"/>
                </w:rPr>
                <w:t>Certification of Principal Financial Officer Pursuant to Section 302 of the Sarbanes-Oxley Act of 2002 (filed herewith)</w:t>
              </w:r>
            </w:hyperlink>
          </w:p>
        </w:tc>
        <w:tc>
          <w:tcPr>
            <w:tcW w:w="0" w:type="dxa"/>
            <w:vAlign w:val="bottom"/>
          </w:tcPr>
          <w:p>
            <w:pPr>
              <w:spacing w:after="0"/>
              <w:rPr>
                <w:sz w:val="1"/>
                <w:szCs w:val="1"/>
                <w:color w:val="auto"/>
              </w:rPr>
            </w:pPr>
          </w:p>
        </w:tc>
      </w:tr>
      <w:tr>
        <w:trPr>
          <w:trHeight w:val="21"/>
        </w:trPr>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60" w:type="dxa"/>
            <w:vAlign w:val="bottom"/>
            <w:tcBorders>
              <w:top w:val="single" w:sz="8" w:color="0000FF"/>
              <w:bottom w:val="single" w:sz="8" w:color="auto"/>
            </w:tcBorders>
          </w:tcPr>
          <w:p>
            <w:pPr>
              <w:spacing w:after="0" w:line="20" w:lineRule="exact"/>
              <w:rPr>
                <w:sz w:val="1"/>
                <w:szCs w:val="1"/>
                <w:color w:val="auto"/>
              </w:rPr>
            </w:pPr>
          </w:p>
        </w:tc>
        <w:tc>
          <w:tcPr>
            <w:tcW w:w="2640" w:type="dxa"/>
            <w:vAlign w:val="bottom"/>
            <w:tcBorders>
              <w:top w:val="single" w:sz="8" w:color="0000FF"/>
              <w:bottom w:val="single" w:sz="8" w:color="auto"/>
            </w:tcBorders>
          </w:tcPr>
          <w:p>
            <w:pPr>
              <w:spacing w:after="0" w:line="20" w:lineRule="exact"/>
              <w:rPr>
                <w:sz w:val="1"/>
                <w:szCs w:val="1"/>
                <w:color w:val="auto"/>
              </w:rPr>
            </w:pPr>
          </w:p>
        </w:tc>
        <w:tc>
          <w:tcPr>
            <w:tcW w:w="53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440" w:type="dxa"/>
            <w:vAlign w:val="bottom"/>
          </w:tcPr>
          <w:p>
            <w:pPr>
              <w:jc w:val="right"/>
              <w:ind w:right="270"/>
              <w:spacing w:after="0" w:line="182" w:lineRule="exact"/>
              <w:rPr>
                <w:sz w:val="20"/>
                <w:szCs w:val="20"/>
                <w:color w:val="auto"/>
              </w:rPr>
            </w:pPr>
            <w:r>
              <w:rPr>
                <w:rFonts w:ascii="Arial" w:cs="Arial" w:eastAsia="Arial" w:hAnsi="Arial"/>
                <w:sz w:val="18"/>
                <w:szCs w:val="18"/>
                <w:color w:val="auto"/>
              </w:rPr>
              <w:t>32.1</w:t>
            </w:r>
          </w:p>
        </w:tc>
        <w:tc>
          <w:tcPr>
            <w:tcW w:w="20" w:type="dxa"/>
            <w:vAlign w:val="bottom"/>
          </w:tcPr>
          <w:p>
            <w:pPr>
              <w:spacing w:after="0"/>
              <w:rPr>
                <w:sz w:val="15"/>
                <w:szCs w:val="15"/>
                <w:color w:val="auto"/>
              </w:rPr>
            </w:pPr>
          </w:p>
        </w:tc>
        <w:tc>
          <w:tcPr>
            <w:tcW w:w="9780" w:type="dxa"/>
            <w:vAlign w:val="bottom"/>
            <w:gridSpan w:val="9"/>
          </w:tcPr>
          <w:p>
            <w:pPr>
              <w:spacing w:after="0" w:line="182" w:lineRule="exact"/>
              <w:rPr>
                <w:rFonts w:ascii="Arial" w:cs="Arial" w:eastAsia="Arial" w:hAnsi="Arial"/>
                <w:sz w:val="18"/>
                <w:szCs w:val="18"/>
                <w:color w:val="0000FF"/>
              </w:rPr>
            </w:pPr>
            <w:hyperlink w:anchor="page61">
              <w:r>
                <w:rPr>
                  <w:rFonts w:ascii="Arial" w:cs="Arial" w:eastAsia="Arial" w:hAnsi="Arial"/>
                  <w:sz w:val="18"/>
                  <w:szCs w:val="18"/>
                  <w:color w:val="0000FF"/>
                </w:rPr>
                <w:t>Certification of Principal Executive Officer Pursuant to 18 U.S.C. Section 1350, as Adopted Pursuant to Section 906 of the</w:t>
              </w:r>
            </w:hyperlink>
          </w:p>
        </w:tc>
        <w:tc>
          <w:tcPr>
            <w:tcW w:w="0" w:type="dxa"/>
            <w:vAlign w:val="bottom"/>
          </w:tcPr>
          <w:p>
            <w:pPr>
              <w:spacing w:after="0"/>
              <w:rPr>
                <w:sz w:val="1"/>
                <w:szCs w:val="1"/>
                <w:color w:val="auto"/>
              </w:rPr>
            </w:pPr>
          </w:p>
        </w:tc>
      </w:tr>
      <w:tr>
        <w:trPr>
          <w:trHeight w:val="156"/>
        </w:trPr>
        <w:tc>
          <w:tcPr>
            <w:tcW w:w="1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6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w:anchor="page61">
              <w:r>
                <w:rPr>
                  <w:rFonts w:ascii="Arial" w:cs="Arial" w:eastAsia="Arial" w:hAnsi="Arial"/>
                  <w:sz w:val="18"/>
                  <w:szCs w:val="18"/>
                  <w:color w:val="0000FF"/>
                </w:rPr>
                <w:t>Sarbanes-Oxley Act of 2002 (furnished herewith)</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60" w:type="dxa"/>
            <w:vAlign w:val="bottom"/>
            <w:tcBorders>
              <w:top w:val="single" w:sz="8" w:color="0000FF"/>
              <w:bottom w:val="single" w:sz="8" w:color="auto"/>
            </w:tcBorders>
          </w:tcPr>
          <w:p>
            <w:pPr>
              <w:spacing w:after="0" w:line="20" w:lineRule="exact"/>
              <w:rPr>
                <w:sz w:val="1"/>
                <w:szCs w:val="1"/>
                <w:color w:val="auto"/>
              </w:rPr>
            </w:pPr>
          </w:p>
        </w:tc>
        <w:tc>
          <w:tcPr>
            <w:tcW w:w="2640" w:type="dxa"/>
            <w:vAlign w:val="bottom"/>
            <w:tcBorders>
              <w:top w:val="single" w:sz="8" w:color="0000FF"/>
              <w:bottom w:val="single" w:sz="8" w:color="auto"/>
            </w:tcBorders>
          </w:tcPr>
          <w:p>
            <w:pPr>
              <w:spacing w:after="0" w:line="20" w:lineRule="exact"/>
              <w:rPr>
                <w:sz w:val="1"/>
                <w:szCs w:val="1"/>
                <w:color w:val="auto"/>
              </w:rPr>
            </w:pPr>
          </w:p>
        </w:tc>
        <w:tc>
          <w:tcPr>
            <w:tcW w:w="5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440" w:type="dxa"/>
            <w:vAlign w:val="bottom"/>
          </w:tcPr>
          <w:p>
            <w:pPr>
              <w:jc w:val="right"/>
              <w:ind w:right="270"/>
              <w:spacing w:after="0" w:line="182" w:lineRule="exact"/>
              <w:rPr>
                <w:sz w:val="20"/>
                <w:szCs w:val="20"/>
                <w:color w:val="auto"/>
              </w:rPr>
            </w:pPr>
            <w:r>
              <w:rPr>
                <w:rFonts w:ascii="Arial" w:cs="Arial" w:eastAsia="Arial" w:hAnsi="Arial"/>
                <w:sz w:val="18"/>
                <w:szCs w:val="18"/>
                <w:color w:val="auto"/>
              </w:rPr>
              <w:t>32.2</w:t>
            </w:r>
          </w:p>
        </w:tc>
        <w:tc>
          <w:tcPr>
            <w:tcW w:w="20" w:type="dxa"/>
            <w:vAlign w:val="bottom"/>
          </w:tcPr>
          <w:p>
            <w:pPr>
              <w:spacing w:after="0"/>
              <w:rPr>
                <w:sz w:val="15"/>
                <w:szCs w:val="15"/>
                <w:color w:val="auto"/>
              </w:rPr>
            </w:pPr>
          </w:p>
        </w:tc>
        <w:tc>
          <w:tcPr>
            <w:tcW w:w="9780" w:type="dxa"/>
            <w:vAlign w:val="bottom"/>
            <w:gridSpan w:val="9"/>
          </w:tcPr>
          <w:p>
            <w:pPr>
              <w:spacing w:after="0" w:line="182" w:lineRule="exact"/>
              <w:rPr>
                <w:rFonts w:ascii="Arial" w:cs="Arial" w:eastAsia="Arial" w:hAnsi="Arial"/>
                <w:sz w:val="18"/>
                <w:szCs w:val="18"/>
                <w:color w:val="0000FF"/>
              </w:rPr>
            </w:pPr>
            <w:hyperlink w:anchor="page62">
              <w:r>
                <w:rPr>
                  <w:rFonts w:ascii="Arial" w:cs="Arial" w:eastAsia="Arial" w:hAnsi="Arial"/>
                  <w:sz w:val="18"/>
                  <w:szCs w:val="18"/>
                  <w:color w:val="0000FF"/>
                </w:rPr>
                <w:t>Certification of Principal Financial Officer Pursuant to 18 U.S.C. Section 1350, as Adopted Pursuant to Section 906 of the</w:t>
              </w:r>
            </w:hyperlink>
          </w:p>
        </w:tc>
        <w:tc>
          <w:tcPr>
            <w:tcW w:w="0" w:type="dxa"/>
            <w:vAlign w:val="bottom"/>
          </w:tcPr>
          <w:p>
            <w:pPr>
              <w:spacing w:after="0"/>
              <w:rPr>
                <w:sz w:val="1"/>
                <w:szCs w:val="1"/>
                <w:color w:val="auto"/>
              </w:rPr>
            </w:pPr>
          </w:p>
        </w:tc>
      </w:tr>
      <w:tr>
        <w:trPr>
          <w:trHeight w:val="155"/>
        </w:trPr>
        <w:tc>
          <w:tcPr>
            <w:tcW w:w="1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20" w:type="dxa"/>
            <w:vAlign w:val="bottom"/>
            <w:tcBorders>
              <w:top w:val="single" w:sz="8" w:color="0000FF"/>
            </w:tcBorders>
            <w:gridSpan w:val="6"/>
          </w:tcPr>
          <w:p>
            <w:pPr>
              <w:spacing w:after="0" w:line="156" w:lineRule="exact"/>
              <w:rPr>
                <w:rFonts w:ascii="Arial" w:cs="Arial" w:eastAsia="Arial" w:hAnsi="Arial"/>
                <w:sz w:val="18"/>
                <w:szCs w:val="18"/>
                <w:color w:val="0000FF"/>
              </w:rPr>
            </w:pPr>
            <w:hyperlink w:anchor="page62">
              <w:r>
                <w:rPr>
                  <w:rFonts w:ascii="Arial" w:cs="Arial" w:eastAsia="Arial" w:hAnsi="Arial"/>
                  <w:sz w:val="18"/>
                  <w:szCs w:val="18"/>
                  <w:color w:val="0000FF"/>
                </w:rPr>
                <w:t>Sarbanes-Oxley Act of 2002 (furnished herewith)</w:t>
              </w:r>
            </w:hyperlink>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60" w:type="dxa"/>
            <w:vAlign w:val="bottom"/>
            <w:tcBorders>
              <w:top w:val="single" w:sz="8" w:color="0000FF"/>
              <w:bottom w:val="single" w:sz="8" w:color="auto"/>
            </w:tcBorders>
          </w:tcPr>
          <w:p>
            <w:pPr>
              <w:spacing w:after="0" w:line="20" w:lineRule="exact"/>
              <w:rPr>
                <w:sz w:val="1"/>
                <w:szCs w:val="1"/>
                <w:color w:val="auto"/>
              </w:rPr>
            </w:pPr>
          </w:p>
        </w:tc>
        <w:tc>
          <w:tcPr>
            <w:tcW w:w="2640" w:type="dxa"/>
            <w:vAlign w:val="bottom"/>
            <w:tcBorders>
              <w:top w:val="single" w:sz="8" w:color="0000FF"/>
              <w:bottom w:val="single" w:sz="8" w:color="auto"/>
            </w:tcBorders>
          </w:tcPr>
          <w:p>
            <w:pPr>
              <w:spacing w:after="0" w:line="20" w:lineRule="exact"/>
              <w:rPr>
                <w:sz w:val="1"/>
                <w:szCs w:val="1"/>
                <w:color w:val="auto"/>
              </w:rPr>
            </w:pPr>
          </w:p>
        </w:tc>
        <w:tc>
          <w:tcPr>
            <w:tcW w:w="5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480" w:hanging="583"/>
        <w:spacing w:after="0"/>
        <w:tabs>
          <w:tab w:leader="none" w:pos="1480" w:val="left"/>
        </w:tabs>
        <w:numPr>
          <w:ilvl w:val="0"/>
          <w:numId w:val="31"/>
        </w:numPr>
        <w:rPr>
          <w:rFonts w:ascii="Arial" w:cs="Arial" w:eastAsia="Arial" w:hAnsi="Arial"/>
          <w:sz w:val="18"/>
          <w:szCs w:val="18"/>
          <w:u w:val="single" w:color="auto"/>
          <w:color w:val="0000FF"/>
        </w:rPr>
      </w:pPr>
      <w:hyperlink w:anchor="page63">
        <w:r>
          <w:rPr>
            <w:rFonts w:ascii="Arial" w:cs="Arial" w:eastAsia="Arial" w:hAnsi="Arial"/>
            <w:sz w:val="18"/>
            <w:szCs w:val="18"/>
            <w:u w:val="single" w:color="auto"/>
            <w:color w:val="0000FF"/>
          </w:rPr>
          <w:t>Mine Safety Disclosures (filed herewith)</w:t>
        </w:r>
      </w:hyperlink>
    </w:p>
    <w:p>
      <w:pPr>
        <w:spacing w:after="0" w:line="10"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1280" w:type="dxa"/>
            <w:vAlign w:val="bottom"/>
            <w:tcBorders>
              <w:top w:val="single" w:sz="8" w:color="auto"/>
            </w:tcBorders>
          </w:tcPr>
          <w:p>
            <w:pPr>
              <w:jc w:val="right"/>
              <w:ind w:right="110"/>
              <w:spacing w:after="0" w:line="182" w:lineRule="exact"/>
              <w:rPr>
                <w:sz w:val="20"/>
                <w:szCs w:val="20"/>
                <w:color w:val="auto"/>
              </w:rPr>
            </w:pPr>
            <w:r>
              <w:rPr>
                <w:rFonts w:ascii="Arial" w:cs="Arial" w:eastAsia="Arial" w:hAnsi="Arial"/>
                <w:sz w:val="18"/>
                <w:szCs w:val="18"/>
                <w:color w:val="auto"/>
              </w:rPr>
              <w:t>101.INS</w:t>
            </w:r>
          </w:p>
        </w:tc>
        <w:tc>
          <w:tcPr>
            <w:tcW w:w="9920" w:type="dxa"/>
            <w:vAlign w:val="bottom"/>
            <w:tcBorders>
              <w:top w:val="single" w:sz="8" w:color="auto"/>
            </w:tcBorders>
          </w:tcPr>
          <w:p>
            <w:pPr>
              <w:ind w:left="180"/>
              <w:spacing w:after="0" w:line="182" w:lineRule="exact"/>
              <w:rPr>
                <w:sz w:val="20"/>
                <w:szCs w:val="20"/>
                <w:color w:val="auto"/>
              </w:rPr>
            </w:pPr>
            <w:r>
              <w:rPr>
                <w:rFonts w:ascii="Arial" w:cs="Arial" w:eastAsia="Arial" w:hAnsi="Arial"/>
                <w:sz w:val="18"/>
                <w:szCs w:val="18"/>
                <w:color w:val="auto"/>
              </w:rPr>
              <w:t>Inline XBRL Instance Document (the instance document does not appear in the Interactive Data File because its XBRL</w:t>
            </w:r>
          </w:p>
        </w:tc>
      </w:tr>
      <w:tr>
        <w:trPr>
          <w:trHeight w:val="217"/>
        </w:trPr>
        <w:tc>
          <w:tcPr>
            <w:tcW w:w="1280" w:type="dxa"/>
            <w:vAlign w:val="bottom"/>
            <w:tcBorders>
              <w:bottom w:val="single" w:sz="8" w:color="auto"/>
            </w:tcBorders>
          </w:tcPr>
          <w:p>
            <w:pPr>
              <w:spacing w:after="0"/>
              <w:rPr>
                <w:sz w:val="18"/>
                <w:szCs w:val="18"/>
                <w:color w:val="auto"/>
              </w:rPr>
            </w:pPr>
          </w:p>
        </w:tc>
        <w:tc>
          <w:tcPr>
            <w:tcW w:w="99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tags are embedded within the Inline XBRL document)</w:t>
            </w:r>
          </w:p>
        </w:tc>
      </w:tr>
      <w:tr>
        <w:trPr>
          <w:trHeight w:val="223"/>
        </w:trPr>
        <w:tc>
          <w:tcPr>
            <w:tcW w:w="12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101.SCH</w:t>
            </w:r>
          </w:p>
        </w:tc>
        <w:tc>
          <w:tcPr>
            <w:tcW w:w="99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Inline XBRL Taxonomy Extension Schema (filed herewith)</w:t>
            </w:r>
          </w:p>
        </w:tc>
      </w:tr>
      <w:tr>
        <w:trPr>
          <w:trHeight w:val="223"/>
        </w:trPr>
        <w:tc>
          <w:tcPr>
            <w:tcW w:w="12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101.CAL</w:t>
            </w:r>
          </w:p>
        </w:tc>
        <w:tc>
          <w:tcPr>
            <w:tcW w:w="99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Inline XBRL Taxonomy Extension Calculation Linkbase (filed herewith)</w:t>
            </w:r>
          </w:p>
        </w:tc>
      </w:tr>
      <w:tr>
        <w:trPr>
          <w:trHeight w:val="223"/>
        </w:trPr>
        <w:tc>
          <w:tcPr>
            <w:tcW w:w="12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101.DEF</w:t>
            </w:r>
          </w:p>
        </w:tc>
        <w:tc>
          <w:tcPr>
            <w:tcW w:w="99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Inline XBRL Taxonomy Extension Definition Linkbase (filed herewith)</w:t>
            </w:r>
          </w:p>
        </w:tc>
      </w:tr>
      <w:tr>
        <w:trPr>
          <w:trHeight w:val="223"/>
        </w:trPr>
        <w:tc>
          <w:tcPr>
            <w:tcW w:w="12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101.LAB</w:t>
            </w:r>
          </w:p>
        </w:tc>
        <w:tc>
          <w:tcPr>
            <w:tcW w:w="99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Inline XBRL Taxonomy Extension Label Linkbase (filed herewith)</w:t>
            </w:r>
          </w:p>
        </w:tc>
      </w:tr>
      <w:tr>
        <w:trPr>
          <w:trHeight w:val="223"/>
        </w:trPr>
        <w:tc>
          <w:tcPr>
            <w:tcW w:w="1280" w:type="dxa"/>
            <w:vAlign w:val="bottom"/>
          </w:tcPr>
          <w:p>
            <w:pPr>
              <w:jc w:val="right"/>
              <w:ind w:right="110"/>
              <w:spacing w:after="0"/>
              <w:rPr>
                <w:sz w:val="20"/>
                <w:szCs w:val="20"/>
                <w:color w:val="auto"/>
              </w:rPr>
            </w:pPr>
            <w:r>
              <w:rPr>
                <w:rFonts w:ascii="Arial" w:cs="Arial" w:eastAsia="Arial" w:hAnsi="Arial"/>
                <w:sz w:val="18"/>
                <w:szCs w:val="18"/>
                <w:color w:val="auto"/>
              </w:rPr>
              <w:t>101.PRE</w:t>
            </w:r>
          </w:p>
        </w:tc>
        <w:tc>
          <w:tcPr>
            <w:tcW w:w="9920" w:type="dxa"/>
            <w:vAlign w:val="bottom"/>
          </w:tcPr>
          <w:p>
            <w:pPr>
              <w:ind w:left="180"/>
              <w:spacing w:after="0"/>
              <w:rPr>
                <w:sz w:val="20"/>
                <w:szCs w:val="20"/>
                <w:color w:val="auto"/>
              </w:rPr>
            </w:pPr>
            <w:r>
              <w:rPr>
                <w:rFonts w:ascii="Arial" w:cs="Arial" w:eastAsia="Arial" w:hAnsi="Arial"/>
                <w:sz w:val="18"/>
                <w:szCs w:val="18"/>
                <w:color w:val="auto"/>
              </w:rPr>
              <w:t>Inline XBRL Taxonomy Extension Presentation Linkbase (filed 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0</wp:posOffset>
            </wp:positionV>
            <wp:extent cx="711517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6" w:lineRule="exact"/>
        <w:rPr>
          <w:sz w:val="20"/>
          <w:szCs w:val="20"/>
          <w:color w:val="auto"/>
        </w:rPr>
      </w:pPr>
    </w:p>
    <w:p>
      <w:pPr>
        <w:ind w:right="2440" w:firstLine="797"/>
        <w:spacing w:after="0" w:line="637" w:lineRule="auto"/>
        <w:tabs>
          <w:tab w:leader="none" w:pos="1476"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Cover Page Interactive Data File (formatted as inline XBRL and contained in Exhibit 101) </w:t>
      </w:r>
      <w:r>
        <w:rPr>
          <w:rFonts w:ascii="Arial" w:cs="Arial" w:eastAsia="Arial" w:hAnsi="Arial"/>
          <w:sz w:val="18"/>
          <w:szCs w:val="18"/>
          <w:color w:val="212529"/>
        </w:rPr>
        <w:t>The Exhibits identified with an asterisk (*) are management contracts or compensatory plans or arrangements.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54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9" w:right="359" w:bottom="1440" w:gutter="0" w:footer="0" w:header="0"/>
        </w:sectPr>
      </w:pPr>
    </w:p>
    <w:bookmarkStart w:id="57" w:name="page58"/>
    <w:bookmarkEnd w:id="57"/>
    <w:p>
      <w:pPr>
        <w:spacing w:after="0"/>
        <w:rPr>
          <w:sz w:val="20"/>
          <w:szCs w:val="20"/>
          <w:color w:val="auto"/>
        </w:rPr>
      </w:pPr>
      <w:r>
        <w:rPr>
          <w:rFonts w:ascii="Arial" w:cs="Arial" w:eastAsia="Arial" w:hAnsi="Arial"/>
          <w:sz w:val="25"/>
          <w:szCs w:val="25"/>
          <w:b w:val="1"/>
          <w:bCs w:val="1"/>
          <w:color w:val="auto"/>
        </w:rPr>
        <w:t>SIGNATURES</w:t>
      </w:r>
    </w:p>
    <w:p>
      <w:pPr>
        <w:spacing w:after="0" w:line="14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8"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Honeywell International Inc.</w:t>
      </w:r>
    </w:p>
    <w:p>
      <w:pPr>
        <w:spacing w:after="0" w:line="252" w:lineRule="exact"/>
        <w:rPr>
          <w:sz w:val="20"/>
          <w:szCs w:val="20"/>
          <w:color w:val="auto"/>
        </w:rPr>
      </w:pPr>
    </w:p>
    <w:p>
      <w:pPr>
        <w:ind w:left="20"/>
        <w:spacing w:after="0"/>
        <w:tabs>
          <w:tab w:leader="none" w:pos="6760" w:val="left"/>
          <w:tab w:leader="none" w:pos="7280" w:val="left"/>
        </w:tabs>
        <w:rPr>
          <w:sz w:val="20"/>
          <w:szCs w:val="20"/>
          <w:color w:val="auto"/>
        </w:rPr>
      </w:pPr>
      <w:r>
        <w:rPr>
          <w:rFonts w:ascii="Arial" w:cs="Arial" w:eastAsia="Arial" w:hAnsi="Arial"/>
          <w:sz w:val="18"/>
          <w:szCs w:val="18"/>
          <w:color w:val="auto"/>
        </w:rPr>
        <w:t>Date: October 22,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Robert D. Mailloux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6350</wp:posOffset>
            </wp:positionV>
            <wp:extent cx="249491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2494915" cy="8255"/>
                    </a:xfrm>
                    <a:prstGeom prst="rect">
                      <a:avLst/>
                    </a:prstGeom>
                    <a:noFill/>
                  </pic:spPr>
                </pic:pic>
              </a:graphicData>
            </a:graphic>
          </wp:anchor>
        </w:drawing>
      </w:r>
    </w:p>
    <w:p>
      <w:pPr>
        <w:ind w:left="7300"/>
        <w:spacing w:after="0"/>
        <w:rPr>
          <w:sz w:val="20"/>
          <w:szCs w:val="20"/>
          <w:color w:val="auto"/>
        </w:rPr>
      </w:pPr>
      <w:r>
        <w:rPr>
          <w:rFonts w:ascii="Arial" w:cs="Arial" w:eastAsia="Arial" w:hAnsi="Arial"/>
          <w:sz w:val="18"/>
          <w:szCs w:val="18"/>
          <w:color w:val="auto"/>
        </w:rPr>
        <w:t>Robert D. Mailloux</w:t>
      </w:r>
    </w:p>
    <w:p>
      <w:pPr>
        <w:ind w:left="7300"/>
        <w:spacing w:after="0" w:line="203" w:lineRule="auto"/>
        <w:rPr>
          <w:sz w:val="20"/>
          <w:szCs w:val="20"/>
          <w:color w:val="auto"/>
        </w:rPr>
      </w:pPr>
      <w:r>
        <w:rPr>
          <w:rFonts w:ascii="Arial" w:cs="Arial" w:eastAsia="Arial" w:hAnsi="Arial"/>
          <w:sz w:val="18"/>
          <w:szCs w:val="18"/>
          <w:color w:val="auto"/>
        </w:rPr>
        <w:t>Vice President and Controller</w:t>
      </w:r>
    </w:p>
    <w:p>
      <w:pPr>
        <w:ind w:left="7300"/>
        <w:spacing w:after="0" w:line="203" w:lineRule="auto"/>
        <w:rPr>
          <w:sz w:val="20"/>
          <w:szCs w:val="20"/>
          <w:color w:val="auto"/>
        </w:rPr>
      </w:pPr>
      <w:r>
        <w:rPr>
          <w:rFonts w:ascii="Arial" w:cs="Arial" w:eastAsia="Arial" w:hAnsi="Arial"/>
          <w:sz w:val="18"/>
          <w:szCs w:val="18"/>
          <w:color w:val="auto"/>
        </w:rPr>
        <w:t>(on behalf of the Registrant</w:t>
      </w:r>
    </w:p>
    <w:p>
      <w:pPr>
        <w:ind w:left="7300"/>
        <w:spacing w:after="0" w:line="204" w:lineRule="auto"/>
        <w:rPr>
          <w:sz w:val="20"/>
          <w:szCs w:val="20"/>
          <w:color w:val="auto"/>
        </w:rPr>
      </w:pPr>
      <w:r>
        <w:rPr>
          <w:rFonts w:ascii="Arial" w:cs="Arial" w:eastAsia="Arial" w:hAnsi="Arial"/>
          <w:sz w:val="18"/>
          <w:szCs w:val="18"/>
          <w:color w:val="auto"/>
        </w:rPr>
        <w:t>and as the Registrant’s</w:t>
      </w:r>
    </w:p>
    <w:p>
      <w:pPr>
        <w:ind w:left="730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55 </w:t>
      </w:r>
      <w:r>
        <w:rPr>
          <w:rFonts w:ascii="Arial" w:cs="Arial" w:eastAsia="Arial" w:hAnsi="Arial"/>
          <w:sz w:val="18"/>
          <w:szCs w:val="18"/>
          <w:color w:val="000000"/>
        </w:rPr>
        <w:t>Honeywell International Inc.</w:t>
      </w:r>
    </w:p>
    <w:p>
      <w:pPr>
        <w:sectPr>
          <w:pgSz w:w="11900" w:h="16838" w:orient="portrait"/>
          <w:cols w:equalWidth="0" w:num="1">
            <w:col w:w="11220"/>
          </w:cols>
          <w:pgMar w:left="320" w:top="879" w:right="35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Darius Adamczyk, certify that:</w:t>
      </w:r>
    </w:p>
    <w:p>
      <w:pPr>
        <w:spacing w:after="0" w:line="266" w:lineRule="exact"/>
        <w:rPr>
          <w:sz w:val="20"/>
          <w:szCs w:val="20"/>
          <w:color w:val="auto"/>
        </w:rPr>
      </w:pPr>
    </w:p>
    <w:p>
      <w:pPr>
        <w:ind w:left="360" w:hanging="334"/>
        <w:spacing w:after="0"/>
        <w:tabs>
          <w:tab w:leader="none" w:pos="3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Honeywell International Inc.;</w:t>
      </w:r>
    </w:p>
    <w:p>
      <w:pPr>
        <w:spacing w:after="0" w:line="252" w:lineRule="exact"/>
        <w:rPr>
          <w:rFonts w:ascii="Arial" w:cs="Arial" w:eastAsia="Arial" w:hAnsi="Arial"/>
          <w:sz w:val="18"/>
          <w:szCs w:val="18"/>
          <w:color w:val="auto"/>
        </w:rPr>
      </w:pPr>
    </w:p>
    <w:p>
      <w:pPr>
        <w:jc w:val="both"/>
        <w:ind w:left="360" w:right="60" w:hanging="334"/>
        <w:spacing w:after="0" w:line="219" w:lineRule="auto"/>
        <w:tabs>
          <w:tab w:leader="none" w:pos="3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3" w:lineRule="exact"/>
        <w:rPr>
          <w:rFonts w:ascii="Arial" w:cs="Arial" w:eastAsia="Arial" w:hAnsi="Arial"/>
          <w:sz w:val="18"/>
          <w:szCs w:val="18"/>
          <w:color w:val="auto"/>
        </w:rPr>
      </w:pPr>
    </w:p>
    <w:p>
      <w:pPr>
        <w:ind w:left="360" w:right="60" w:hanging="334"/>
        <w:spacing w:after="0" w:line="227" w:lineRule="auto"/>
        <w:tabs>
          <w:tab w:leader="none" w:pos="3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2" w:lineRule="exact"/>
        <w:rPr>
          <w:rFonts w:ascii="Arial" w:cs="Arial" w:eastAsia="Arial" w:hAnsi="Arial"/>
          <w:sz w:val="18"/>
          <w:szCs w:val="18"/>
          <w:color w:val="auto"/>
        </w:rPr>
      </w:pPr>
    </w:p>
    <w:p>
      <w:pPr>
        <w:jc w:val="both"/>
        <w:ind w:left="360" w:right="60" w:hanging="334"/>
        <w:spacing w:after="0" w:line="203" w:lineRule="auto"/>
        <w:tabs>
          <w:tab w:leader="none" w:pos="3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6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52" w:lineRule="exact"/>
        <w:rPr>
          <w:rFonts w:ascii="Arial" w:cs="Arial" w:eastAsia="Arial" w:hAnsi="Arial"/>
          <w:sz w:val="18"/>
          <w:szCs w:val="18"/>
          <w:color w:val="auto"/>
        </w:rPr>
      </w:pPr>
    </w:p>
    <w:p>
      <w:pPr>
        <w:jc w:val="both"/>
        <w:ind w:left="1380" w:right="60" w:hanging="608"/>
        <w:spacing w:after="0" w:line="219" w:lineRule="auto"/>
        <w:tabs>
          <w:tab w:leader="none" w:pos="13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43" w:lineRule="exact"/>
        <w:rPr>
          <w:rFonts w:ascii="Arial" w:cs="Arial" w:eastAsia="Arial" w:hAnsi="Arial"/>
          <w:sz w:val="18"/>
          <w:szCs w:val="18"/>
          <w:color w:val="auto"/>
        </w:rPr>
      </w:pPr>
    </w:p>
    <w:p>
      <w:pPr>
        <w:jc w:val="both"/>
        <w:ind w:left="1380" w:right="80" w:hanging="608"/>
        <w:spacing w:after="0" w:line="219" w:lineRule="auto"/>
        <w:tabs>
          <w:tab w:leader="none" w:pos="13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43" w:lineRule="exact"/>
        <w:rPr>
          <w:rFonts w:ascii="Arial" w:cs="Arial" w:eastAsia="Arial" w:hAnsi="Arial"/>
          <w:sz w:val="18"/>
          <w:szCs w:val="18"/>
          <w:color w:val="auto"/>
        </w:rPr>
      </w:pPr>
    </w:p>
    <w:p>
      <w:pPr>
        <w:jc w:val="both"/>
        <w:ind w:left="1380" w:right="60" w:hanging="603"/>
        <w:spacing w:after="0" w:line="219" w:lineRule="auto"/>
        <w:tabs>
          <w:tab w:leader="none" w:pos="13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3" w:lineRule="exact"/>
        <w:rPr>
          <w:rFonts w:ascii="Arial" w:cs="Arial" w:eastAsia="Arial" w:hAnsi="Arial"/>
          <w:sz w:val="18"/>
          <w:szCs w:val="18"/>
          <w:color w:val="auto"/>
        </w:rPr>
      </w:pPr>
    </w:p>
    <w:p>
      <w:pPr>
        <w:jc w:val="both"/>
        <w:ind w:left="1380" w:right="60" w:hanging="608"/>
        <w:spacing w:after="0" w:line="219" w:lineRule="auto"/>
        <w:tabs>
          <w:tab w:leader="none" w:pos="13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43" w:lineRule="exact"/>
        <w:rPr>
          <w:rFonts w:ascii="Arial" w:cs="Arial" w:eastAsia="Arial" w:hAnsi="Arial"/>
          <w:sz w:val="18"/>
          <w:szCs w:val="18"/>
          <w:color w:val="auto"/>
        </w:rPr>
      </w:pPr>
    </w:p>
    <w:p>
      <w:pPr>
        <w:jc w:val="both"/>
        <w:ind w:left="360" w:right="60" w:hanging="334"/>
        <w:spacing w:after="0" w:line="219" w:lineRule="auto"/>
        <w:tabs>
          <w:tab w:leader="none" w:pos="3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3" w:lineRule="exact"/>
        <w:rPr>
          <w:rFonts w:ascii="Arial" w:cs="Arial" w:eastAsia="Arial" w:hAnsi="Arial"/>
          <w:sz w:val="18"/>
          <w:szCs w:val="18"/>
          <w:color w:val="auto"/>
        </w:rPr>
      </w:pPr>
    </w:p>
    <w:p>
      <w:pPr>
        <w:jc w:val="both"/>
        <w:ind w:left="1380" w:right="60" w:hanging="608"/>
        <w:spacing w:after="0" w:line="219" w:lineRule="auto"/>
        <w:tabs>
          <w:tab w:leader="none" w:pos="13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3" w:lineRule="exact"/>
        <w:rPr>
          <w:rFonts w:ascii="Arial" w:cs="Arial" w:eastAsia="Arial" w:hAnsi="Arial"/>
          <w:sz w:val="18"/>
          <w:szCs w:val="18"/>
          <w:color w:val="auto"/>
        </w:rPr>
      </w:pPr>
    </w:p>
    <w:p>
      <w:pPr>
        <w:ind w:left="1380" w:right="60" w:hanging="608"/>
        <w:spacing w:after="0" w:line="227" w:lineRule="auto"/>
        <w:tabs>
          <w:tab w:leader="none" w:pos="13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p>
      <w:pPr>
        <w:ind w:left="20"/>
        <w:spacing w:after="0"/>
        <w:tabs>
          <w:tab w:leader="none" w:pos="5480" w:val="left"/>
          <w:tab w:leader="none" w:pos="6140" w:val="left"/>
        </w:tabs>
        <w:rPr>
          <w:sz w:val="20"/>
          <w:szCs w:val="20"/>
          <w:color w:val="auto"/>
        </w:rPr>
      </w:pPr>
      <w:r>
        <w:rPr>
          <w:rFonts w:ascii="Arial" w:cs="Arial" w:eastAsia="Arial" w:hAnsi="Arial"/>
          <w:sz w:val="18"/>
          <w:szCs w:val="18"/>
          <w:color w:val="auto"/>
        </w:rPr>
        <w:t>Date: October 22,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Darius Adamczyk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6350</wp:posOffset>
            </wp:positionV>
            <wp:extent cx="32232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Darius Adamczyk</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240"/>
          </w:cols>
          <w:pgMar w:left="320" w:top="886"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Gregory P. Lewis, certify that:</w:t>
      </w:r>
    </w:p>
    <w:p>
      <w:pPr>
        <w:spacing w:after="0" w:line="266" w:lineRule="exact"/>
        <w:rPr>
          <w:sz w:val="20"/>
          <w:szCs w:val="20"/>
          <w:color w:val="auto"/>
        </w:rPr>
      </w:pPr>
    </w:p>
    <w:p>
      <w:pPr>
        <w:ind w:left="360" w:hanging="334"/>
        <w:spacing w:after="0"/>
        <w:tabs>
          <w:tab w:leader="none" w:pos="3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Honeywell International Inc.;</w:t>
      </w:r>
    </w:p>
    <w:p>
      <w:pPr>
        <w:spacing w:after="0" w:line="252" w:lineRule="exact"/>
        <w:rPr>
          <w:rFonts w:ascii="Arial" w:cs="Arial" w:eastAsia="Arial" w:hAnsi="Arial"/>
          <w:sz w:val="18"/>
          <w:szCs w:val="18"/>
          <w:color w:val="auto"/>
        </w:rPr>
      </w:pPr>
    </w:p>
    <w:p>
      <w:pPr>
        <w:jc w:val="both"/>
        <w:ind w:left="360" w:right="60" w:hanging="334"/>
        <w:spacing w:after="0" w:line="219" w:lineRule="auto"/>
        <w:tabs>
          <w:tab w:leader="none" w:pos="3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3" w:lineRule="exact"/>
        <w:rPr>
          <w:rFonts w:ascii="Arial" w:cs="Arial" w:eastAsia="Arial" w:hAnsi="Arial"/>
          <w:sz w:val="18"/>
          <w:szCs w:val="18"/>
          <w:color w:val="auto"/>
        </w:rPr>
      </w:pPr>
    </w:p>
    <w:p>
      <w:pPr>
        <w:ind w:left="360" w:right="60" w:hanging="334"/>
        <w:spacing w:after="0" w:line="227" w:lineRule="auto"/>
        <w:tabs>
          <w:tab w:leader="none" w:pos="3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2" w:lineRule="exact"/>
        <w:rPr>
          <w:rFonts w:ascii="Arial" w:cs="Arial" w:eastAsia="Arial" w:hAnsi="Arial"/>
          <w:sz w:val="18"/>
          <w:szCs w:val="18"/>
          <w:color w:val="auto"/>
        </w:rPr>
      </w:pPr>
    </w:p>
    <w:p>
      <w:pPr>
        <w:jc w:val="both"/>
        <w:ind w:left="360" w:right="60" w:hanging="334"/>
        <w:spacing w:after="0" w:line="203" w:lineRule="auto"/>
        <w:tabs>
          <w:tab w:leader="none" w:pos="3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6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52" w:lineRule="exact"/>
        <w:rPr>
          <w:rFonts w:ascii="Arial" w:cs="Arial" w:eastAsia="Arial" w:hAnsi="Arial"/>
          <w:sz w:val="18"/>
          <w:szCs w:val="18"/>
          <w:color w:val="auto"/>
        </w:rPr>
      </w:pPr>
    </w:p>
    <w:p>
      <w:pPr>
        <w:jc w:val="both"/>
        <w:ind w:left="1380" w:right="60" w:hanging="608"/>
        <w:spacing w:after="0" w:line="219" w:lineRule="auto"/>
        <w:tabs>
          <w:tab w:leader="none" w:pos="13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43" w:lineRule="exact"/>
        <w:rPr>
          <w:rFonts w:ascii="Arial" w:cs="Arial" w:eastAsia="Arial" w:hAnsi="Arial"/>
          <w:sz w:val="18"/>
          <w:szCs w:val="18"/>
          <w:color w:val="auto"/>
        </w:rPr>
      </w:pPr>
    </w:p>
    <w:p>
      <w:pPr>
        <w:jc w:val="both"/>
        <w:ind w:left="1380" w:right="80" w:hanging="608"/>
        <w:spacing w:after="0" w:line="219" w:lineRule="auto"/>
        <w:tabs>
          <w:tab w:leader="none" w:pos="13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43" w:lineRule="exact"/>
        <w:rPr>
          <w:rFonts w:ascii="Arial" w:cs="Arial" w:eastAsia="Arial" w:hAnsi="Arial"/>
          <w:sz w:val="18"/>
          <w:szCs w:val="18"/>
          <w:color w:val="auto"/>
        </w:rPr>
      </w:pPr>
    </w:p>
    <w:p>
      <w:pPr>
        <w:jc w:val="both"/>
        <w:ind w:left="1380" w:right="60" w:hanging="603"/>
        <w:spacing w:after="0" w:line="219" w:lineRule="auto"/>
        <w:tabs>
          <w:tab w:leader="none" w:pos="13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3" w:lineRule="exact"/>
        <w:rPr>
          <w:rFonts w:ascii="Arial" w:cs="Arial" w:eastAsia="Arial" w:hAnsi="Arial"/>
          <w:sz w:val="18"/>
          <w:szCs w:val="18"/>
          <w:color w:val="auto"/>
        </w:rPr>
      </w:pPr>
    </w:p>
    <w:p>
      <w:pPr>
        <w:jc w:val="both"/>
        <w:ind w:left="1380" w:right="60" w:hanging="608"/>
        <w:spacing w:after="0" w:line="219" w:lineRule="auto"/>
        <w:tabs>
          <w:tab w:leader="none" w:pos="13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43" w:lineRule="exact"/>
        <w:rPr>
          <w:rFonts w:ascii="Arial" w:cs="Arial" w:eastAsia="Arial" w:hAnsi="Arial"/>
          <w:sz w:val="18"/>
          <w:szCs w:val="18"/>
          <w:color w:val="auto"/>
        </w:rPr>
      </w:pPr>
    </w:p>
    <w:p>
      <w:pPr>
        <w:jc w:val="both"/>
        <w:ind w:left="360" w:right="60" w:hanging="334"/>
        <w:spacing w:after="0" w:line="219" w:lineRule="auto"/>
        <w:tabs>
          <w:tab w:leader="none" w:pos="3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3" w:lineRule="exact"/>
        <w:rPr>
          <w:rFonts w:ascii="Arial" w:cs="Arial" w:eastAsia="Arial" w:hAnsi="Arial"/>
          <w:sz w:val="18"/>
          <w:szCs w:val="18"/>
          <w:color w:val="auto"/>
        </w:rPr>
      </w:pPr>
    </w:p>
    <w:p>
      <w:pPr>
        <w:jc w:val="both"/>
        <w:ind w:left="1380" w:right="60" w:hanging="608"/>
        <w:spacing w:after="0" w:line="219" w:lineRule="auto"/>
        <w:tabs>
          <w:tab w:leader="none" w:pos="13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3" w:lineRule="exact"/>
        <w:rPr>
          <w:rFonts w:ascii="Arial" w:cs="Arial" w:eastAsia="Arial" w:hAnsi="Arial"/>
          <w:sz w:val="18"/>
          <w:szCs w:val="18"/>
          <w:color w:val="auto"/>
        </w:rPr>
      </w:pPr>
    </w:p>
    <w:p>
      <w:pPr>
        <w:ind w:left="1380" w:right="60" w:hanging="608"/>
        <w:spacing w:after="0" w:line="227" w:lineRule="auto"/>
        <w:tabs>
          <w:tab w:leader="none" w:pos="13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p>
      <w:pPr>
        <w:ind w:left="20"/>
        <w:spacing w:after="0"/>
        <w:tabs>
          <w:tab w:leader="none" w:pos="5480" w:val="left"/>
          <w:tab w:leader="none" w:pos="6140" w:val="left"/>
        </w:tabs>
        <w:rPr>
          <w:sz w:val="20"/>
          <w:szCs w:val="20"/>
          <w:color w:val="auto"/>
        </w:rPr>
      </w:pPr>
      <w:r>
        <w:rPr>
          <w:rFonts w:ascii="Arial" w:cs="Arial" w:eastAsia="Arial" w:hAnsi="Arial"/>
          <w:sz w:val="18"/>
          <w:szCs w:val="18"/>
          <w:color w:val="auto"/>
        </w:rPr>
        <w:t>Date: October 22,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Gregory P.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6350</wp:posOffset>
            </wp:positionV>
            <wp:extent cx="32232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Gregory P. Lewis</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240"/>
          </w:cols>
          <w:pgMar w:left="320" w:top="886"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Quarterly Report of Honeywell International Inc. (the Company) on Form 10-Q for the period ended September 30, 2021 as filed with the Securities and Exchange Commission on the date hereof (the Report), I, Darius Adamczyk, Chairman and Chief Executive Officer of the Company, certify, pursuant to 18 U.S.C. Section 1350, as adopted pursuant to Section 906 of the Sarbanes-Oxley Act of 2002, that:</w:t>
      </w:r>
    </w:p>
    <w:p>
      <w:pPr>
        <w:spacing w:after="0" w:line="204" w:lineRule="exact"/>
        <w:rPr>
          <w:sz w:val="20"/>
          <w:szCs w:val="20"/>
          <w:color w:val="auto"/>
        </w:rPr>
      </w:pPr>
    </w:p>
    <w:p>
      <w:pPr>
        <w:ind w:left="800" w:hanging="306"/>
        <w:spacing w:after="0"/>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 w:lineRule="exact"/>
        <w:rPr>
          <w:rFonts w:ascii="Arial" w:cs="Arial" w:eastAsia="Arial" w:hAnsi="Arial"/>
          <w:sz w:val="18"/>
          <w:szCs w:val="18"/>
          <w:color w:val="auto"/>
        </w:rPr>
      </w:pPr>
    </w:p>
    <w:p>
      <w:pPr>
        <w:ind w:left="820" w:right="20" w:hanging="326"/>
        <w:spacing w:after="0" w:line="261" w:lineRule="auto"/>
        <w:tabs>
          <w:tab w:leader="none" w:pos="81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65" w:lineRule="exact"/>
        <w:rPr>
          <w:sz w:val="20"/>
          <w:szCs w:val="20"/>
          <w:color w:val="auto"/>
        </w:rPr>
      </w:pPr>
    </w:p>
    <w:tbl>
      <w:tblPr>
        <w:tblLayout w:type="fixed"/>
        <w:tblInd w:w="180" w:type="dxa"/>
        <w:tblCellMar>
          <w:top w:w="0" w:type="dxa"/>
          <w:left w:w="0" w:type="dxa"/>
          <w:bottom w:w="0" w:type="dxa"/>
          <w:right w:w="0" w:type="dxa"/>
        </w:tblCellMar>
      </w:tblPr>
      <w:tr>
        <w:trPr>
          <w:trHeight w:val="217"/>
        </w:trPr>
        <w:tc>
          <w:tcPr>
            <w:tcW w:w="3640" w:type="dxa"/>
            <w:vAlign w:val="bottom"/>
          </w:tcPr>
          <w:p>
            <w:pPr>
              <w:spacing w:after="0"/>
              <w:rPr>
                <w:sz w:val="20"/>
                <w:szCs w:val="20"/>
                <w:color w:val="auto"/>
              </w:rPr>
            </w:pPr>
            <w:r>
              <w:rPr>
                <w:rFonts w:ascii="Arial" w:cs="Arial" w:eastAsia="Arial" w:hAnsi="Arial"/>
                <w:sz w:val="18"/>
                <w:szCs w:val="18"/>
                <w:color w:val="auto"/>
              </w:rPr>
              <w:t>Date: October 22, 2021</w:t>
            </w:r>
          </w:p>
        </w:tc>
        <w:tc>
          <w:tcPr>
            <w:tcW w:w="2380" w:type="dxa"/>
            <w:vAlign w:val="bottom"/>
          </w:tcPr>
          <w:p>
            <w:pPr>
              <w:ind w:left="176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Darius Adamczyk</w:t>
            </w:r>
          </w:p>
        </w:tc>
      </w:tr>
      <w:tr>
        <w:trPr>
          <w:trHeight w:val="223"/>
        </w:trPr>
        <w:tc>
          <w:tcPr>
            <w:tcW w:w="36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Darius Adamczyk</w:t>
            </w:r>
          </w:p>
        </w:tc>
      </w:tr>
      <w:tr>
        <w:trPr>
          <w:trHeight w:val="229"/>
        </w:trPr>
        <w:tc>
          <w:tcPr>
            <w:tcW w:w="36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Chairman and Chief Executive Officer</w:t>
            </w:r>
          </w:p>
        </w:tc>
      </w:tr>
    </w:tbl>
    <w:p>
      <w:pPr>
        <w:sectPr>
          <w:pgSz w:w="11900" w:h="16838" w:orient="portrait"/>
          <w:cols w:equalWidth="0" w:num="1">
            <w:col w:w="11240"/>
          </w:cols>
          <w:pgMar w:left="320" w:top="886"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Quarterly Report of Honeywell International Inc. (the Company) on Form 10-Q for the period ended September 30, 2021 as filed with the Securities and Exchange Commission on the date hereof (the Report), I, Gregory P. Lewis, Senior Vice President and Chief Financial Officer of the Company, certify, pursuant to 18 U.S.C. Section 1350, as adopted pursuant to Section 906 of the Sarbanes-Oxley Act of 2002, that:</w:t>
      </w:r>
    </w:p>
    <w:p>
      <w:pPr>
        <w:spacing w:after="0" w:line="204" w:lineRule="exact"/>
        <w:rPr>
          <w:sz w:val="20"/>
          <w:szCs w:val="20"/>
          <w:color w:val="auto"/>
        </w:rPr>
      </w:pPr>
    </w:p>
    <w:p>
      <w:pPr>
        <w:ind w:left="800" w:hanging="306"/>
        <w:spacing w:after="0"/>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 w:lineRule="exact"/>
        <w:rPr>
          <w:rFonts w:ascii="Arial" w:cs="Arial" w:eastAsia="Arial" w:hAnsi="Arial"/>
          <w:sz w:val="18"/>
          <w:szCs w:val="18"/>
          <w:color w:val="auto"/>
        </w:rPr>
      </w:pPr>
    </w:p>
    <w:p>
      <w:pPr>
        <w:ind w:left="820" w:right="20" w:hanging="326"/>
        <w:spacing w:after="0" w:line="261" w:lineRule="auto"/>
        <w:tabs>
          <w:tab w:leader="none" w:pos="81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65" w:lineRule="exact"/>
        <w:rPr>
          <w:sz w:val="20"/>
          <w:szCs w:val="20"/>
          <w:color w:val="auto"/>
        </w:rPr>
      </w:pPr>
    </w:p>
    <w:tbl>
      <w:tblPr>
        <w:tblLayout w:type="fixed"/>
        <w:tblInd w:w="180" w:type="dxa"/>
        <w:tblCellMar>
          <w:top w:w="0" w:type="dxa"/>
          <w:left w:w="0" w:type="dxa"/>
          <w:bottom w:w="0" w:type="dxa"/>
          <w:right w:w="0" w:type="dxa"/>
        </w:tblCellMar>
      </w:tblPr>
      <w:tr>
        <w:trPr>
          <w:trHeight w:val="217"/>
        </w:trPr>
        <w:tc>
          <w:tcPr>
            <w:tcW w:w="3640" w:type="dxa"/>
            <w:vAlign w:val="bottom"/>
          </w:tcPr>
          <w:p>
            <w:pPr>
              <w:spacing w:after="0"/>
              <w:rPr>
                <w:sz w:val="20"/>
                <w:szCs w:val="20"/>
                <w:color w:val="auto"/>
              </w:rPr>
            </w:pPr>
            <w:r>
              <w:rPr>
                <w:rFonts w:ascii="Arial" w:cs="Arial" w:eastAsia="Arial" w:hAnsi="Arial"/>
                <w:sz w:val="18"/>
                <w:szCs w:val="18"/>
                <w:color w:val="auto"/>
              </w:rPr>
              <w:t>Date: October 22, 2021</w:t>
            </w:r>
          </w:p>
        </w:tc>
        <w:tc>
          <w:tcPr>
            <w:tcW w:w="2380" w:type="dxa"/>
            <w:vAlign w:val="bottom"/>
          </w:tcPr>
          <w:p>
            <w:pPr>
              <w:ind w:left="176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Gregory P. Lewis</w:t>
            </w:r>
          </w:p>
        </w:tc>
      </w:tr>
      <w:tr>
        <w:trPr>
          <w:trHeight w:val="223"/>
        </w:trPr>
        <w:tc>
          <w:tcPr>
            <w:tcW w:w="36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Gregory P. Lewis</w:t>
            </w:r>
          </w:p>
        </w:tc>
      </w:tr>
      <w:tr>
        <w:trPr>
          <w:trHeight w:val="229"/>
        </w:trPr>
        <w:tc>
          <w:tcPr>
            <w:tcW w:w="36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r>
    </w:tbl>
    <w:p>
      <w:pPr>
        <w:sectPr>
          <w:pgSz w:w="11900" w:h="16838" w:orient="portrait"/>
          <w:cols w:equalWidth="0" w:num="1">
            <w:col w:w="11240"/>
          </w:cols>
          <w:pgMar w:left="320" w:top="886"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95</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Mine Safety Disclosures</w:t>
      </w:r>
    </w:p>
    <w:p>
      <w:pPr>
        <w:spacing w:after="0" w:line="355" w:lineRule="exact"/>
        <w:rPr>
          <w:sz w:val="20"/>
          <w:szCs w:val="20"/>
          <w:color w:val="auto"/>
        </w:rPr>
      </w:pPr>
    </w:p>
    <w:p>
      <w:pPr>
        <w:jc w:val="both"/>
        <w:ind w:firstLine="364"/>
        <w:spacing w:after="0" w:line="253" w:lineRule="auto"/>
        <w:rPr>
          <w:sz w:val="20"/>
          <w:szCs w:val="20"/>
          <w:color w:val="auto"/>
        </w:rPr>
      </w:pPr>
      <w:r>
        <w:rPr>
          <w:rFonts w:ascii="Arial" w:cs="Arial" w:eastAsia="Arial" w:hAnsi="Arial"/>
          <w:sz w:val="18"/>
          <w:szCs w:val="18"/>
          <w:color w:val="auto"/>
        </w:rPr>
        <w:t>The following disclosures are provided pursuant to Section 1503(a) of the Dodd-Frank Wall Street Reform and Consumer Protection Act and Item 104 of Regulation S-K, which require certain disclosures by companies required to file periodic reports under the Securities Exchange Act of 1934, as amended, that operate mines regulated under the Federal Mine Safety and Health Act of 1977 (the "Mine Safety Act"). One of the subsidiaries of Honeywell International Inc. (the "Company") has placer claims for and operates a surface mine for chabazite ore in Arizona.</w:t>
      </w:r>
    </w:p>
    <w:p>
      <w:pPr>
        <w:spacing w:after="0" w:line="97" w:lineRule="exact"/>
        <w:rPr>
          <w:sz w:val="20"/>
          <w:szCs w:val="20"/>
          <w:color w:val="auto"/>
        </w:rPr>
      </w:pPr>
    </w:p>
    <w:p>
      <w:pPr>
        <w:jc w:val="both"/>
        <w:ind w:firstLine="364"/>
        <w:spacing w:after="0" w:line="252" w:lineRule="auto"/>
        <w:rPr>
          <w:sz w:val="20"/>
          <w:szCs w:val="20"/>
          <w:color w:val="auto"/>
        </w:rPr>
      </w:pPr>
      <w:r>
        <w:rPr>
          <w:rFonts w:ascii="Arial" w:cs="Arial" w:eastAsia="Arial" w:hAnsi="Arial"/>
          <w:sz w:val="18"/>
          <w:szCs w:val="18"/>
          <w:color w:val="auto"/>
        </w:rPr>
        <w:t>During the quarter ended September 30, 2021, the Company did not receive any of the following: (a) a citation from the U.S. Mine Safety and Health Administration (“MSHA”) for a violation of mandatory health or safety standards that could significantly and substantially contribute to the cause and effect of a coal or other mine safety or health hazard under section 104 of the Mine Safety Act; (b) an order issued under section 104(b) of the Mine Safety Act; (c) a citation or order for unwarrantable failure of the mine operator to comply with mandatory health or safety standards under section 104(d) of the Mine Safety Act; (d) a flagrant violation under section 110(b)(2) of the Mine Safety Act; (e) an imminent danger order under section 107(a) of the Mine Safety Act; or (f) a proposed assessment from the MSHA.</w:t>
      </w:r>
    </w:p>
    <w:p>
      <w:pPr>
        <w:spacing w:after="0" w:line="100" w:lineRule="exact"/>
        <w:rPr>
          <w:sz w:val="20"/>
          <w:szCs w:val="20"/>
          <w:color w:val="auto"/>
        </w:rPr>
      </w:pPr>
    </w:p>
    <w:p>
      <w:pPr>
        <w:jc w:val="both"/>
        <w:ind w:firstLine="364"/>
        <w:spacing w:after="0" w:line="253" w:lineRule="auto"/>
        <w:rPr>
          <w:sz w:val="20"/>
          <w:szCs w:val="20"/>
          <w:color w:val="auto"/>
        </w:rPr>
      </w:pPr>
      <w:r>
        <w:rPr>
          <w:rFonts w:ascii="Arial" w:cs="Arial" w:eastAsia="Arial" w:hAnsi="Arial"/>
          <w:sz w:val="18"/>
          <w:szCs w:val="18"/>
          <w:color w:val="auto"/>
        </w:rPr>
        <w:t>In addition, during the quarter ended September 30, 2021, the Company had no mining-related fatalities, had no pending legal actions before the Federal Mine Safety and Health Review Commission involving a coal or other mine, and did not receive any written notice from the MSHA involving a pattern of violations, or the potential to have such a pattern, of mandatory health or safety standards that are of such nature as could have significantly and substantially contributed to the cause and effect of coal or other mine health or safety hazards under section 104(e) of the Mine Safety Act.</w:t>
      </w: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1)"/>
      <w:numFmt w:val="lowerLetter"/>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1)"/>
      <w:numFmt w:val="decimal"/>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
      <w:numFmt w:val="bullet"/>
      <w:start w:val="1"/>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1"/>
      <w:numFmt w:val="decimal"/>
      <w:start w:val="95"/>
    </w:lvl>
  </w:abstractNum>
  <w:abstractNum w:abstractNumId="31">
    <w:nsid w:val="614FD4A1"/>
    <w:multiLevelType w:val="hybridMultilevel"/>
    <w:lvl w:ilvl="0">
      <w:lvlJc w:val="left"/>
      <w:lvlText w:val="%1"/>
      <w:numFmt w:val="decimal"/>
      <w:start w:val="104"/>
    </w:lvl>
  </w:abstractNum>
  <w:abstractNum w:abstractNumId="32">
    <w:nsid w:val="419AC241"/>
    <w:multiLevelType w:val="hybridMultilevel"/>
    <w:lvl w:ilvl="0">
      <w:lvlJc w:val="left"/>
      <w:lvlText w:val="%1."/>
      <w:numFmt w:val="decimal"/>
      <w:start w:val="1"/>
    </w:lvl>
    <w:lvl w:ilvl="1">
      <w:lvlJc w:val="left"/>
      <w:lvlText w:val="%2)"/>
      <w:numFmt w:val="lowerLetter"/>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2" Type="http://schemas.openxmlformats.org/officeDocument/2006/relationships/hyperlink" Target="http://www.sec.gov/Archives/edgar/data/773840/000077384021000057/exhibit108063020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2021-10-22T07:34:35Z</dcterms:created>
  <dcterms:modified xsi:type="dcterms:W3CDTF">2021-10-22T07:34:35Z</dcterms:modified>
</cp:coreProperties>
</file>