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2015</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46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6540" w:type="dxa"/>
            <w:vAlign w:val="bottom"/>
            <w:gridSpan w:val="3"/>
          </w:tcPr>
          <w:p>
            <w:pPr>
              <w:jc w:val="center"/>
              <w:ind w:right="3140"/>
              <w:spacing w:after="0"/>
              <w:rPr>
                <w:sz w:val="20"/>
                <w:szCs w:val="20"/>
                <w:color w:val="auto"/>
              </w:rPr>
            </w:pPr>
            <w:r>
              <w:rPr>
                <w:rFonts w:ascii="Arial" w:cs="Arial" w:eastAsia="Arial" w:hAnsi="Arial"/>
                <w:sz w:val="18"/>
                <w:szCs w:val="18"/>
                <w:color w:val="auto"/>
                <w:w w:val="99"/>
              </w:rPr>
              <w:t>Delaware</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22-2640650</w:t>
            </w:r>
          </w:p>
        </w:tc>
        <w:tc>
          <w:tcPr>
            <w:tcW w:w="1160" w:type="dxa"/>
            <w:vAlign w:val="bottom"/>
          </w:tcPr>
          <w:p>
            <w:pPr>
              <w:spacing w:after="0"/>
              <w:rPr>
                <w:sz w:val="18"/>
                <w:szCs w:val="18"/>
                <w:color w:val="auto"/>
              </w:rPr>
            </w:pPr>
          </w:p>
        </w:tc>
      </w:tr>
      <w:tr>
        <w:trPr>
          <w:trHeight w:val="195"/>
        </w:trPr>
        <w:tc>
          <w:tcPr>
            <w:tcW w:w="116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1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2"/>
          </w:tcPr>
          <w:p>
            <w:pPr>
              <w:jc w:val="center"/>
              <w:ind w:right="82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160" w:type="dxa"/>
            <w:vAlign w:val="bottom"/>
          </w:tcPr>
          <w:p>
            <w:pPr>
              <w:spacing w:after="0"/>
              <w:rPr>
                <w:sz w:val="18"/>
                <w:szCs w:val="18"/>
                <w:color w:val="auto"/>
              </w:rPr>
            </w:pPr>
          </w:p>
        </w:tc>
        <w:tc>
          <w:tcPr>
            <w:tcW w:w="6540" w:type="dxa"/>
            <w:vAlign w:val="bottom"/>
            <w:gridSpan w:val="3"/>
          </w:tcPr>
          <w:p>
            <w:pPr>
              <w:jc w:val="center"/>
              <w:ind w:right="3120"/>
              <w:spacing w:after="0"/>
              <w:rPr>
                <w:sz w:val="20"/>
                <w:szCs w:val="20"/>
                <w:color w:val="auto"/>
              </w:rPr>
            </w:pPr>
            <w:r>
              <w:rPr>
                <w:rFonts w:ascii="Arial" w:cs="Arial" w:eastAsia="Arial" w:hAnsi="Arial"/>
                <w:sz w:val="18"/>
                <w:szCs w:val="18"/>
                <w:color w:val="auto"/>
                <w:w w:val="99"/>
              </w:rPr>
              <w:t>incorporation or organization)</w:t>
            </w:r>
          </w:p>
        </w:tc>
        <w:tc>
          <w:tcPr>
            <w:tcW w:w="282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Identification No.)</w:t>
            </w:r>
          </w:p>
        </w:tc>
      </w:tr>
      <w:tr>
        <w:trPr>
          <w:trHeight w:val="418"/>
        </w:trPr>
        <w:tc>
          <w:tcPr>
            <w:tcW w:w="1160" w:type="dxa"/>
            <w:vAlign w:val="bottom"/>
          </w:tcPr>
          <w:p>
            <w:pPr>
              <w:spacing w:after="0"/>
              <w:rPr>
                <w:sz w:val="24"/>
                <w:szCs w:val="24"/>
                <w:color w:val="auto"/>
              </w:rPr>
            </w:pPr>
          </w:p>
        </w:tc>
        <w:tc>
          <w:tcPr>
            <w:tcW w:w="6540" w:type="dxa"/>
            <w:vAlign w:val="bottom"/>
            <w:gridSpan w:val="3"/>
          </w:tcPr>
          <w:p>
            <w:pPr>
              <w:jc w:val="center"/>
              <w:ind w:right="3140"/>
              <w:spacing w:after="0"/>
              <w:rPr>
                <w:sz w:val="20"/>
                <w:szCs w:val="20"/>
                <w:color w:val="auto"/>
              </w:rPr>
            </w:pPr>
            <w:r>
              <w:rPr>
                <w:rFonts w:ascii="Arial" w:cs="Arial" w:eastAsia="Arial" w:hAnsi="Arial"/>
                <w:sz w:val="18"/>
                <w:szCs w:val="18"/>
                <w:color w:val="auto"/>
                <w:w w:val="98"/>
              </w:rPr>
              <w:t>115 Tabor Road</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540" w:type="dxa"/>
            <w:vAlign w:val="bottom"/>
            <w:gridSpan w:val="3"/>
          </w:tcPr>
          <w:p>
            <w:pPr>
              <w:jc w:val="center"/>
              <w:ind w:right="3140"/>
              <w:spacing w:after="0" w:line="203" w:lineRule="exact"/>
              <w:rPr>
                <w:sz w:val="20"/>
                <w:szCs w:val="20"/>
                <w:color w:val="auto"/>
              </w:rPr>
            </w:pPr>
            <w:r>
              <w:rPr>
                <w:rFonts w:ascii="Arial" w:cs="Arial" w:eastAsia="Arial" w:hAnsi="Arial"/>
                <w:sz w:val="18"/>
                <w:szCs w:val="18"/>
                <w:color w:val="auto"/>
                <w:w w:val="99"/>
              </w:rPr>
              <w:t>Morris Plains, New Jersey</w:t>
            </w:r>
          </w:p>
        </w:tc>
        <w:tc>
          <w:tcPr>
            <w:tcW w:w="166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07950</w:t>
            </w:r>
          </w:p>
        </w:tc>
        <w:tc>
          <w:tcPr>
            <w:tcW w:w="1160" w:type="dxa"/>
            <w:vAlign w:val="bottom"/>
          </w:tcPr>
          <w:p>
            <w:pPr>
              <w:spacing w:after="0"/>
              <w:rPr>
                <w:sz w:val="17"/>
                <w:szCs w:val="17"/>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70"/>
              <w:spacing w:after="0"/>
              <w:rPr>
                <w:sz w:val="20"/>
                <w:szCs w:val="20"/>
                <w:color w:val="auto"/>
              </w:rPr>
            </w:pPr>
            <w:r>
              <w:rPr>
                <w:rFonts w:ascii="Arial" w:cs="Arial" w:eastAsia="Arial" w:hAnsi="Arial"/>
                <w:sz w:val="18"/>
                <w:szCs w:val="18"/>
                <w:color w:val="auto"/>
                <w:w w:val="99"/>
              </w:rPr>
              <w:t>(Address of principal executive offices)</w:t>
            </w:r>
          </w:p>
        </w:tc>
        <w:tc>
          <w:tcPr>
            <w:tcW w:w="1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8"/>
                <w:szCs w:val="18"/>
                <w:color w:val="auto"/>
              </w:rPr>
              <w:t>(Zip Code)</w:t>
            </w:r>
          </w:p>
        </w:tc>
      </w:tr>
      <w:tr>
        <w:trPr>
          <w:trHeight w:val="418"/>
        </w:trPr>
        <w:tc>
          <w:tcPr>
            <w:tcW w:w="6860" w:type="dxa"/>
            <w:vAlign w:val="bottom"/>
            <w:gridSpan w:val="3"/>
          </w:tcPr>
          <w:p>
            <w:pPr>
              <w:jc w:val="center"/>
              <w:ind w:left="3570"/>
              <w:spacing w:after="0"/>
              <w:rPr>
                <w:sz w:val="20"/>
                <w:szCs w:val="20"/>
                <w:color w:val="auto"/>
              </w:rPr>
            </w:pPr>
            <w:r>
              <w:rPr>
                <w:rFonts w:ascii="Arial" w:cs="Arial" w:eastAsia="Arial" w:hAnsi="Arial"/>
                <w:sz w:val="18"/>
                <w:szCs w:val="18"/>
                <w:color w:val="auto"/>
              </w:rPr>
              <w:t>(973) 455-2000</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6540" w:type="dxa"/>
            <w:vAlign w:val="bottom"/>
            <w:tcBorders>
              <w:top w:val="single" w:sz="8" w:color="auto"/>
            </w:tcBorders>
            <w:gridSpan w:val="3"/>
          </w:tcPr>
          <w:p>
            <w:pPr>
              <w:jc w:val="center"/>
              <w:ind w:left="1590"/>
              <w:spacing w:after="0"/>
              <w:rPr>
                <w:sz w:val="20"/>
                <w:szCs w:val="20"/>
                <w:color w:val="auto"/>
              </w:rPr>
            </w:pPr>
            <w:r>
              <w:rPr>
                <w:rFonts w:ascii="Arial" w:cs="Arial" w:eastAsia="Arial" w:hAnsi="Arial"/>
                <w:sz w:val="18"/>
                <w:szCs w:val="18"/>
                <w:color w:val="auto"/>
                <w:w w:val="99"/>
              </w:rPr>
              <w:t>(Registrant’s telephone number, including area code)</w:t>
            </w:r>
          </w:p>
        </w:tc>
        <w:tc>
          <w:tcPr>
            <w:tcW w:w="166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418"/>
        </w:trPr>
        <w:tc>
          <w:tcPr>
            <w:tcW w:w="1160" w:type="dxa"/>
            <w:vAlign w:val="bottom"/>
          </w:tcPr>
          <w:p>
            <w:pPr>
              <w:spacing w:after="0"/>
              <w:rPr>
                <w:sz w:val="24"/>
                <w:szCs w:val="24"/>
                <w:color w:val="auto"/>
              </w:rPr>
            </w:pPr>
          </w:p>
        </w:tc>
        <w:tc>
          <w:tcPr>
            <w:tcW w:w="6540" w:type="dxa"/>
            <w:vAlign w:val="bottom"/>
            <w:tcBorders>
              <w:bottom w:val="single" w:sz="8" w:color="auto"/>
            </w:tcBorders>
            <w:gridSpan w:val="3"/>
          </w:tcPr>
          <w:p>
            <w:pPr>
              <w:jc w:val="center"/>
              <w:ind w:left="1570"/>
              <w:spacing w:after="0"/>
              <w:rPr>
                <w:sz w:val="20"/>
                <w:szCs w:val="20"/>
                <w:color w:val="auto"/>
              </w:rPr>
            </w:pPr>
            <w:r>
              <w:rPr>
                <w:rFonts w:ascii="Arial" w:cs="Arial" w:eastAsia="Arial" w:hAnsi="Arial"/>
                <w:sz w:val="18"/>
                <w:szCs w:val="18"/>
                <w:color w:val="auto"/>
                <w:w w:val="99"/>
              </w:rPr>
              <w:t>Not Applicable</w:t>
            </w:r>
          </w:p>
        </w:tc>
        <w:tc>
          <w:tcPr>
            <w:tcW w:w="16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1160" w:type="dxa"/>
            <w:vAlign w:val="bottom"/>
          </w:tcPr>
          <w:p>
            <w:pPr>
              <w:spacing w:after="0"/>
              <w:rPr>
                <w:sz w:val="16"/>
                <w:szCs w:val="16"/>
                <w:color w:val="auto"/>
              </w:rPr>
            </w:pPr>
          </w:p>
        </w:tc>
        <w:tc>
          <w:tcPr>
            <w:tcW w:w="6540" w:type="dxa"/>
            <w:vAlign w:val="bottom"/>
            <w:gridSpan w:val="3"/>
          </w:tcPr>
          <w:p>
            <w:pPr>
              <w:jc w:val="center"/>
              <w:ind w:left="157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1160" w:type="dxa"/>
            <w:vAlign w:val="bottom"/>
          </w:tcPr>
          <w:p>
            <w:pPr>
              <w:spacing w:after="0"/>
              <w:rPr>
                <w:sz w:val="18"/>
                <w:szCs w:val="18"/>
                <w:color w:val="auto"/>
              </w:rPr>
            </w:pPr>
          </w:p>
        </w:tc>
        <w:tc>
          <w:tcPr>
            <w:tcW w:w="6540" w:type="dxa"/>
            <w:vAlign w:val="bottom"/>
            <w:gridSpan w:val="3"/>
          </w:tcPr>
          <w:p>
            <w:pPr>
              <w:jc w:val="center"/>
              <w:ind w:left="1570"/>
              <w:spacing w:after="0"/>
              <w:rPr>
                <w:sz w:val="20"/>
                <w:szCs w:val="20"/>
                <w:color w:val="auto"/>
              </w:rPr>
            </w:pPr>
            <w:r>
              <w:rPr>
                <w:rFonts w:ascii="Arial" w:cs="Arial" w:eastAsia="Arial" w:hAnsi="Arial"/>
                <w:sz w:val="18"/>
                <w:szCs w:val="18"/>
                <w:color w:val="auto"/>
                <w:w w:val="99"/>
              </w:rPr>
              <w:t>if changed since last report)</w:t>
            </w: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770,691,419 shares of Common Stock outstanding at September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16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80" w:type="dxa"/>
            <w:vAlign w:val="bottom"/>
          </w:tcPr>
          <w:p>
            <w:pPr>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0" w:type="dxa"/>
            <w:vAlign w:val="bottom"/>
          </w:tcPr>
          <w:p>
            <w:pPr>
              <w:spacing w:after="0" w:line="20" w:lineRule="exact"/>
              <w:rPr>
                <w:sz w:val="1"/>
                <w:szCs w:val="1"/>
                <w:color w:val="auto"/>
              </w:rPr>
            </w:pPr>
          </w:p>
        </w:tc>
        <w:tc>
          <w:tcPr>
            <w:tcW w:w="798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vMerge w:val="continue"/>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60" w:type="dxa"/>
            <w:vAlign w:val="bottom"/>
            <w:tcBorders>
              <w:bottom w:val="single" w:sz="8" w:color="0000EE"/>
            </w:tcBorders>
            <w:gridSpan w:val="15"/>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Three and Nine Months Ended September 30, 2015 and 2014</w:t>
              </w:r>
            </w:hyperlink>
          </w:p>
        </w:tc>
        <w:tc>
          <w:tcPr>
            <w:tcW w:w="2840" w:type="dxa"/>
            <w:vAlign w:val="bottom"/>
            <w:gridSpan w:val="3"/>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9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Three and Nine Months Ended September 30, 2015 and 2014</w:t>
              </w:r>
            </w:hyperlink>
          </w:p>
        </w:tc>
        <w:tc>
          <w:tcPr>
            <w:tcW w:w="60" w:type="dxa"/>
            <w:vAlign w:val="bottom"/>
            <w:tcBorders>
              <w:top w:val="single" w:sz="8" w:color="0000EE"/>
            </w:tcBorders>
            <w:gridSpan w:val="2"/>
          </w:tcPr>
          <w:p>
            <w:pPr>
              <w:spacing w:after="0"/>
              <w:rPr>
                <w:sz w:val="15"/>
                <w:szCs w:val="15"/>
                <w:color w:val="auto"/>
              </w:rPr>
            </w:pPr>
          </w:p>
        </w:tc>
        <w:tc>
          <w:tcPr>
            <w:tcW w:w="2800" w:type="dxa"/>
            <w:vAlign w:val="bottom"/>
            <w:gridSpan w:val="2"/>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September 30, 2015 and December 31, 2014</w:t>
              </w:r>
            </w:hyperlink>
          </w:p>
        </w:tc>
        <w:tc>
          <w:tcPr>
            <w:tcW w:w="4180" w:type="dxa"/>
            <w:vAlign w:val="bottom"/>
            <w:gridSpan w:val="9"/>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Nine Months Ended September 30, 2015 and 2014</w:t>
              </w:r>
            </w:hyperlink>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3.</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Borders>
              <w:top w:val="single" w:sz="8" w:color="0000EE"/>
            </w:tcBorders>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Risks</w:t>
              </w:r>
            </w:hyperlink>
          </w:p>
        </w:tc>
        <w:tc>
          <w:tcPr>
            <w:tcW w:w="9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4.</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318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rFonts w:ascii="Arial" w:cs="Arial" w:eastAsia="Arial" w:hAnsi="Arial"/>
                <w:sz w:val="18"/>
                <w:szCs w:val="18"/>
                <w:b w:val="1"/>
                <w:bCs w:val="1"/>
                <w:color w:val="0000EE"/>
                <w:w w:val="83"/>
              </w:rPr>
            </w:pPr>
            <w:hyperlink w:anchor="page29">
              <w:r>
                <w:rPr>
                  <w:rFonts w:ascii="Arial" w:cs="Arial" w:eastAsia="Arial" w:hAnsi="Arial"/>
                  <w:sz w:val="18"/>
                  <w:szCs w:val="18"/>
                  <w:b w:val="1"/>
                  <w:bCs w:val="1"/>
                  <w:color w:val="0000EE"/>
                  <w:w w:val="83"/>
                </w:rPr>
                <w:t>Part II.</w:t>
              </w:r>
            </w:hyperlink>
          </w:p>
        </w:tc>
        <w:tc>
          <w:tcPr>
            <w:tcW w:w="6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1.</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Legal Proceedings</w:t>
              </w:r>
            </w:hyperlink>
          </w:p>
        </w:tc>
        <w:tc>
          <w:tcPr>
            <w:tcW w:w="648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Changes in Securities and Use of Proceeds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6.</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450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2014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financial statements and related footnotes as of September 30, 2015 should be read in conjunction with the financial statements for the year ended December 31, 2014 contained in our 2014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gridSpan w:val="9"/>
          </w:tcPr>
          <w:p>
            <w:pPr>
              <w:jc w:val="right"/>
              <w:ind w:right="270"/>
              <w:spacing w:after="0"/>
              <w:rPr>
                <w:sz w:val="20"/>
                <w:szCs w:val="20"/>
                <w:color w:val="auto"/>
              </w:rPr>
            </w:pPr>
            <w:r>
              <w:rPr>
                <w:rFonts w:ascii="Arial" w:cs="Arial" w:eastAsia="Arial" w:hAnsi="Arial"/>
                <w:sz w:val="14"/>
                <w:szCs w:val="14"/>
                <w:b w:val="1"/>
                <w:bCs w:val="1"/>
                <w:color w:val="auto"/>
              </w:rPr>
              <w:t>(Dollars in millions, except per share amounts)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7,573</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8,090</w:t>
            </w:r>
          </w:p>
        </w:tc>
        <w:tc>
          <w:tcPr>
            <w:tcW w:w="48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22,735</w:t>
            </w:r>
          </w:p>
        </w:tc>
        <w:tc>
          <w:tcPr>
            <w:tcW w:w="620" w:type="dxa"/>
            <w:vAlign w:val="bottom"/>
            <w:gridSpan w:val="2"/>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2,038</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5,864</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9,611</w:t>
            </w:r>
          </w:p>
        </w:tc>
        <w:tc>
          <w:tcPr>
            <w:tcW w:w="240" w:type="dxa"/>
            <w:vAlign w:val="bottom"/>
            <w:shd w:val="clear" w:color="auto" w:fill="E5FFFF"/>
          </w:tcPr>
          <w:p>
            <w:pPr>
              <w:spacing w:after="0"/>
              <w:rPr>
                <w:sz w:val="17"/>
                <w:szCs w:val="17"/>
                <w:color w:val="auto"/>
              </w:rPr>
            </w:pPr>
          </w:p>
        </w:tc>
        <w:tc>
          <w:tcPr>
            <w:tcW w:w="38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10,108</w:t>
            </w:r>
          </w:p>
        </w:tc>
        <w:tc>
          <w:tcPr>
            <w:tcW w:w="22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28,599</w:t>
            </w:r>
          </w:p>
        </w:tc>
        <w:tc>
          <w:tcPr>
            <w:tcW w:w="220" w:type="dxa"/>
            <w:vAlign w:val="bottom"/>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30,040</w:t>
            </w:r>
          </w:p>
        </w:tc>
        <w:tc>
          <w:tcPr>
            <w:tcW w:w="0" w:type="dxa"/>
            <w:vAlign w:val="bottom"/>
          </w:tcPr>
          <w:p>
            <w:pPr>
              <w:spacing w:after="0"/>
              <w:rPr>
                <w:sz w:val="1"/>
                <w:szCs w:val="1"/>
                <w:color w:val="auto"/>
              </w:rPr>
            </w:pPr>
          </w:p>
        </w:tc>
      </w:tr>
      <w:tr>
        <w:trPr>
          <w:trHeight w:val="399"/>
        </w:trPr>
        <w:tc>
          <w:tcPr>
            <w:tcW w:w="618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5,372</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5,860</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16,126</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1,282</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1,268</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3,704</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6,654</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7,128</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19,830</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1,202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1,344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3,674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7,904</w:t>
            </w:r>
          </w:p>
        </w:tc>
        <w:tc>
          <w:tcPr>
            <w:tcW w:w="240" w:type="dxa"/>
            <w:vAlign w:val="bottom"/>
            <w:shd w:val="clear" w:color="auto" w:fill="E5FFFF"/>
          </w:tcPr>
          <w:p>
            <w:pPr>
              <w:spacing w:after="0"/>
              <w:rPr>
                <w:sz w:val="17"/>
                <w:szCs w:val="17"/>
                <w:color w:val="auto"/>
              </w:rPr>
            </w:pPr>
          </w:p>
        </w:tc>
        <w:tc>
          <w:tcPr>
            <w:tcW w:w="38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8,528</w:t>
            </w:r>
          </w:p>
        </w:tc>
        <w:tc>
          <w:tcPr>
            <w:tcW w:w="22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23,666</w:t>
            </w:r>
          </w:p>
        </w:tc>
        <w:tc>
          <w:tcPr>
            <w:tcW w:w="220" w:type="dxa"/>
            <w:vAlign w:val="bottom"/>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260" w:type="dxa"/>
            <w:vAlign w:val="bottom"/>
          </w:tcPr>
          <w:p>
            <w:pPr>
              <w:spacing w:after="0"/>
              <w:rPr>
                <w:sz w:val="17"/>
                <w:szCs w:val="17"/>
                <w:color w:val="auto"/>
              </w:rPr>
            </w:pPr>
          </w:p>
        </w:tc>
        <w:tc>
          <w:tcPr>
            <w:tcW w:w="9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1,707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1,580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4,933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3,644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1,167</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3,574</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E5FFFF"/>
          </w:tcPr>
          <w:p>
            <w:pPr>
              <w:spacing w:after="0"/>
              <w:rPr>
                <w:sz w:val="19"/>
                <w:szCs w:val="19"/>
                <w:color w:val="auto"/>
              </w:rPr>
            </w:pPr>
          </w:p>
        </w:tc>
        <w:tc>
          <w:tcPr>
            <w:tcW w:w="38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4.57</w:t>
            </w:r>
          </w:p>
        </w:tc>
        <w:tc>
          <w:tcPr>
            <w:tcW w:w="620" w:type="dxa"/>
            <w:vAlign w:val="bottom"/>
            <w:gridSpan w:val="2"/>
            <w:shd w:val="clear" w:color="auto" w:fill="E5FF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E5FFFF"/>
            </w:tcBorders>
            <w:vMerge w:val="continue"/>
          </w:tcPr>
          <w:p>
            <w:pPr>
              <w:spacing w:after="0"/>
              <w:rPr>
                <w:sz w:val="19"/>
                <w:szCs w:val="19"/>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1.60</w:t>
            </w:r>
          </w:p>
        </w:tc>
        <w:tc>
          <w:tcPr>
            <w:tcW w:w="240" w:type="dxa"/>
            <w:vAlign w:val="bottom"/>
            <w:tcBorders>
              <w:bottom w:val="single" w:sz="8" w:color="E5FFFF"/>
            </w:tcBorders>
          </w:tcPr>
          <w:p>
            <w:pPr>
              <w:spacing w:after="0"/>
              <w:rPr>
                <w:sz w:val="19"/>
                <w:szCs w:val="19"/>
                <w:color w:val="auto"/>
              </w:rPr>
            </w:pPr>
          </w:p>
        </w:tc>
        <w:tc>
          <w:tcPr>
            <w:tcW w:w="380" w:type="dxa"/>
            <w:vAlign w:val="bottom"/>
            <w:tcBorders>
              <w:bottom w:val="single" w:sz="8" w:color="auto"/>
            </w:tcBorders>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1"/>
              <w:spacing w:after="0" w:line="183" w:lineRule="exact"/>
              <w:rPr>
                <w:sz w:val="20"/>
                <w:szCs w:val="20"/>
                <w:color w:val="auto"/>
              </w:rPr>
            </w:pPr>
            <w:r>
              <w:rPr>
                <w:rFonts w:ascii="Arial" w:cs="Arial" w:eastAsia="Arial" w:hAnsi="Arial"/>
                <w:sz w:val="18"/>
                <w:szCs w:val="18"/>
                <w:color w:val="auto"/>
              </w:rPr>
              <w:t>1.47</w:t>
            </w:r>
          </w:p>
        </w:tc>
        <w:tc>
          <w:tcPr>
            <w:tcW w:w="22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4.51</w:t>
            </w:r>
          </w:p>
        </w:tc>
        <w:tc>
          <w:tcPr>
            <w:tcW w:w="220" w:type="dxa"/>
            <w:vAlign w:val="bottom"/>
            <w:tcBorders>
              <w:bottom w:val="single" w:sz="8" w:color="E5FFFF"/>
            </w:tcBorders>
          </w:tcPr>
          <w:p>
            <w:pPr>
              <w:spacing w:after="0"/>
              <w:rPr>
                <w:sz w:val="19"/>
                <w:szCs w:val="19"/>
                <w:color w:val="auto"/>
              </w:rPr>
            </w:pPr>
          </w:p>
        </w:tc>
        <w:tc>
          <w:tcPr>
            <w:tcW w:w="40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0.5175</w:t>
            </w:r>
          </w:p>
        </w:tc>
        <w:tc>
          <w:tcPr>
            <w:tcW w:w="240" w:type="dxa"/>
            <w:vAlign w:val="bottom"/>
            <w:tcBorders>
              <w:bottom w:val="single" w:sz="8" w:color="E5FFFF"/>
            </w:tcBorders>
            <w:shd w:val="clear" w:color="auto" w:fill="E5FFFF"/>
          </w:tcPr>
          <w:p>
            <w:pPr>
              <w:spacing w:after="0"/>
              <w:rPr>
                <w:sz w:val="15"/>
                <w:szCs w:val="15"/>
                <w:color w:val="auto"/>
              </w:rPr>
            </w:pPr>
          </w:p>
        </w:tc>
        <w:tc>
          <w:tcPr>
            <w:tcW w:w="380" w:type="dxa"/>
            <w:vAlign w:val="bottom"/>
            <w:tcBorders>
              <w:bottom w:val="single" w:sz="8" w:color="auto"/>
            </w:tcBorders>
            <w:shd w:val="clear" w:color="auto" w:fill="E5FFFF"/>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ind w:right="31"/>
              <w:spacing w:after="0" w:line="183" w:lineRule="exact"/>
              <w:rPr>
                <w:sz w:val="20"/>
                <w:szCs w:val="20"/>
                <w:color w:val="auto"/>
              </w:rPr>
            </w:pPr>
            <w:r>
              <w:rPr>
                <w:rFonts w:ascii="Arial" w:cs="Arial" w:eastAsia="Arial" w:hAnsi="Arial"/>
                <w:sz w:val="18"/>
                <w:szCs w:val="18"/>
                <w:color w:val="auto"/>
              </w:rPr>
              <w:t>0.4500</w:t>
            </w:r>
          </w:p>
        </w:tc>
        <w:tc>
          <w:tcPr>
            <w:tcW w:w="22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1.5525</w:t>
            </w:r>
          </w:p>
        </w:tc>
        <w:tc>
          <w:tcPr>
            <w:tcW w:w="220" w:type="dxa"/>
            <w:vAlign w:val="bottom"/>
            <w:tcBorders>
              <w:bottom w:val="single" w:sz="8" w:color="E5FFFF"/>
            </w:tcBorders>
            <w:shd w:val="clear" w:color="auto" w:fill="E5FFFF"/>
          </w:tcPr>
          <w:p>
            <w:pPr>
              <w:spacing w:after="0"/>
              <w:rPr>
                <w:sz w:val="15"/>
                <w:szCs w:val="15"/>
                <w:color w:val="auto"/>
              </w:rPr>
            </w:pPr>
          </w:p>
        </w:tc>
        <w:tc>
          <w:tcPr>
            <w:tcW w:w="400" w:type="dxa"/>
            <w:vAlign w:val="bottom"/>
            <w:tcBorders>
              <w:bottom w:val="single" w:sz="8" w:color="auto"/>
            </w:tcBorders>
            <w:shd w:val="clear" w:color="auto" w:fill="E5FFFF"/>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1,276</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1,192</w:t>
            </w:r>
          </w:p>
        </w:tc>
        <w:tc>
          <w:tcPr>
            <w:tcW w:w="48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3,644</w:t>
            </w:r>
          </w:p>
        </w:tc>
        <w:tc>
          <w:tcPr>
            <w:tcW w:w="62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(383)</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(545)</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(893)</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Actuarial losses</w:t>
            </w:r>
          </w:p>
        </w:tc>
        <w:tc>
          <w:tcPr>
            <w:tcW w:w="2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losses recognized</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15</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520"/>
              <w:spacing w:after="0" w:line="202" w:lineRule="exact"/>
              <w:rPr>
                <w:sz w:val="20"/>
                <w:szCs w:val="20"/>
                <w:color w:val="auto"/>
              </w:rPr>
            </w:pPr>
            <w:r>
              <w:rPr>
                <w:rFonts w:ascii="Arial" w:cs="Arial" w:eastAsia="Arial" w:hAnsi="Arial"/>
                <w:sz w:val="18"/>
                <w:szCs w:val="18"/>
                <w:color w:val="auto"/>
              </w:rPr>
              <w:t>Prior service credits recognized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Transition obligation recognized</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Settlements and curtailments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Unrealized gains (losses)</w:t>
            </w:r>
          </w:p>
        </w:tc>
        <w:tc>
          <w:tcPr>
            <w:tcW w:w="2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Changes in fair value of available for sale investments</w:t>
            </w:r>
          </w:p>
        </w:tc>
        <w:tc>
          <w:tcPr>
            <w:tcW w:w="2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Effective portion of cash flow hedges recognized in other</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700"/>
              <w:spacing w:after="0" w:line="203" w:lineRule="exact"/>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(8)</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3" w:lineRule="exact"/>
              <w:rPr>
                <w:sz w:val="20"/>
                <w:szCs w:val="20"/>
                <w:color w:val="auto"/>
              </w:rPr>
            </w:pPr>
            <w:r>
              <w:rPr>
                <w:rFonts w:ascii="Arial" w:cs="Arial" w:eastAsia="Arial" w:hAnsi="Arial"/>
                <w:sz w:val="18"/>
                <w:szCs w:val="18"/>
                <w:color w:val="auto"/>
              </w:rPr>
              <w:t>60</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520"/>
              <w:spacing w:after="0" w:line="201" w:lineRule="exact"/>
              <w:rPr>
                <w:sz w:val="20"/>
                <w:szCs w:val="20"/>
                <w:color w:val="auto"/>
              </w:rPr>
            </w:pPr>
            <w:r>
              <w:rPr>
                <w:rFonts w:ascii="Arial" w:cs="Arial" w:eastAsia="Arial" w:hAnsi="Arial"/>
                <w:sz w:val="18"/>
                <w:szCs w:val="18"/>
                <w:color w:val="auto"/>
              </w:rPr>
              <w:t>Less: Reclassification adjustment for gains (losses) included in net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Borders>
              <w:bottom w:val="single" w:sz="8" w:color="E5FFFF"/>
            </w:tcBorders>
          </w:tcPr>
          <w:p>
            <w:pPr>
              <w:ind w:left="70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vMerge w:val="restart"/>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(404)</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872</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636</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2,730</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520"/>
              <w:spacing w:after="0" w:line="201" w:lineRule="exact"/>
              <w:rPr>
                <w:sz w:val="20"/>
                <w:szCs w:val="20"/>
                <w:color w:val="auto"/>
              </w:rPr>
            </w:pPr>
            <w:r>
              <w:rPr>
                <w:rFonts w:ascii="Arial" w:cs="Arial" w:eastAsia="Arial" w:hAnsi="Arial"/>
                <w:sz w:val="18"/>
                <w:szCs w:val="18"/>
                <w:color w:val="auto"/>
              </w:rPr>
              <w:t>Less: Comprehensive income attributable to the noncontrolling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Borders>
              <w:bottom w:val="single" w:sz="8" w:color="E5FFFF"/>
            </w:tcBorders>
          </w:tcPr>
          <w:p>
            <w:pPr>
              <w:ind w:left="70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864</w:t>
            </w:r>
          </w:p>
        </w:tc>
        <w:tc>
          <w:tcPr>
            <w:tcW w:w="240" w:type="dxa"/>
            <w:vAlign w:val="bottom"/>
            <w:shd w:val="clear" w:color="auto" w:fill="E5FFFF"/>
          </w:tcPr>
          <w:p>
            <w:pPr>
              <w:spacing w:after="0"/>
              <w:rPr>
                <w:sz w:val="18"/>
                <w:szCs w:val="18"/>
                <w:color w:val="auto"/>
              </w:rPr>
            </w:pPr>
          </w:p>
        </w:tc>
        <w:tc>
          <w:tcPr>
            <w:tcW w:w="38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610</w:t>
            </w:r>
          </w:p>
        </w:tc>
        <w:tc>
          <w:tcPr>
            <w:tcW w:w="4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2,664</w:t>
            </w:r>
          </w:p>
        </w:tc>
        <w:tc>
          <w:tcPr>
            <w:tcW w:w="6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right"/>
              <w:ind w:right="75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6,563</w:t>
            </w:r>
          </w:p>
        </w:tc>
        <w:tc>
          <w:tcPr>
            <w:tcW w:w="200" w:type="dxa"/>
            <w:vAlign w:val="bottom"/>
            <w:shd w:val="clear" w:color="auto" w:fill="E5FFFF"/>
          </w:tcPr>
          <w:p>
            <w:pPr>
              <w:spacing w:after="0"/>
              <w:rPr>
                <w:sz w:val="17"/>
                <w:szCs w:val="17"/>
                <w:color w:val="auto"/>
              </w:rPr>
            </w:pPr>
          </w:p>
        </w:tc>
        <w:tc>
          <w:tcPr>
            <w:tcW w:w="16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7,936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4,441</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739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Investments and other current assets</w:t>
            </w:r>
          </w:p>
        </w:tc>
        <w:tc>
          <w:tcPr>
            <w:tcW w:w="11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23,479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22,191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471</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5,451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12,684</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414</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60"/>
              <w:spacing w:after="0" w:line="197" w:lineRule="exact"/>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46,625</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3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5,363</w:t>
            </w:r>
          </w:p>
        </w:tc>
        <w:tc>
          <w:tcPr>
            <w:tcW w:w="200" w:type="dxa"/>
            <w:vAlign w:val="bottom"/>
            <w:shd w:val="clear" w:color="auto" w:fill="E5FFFF"/>
          </w:tcPr>
          <w:p>
            <w:pPr>
              <w:spacing w:after="0"/>
              <w:rPr>
                <w:sz w:val="17"/>
                <w:szCs w:val="17"/>
                <w:color w:val="auto"/>
              </w:rPr>
            </w:pPr>
          </w:p>
        </w:tc>
        <w:tc>
          <w:tcPr>
            <w:tcW w:w="16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3,696</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11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6,036</w:t>
            </w: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16,367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14,773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5,599</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892</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3,903</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419"/>
        </w:trPr>
        <w:tc>
          <w:tcPr>
            <w:tcW w:w="734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ind w:left="620"/>
              <w:spacing w:after="0" w:line="202" w:lineRule="exact"/>
              <w:rPr>
                <w:sz w:val="20"/>
                <w:szCs w:val="20"/>
                <w:color w:val="auto"/>
              </w:rPr>
            </w:pPr>
            <w:r>
              <w:rPr>
                <w:rFonts w:ascii="Arial" w:cs="Arial" w:eastAsia="Arial" w:hAnsi="Arial"/>
                <w:sz w:val="18"/>
                <w:szCs w:val="18"/>
                <w:color w:val="auto"/>
              </w:rPr>
              <w:t>- additional paid-in capital</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5,292</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(11,550)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(2,373)</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Retained earnings</w:t>
            </w:r>
          </w:p>
        </w:tc>
        <w:tc>
          <w:tcPr>
            <w:tcW w:w="11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25,433</w:t>
            </w:r>
          </w:p>
        </w:tc>
        <w:tc>
          <w:tcPr>
            <w:tcW w:w="20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17,760</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16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17,896</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46,625</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5"/>
          </w:tcPr>
          <w:p>
            <w:pPr>
              <w:jc w:val="center"/>
              <w:ind w:left="412"/>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left="412"/>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5"/>
          </w:tcPr>
          <w:p>
            <w:pPr>
              <w:jc w:val="center"/>
              <w:ind w:left="412"/>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8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3,644</w:t>
            </w:r>
          </w:p>
        </w:tc>
        <w:tc>
          <w:tcPr>
            <w:tcW w:w="320" w:type="dxa"/>
            <w:vAlign w:val="bottom"/>
          </w:tcPr>
          <w:p>
            <w:pPr>
              <w:spacing w:after="0"/>
              <w:rPr>
                <w:sz w:val="17"/>
                <w:szCs w:val="17"/>
                <w:color w:val="auto"/>
              </w:rPr>
            </w:pPr>
          </w:p>
        </w:tc>
        <w:tc>
          <w:tcPr>
            <w:tcW w:w="4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3,574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activities: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158</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(Gain) loss on sale of non-strategic businesses and assets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(329)</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284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notes and other receivables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(795)</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3,495</w:t>
            </w:r>
          </w:p>
        </w:tc>
        <w:tc>
          <w:tcPr>
            <w:tcW w:w="32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(5,701)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4,050</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28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(2,584)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increase in commercial paper</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2,049</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Net decrease in short-term borrowings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150</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(1,721)</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(852)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(396)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6,959</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6,563</w:t>
            </w:r>
          </w:p>
        </w:tc>
        <w:tc>
          <w:tcPr>
            <w:tcW w:w="320" w:type="dxa"/>
            <w:vAlign w:val="bottom"/>
          </w:tcPr>
          <w:p>
            <w:pPr>
              <w:spacing w:after="0"/>
              <w:rPr>
                <w:sz w:val="18"/>
                <w:szCs w:val="18"/>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Financial Statements are an integral part of this statement.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September 30, 2015, the results of operations for the quarter and nine months ended September 30, 2015 and 2014 and the cash flows for the nine months ended September 30, 2015 and 2014. The results of operations for the three and nine months ended September 30, 2015 should not necessarily be taken as indicative of the results of operations expected for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If differences in actual closing dates are material to year-over-year comparisons of quarterly or year-to-date results, we provide appropriate disclosures. Our actual closing dates for the three and nine months ended September 30, 2015 and 2014 were September 26, 2015 and September 27, 2014.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considers the applicability and impact of all accounting standard updates (ASUs). ASUs not listed below were assessed and determined to be either not applicable or are expected to have minimal impact on our consolidated financial position or results of operations.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the Financial Accounting Standards Board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2015, the Company entered into a definitive agreement to acquire the Elster Division of Melrose Industries plc (Elster), a leading provider of thermal gas solutions for commercial, industrial, and residential heating systems and gas, water, and electricity meters, including smart meters and software and data analytics solutions, for approximately $5.1 billion. Elster had reported 2014 revenues of approximately $1.7 billion. The transaction is expected to close in the first quarter of 2016, pending regulatory reviews. The acquisition is expected to be funded with available cash and the issuance of commercial paper. Elster will primarily be integrated into our Automation and Control Solutions segment.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69"/>
        </w:trPr>
        <w:tc>
          <w:tcPr>
            <w:tcW w:w="5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r>
      <w:tr>
        <w:trPr>
          <w:trHeight w:val="196"/>
        </w:trPr>
        <w:tc>
          <w:tcPr>
            <w:tcW w:w="53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54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63</w:t>
            </w: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21</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138</w:t>
            </w:r>
          </w:p>
        </w:tc>
        <w:tc>
          <w:tcPr>
            <w:tcW w:w="34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103</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r>
      <w:tr>
        <w:trPr>
          <w:trHeight w:val="203"/>
        </w:trPr>
        <w:tc>
          <w:tcPr>
            <w:tcW w:w="5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5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w:t>
            </w:r>
          </w:p>
        </w:tc>
      </w:tr>
      <w:tr>
        <w:trPr>
          <w:trHeight w:val="216"/>
        </w:trPr>
        <w:tc>
          <w:tcPr>
            <w:tcW w:w="5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54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530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54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42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34</w:t>
            </w:r>
          </w:p>
        </w:tc>
        <w:tc>
          <w:tcPr>
            <w:tcW w:w="36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21</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107</w:t>
            </w:r>
          </w:p>
        </w:tc>
        <w:tc>
          <w:tcPr>
            <w:tcW w:w="34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117</w:t>
            </w:r>
          </w:p>
        </w:tc>
      </w:tr>
      <w:tr>
        <w:trPr>
          <w:trHeight w:val="399"/>
        </w:trPr>
        <w:tc>
          <w:tcPr>
            <w:tcW w:w="530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03"/>
        </w:trPr>
        <w:tc>
          <w:tcPr>
            <w:tcW w:w="5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5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49</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144</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186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196"/>
        </w:trPr>
        <w:tc>
          <w:tcPr>
            <w:tcW w:w="5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5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1280" w:type="dxa"/>
            <w:vAlign w:val="bottom"/>
            <w:gridSpan w:val="2"/>
            <w:shd w:val="clear" w:color="auto" w:fill="E5FFFF"/>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w w:val="93"/>
              </w:rPr>
              <w:t>133</w:t>
            </w:r>
          </w:p>
        </w:tc>
        <w:tc>
          <w:tcPr>
            <w:tcW w:w="1100" w:type="dxa"/>
            <w:vAlign w:val="bottom"/>
            <w:gridSpan w:val="2"/>
            <w:shd w:val="clear" w:color="auto" w:fill="E5FF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122</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393</w:t>
            </w:r>
          </w:p>
        </w:tc>
        <w:tc>
          <w:tcPr>
            <w:tcW w:w="700" w:type="dxa"/>
            <w:vAlign w:val="bottom"/>
            <w:gridSpan w:val="2"/>
            <w:shd w:val="clear" w:color="auto" w:fill="E5FF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453</w:t>
            </w:r>
          </w:p>
        </w:tc>
      </w:tr>
      <w:tr>
        <w:trPr>
          <w:trHeight w:val="20"/>
        </w:trPr>
        <w:tc>
          <w:tcPr>
            <w:tcW w:w="530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r>
      <w:tr>
        <w:trPr>
          <w:trHeight w:val="196"/>
        </w:trPr>
        <w:tc>
          <w:tcPr>
            <w:tcW w:w="47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12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w w:val="93"/>
              </w:rPr>
              <w:t>129</w:t>
            </w: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3"/>
              </w:rPr>
              <w:t>112</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363</w:t>
            </w:r>
          </w:p>
        </w:tc>
        <w:tc>
          <w:tcPr>
            <w:tcW w:w="34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413</w:t>
            </w:r>
          </w:p>
        </w:tc>
      </w:tr>
      <w:tr>
        <w:trPr>
          <w:trHeight w:val="216"/>
        </w:trPr>
        <w:tc>
          <w:tcPr>
            <w:tcW w:w="47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w:t>
            </w:r>
          </w:p>
        </w:tc>
      </w:tr>
      <w:tr>
        <w:trPr>
          <w:trHeight w:val="210"/>
        </w:trPr>
        <w:tc>
          <w:tcPr>
            <w:tcW w:w="4720" w:type="dxa"/>
            <w:vAlign w:val="bottom"/>
            <w:shd w:val="clear" w:color="auto" w:fill="E5FFFF"/>
          </w:tcPr>
          <w:p>
            <w:pPr>
              <w:spacing w:after="0"/>
              <w:rPr>
                <w:sz w:val="18"/>
                <w:szCs w:val="18"/>
                <w:color w:val="auto"/>
              </w:rPr>
            </w:pPr>
          </w:p>
        </w:tc>
        <w:tc>
          <w:tcPr>
            <w:tcW w:w="1860" w:type="dxa"/>
            <w:vAlign w:val="bottom"/>
            <w:gridSpan w:val="2"/>
            <w:shd w:val="clear" w:color="auto" w:fill="E5FFFF"/>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w w:val="93"/>
              </w:rPr>
              <w:t>133</w:t>
            </w:r>
          </w:p>
        </w:tc>
        <w:tc>
          <w:tcPr>
            <w:tcW w:w="1100" w:type="dxa"/>
            <w:vAlign w:val="bottom"/>
            <w:gridSpan w:val="2"/>
            <w:shd w:val="clear" w:color="auto" w:fill="E5FF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122</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393</w:t>
            </w:r>
          </w:p>
        </w:tc>
        <w:tc>
          <w:tcPr>
            <w:tcW w:w="700" w:type="dxa"/>
            <w:vAlign w:val="bottom"/>
            <w:gridSpan w:val="2"/>
            <w:shd w:val="clear" w:color="auto" w:fill="E5FF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453</w:t>
            </w:r>
          </w:p>
        </w:tc>
      </w:tr>
      <w:tr>
        <w:trPr>
          <w:trHeight w:val="20"/>
        </w:trPr>
        <w:tc>
          <w:tcPr>
            <w:tcW w:w="472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69"/>
        </w:trPr>
        <w:tc>
          <w:tcPr>
            <w:tcW w:w="45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r>
      <w:tr>
        <w:trPr>
          <w:trHeight w:val="196"/>
        </w:trPr>
        <w:tc>
          <w:tcPr>
            <w:tcW w:w="45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28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38</w:t>
            </w: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52</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134</w:t>
            </w:r>
          </w:p>
        </w:tc>
        <w:tc>
          <w:tcPr>
            <w:tcW w:w="34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178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67</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65</w:t>
            </w:r>
          </w:p>
        </w:tc>
      </w:tr>
      <w:tr>
        <w:trPr>
          <w:trHeight w:val="203"/>
        </w:trPr>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2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9</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22</w:t>
            </w:r>
          </w:p>
        </w:tc>
      </w:tr>
      <w:tr>
        <w:trPr>
          <w:trHeight w:val="216"/>
        </w:trPr>
        <w:tc>
          <w:tcPr>
            <w:tcW w:w="45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Corporate</w:t>
            </w:r>
          </w:p>
        </w:tc>
        <w:tc>
          <w:tcPr>
            <w:tcW w:w="128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w:t>
            </w:r>
          </w:p>
        </w:tc>
      </w:tr>
      <w:tr>
        <w:trPr>
          <w:trHeight w:val="210"/>
        </w:trPr>
        <w:tc>
          <w:tcPr>
            <w:tcW w:w="4560" w:type="dxa"/>
            <w:vAlign w:val="bottom"/>
            <w:shd w:val="clear" w:color="auto" w:fill="E5FFFF"/>
          </w:tcPr>
          <w:p>
            <w:pPr>
              <w:spacing w:after="0"/>
              <w:rPr>
                <w:sz w:val="18"/>
                <w:szCs w:val="18"/>
                <w:color w:val="auto"/>
              </w:rPr>
            </w:pPr>
          </w:p>
        </w:tc>
        <w:tc>
          <w:tcPr>
            <w:tcW w:w="2020" w:type="dxa"/>
            <w:vAlign w:val="bottom"/>
            <w:gridSpan w:val="2"/>
            <w:shd w:val="clear" w:color="auto" w:fill="E5FFFF"/>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w w:val="93"/>
              </w:rPr>
              <w:t>133</w:t>
            </w:r>
          </w:p>
        </w:tc>
        <w:tc>
          <w:tcPr>
            <w:tcW w:w="1100" w:type="dxa"/>
            <w:vAlign w:val="bottom"/>
            <w:gridSpan w:val="2"/>
            <w:shd w:val="clear" w:color="auto" w:fill="E5FF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122</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393</w:t>
            </w:r>
          </w:p>
        </w:tc>
        <w:tc>
          <w:tcPr>
            <w:tcW w:w="700" w:type="dxa"/>
            <w:vAlign w:val="bottom"/>
            <w:gridSpan w:val="2"/>
            <w:shd w:val="clear" w:color="auto" w:fill="E5FF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453</w:t>
            </w:r>
          </w:p>
        </w:tc>
      </w:tr>
      <w:tr>
        <w:trPr>
          <w:trHeight w:val="20"/>
        </w:trPr>
        <w:tc>
          <w:tcPr>
            <w:tcW w:w="4560" w:type="dxa"/>
            <w:vAlign w:val="bottom"/>
            <w:tcBorders>
              <w:top w:val="single" w:sz="8" w:color="E5FFFF"/>
            </w:tcBorders>
          </w:tcPr>
          <w:p>
            <w:pPr>
              <w:spacing w:after="0" w:line="20" w:lineRule="exact"/>
              <w:rPr>
                <w:sz w:val="1"/>
                <w:szCs w:val="1"/>
                <w:color w:val="auto"/>
              </w:rPr>
            </w:pPr>
          </w:p>
        </w:tc>
        <w:tc>
          <w:tcPr>
            <w:tcW w:w="12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September 30, 2015, we recognized repositioning charges totaling $65 million primarily for severance costs related to workforce reductions of 902 manufacturing and administrative positions across our segments. The workforce reductions were primarily related to cost savings actions taken in connection with our productivity and ongoing functional transformation initiatives. The previously established accruals of $31 million for severance were returned to income as a result of higher attrition than anticipated in prior severance programs resulting in lower required severance payments, and changes in the scope of previously announced repositioning actions.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quarter ended September 30, 2014, we recognized repositioning charges totaling $23 million primarily for severance costs related to workforce reductions of 336 manufacturing and administrative positions primarily in Automation and Control Solutions (ACS) and Performance Materials and Technologies (PMT). The workforce reductions were primarily related to cost savings actions taken in connection with our productivity and ongoing functional transformation initiatives and a factory transition in ACS to a more cost-effective location.</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nine months ended September 30, 2015, we recognized repositioning charges totaling $150 million primarily for severance costs related to workforce reductions of 4,882 manufacturing and administrative positions across our segments. The workforce reductions were primarily related to cost savings actions taken in connection with our productivity and ongoing functional transformation initiatives and outsourcing of certain component manufacturing in ACS. The previously established accruals of $43 million, primarily for severance, were returned to income as a result of higher attrition than anticipated in prior severance programs resulting in lower required severance payments, and changes in the scope of previously announced repositioning actions.</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nine months ended September 30, 2014, we recognized repositioning charges totaling $ 128 million including severance costs of $103 million related to workforce reductions of 2,069 manufacturing and administrative positions across our segments. The workforce reductions were primarily related to cost savings actions taken in connection with our productivity and ongoing functional transformation initiatives, factory transitions in ACS to more cost-effective locations, site consolidations and organizational realignments of businesses in ACS and PMT. The repositioning charge includes asset impairments of $12 million primarily related to manufacturing plant and equipment associated with site consolidations and factory transitions. The repositioning charge also includes exit costs of $13 million primarily related to closure obligations and costs for early termination of lease contracts associated with site consolidations and factory transitions. The previously established accruals of $11 million, primarily for severance, mainly in ACS, were returned to income as a result of higher attrition than anticipated in prior severance programs resulting in lower required severance payments.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00" w:type="dxa"/>
            <w:vAlign w:val="bottom"/>
            <w:tcBorders>
              <w:bottom w:val="single" w:sz="8" w:color="E5FFFF"/>
            </w:tcBorders>
          </w:tcPr>
          <w:p>
            <w:pPr>
              <w:spacing w:after="0"/>
              <w:rPr>
                <w:sz w:val="15"/>
                <w:szCs w:val="15"/>
                <w:color w:val="auto"/>
              </w:rPr>
            </w:pPr>
          </w:p>
        </w:tc>
        <w:tc>
          <w:tcPr>
            <w:tcW w:w="160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Costs</w:t>
            </w:r>
          </w:p>
        </w:tc>
        <w:tc>
          <w:tcPr>
            <w:tcW w:w="34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Impairments</w:t>
            </w:r>
          </w:p>
        </w:tc>
        <w:tc>
          <w:tcPr>
            <w:tcW w:w="32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0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160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285</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315</w:t>
            </w: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150</w:t>
            </w:r>
          </w:p>
        </w:tc>
      </w:tr>
      <w:tr>
        <w:trPr>
          <w:trHeight w:val="203"/>
        </w:trPr>
        <w:tc>
          <w:tcPr>
            <w:tcW w:w="40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6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(67)</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40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6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6"/>
        </w:trPr>
        <w:tc>
          <w:tcPr>
            <w:tcW w:w="400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40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September 30, 2015</w:t>
            </w: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310</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327</w:t>
            </w:r>
          </w:p>
        </w:tc>
      </w:tr>
      <w:tr>
        <w:trPr>
          <w:trHeight w:val="20"/>
        </w:trPr>
        <w:tc>
          <w:tcPr>
            <w:tcW w:w="4000" w:type="dxa"/>
            <w:vAlign w:val="bottom"/>
            <w:tcBorders>
              <w:top w:val="single" w:sz="8" w:color="E5FFFF"/>
            </w:tcBorders>
          </w:tcPr>
          <w:p>
            <w:pPr>
              <w:spacing w:after="0" w:line="20" w:lineRule="exact"/>
              <w:rPr>
                <w:sz w:val="1"/>
                <w:szCs w:val="1"/>
                <w:color w:val="auto"/>
              </w:rPr>
            </w:pPr>
          </w:p>
        </w:tc>
        <w:tc>
          <w:tcPr>
            <w:tcW w:w="16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Certain repositioning projects in 2015 and 2014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Basic</w:t>
            </w:r>
          </w:p>
        </w:tc>
        <w:tc>
          <w:tcPr>
            <w:tcW w:w="1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gridSpan w:val="3"/>
            <w:vMerge w:val="continue"/>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3980" w:type="dxa"/>
            <w:vAlign w:val="bottom"/>
            <w:tcBorders>
              <w:bottom w:val="single" w:sz="8" w:color="E5FFFF"/>
            </w:tcBorders>
          </w:tcPr>
          <w:p>
            <w:pPr>
              <w:spacing w:after="0" w:line="20" w:lineRule="exact"/>
              <w:rPr>
                <w:sz w:val="1"/>
                <w:szCs w:val="1"/>
                <w:color w:val="auto"/>
              </w:rPr>
            </w:pPr>
          </w:p>
        </w:tc>
        <w:tc>
          <w:tcPr>
            <w:tcW w:w="148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gridSpan w:val="2"/>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148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9"/>
              <w:spacing w:after="0" w:line="189" w:lineRule="exact"/>
              <w:rPr>
                <w:sz w:val="20"/>
                <w:szCs w:val="20"/>
                <w:color w:val="auto"/>
              </w:rPr>
            </w:pPr>
            <w:r>
              <w:rPr>
                <w:rFonts w:ascii="Arial" w:cs="Arial" w:eastAsia="Arial" w:hAnsi="Arial"/>
                <w:sz w:val="18"/>
                <w:szCs w:val="18"/>
                <w:color w:val="auto"/>
              </w:rPr>
              <w:t>1,264</w:t>
            </w:r>
          </w:p>
        </w:tc>
        <w:tc>
          <w:tcPr>
            <w:tcW w:w="360" w:type="dxa"/>
            <w:vAlign w:val="bottom"/>
            <w:shd w:val="clear" w:color="auto" w:fill="E5FFFF"/>
          </w:tcPr>
          <w:p>
            <w:pPr>
              <w:spacing w:after="0"/>
              <w:rPr>
                <w:sz w:val="16"/>
                <w:szCs w:val="16"/>
                <w:color w:val="auto"/>
              </w:rPr>
            </w:pPr>
          </w:p>
        </w:tc>
        <w:tc>
          <w:tcPr>
            <w:tcW w:w="360" w:type="dxa"/>
            <w:vAlign w:val="bottom"/>
            <w:shd w:val="clear" w:color="auto" w:fill="E5FF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1,167</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9"/>
              <w:spacing w:after="0" w:line="189" w:lineRule="exact"/>
              <w:rPr>
                <w:sz w:val="20"/>
                <w:szCs w:val="20"/>
                <w:color w:val="auto"/>
              </w:rPr>
            </w:pPr>
            <w:r>
              <w:rPr>
                <w:rFonts w:ascii="Arial" w:cs="Arial" w:eastAsia="Arial" w:hAnsi="Arial"/>
                <w:sz w:val="18"/>
                <w:szCs w:val="18"/>
                <w:color w:val="auto"/>
              </w:rPr>
              <w:t>3,574</w:t>
            </w:r>
          </w:p>
        </w:tc>
        <w:tc>
          <w:tcPr>
            <w:tcW w:w="340" w:type="dxa"/>
            <w:vAlign w:val="bottom"/>
            <w:shd w:val="clear" w:color="auto" w:fill="E5FFFF"/>
          </w:tcPr>
          <w:p>
            <w:pPr>
              <w:spacing w:after="0"/>
              <w:rPr>
                <w:sz w:val="16"/>
                <w:szCs w:val="16"/>
                <w:color w:val="auto"/>
              </w:rPr>
            </w:pPr>
          </w:p>
        </w:tc>
        <w:tc>
          <w:tcPr>
            <w:tcW w:w="360" w:type="dxa"/>
            <w:vAlign w:val="bottom"/>
            <w:shd w:val="clear" w:color="auto" w:fill="E5FF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419"/>
        </w:trPr>
        <w:tc>
          <w:tcPr>
            <w:tcW w:w="436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780.4</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784.5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782.5</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74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1.62</w:t>
            </w:r>
          </w:p>
        </w:tc>
        <w:tc>
          <w:tcPr>
            <w:tcW w:w="72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1.49</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9"/>
              <w:spacing w:after="0" w:line="202" w:lineRule="exact"/>
              <w:rPr>
                <w:sz w:val="20"/>
                <w:szCs w:val="20"/>
                <w:color w:val="auto"/>
              </w:rPr>
            </w:pPr>
            <w:r>
              <w:rPr>
                <w:rFonts w:ascii="Arial" w:cs="Arial" w:eastAsia="Arial" w:hAnsi="Arial"/>
                <w:sz w:val="18"/>
                <w:szCs w:val="18"/>
                <w:color w:val="auto"/>
              </w:rPr>
              <w:t>4.57</w:t>
            </w:r>
          </w:p>
        </w:tc>
        <w:tc>
          <w:tcPr>
            <w:tcW w:w="70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3980" w:type="dxa"/>
            <w:vAlign w:val="bottom"/>
            <w:tcBorders>
              <w:bottom w:val="single" w:sz="8" w:color="C0C0C0"/>
            </w:tcBorders>
          </w:tcPr>
          <w:p>
            <w:pPr>
              <w:spacing w:after="0"/>
              <w:rPr>
                <w:sz w:val="20"/>
                <w:szCs w:val="20"/>
                <w:color w:val="auto"/>
              </w:rPr>
            </w:pPr>
          </w:p>
        </w:tc>
        <w:tc>
          <w:tcPr>
            <w:tcW w:w="14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40" w:type="dxa"/>
            <w:vAlign w:val="bottom"/>
            <w:gridSpan w:val="4"/>
            <w:vMerge w:val="continue"/>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14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1,264</w:t>
            </w:r>
          </w:p>
        </w:tc>
        <w:tc>
          <w:tcPr>
            <w:tcW w:w="72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1,167</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3,574</w:t>
            </w:r>
          </w:p>
        </w:tc>
        <w:tc>
          <w:tcPr>
            <w:tcW w:w="70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365"/>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780.4</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784.5</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782.5</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Dilutive securities issuable - stock plans</w:t>
            </w:r>
          </w:p>
        </w:tc>
        <w:tc>
          <w:tcPr>
            <w:tcW w:w="1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E5FFFF"/>
            </w:tcBorders>
            <w:gridSpan w:val="3"/>
            <w:shd w:val="clear" w:color="auto" w:fill="E5FFFF"/>
          </w:tcPr>
          <w:p>
            <w:pPr>
              <w:spacing w:after="0" w:line="197" w:lineRule="exact"/>
              <w:rPr>
                <w:sz w:val="20"/>
                <w:szCs w:val="20"/>
                <w:color w:val="auto"/>
              </w:rPr>
            </w:pPr>
            <w:r>
              <w:rPr>
                <w:rFonts w:ascii="Arial" w:cs="Arial" w:eastAsia="Arial" w:hAnsi="Arial"/>
                <w:sz w:val="18"/>
                <w:szCs w:val="18"/>
                <w:color w:val="auto"/>
              </w:rPr>
              <w:t>Total weighted average shares outstanding</w:t>
            </w:r>
          </w:p>
        </w:tc>
        <w:tc>
          <w:tcPr>
            <w:tcW w:w="120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789.5</w:t>
            </w:r>
          </w:p>
        </w:tc>
        <w:tc>
          <w:tcPr>
            <w:tcW w:w="36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795.0</w:t>
            </w:r>
          </w:p>
        </w:tc>
        <w:tc>
          <w:tcPr>
            <w:tcW w:w="34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792.1</w:t>
            </w:r>
          </w:p>
        </w:tc>
        <w:tc>
          <w:tcPr>
            <w:tcW w:w="34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gridSpan w:val="4"/>
          </w:tcPr>
          <w:p>
            <w:pPr>
              <w:spacing w:after="0"/>
              <w:rPr>
                <w:sz w:val="20"/>
                <w:szCs w:val="20"/>
                <w:color w:val="auto"/>
              </w:rPr>
            </w:pPr>
            <w:r>
              <w:rPr>
                <w:rFonts w:ascii="Arial" w:cs="Arial" w:eastAsia="Arial" w:hAnsi="Arial"/>
                <w:sz w:val="18"/>
                <w:szCs w:val="18"/>
                <w:color w:val="auto"/>
              </w:rPr>
              <w:t>Earnings per share of common stock</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1.60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4.51</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nine months ended September 30, 2015, the weighted average number of stock options excluded from the computations were 7.0 million and 7.3 million. For the three and nine months ended September 30, 2014, the weighted average number of stock options excluded from the computations were 5.6 million and 4.5 million. These stock options were outstanding at the end of each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Notes and Other Receivables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940" w:type="dxa"/>
            <w:vAlign w:val="bottom"/>
            <w:gridSpan w:val="2"/>
            <w:shd w:val="clear" w:color="auto" w:fill="E5FF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7,765</w:t>
            </w:r>
          </w:p>
        </w:tc>
        <w:tc>
          <w:tcPr>
            <w:tcW w:w="460" w:type="dxa"/>
            <w:vAlign w:val="bottom"/>
            <w:gridSpan w:val="2"/>
            <w:shd w:val="clear" w:color="auto" w:fill="E5FF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8,191</w:t>
            </w:r>
          </w:p>
        </w:tc>
        <w:tc>
          <w:tcPr>
            <w:tcW w:w="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7,936</w:t>
            </w:r>
          </w:p>
        </w:tc>
        <w:tc>
          <w:tcPr>
            <w:tcW w:w="460" w:type="dxa"/>
            <w:vAlign w:val="bottom"/>
            <w:gridSpan w:val="2"/>
            <w:shd w:val="clear" w:color="auto" w:fill="E5FFFF"/>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Trade receivables include $1,717 and $1,636 million of unbilled balances under long-term contracts as of September 30, 2015 and December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vMerge w:val="continue"/>
          </w:tcPr>
          <w:p>
            <w:pPr>
              <w:spacing w:after="0"/>
              <w:rPr>
                <w:sz w:val="17"/>
                <w:szCs w:val="17"/>
                <w:color w:val="auto"/>
              </w:rPr>
            </w:pPr>
          </w:p>
        </w:tc>
        <w:tc>
          <w:tcPr>
            <w:tcW w:w="33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Raw materials</w:t>
            </w:r>
          </w:p>
        </w:tc>
        <w:tc>
          <w:tcPr>
            <w:tcW w:w="1280" w:type="dxa"/>
            <w:vAlign w:val="bottom"/>
            <w:gridSpan w:val="2"/>
            <w:shd w:val="clear" w:color="auto" w:fill="E5FF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1,068</w:t>
            </w:r>
          </w:p>
        </w:tc>
        <w:tc>
          <w:tcPr>
            <w:tcW w:w="120" w:type="dxa"/>
            <w:vAlign w:val="bottom"/>
            <w:shd w:val="clear" w:color="auto" w:fill="E5FFFF"/>
          </w:tcPr>
          <w:p>
            <w:pPr>
              <w:spacing w:after="0"/>
              <w:rPr>
                <w:sz w:val="17"/>
                <w:szCs w:val="17"/>
                <w:color w:val="auto"/>
              </w:rPr>
            </w:pPr>
          </w:p>
        </w:tc>
        <w:tc>
          <w:tcPr>
            <w:tcW w:w="340" w:type="dxa"/>
            <w:vAlign w:val="bottom"/>
            <w:gridSpan w:val="2"/>
            <w:shd w:val="clear" w:color="auto" w:fill="E5FF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1,124</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815</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36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10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2,634</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4,557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4,573</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36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10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(168)</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4,405</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tcPr>
          <w:p>
            <w:pPr>
              <w:spacing w:after="0"/>
              <w:rPr>
                <w:sz w:val="20"/>
                <w:szCs w:val="20"/>
                <w:color w:val="auto"/>
              </w:rPr>
            </w:pPr>
          </w:p>
        </w:tc>
        <w:tc>
          <w:tcPr>
            <w:tcW w:w="336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43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notes due 2015</w:t>
            </w:r>
          </w:p>
        </w:tc>
        <w:tc>
          <w:tcPr>
            <w:tcW w:w="4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700</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5.40% notes due 2016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5.30% notes due 2017</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900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4.25% notes due 2021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3.35% notes due 2023</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5.70% notes due 2036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2037</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5.375% notes due 2041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6.625% debentures due 2028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9.065% debentures due 2033</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0.6%-9.5% maturing at various dates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Borders>
              <w:bottom w:val="single" w:sz="8" w:color="E5FFFF"/>
            </w:tcBorders>
          </w:tcPr>
          <w:p>
            <w:pPr>
              <w:ind w:left="160"/>
              <w:spacing w:after="0" w:line="203" w:lineRule="exact"/>
              <w:rPr>
                <w:sz w:val="20"/>
                <w:szCs w:val="20"/>
                <w:color w:val="auto"/>
              </w:rPr>
            </w:pPr>
            <w:r>
              <w:rPr>
                <w:rFonts w:ascii="Arial" w:cs="Arial" w:eastAsia="Arial" w:hAnsi="Arial"/>
                <w:sz w:val="18"/>
                <w:szCs w:val="18"/>
                <w:color w:val="auto"/>
              </w:rPr>
              <w:t>through 2023</w:t>
            </w:r>
          </w:p>
        </w:tc>
        <w:tc>
          <w:tcPr>
            <w:tcW w:w="2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420</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6,867</w:t>
            </w:r>
          </w:p>
        </w:tc>
        <w:tc>
          <w:tcPr>
            <w:tcW w:w="3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E5FFFF"/>
          </w:tcPr>
          <w:p>
            <w:pPr>
              <w:spacing w:after="0"/>
              <w:rPr>
                <w:sz w:val="18"/>
                <w:szCs w:val="18"/>
                <w:color w:val="auto"/>
              </w:rPr>
            </w:pP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5,599</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July 10, 2015, the Company entered into a $4 billion Amended and Restated Five Year Credit Agreement (Credit Agreement) with a syndicate of banks. Commitments under the Credit Agreement can be increased pursuant to the terms of the Credit Agreement to an aggregate amount not to exceed $4.5 billion. The Credit Agreement amends and restates the previous $4 billion five year credit agreement with substantially the same material terms and conditions. A full description of the Credit Agreement can be found in the Company’s Current Report on Form 8-K, dated July 10, 2015.</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September 30, 2015, the Company entered into a $3 billion 364-Day Credit Agreement (364-Day Credit Agreement) with a syndicate of banks. The 364-Day Credit Agreement is maintained for general corporate purposes including the Elster acquisition. A full description of the 364-Day Credit Agreement can be found in the Company’s Current Report on Form 8-K, dated October 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 and Fair Value Measures</w:t>
      </w:r>
    </w:p>
    <w:p>
      <w:pPr>
        <w:spacing w:after="0" w:line="220"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Financial Statements in our 2014 Annual Report on Form 10-K.</w:t>
      </w:r>
    </w:p>
    <w:p>
      <w:pPr>
        <w:spacing w:after="0" w:line="183"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following table sets forth the Company’s financial assets and liabilities that were accounted for at fair value on a recurring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40" w:type="dxa"/>
            <w:vAlign w:val="bottom"/>
            <w:tcBorders>
              <w:bottom w:val="single" w:sz="8" w:color="E5FFFF"/>
            </w:tcBorders>
          </w:tcPr>
          <w:p>
            <w:pPr>
              <w:spacing w:after="0"/>
              <w:rPr>
                <w:sz w:val="15"/>
                <w:szCs w:val="15"/>
                <w:color w:val="auto"/>
              </w:rPr>
            </w:pPr>
          </w:p>
        </w:tc>
        <w:tc>
          <w:tcPr>
            <w:tcW w:w="140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43</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4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3,028</w:t>
            </w: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Foreign currency exchange contracts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of the fair value hierarchy. The Company holds investments in certificates of deposits, time deposits and commercial paper that are designated as available for sale and are valued using market transactions in over-the-counter markets. These investments are classified within level 2 of the fair value hierarchy.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September 30, 2015</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4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01"/>
              <w:spacing w:after="0" w:line="14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59"/>
              <w:spacing w:after="0" w:line="14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81"/>
              <w:spacing w:after="0" w:line="14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9"/>
              <w:spacing w:after="0" w:line="143" w:lineRule="exact"/>
              <w:rPr>
                <w:sz w:val="20"/>
                <w:szCs w:val="20"/>
                <w:color w:val="auto"/>
              </w:rPr>
            </w:pPr>
            <w:r>
              <w:rPr>
                <w:rFonts w:ascii="Arial" w:cs="Arial" w:eastAsia="Arial" w:hAnsi="Arial"/>
                <w:sz w:val="14"/>
                <w:szCs w:val="14"/>
                <w:b w:val="1"/>
                <w:bCs w:val="1"/>
                <w:color w:val="auto"/>
              </w:rPr>
              <w:t>Fair</w:t>
            </w:r>
          </w:p>
        </w:tc>
      </w:tr>
      <w:tr>
        <w:trPr>
          <w:trHeight w:val="175"/>
        </w:trPr>
        <w:tc>
          <w:tcPr>
            <w:tcW w:w="4820" w:type="dxa"/>
            <w:vAlign w:val="bottom"/>
            <w:tcBorders>
              <w:bottom w:val="single" w:sz="8" w:color="E5FFFF"/>
            </w:tcBorders>
          </w:tcPr>
          <w:p>
            <w:pPr>
              <w:spacing w:after="0"/>
              <w:rPr>
                <w:sz w:val="15"/>
                <w:szCs w:val="15"/>
                <w:color w:val="auto"/>
              </w:rPr>
            </w:pPr>
          </w:p>
        </w:tc>
        <w:tc>
          <w:tcPr>
            <w:tcW w:w="10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299</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286</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297</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293</w:t>
            </w: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6,867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7,535</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6,985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7,817</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These receivables are classified within level 2 of the fair value hierarchy. The Company determined the fair value of the long-term debt and related current maturities utilizing transactions in the listed markets for identical or similar liabilities. The long-term debt and related current maturities are also classified within level 2 of the fair value hierarchy.</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We enter into transactions designed to provide for netting of offsetting obligations in the event of the insolvency or default of a counterparty. However, we have not elected to offset multiple contracts with a single counterparty, therefore the fair value of the derivative instruments in a loss position is not offset against the fair value of derivative instruments in a gain position.</w:t>
      </w:r>
    </w:p>
    <w:p>
      <w:pPr>
        <w:spacing w:after="0" w:line="189"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nine months ended September 30, 2015, we recognized $24 million and $ 11 million of gains in earnings on interest rate swap agreements. For the three and nine months ended September 30, 2014, we recognized $9 million of losses and $19 million of gains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$72 million of income and $66 million of expense in Other (income) expense for the three and nine months ended September 30, 2015. We recognized $99 million and $124 million of expense in Other (income) expense for the three and nine months ended September 30, 2014.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of Available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of Effective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Translation</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5"/>
                <w:szCs w:val="15"/>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for Sale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Hedges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2014</w:t>
            </w: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(740)</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(728)</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9</w:t>
            </w:r>
          </w:p>
        </w:tc>
        <w:tc>
          <w:tcPr>
            <w:tcW w:w="2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(1,459)</w:t>
            </w: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9"/>
              <w:spacing w:after="0" w:line="203"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(850)</w:t>
            </w:r>
          </w:p>
        </w:tc>
      </w:tr>
      <w:tr>
        <w:trPr>
          <w:trHeight w:val="202"/>
        </w:trPr>
        <w:tc>
          <w:tcPr>
            <w:tcW w:w="482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4820" w:type="dxa"/>
            <w:vAlign w:val="bottom"/>
            <w:shd w:val="clear" w:color="auto" w:fill="E5FFFF"/>
          </w:tcPr>
          <w:p>
            <w:pPr>
              <w:ind w:left="360"/>
              <w:spacing w:after="0" w:line="203" w:lineRule="exact"/>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ind w:right="38"/>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040" w:type="dxa"/>
            <w:vAlign w:val="bottom"/>
            <w:tcBorders>
              <w:bottom w:val="single" w:sz="8" w:color="auto"/>
            </w:tcBorders>
            <w:shd w:val="clear" w:color="auto" w:fill="E5FFFF"/>
          </w:tcPr>
          <w:p>
            <w:pPr>
              <w:jc w:val="right"/>
              <w:ind w:right="37"/>
              <w:spacing w:after="0" w:line="203" w:lineRule="exact"/>
              <w:rPr>
                <w:sz w:val="20"/>
                <w:szCs w:val="20"/>
                <w:color w:val="auto"/>
              </w:rPr>
            </w:pPr>
            <w:r>
              <w:rPr>
                <w:rFonts w:ascii="Arial" w:cs="Arial" w:eastAsia="Arial" w:hAnsi="Arial"/>
                <w:sz w:val="18"/>
                <w:szCs w:val="18"/>
                <w:color w:val="auto"/>
              </w:rPr>
              <w:t>13</w:t>
            </w:r>
          </w:p>
        </w:tc>
        <w:tc>
          <w:tcPr>
            <w:tcW w:w="24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980" w:type="dxa"/>
            <w:vAlign w:val="bottom"/>
            <w:tcBorders>
              <w:bottom w:val="single" w:sz="8" w:color="auto"/>
            </w:tcBorders>
            <w:shd w:val="clear" w:color="auto" w:fill="E5FFFF"/>
          </w:tcPr>
          <w:p>
            <w:pPr>
              <w:jc w:val="right"/>
              <w:spacing w:after="0" w:line="203" w:lineRule="exact"/>
              <w:rPr>
                <w:sz w:val="20"/>
                <w:szCs w:val="20"/>
                <w:color w:val="auto"/>
              </w:rPr>
            </w:pPr>
            <w:r>
              <w:rPr>
                <w:rFonts w:ascii="Arial" w:cs="Arial" w:eastAsia="Arial" w:hAnsi="Arial"/>
                <w:sz w:val="18"/>
                <w:szCs w:val="18"/>
                <w:color w:val="auto"/>
              </w:rPr>
              <w:t>(77)</w:t>
            </w:r>
          </w:p>
        </w:tc>
        <w:tc>
          <w:tcPr>
            <w:tcW w:w="2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203" w:lineRule="exact"/>
              <w:rPr>
                <w:sz w:val="20"/>
                <w:szCs w:val="20"/>
                <w:color w:val="auto"/>
              </w:rPr>
            </w:pPr>
            <w:r>
              <w:rPr>
                <w:rFonts w:ascii="Arial" w:cs="Arial" w:eastAsia="Arial" w:hAnsi="Arial"/>
                <w:sz w:val="18"/>
                <w:szCs w:val="18"/>
                <w:color w:val="auto"/>
              </w:rPr>
              <w:t>(64)</w:t>
            </w:r>
          </w:p>
        </w:tc>
      </w:tr>
      <w:tr>
        <w:trPr>
          <w:trHeight w:val="196"/>
        </w:trPr>
        <w:tc>
          <w:tcPr>
            <w:tcW w:w="482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(893)</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w:t>
            </w:r>
          </w:p>
        </w:tc>
      </w:tr>
      <w:tr>
        <w:trPr>
          <w:trHeight w:val="210"/>
        </w:trPr>
        <w:tc>
          <w:tcPr>
            <w:tcW w:w="48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September 30, 2015</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(1,633)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(2,373)</w:t>
            </w:r>
          </w:p>
        </w:tc>
      </w:tr>
      <w:tr>
        <w:trPr>
          <w:trHeight w:val="20"/>
        </w:trPr>
        <w:tc>
          <w:tcPr>
            <w:tcW w:w="48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of Available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of Effective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Translation</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5"/>
                <w:szCs w:val="15"/>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for Sale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Hedges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2013</w:t>
            </w: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304</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355</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170</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818</w:t>
            </w: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7"/>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9"/>
              <w:spacing w:after="0" w:line="203"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(474)</w:t>
            </w:r>
          </w:p>
        </w:tc>
      </w:tr>
      <w:tr>
        <w:trPr>
          <w:trHeight w:val="202"/>
        </w:trPr>
        <w:tc>
          <w:tcPr>
            <w:tcW w:w="482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4820" w:type="dxa"/>
            <w:vAlign w:val="bottom"/>
            <w:shd w:val="clear" w:color="auto" w:fill="E5FFFF"/>
          </w:tcPr>
          <w:p>
            <w:pPr>
              <w:ind w:left="360"/>
              <w:spacing w:after="0" w:line="203" w:lineRule="exact"/>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ind w:right="38"/>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040" w:type="dxa"/>
            <w:vAlign w:val="bottom"/>
            <w:tcBorders>
              <w:bottom w:val="single" w:sz="8" w:color="auto"/>
            </w:tcBorders>
            <w:shd w:val="clear" w:color="auto" w:fill="E5FFFF"/>
          </w:tcPr>
          <w:p>
            <w:pPr>
              <w:jc w:val="right"/>
              <w:ind w:right="37"/>
              <w:spacing w:after="0" w:line="203" w:lineRule="exact"/>
              <w:rPr>
                <w:sz w:val="20"/>
                <w:szCs w:val="20"/>
                <w:color w:val="auto"/>
              </w:rPr>
            </w:pPr>
            <w:r>
              <w:rPr>
                <w:rFonts w:ascii="Arial" w:cs="Arial" w:eastAsia="Arial" w:hAnsi="Arial"/>
                <w:sz w:val="18"/>
                <w:szCs w:val="18"/>
                <w:color w:val="auto"/>
              </w:rPr>
              <w:t>13</w:t>
            </w:r>
          </w:p>
        </w:tc>
        <w:tc>
          <w:tcPr>
            <w:tcW w:w="24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spacing w:after="0" w:line="203" w:lineRule="exact"/>
              <w:rPr>
                <w:sz w:val="20"/>
                <w:szCs w:val="20"/>
                <w:color w:val="auto"/>
              </w:rPr>
            </w:pPr>
            <w:r>
              <w:rPr>
                <w:rFonts w:ascii="Arial" w:cs="Arial" w:eastAsia="Arial" w:hAnsi="Arial"/>
                <w:sz w:val="18"/>
                <w:szCs w:val="18"/>
                <w:color w:val="auto"/>
              </w:rPr>
              <w:t>(71)</w:t>
            </w:r>
          </w:p>
        </w:tc>
        <w:tc>
          <w:tcPr>
            <w:tcW w:w="22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980" w:type="dxa"/>
            <w:vAlign w:val="bottom"/>
            <w:tcBorders>
              <w:bottom w:val="single" w:sz="8" w:color="auto"/>
            </w:tcBorders>
            <w:shd w:val="clear" w:color="auto" w:fill="E5FFFF"/>
          </w:tcPr>
          <w:p>
            <w:pPr>
              <w:jc w:val="right"/>
              <w:spacing w:after="0" w:line="203" w:lineRule="exact"/>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203" w:lineRule="exact"/>
              <w:rPr>
                <w:sz w:val="20"/>
                <w:szCs w:val="20"/>
                <w:color w:val="auto"/>
              </w:rPr>
            </w:pPr>
            <w:r>
              <w:rPr>
                <w:rFonts w:ascii="Arial" w:cs="Arial" w:eastAsia="Arial" w:hAnsi="Arial"/>
                <w:sz w:val="18"/>
                <w:szCs w:val="18"/>
                <w:color w:val="auto"/>
              </w:rPr>
              <w:t>(63)</w:t>
            </w:r>
          </w:p>
        </w:tc>
      </w:tr>
      <w:tr>
        <w:trPr>
          <w:trHeight w:val="196"/>
        </w:trPr>
        <w:tc>
          <w:tcPr>
            <w:tcW w:w="482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13</w:t>
            </w: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w:t>
            </w:r>
          </w:p>
        </w:tc>
        <w:tc>
          <w:tcPr>
            <w:tcW w:w="22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13</w:t>
            </w:r>
          </w:p>
        </w:tc>
        <w:tc>
          <w:tcPr>
            <w:tcW w:w="2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w:t>
            </w:r>
          </w:p>
        </w:tc>
      </w:tr>
      <w:tr>
        <w:trPr>
          <w:trHeight w:val="210"/>
        </w:trPr>
        <w:tc>
          <w:tcPr>
            <w:tcW w:w="48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September 30, 2014</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37"/>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91</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281</w:t>
            </w:r>
          </w:p>
        </w:tc>
      </w:tr>
      <w:tr>
        <w:trPr>
          <w:trHeight w:val="20"/>
        </w:trPr>
        <w:tc>
          <w:tcPr>
            <w:tcW w:w="48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48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Financial Data</w:t>
      </w:r>
    </w:p>
    <w:p>
      <w:pPr>
        <w:spacing w:after="0" w:line="220" w:lineRule="exact"/>
        <w:rPr>
          <w:sz w:val="20"/>
          <w:szCs w:val="20"/>
          <w:color w:val="auto"/>
        </w:rPr>
      </w:pPr>
    </w:p>
    <w:p>
      <w:pPr>
        <w:jc w:val="both"/>
        <w:ind w:right="260" w:firstLine="648"/>
        <w:spacing w:after="0" w:line="239" w:lineRule="auto"/>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 and accounting changes.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bottom w:val="single" w:sz="8" w:color="E5FFFF"/>
            </w:tcBorders>
          </w:tcPr>
          <w:p>
            <w:pPr>
              <w:spacing w:after="0"/>
              <w:rPr>
                <w:sz w:val="14"/>
                <w:szCs w:val="14"/>
                <w:color w:val="auto"/>
              </w:rPr>
            </w:pPr>
          </w:p>
        </w:tc>
        <w:tc>
          <w:tcPr>
            <w:tcW w:w="420" w:type="dxa"/>
            <w:vAlign w:val="bottom"/>
            <w:tcBorders>
              <w:bottom w:val="single" w:sz="8" w:color="E5FFFF"/>
            </w:tcBorders>
          </w:tcPr>
          <w:p>
            <w:pPr>
              <w:spacing w:after="0"/>
              <w:rPr>
                <w:sz w:val="14"/>
                <w:szCs w:val="14"/>
                <w:color w:val="auto"/>
              </w:rPr>
            </w:pPr>
          </w:p>
        </w:tc>
        <w:tc>
          <w:tcPr>
            <w:tcW w:w="2900" w:type="dxa"/>
            <w:vAlign w:val="bottom"/>
            <w:tcBorders>
              <w:bottom w:val="single" w:sz="8" w:color="E5FFFF"/>
            </w:tcBorders>
          </w:tcPr>
          <w:p>
            <w:pPr>
              <w:spacing w:after="0"/>
              <w:rPr>
                <w:sz w:val="14"/>
                <w:szCs w:val="14"/>
                <w:color w:val="auto"/>
              </w:rPr>
            </w:pPr>
          </w:p>
        </w:tc>
        <w:tc>
          <w:tcPr>
            <w:tcW w:w="84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E5FF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E5FF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8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1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46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0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46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290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1100" w:type="dxa"/>
            <w:vAlign w:val="bottom"/>
            <w:shd w:val="clear" w:color="auto" w:fill="E5FFFF"/>
          </w:tcPr>
          <w:p>
            <w:pPr>
              <w:spacing w:after="0"/>
              <w:rPr>
                <w:sz w:val="2"/>
                <w:szCs w:val="2"/>
                <w:color w:val="auto"/>
              </w:rPr>
            </w:pPr>
          </w:p>
        </w:tc>
        <w:tc>
          <w:tcPr>
            <w:tcW w:w="360" w:type="dxa"/>
            <w:vAlign w:val="bottom"/>
            <w:shd w:val="clear" w:color="auto" w:fill="E5FFFF"/>
          </w:tcPr>
          <w:p>
            <w:pPr>
              <w:spacing w:after="0"/>
              <w:rPr>
                <w:sz w:val="2"/>
                <w:szCs w:val="2"/>
                <w:color w:val="auto"/>
              </w:rPr>
            </w:pPr>
          </w:p>
        </w:tc>
        <w:tc>
          <w:tcPr>
            <w:tcW w:w="460" w:type="dxa"/>
            <w:vAlign w:val="bottom"/>
            <w:shd w:val="clear" w:color="auto" w:fill="E5FFFF"/>
          </w:tcPr>
          <w:p>
            <w:pPr>
              <w:spacing w:after="0"/>
              <w:rPr>
                <w:sz w:val="2"/>
                <w:szCs w:val="2"/>
                <w:color w:val="auto"/>
              </w:rPr>
            </w:pPr>
          </w:p>
        </w:tc>
        <w:tc>
          <w:tcPr>
            <w:tcW w:w="9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108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460" w:type="dxa"/>
            <w:vAlign w:val="bottom"/>
            <w:shd w:val="clear" w:color="auto" w:fill="E5FFFF"/>
          </w:tcPr>
          <w:p>
            <w:pPr>
              <w:spacing w:after="0"/>
              <w:rPr>
                <w:sz w:val="2"/>
                <w:szCs w:val="2"/>
                <w:color w:val="auto"/>
              </w:rPr>
            </w:pPr>
          </w:p>
        </w:tc>
        <w:tc>
          <w:tcPr>
            <w:tcW w:w="90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112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2,557</w:t>
            </w:r>
          </w:p>
        </w:tc>
        <w:tc>
          <w:tcPr>
            <w:tcW w:w="82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2,658</w:t>
            </w:r>
          </w:p>
        </w:tc>
        <w:tc>
          <w:tcPr>
            <w:tcW w:w="62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7,643</w:t>
            </w:r>
          </w:p>
        </w:tc>
        <w:tc>
          <w:tcPr>
            <w:tcW w:w="78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1,263</w:t>
            </w:r>
          </w:p>
        </w:tc>
        <w:tc>
          <w:tcPr>
            <w:tcW w:w="36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1,237</w:t>
            </w:r>
          </w:p>
        </w:tc>
        <w:tc>
          <w:tcPr>
            <w:tcW w:w="3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3,611</w:t>
            </w:r>
          </w:p>
        </w:tc>
        <w:tc>
          <w:tcPr>
            <w:tcW w:w="32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3,820</w:t>
            </w:r>
          </w:p>
        </w:tc>
        <w:tc>
          <w:tcPr>
            <w:tcW w:w="3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3,895</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11,254</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3,265</w:t>
            </w:r>
          </w:p>
        </w:tc>
        <w:tc>
          <w:tcPr>
            <w:tcW w:w="3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3,351</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9,487</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306</w:t>
            </w:r>
          </w:p>
        </w:tc>
        <w:tc>
          <w:tcPr>
            <w:tcW w:w="36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w:t>
            </w:r>
          </w:p>
        </w:tc>
        <w:tc>
          <w:tcPr>
            <w:tcW w:w="3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901</w:t>
            </w:r>
          </w:p>
        </w:tc>
        <w:tc>
          <w:tcPr>
            <w:tcW w:w="32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3,571</w:t>
            </w:r>
          </w:p>
        </w:tc>
        <w:tc>
          <w:tcPr>
            <w:tcW w:w="3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3,671</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10,388</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1,751</w:t>
            </w:r>
          </w:p>
        </w:tc>
        <w:tc>
          <w:tcPr>
            <w:tcW w:w="3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2,081</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5,605</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469</w:t>
            </w:r>
          </w:p>
        </w:tc>
        <w:tc>
          <w:tcPr>
            <w:tcW w:w="36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461</w:t>
            </w:r>
          </w:p>
        </w:tc>
        <w:tc>
          <w:tcPr>
            <w:tcW w:w="3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1,352</w:t>
            </w:r>
          </w:p>
        </w:tc>
        <w:tc>
          <w:tcPr>
            <w:tcW w:w="32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3"/>
            <w:shd w:val="clear" w:color="auto" w:fill="E5FFFF"/>
          </w:tcPr>
          <w:p>
            <w:pPr>
              <w:jc w:val="center"/>
              <w:ind w:right="3020"/>
              <w:spacing w:after="0"/>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2,220</w:t>
            </w:r>
          </w:p>
        </w:tc>
        <w:tc>
          <w:tcPr>
            <w:tcW w:w="36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2,542</w:t>
            </w:r>
          </w:p>
        </w:tc>
        <w:tc>
          <w:tcPr>
            <w:tcW w:w="34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6,957</w:t>
            </w:r>
          </w:p>
        </w:tc>
        <w:tc>
          <w:tcPr>
            <w:tcW w:w="32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9,611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10,108</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28,599</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30,040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tcBorders>
              <w:top w:val="single" w:sz="8" w:color="E5FFFF"/>
              <w:bottom w:val="single" w:sz="8" w:color="auto"/>
            </w:tcBorders>
            <w:gridSpan w:val="2"/>
            <w:shd w:val="clear" w:color="auto" w:fill="E5FFFF"/>
          </w:tcPr>
          <w:p>
            <w:pPr>
              <w:spacing w:after="0" w:line="156" w:lineRule="exact"/>
              <w:rPr>
                <w:sz w:val="20"/>
                <w:szCs w:val="20"/>
                <w:color w:val="auto"/>
              </w:rPr>
            </w:pPr>
            <w:r>
              <w:rPr>
                <w:rFonts w:ascii="Arial" w:cs="Arial" w:eastAsia="Arial" w:hAnsi="Arial"/>
                <w:sz w:val="18"/>
                <w:szCs w:val="18"/>
                <w:color w:val="auto"/>
                <w:w w:val="97"/>
              </w:rPr>
              <w:t>Segment Profit</w:t>
            </w:r>
          </w:p>
        </w:tc>
        <w:tc>
          <w:tcPr>
            <w:tcW w:w="2900" w:type="dxa"/>
            <w:vAlign w:val="bottom"/>
            <w:tcBorders>
              <w:top w:val="single" w:sz="8" w:color="E5FFFF"/>
              <w:bottom w:val="single" w:sz="8" w:color="E5FFFF"/>
            </w:tcBorders>
            <w:shd w:val="clear" w:color="auto" w:fill="E5FFFF"/>
          </w:tcPr>
          <w:p>
            <w:pPr>
              <w:spacing w:after="0"/>
              <w:rPr>
                <w:sz w:val="14"/>
                <w:szCs w:val="14"/>
                <w:color w:val="auto"/>
              </w:rPr>
            </w:pPr>
          </w:p>
        </w:tc>
        <w:tc>
          <w:tcPr>
            <w:tcW w:w="840" w:type="dxa"/>
            <w:vAlign w:val="bottom"/>
            <w:tcBorders>
              <w:top w:val="single" w:sz="8" w:color="E5FFFF"/>
              <w:bottom w:val="single" w:sz="8" w:color="E5FFFF"/>
            </w:tcBorders>
            <w:shd w:val="clear" w:color="auto" w:fill="E5FFFF"/>
          </w:tcPr>
          <w:p>
            <w:pPr>
              <w:spacing w:after="0"/>
              <w:rPr>
                <w:sz w:val="14"/>
                <w:szCs w:val="14"/>
                <w:color w:val="auto"/>
              </w:rPr>
            </w:pPr>
          </w:p>
        </w:tc>
        <w:tc>
          <w:tcPr>
            <w:tcW w:w="280" w:type="dxa"/>
            <w:vAlign w:val="bottom"/>
            <w:tcBorders>
              <w:top w:val="single" w:sz="8" w:color="auto"/>
              <w:bottom w:val="single" w:sz="8" w:color="E5FFFF"/>
            </w:tcBorders>
            <w:shd w:val="clear" w:color="auto" w:fill="E5FFFF"/>
          </w:tcPr>
          <w:p>
            <w:pPr>
              <w:spacing w:after="0"/>
              <w:rPr>
                <w:sz w:val="14"/>
                <w:szCs w:val="14"/>
                <w:color w:val="auto"/>
              </w:rPr>
            </w:pPr>
          </w:p>
        </w:tc>
        <w:tc>
          <w:tcPr>
            <w:tcW w:w="1100" w:type="dxa"/>
            <w:vAlign w:val="bottom"/>
            <w:tcBorders>
              <w:top w:val="single" w:sz="8" w:color="auto"/>
              <w:bottom w:val="single" w:sz="8" w:color="E5FFFF"/>
            </w:tcBorders>
            <w:shd w:val="clear" w:color="auto" w:fill="E5FFFF"/>
          </w:tcPr>
          <w:p>
            <w:pPr>
              <w:spacing w:after="0"/>
              <w:rPr>
                <w:sz w:val="14"/>
                <w:szCs w:val="14"/>
                <w:color w:val="auto"/>
              </w:rPr>
            </w:pPr>
          </w:p>
        </w:tc>
        <w:tc>
          <w:tcPr>
            <w:tcW w:w="360" w:type="dxa"/>
            <w:vAlign w:val="bottom"/>
            <w:tcBorders>
              <w:top w:val="single" w:sz="8" w:color="E5FFFF"/>
              <w:bottom w:val="single" w:sz="8" w:color="E5FFFF"/>
            </w:tcBorders>
            <w:shd w:val="clear" w:color="auto" w:fill="E5FFFF"/>
          </w:tcPr>
          <w:p>
            <w:pPr>
              <w:spacing w:after="0"/>
              <w:rPr>
                <w:sz w:val="14"/>
                <w:szCs w:val="14"/>
                <w:color w:val="auto"/>
              </w:rPr>
            </w:pPr>
          </w:p>
        </w:tc>
        <w:tc>
          <w:tcPr>
            <w:tcW w:w="460" w:type="dxa"/>
            <w:vAlign w:val="bottom"/>
            <w:tcBorders>
              <w:top w:val="single" w:sz="8" w:color="auto"/>
              <w:bottom w:val="single" w:sz="8" w:color="E5FFFF"/>
            </w:tcBorders>
            <w:shd w:val="clear" w:color="auto" w:fill="E5FFFF"/>
          </w:tcPr>
          <w:p>
            <w:pPr>
              <w:spacing w:after="0"/>
              <w:rPr>
                <w:sz w:val="14"/>
                <w:szCs w:val="14"/>
                <w:color w:val="auto"/>
              </w:rPr>
            </w:pPr>
          </w:p>
        </w:tc>
        <w:tc>
          <w:tcPr>
            <w:tcW w:w="900" w:type="dxa"/>
            <w:vAlign w:val="bottom"/>
            <w:tcBorders>
              <w:top w:val="single" w:sz="8" w:color="auto"/>
              <w:bottom w:val="single" w:sz="8" w:color="E5FFFF"/>
            </w:tcBorders>
            <w:shd w:val="clear" w:color="auto" w:fill="E5FFFF"/>
          </w:tcPr>
          <w:p>
            <w:pPr>
              <w:spacing w:after="0"/>
              <w:rPr>
                <w:sz w:val="14"/>
                <w:szCs w:val="14"/>
                <w:color w:val="auto"/>
              </w:rPr>
            </w:pPr>
          </w:p>
        </w:tc>
        <w:tc>
          <w:tcPr>
            <w:tcW w:w="340" w:type="dxa"/>
            <w:vAlign w:val="bottom"/>
            <w:tcBorders>
              <w:top w:val="single" w:sz="8" w:color="E5FFFF"/>
              <w:bottom w:val="single" w:sz="8" w:color="E5FFFF"/>
            </w:tcBorders>
            <w:shd w:val="clear" w:color="auto" w:fill="E5FFFF"/>
          </w:tcPr>
          <w:p>
            <w:pPr>
              <w:spacing w:after="0"/>
              <w:rPr>
                <w:sz w:val="14"/>
                <w:szCs w:val="14"/>
                <w:color w:val="auto"/>
              </w:rPr>
            </w:pPr>
          </w:p>
        </w:tc>
        <w:tc>
          <w:tcPr>
            <w:tcW w:w="280" w:type="dxa"/>
            <w:vAlign w:val="bottom"/>
            <w:tcBorders>
              <w:top w:val="single" w:sz="8" w:color="auto"/>
              <w:bottom w:val="single" w:sz="8" w:color="E5FFFF"/>
            </w:tcBorders>
            <w:shd w:val="clear" w:color="auto" w:fill="E5FFFF"/>
          </w:tcPr>
          <w:p>
            <w:pPr>
              <w:spacing w:after="0"/>
              <w:rPr>
                <w:sz w:val="14"/>
                <w:szCs w:val="14"/>
                <w:color w:val="auto"/>
              </w:rPr>
            </w:pPr>
          </w:p>
        </w:tc>
        <w:tc>
          <w:tcPr>
            <w:tcW w:w="1080" w:type="dxa"/>
            <w:vAlign w:val="bottom"/>
            <w:tcBorders>
              <w:top w:val="single" w:sz="8" w:color="auto"/>
              <w:bottom w:val="single" w:sz="8" w:color="E5FFFF"/>
            </w:tcBorders>
            <w:shd w:val="clear" w:color="auto" w:fill="E5FFFF"/>
          </w:tcPr>
          <w:p>
            <w:pPr>
              <w:spacing w:after="0"/>
              <w:rPr>
                <w:sz w:val="14"/>
                <w:szCs w:val="14"/>
                <w:color w:val="auto"/>
              </w:rPr>
            </w:pPr>
          </w:p>
        </w:tc>
        <w:tc>
          <w:tcPr>
            <w:tcW w:w="320" w:type="dxa"/>
            <w:vAlign w:val="bottom"/>
            <w:tcBorders>
              <w:top w:val="single" w:sz="8" w:color="E5FFFF"/>
              <w:bottom w:val="single" w:sz="8" w:color="E5FFFF"/>
            </w:tcBorders>
            <w:shd w:val="clear" w:color="auto" w:fill="E5FFFF"/>
          </w:tcPr>
          <w:p>
            <w:pPr>
              <w:spacing w:after="0"/>
              <w:rPr>
                <w:sz w:val="14"/>
                <w:szCs w:val="14"/>
                <w:color w:val="auto"/>
              </w:rPr>
            </w:pPr>
          </w:p>
        </w:tc>
        <w:tc>
          <w:tcPr>
            <w:tcW w:w="460" w:type="dxa"/>
            <w:vAlign w:val="bottom"/>
            <w:tcBorders>
              <w:top w:val="single" w:sz="8" w:color="auto"/>
              <w:bottom w:val="single" w:sz="8" w:color="E5FFFF"/>
            </w:tcBorders>
            <w:shd w:val="clear" w:color="auto" w:fill="E5FFFF"/>
          </w:tcPr>
          <w:p>
            <w:pPr>
              <w:spacing w:after="0"/>
              <w:rPr>
                <w:sz w:val="14"/>
                <w:szCs w:val="14"/>
                <w:color w:val="auto"/>
              </w:rPr>
            </w:pPr>
          </w:p>
        </w:tc>
        <w:tc>
          <w:tcPr>
            <w:tcW w:w="900" w:type="dxa"/>
            <w:vAlign w:val="bottom"/>
            <w:tcBorders>
              <w:top w:val="single" w:sz="8" w:color="auto"/>
              <w:bottom w:val="single" w:sz="8" w:color="E5FFFF"/>
            </w:tcBorders>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833</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790</w:t>
            </w: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2,362</w:t>
            </w:r>
          </w:p>
        </w:tc>
        <w:tc>
          <w:tcPr>
            <w:tcW w:w="7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614</w:t>
            </w:r>
          </w:p>
        </w:tc>
        <w:tc>
          <w:tcPr>
            <w:tcW w:w="3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583</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1,697</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461</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1,473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w:t>
            </w:r>
          </w:p>
        </w:tc>
        <w:tc>
          <w:tcPr>
            <w:tcW w:w="36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E5FFFF"/>
            </w:tcBorders>
            <w:gridSpan w:val="3"/>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4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1,852</w:t>
            </w:r>
          </w:p>
        </w:tc>
        <w:tc>
          <w:tcPr>
            <w:tcW w:w="36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1,759</w:t>
            </w:r>
          </w:p>
        </w:tc>
        <w:tc>
          <w:tcPr>
            <w:tcW w:w="34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5,376</w:t>
            </w:r>
          </w:p>
        </w:tc>
        <w:tc>
          <w:tcPr>
            <w:tcW w:w="32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shd w:val="clear" w:color="auto" w:fill="E5FFFF"/>
          </w:tcPr>
          <w:p>
            <w:pPr>
              <w:spacing w:after="0" w:line="223" w:lineRule="exact"/>
              <w:rPr>
                <w:sz w:val="20"/>
                <w:szCs w:val="20"/>
                <w:color w:val="auto"/>
              </w:rPr>
            </w:pPr>
            <w:r>
              <w:rPr>
                <w:rFonts w:ascii="Arial" w:cs="Arial" w:eastAsia="Arial" w:hAnsi="Arial"/>
                <w:sz w:val="16"/>
                <w:szCs w:val="16"/>
                <w:color w:val="auto"/>
              </w:rPr>
              <w:t>Other income</w:t>
            </w:r>
            <w:r>
              <w:rPr>
                <w:rFonts w:ascii="Arial" w:cs="Arial" w:eastAsia="Arial" w:hAnsi="Arial"/>
                <w:sz w:val="25"/>
                <w:szCs w:val="25"/>
                <w:color w:val="auto"/>
                <w:vertAlign w:val="superscript"/>
              </w:rPr>
              <w:t>(a)</w:t>
            </w:r>
          </w:p>
        </w:tc>
        <w:tc>
          <w:tcPr>
            <w:tcW w:w="8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1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9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8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39</w:t>
            </w:r>
          </w:p>
        </w:tc>
        <w:tc>
          <w:tcPr>
            <w:tcW w:w="32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9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8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expense</w:t>
            </w:r>
            <w:r>
              <w:rPr>
                <w:rFonts w:ascii="Arial" w:cs="Arial" w:eastAsia="Arial" w:hAnsi="Arial"/>
                <w:sz w:val="28"/>
                <w:szCs w:val="28"/>
                <w:color w:val="auto"/>
                <w:vertAlign w:val="superscript"/>
              </w:rPr>
              <w:t>(b)</w:t>
            </w:r>
          </w:p>
        </w:tc>
        <w:tc>
          <w:tcPr>
            <w:tcW w:w="8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tcBorders>
              <w:bottom w:val="single" w:sz="8" w:color="E5FFFF"/>
            </w:tcBorders>
            <w:gridSpan w:val="3"/>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840" w:type="dxa"/>
            <w:vAlign w:val="bottom"/>
            <w:tcBorders>
              <w:bottom w:val="single" w:sz="8" w:color="E5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Borders>
              <w:bottom w:val="single" w:sz="8" w:color="E5FF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bottom w:val="single" w:sz="8" w:color="E5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Borders>
              <w:bottom w:val="single" w:sz="8" w:color="E5FF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3"/>
            <w:shd w:val="clear" w:color="auto" w:fill="E5FFFF"/>
          </w:tcPr>
          <w:p>
            <w:pPr>
              <w:spacing w:after="0" w:line="197" w:lineRule="exact"/>
              <w:rPr>
                <w:sz w:val="20"/>
                <w:szCs w:val="20"/>
                <w:color w:val="auto"/>
              </w:rPr>
            </w:pPr>
            <w:r>
              <w:rPr>
                <w:rFonts w:ascii="Arial" w:cs="Arial" w:eastAsia="Arial" w:hAnsi="Arial"/>
                <w:sz w:val="18"/>
                <w:szCs w:val="18"/>
                <w:color w:val="auto"/>
              </w:rPr>
              <w:t>Income before taxes</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1,707</w:t>
            </w:r>
          </w:p>
        </w:tc>
        <w:tc>
          <w:tcPr>
            <w:tcW w:w="8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1,580</w:t>
            </w:r>
          </w:p>
        </w:tc>
        <w:tc>
          <w:tcPr>
            <w:tcW w:w="6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4,933</w:t>
            </w:r>
          </w:p>
        </w:tc>
        <w:tc>
          <w:tcPr>
            <w:tcW w:w="7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90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U.S. Plans</w:t>
            </w: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gridSpan w:val="4"/>
          </w:tcPr>
          <w:p>
            <w:pPr>
              <w:jc w:val="center"/>
              <w:ind w:left="322"/>
              <w:spacing w:after="0" w:line="143" w:lineRule="exact"/>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880" w:type="dxa"/>
            <w:vAlign w:val="bottom"/>
            <w:gridSpan w:val="2"/>
            <w:shd w:val="clear" w:color="auto" w:fill="E5FFFF"/>
          </w:tcPr>
          <w:p>
            <w:pPr>
              <w:jc w:val="right"/>
              <w:ind w:right="66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58</w:t>
            </w:r>
          </w:p>
        </w:tc>
        <w:tc>
          <w:tcPr>
            <w:tcW w:w="1200" w:type="dxa"/>
            <w:vAlign w:val="bottom"/>
            <w:gridSpan w:val="2"/>
            <w:shd w:val="clear" w:color="auto" w:fill="E5FFFF"/>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61</w:t>
            </w:r>
          </w:p>
        </w:tc>
        <w:tc>
          <w:tcPr>
            <w:tcW w:w="1120" w:type="dxa"/>
            <w:vAlign w:val="bottom"/>
            <w:gridSpan w:val="2"/>
            <w:shd w:val="clear" w:color="auto" w:fill="E5FFFF"/>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172</w:t>
            </w:r>
          </w:p>
        </w:tc>
        <w:tc>
          <w:tcPr>
            <w:tcW w:w="780" w:type="dxa"/>
            <w:vAlign w:val="bottom"/>
            <w:gridSpan w:val="2"/>
            <w:shd w:val="clear" w:color="auto" w:fill="E5FF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179</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193</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535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5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(321)</w:t>
            </w:r>
          </w:p>
        </w:tc>
        <w:tc>
          <w:tcPr>
            <w:tcW w:w="3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(314)</w:t>
            </w: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(962)</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Settlements and curtailments</w:t>
            </w:r>
          </w:p>
        </w:tc>
        <w:tc>
          <w:tcPr>
            <w:tcW w:w="1040" w:type="dxa"/>
            <w:vAlign w:val="bottom"/>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540" w:type="dxa"/>
            <w:vAlign w:val="bottom"/>
            <w:tcBorders>
              <w:bottom w:val="single" w:sz="8" w:color="auto"/>
            </w:tcBorders>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360" w:type="dxa"/>
            <w:vAlign w:val="bottom"/>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spacing w:after="0"/>
              <w:rPr>
                <w:sz w:val="17"/>
                <w:szCs w:val="17"/>
                <w:color w:val="auto"/>
              </w:rPr>
            </w:pPr>
          </w:p>
        </w:tc>
        <w:tc>
          <w:tcPr>
            <w:tcW w:w="580" w:type="dxa"/>
            <w:vAlign w:val="bottom"/>
            <w:tcBorders>
              <w:bottom w:val="single" w:sz="8" w:color="auto"/>
            </w:tcBorders>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8</w:t>
            </w:r>
          </w:p>
        </w:tc>
        <w:tc>
          <w:tcPr>
            <w:tcW w:w="320" w:type="dxa"/>
            <w:vAlign w:val="bottom"/>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Borders>
              <w:bottom w:val="single" w:sz="8" w:color="auto"/>
            </w:tcBorders>
          </w:tcPr>
          <w:p>
            <w:pPr>
              <w:jc w:val="right"/>
              <w:ind w:right="662"/>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w:t>
            </w:r>
          </w:p>
        </w:tc>
        <w:tc>
          <w:tcPr>
            <w:tcW w:w="360" w:type="dxa"/>
            <w:vAlign w:val="bottom"/>
          </w:tcPr>
          <w:p>
            <w:pPr>
              <w:spacing w:after="0"/>
              <w:rPr>
                <w:sz w:val="17"/>
                <w:szCs w:val="17"/>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340" w:type="dxa"/>
            <w:vAlign w:val="bottom"/>
          </w:tcPr>
          <w:p>
            <w:pPr>
              <w:spacing w:after="0"/>
              <w:rPr>
                <w:sz w:val="17"/>
                <w:szCs w:val="17"/>
                <w:color w:val="auto"/>
              </w:rPr>
            </w:pPr>
          </w:p>
        </w:tc>
        <w:tc>
          <w:tcPr>
            <w:tcW w:w="780" w:type="dxa"/>
            <w:vAlign w:val="bottom"/>
            <w:tcBorders>
              <w:bottom w:val="single" w:sz="8" w:color="auto"/>
            </w:tcBorders>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3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Non-U.S. Plans</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gridSpan w:val="4"/>
          </w:tcPr>
          <w:p>
            <w:pPr>
              <w:jc w:val="center"/>
              <w:ind w:left="322"/>
              <w:spacing w:after="0" w:line="143" w:lineRule="exact"/>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880" w:type="dxa"/>
            <w:vAlign w:val="bottom"/>
            <w:gridSpan w:val="2"/>
            <w:shd w:val="clear" w:color="auto" w:fill="E5FFFF"/>
          </w:tcPr>
          <w:p>
            <w:pPr>
              <w:jc w:val="right"/>
              <w:ind w:right="66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1200" w:type="dxa"/>
            <w:vAlign w:val="bottom"/>
            <w:gridSpan w:val="2"/>
            <w:shd w:val="clear" w:color="auto" w:fill="E5FFFF"/>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14</w:t>
            </w:r>
          </w:p>
        </w:tc>
        <w:tc>
          <w:tcPr>
            <w:tcW w:w="1120" w:type="dxa"/>
            <w:vAlign w:val="bottom"/>
            <w:gridSpan w:val="2"/>
            <w:shd w:val="clear" w:color="auto" w:fill="E5FFFF"/>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39</w:t>
            </w:r>
          </w:p>
        </w:tc>
        <w:tc>
          <w:tcPr>
            <w:tcW w:w="780" w:type="dxa"/>
            <w:vAlign w:val="bottom"/>
            <w:gridSpan w:val="2"/>
            <w:shd w:val="clear" w:color="auto" w:fill="E5FF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58</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5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(91)</w:t>
            </w:r>
          </w:p>
        </w:tc>
        <w:tc>
          <w:tcPr>
            <w:tcW w:w="3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w:t>
            </w: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(270)</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Amortization of prior service (credit)</w:t>
            </w:r>
          </w:p>
        </w:tc>
        <w:tc>
          <w:tcPr>
            <w:tcW w:w="10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5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Settlements and curtailments</w:t>
            </w:r>
          </w:p>
        </w:tc>
        <w:tc>
          <w:tcPr>
            <w:tcW w:w="1040" w:type="dxa"/>
            <w:vAlign w:val="bottom"/>
            <w:tcBorders>
              <w:bottom w:val="single" w:sz="8" w:color="E5FF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360" w:type="dxa"/>
            <w:vAlign w:val="bottom"/>
            <w:tcBorders>
              <w:bottom w:val="single" w:sz="8" w:color="E5FF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32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E5FFFF"/>
            </w:tcBorders>
            <w:shd w:val="clear" w:color="auto" w:fill="E5FFFF"/>
          </w:tcPr>
          <w:p>
            <w:pPr>
              <w:spacing w:after="0"/>
              <w:rPr>
                <w:sz w:val="17"/>
                <w:szCs w:val="17"/>
                <w:color w:val="auto"/>
              </w:rPr>
            </w:pPr>
          </w:p>
        </w:tc>
        <w:tc>
          <w:tcPr>
            <w:tcW w:w="1040" w:type="dxa"/>
            <w:vAlign w:val="bottom"/>
            <w:tcBorders>
              <w:bottom w:val="single" w:sz="8" w:color="E5FFFF"/>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662"/>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(32)</w:t>
            </w:r>
          </w:p>
        </w:tc>
        <w:tc>
          <w:tcPr>
            <w:tcW w:w="360" w:type="dxa"/>
            <w:vAlign w:val="bottom"/>
            <w:tcBorders>
              <w:bottom w:val="single" w:sz="8" w:color="E5FFFF"/>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w:t>
            </w:r>
          </w:p>
        </w:tc>
        <w:tc>
          <w:tcPr>
            <w:tcW w:w="340" w:type="dxa"/>
            <w:vAlign w:val="bottom"/>
            <w:tcBorders>
              <w:bottom w:val="single" w:sz="8" w:color="E5FFFF"/>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(97)</w:t>
            </w:r>
          </w:p>
        </w:tc>
        <w:tc>
          <w:tcPr>
            <w:tcW w:w="320" w:type="dxa"/>
            <w:vAlign w:val="bottom"/>
            <w:tcBorders>
              <w:bottom w:val="single" w:sz="8" w:color="E5FFFF"/>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nine months ended September 30, 2015, the Company contributed $109 million of marketable securities and $19 million of cash to our non-U.S. pension plans.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Financial Statements in our 2014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2014</w:t>
            </w:r>
          </w:p>
        </w:tc>
        <w:tc>
          <w:tcPr>
            <w:tcW w:w="1400" w:type="dxa"/>
            <w:vAlign w:val="bottom"/>
            <w:gridSpan w:val="3"/>
            <w:shd w:val="clear" w:color="auto" w:fill="E5FFFF"/>
          </w:tcPr>
          <w:p>
            <w:pPr>
              <w:jc w:val="right"/>
              <w:ind w:right="828"/>
              <w:spacing w:after="0"/>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591</w:t>
            </w: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5360" w:type="dxa"/>
            <w:vAlign w:val="bottom"/>
          </w:tcPr>
          <w:p>
            <w:pPr>
              <w:ind w:left="160"/>
              <w:spacing w:after="0" w:line="201" w:lineRule="exact"/>
              <w:rPr>
                <w:sz w:val="20"/>
                <w:szCs w:val="20"/>
                <w:color w:val="auto"/>
              </w:rPr>
            </w:pPr>
            <w:r>
              <w:rPr>
                <w:rFonts w:ascii="Arial" w:cs="Arial" w:eastAsia="Arial" w:hAnsi="Arial"/>
                <w:sz w:val="18"/>
                <w:szCs w:val="18"/>
                <w:color w:val="auto"/>
              </w:rPr>
              <w:t>Accruals for environmental matters deemed probable and</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60" w:type="dxa"/>
            <w:vAlign w:val="bottom"/>
          </w:tcPr>
          <w:p>
            <w:pPr>
              <w:ind w:left="340"/>
              <w:spacing w:after="0" w:line="203" w:lineRule="exact"/>
              <w:rPr>
                <w:sz w:val="20"/>
                <w:szCs w:val="20"/>
                <w:color w:val="auto"/>
              </w:rPr>
            </w:pPr>
            <w:r>
              <w:rPr>
                <w:rFonts w:ascii="Arial" w:cs="Arial" w:eastAsia="Arial" w:hAnsi="Arial"/>
                <w:sz w:val="18"/>
                <w:szCs w:val="18"/>
                <w:color w:val="auto"/>
              </w:rPr>
              <w:t>reasonably estimable</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Environmental liability payments</w:t>
            </w: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60" w:type="dxa"/>
            <w:vAlign w:val="bottom"/>
          </w:tcPr>
          <w:p>
            <w:pPr>
              <w:spacing w:after="0" w:line="197" w:lineRule="exact"/>
              <w:rPr>
                <w:sz w:val="20"/>
                <w:szCs w:val="20"/>
                <w:color w:val="auto"/>
              </w:rPr>
            </w:pPr>
            <w:r>
              <w:rPr>
                <w:rFonts w:ascii="Arial" w:cs="Arial" w:eastAsia="Arial" w:hAnsi="Arial"/>
                <w:sz w:val="18"/>
                <w:szCs w:val="18"/>
                <w:color w:val="auto"/>
              </w:rPr>
              <w:t>September 30, 2015</w:t>
            </w:r>
          </w:p>
        </w:tc>
        <w:tc>
          <w:tcPr>
            <w:tcW w:w="1400" w:type="dxa"/>
            <w:vAlign w:val="bottom"/>
            <w:gridSpan w:val="3"/>
          </w:tcPr>
          <w:p>
            <w:pPr>
              <w:jc w:val="right"/>
              <w:ind w:right="8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4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3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3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gridSpan w:val="2"/>
            <w:shd w:val="clear" w:color="auto" w:fill="E5FFFF"/>
          </w:tcPr>
          <w:p>
            <w:pPr>
              <w:jc w:val="right"/>
              <w:ind w:right="848"/>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258</w:t>
            </w:r>
          </w:p>
        </w:tc>
        <w:tc>
          <w:tcPr>
            <w:tcW w:w="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E5FF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0" w:type="dxa"/>
            <w:vAlign w:val="bottom"/>
            <w:tcBorders>
              <w:bottom w:val="single" w:sz="8" w:color="E5FFFF"/>
            </w:tcBorders>
          </w:tcPr>
          <w:p>
            <w:pPr>
              <w:spacing w:after="0"/>
              <w:rPr>
                <w:sz w:val="18"/>
                <w:szCs w:val="18"/>
                <w:color w:val="auto"/>
              </w:rPr>
            </w:pPr>
          </w:p>
        </w:tc>
        <w:tc>
          <w:tcPr>
            <w:tcW w:w="2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60" w:type="dxa"/>
            <w:vAlign w:val="bottom"/>
            <w:shd w:val="clear" w:color="auto" w:fill="E5FFFF"/>
          </w:tcPr>
          <w:p>
            <w:pPr>
              <w:spacing w:after="0"/>
              <w:rPr>
                <w:sz w:val="18"/>
                <w:szCs w:val="18"/>
                <w:color w:val="auto"/>
              </w:rPr>
            </w:pPr>
          </w:p>
        </w:tc>
        <w:tc>
          <w:tcPr>
            <w:tcW w:w="1400" w:type="dxa"/>
            <w:vAlign w:val="bottom"/>
            <w:gridSpan w:val="3"/>
            <w:shd w:val="clear" w:color="auto" w:fill="E5FFFF"/>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575</w:t>
            </w:r>
          </w:p>
        </w:tc>
        <w:tc>
          <w:tcPr>
            <w:tcW w:w="20" w:type="dxa"/>
            <w:vAlign w:val="bottom"/>
            <w:shd w:val="clear" w:color="auto" w:fill="E5FFFF"/>
          </w:tcPr>
          <w:p>
            <w:pPr>
              <w:spacing w:after="0"/>
              <w:rPr>
                <w:sz w:val="18"/>
                <w:szCs w:val="18"/>
                <w:color w:val="auto"/>
              </w:rPr>
            </w:pPr>
          </w:p>
        </w:tc>
        <w:tc>
          <w:tcPr>
            <w:tcW w:w="42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-1765935</wp:posOffset>
            </wp:positionV>
            <wp:extent cx="114046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0460" cy="1289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-1379855</wp:posOffset>
            </wp:positionV>
            <wp:extent cx="11404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0460" cy="13716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our accounting policy.</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189"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Asbestos Related Liabilities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1920" w:type="dxa"/>
            <w:vAlign w:val="bottom"/>
            <w:tcBorders>
              <w:top w:val="single" w:sz="8" w:color="auto"/>
              <w:bottom w:val="single" w:sz="8" w:color="E5FFFF"/>
            </w:tcBorders>
          </w:tcPr>
          <w:p>
            <w:pPr>
              <w:spacing w:after="0"/>
              <w:rPr>
                <w:sz w:val="15"/>
                <w:szCs w:val="15"/>
                <w:color w:val="auto"/>
              </w:rPr>
            </w:pPr>
          </w:p>
        </w:tc>
        <w:tc>
          <w:tcPr>
            <w:tcW w:w="1760" w:type="dxa"/>
            <w:vAlign w:val="bottom"/>
            <w:tcBorders>
              <w:bottom w:val="single" w:sz="8" w:color="E5FFFF"/>
            </w:tcBorders>
          </w:tcPr>
          <w:p>
            <w:pPr>
              <w:spacing w:after="0"/>
              <w:rPr>
                <w:sz w:val="15"/>
                <w:szCs w:val="15"/>
                <w:color w:val="auto"/>
              </w:rPr>
            </w:pPr>
          </w:p>
        </w:tc>
        <w:tc>
          <w:tcPr>
            <w:tcW w:w="172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58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623</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929</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3"/>
        </w:trPr>
        <w:tc>
          <w:tcPr>
            <w:tcW w:w="5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58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5400" w:type="dxa"/>
            <w:vAlign w:val="bottom"/>
            <w:gridSpan w:val="3"/>
          </w:tcPr>
          <w:p>
            <w:pPr>
              <w:spacing w:after="0" w:line="197" w:lineRule="exact"/>
              <w:rPr>
                <w:sz w:val="20"/>
                <w:szCs w:val="20"/>
                <w:color w:val="auto"/>
              </w:rPr>
            </w:pPr>
            <w:r>
              <w:rPr>
                <w:rFonts w:ascii="Arial" w:cs="Arial" w:eastAsia="Arial" w:hAnsi="Arial"/>
                <w:sz w:val="18"/>
                <w:szCs w:val="18"/>
                <w:color w:val="auto"/>
              </w:rPr>
              <w:t>September 30, 2015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628</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922</w:t>
            </w:r>
          </w:p>
        </w:tc>
        <w:tc>
          <w:tcPr>
            <w:tcW w:w="5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4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1920" w:type="dxa"/>
            <w:vAlign w:val="bottom"/>
            <w:tcBorders>
              <w:top w:val="single" w:sz="8" w:color="auto"/>
              <w:bottom w:val="single" w:sz="8" w:color="E5FFFF"/>
            </w:tcBorders>
          </w:tcPr>
          <w:p>
            <w:pPr>
              <w:spacing w:after="0"/>
              <w:rPr>
                <w:sz w:val="15"/>
                <w:szCs w:val="15"/>
                <w:color w:val="auto"/>
              </w:rPr>
            </w:pPr>
          </w:p>
        </w:tc>
        <w:tc>
          <w:tcPr>
            <w:tcW w:w="1760" w:type="dxa"/>
            <w:vAlign w:val="bottom"/>
            <w:tcBorders>
              <w:top w:val="single" w:sz="8" w:color="auto"/>
              <w:bottom w:val="single" w:sz="8" w:color="E5FFFF"/>
            </w:tcBorders>
          </w:tcPr>
          <w:p>
            <w:pPr>
              <w:spacing w:after="0"/>
              <w:rPr>
                <w:sz w:val="15"/>
                <w:szCs w:val="15"/>
                <w:color w:val="auto"/>
              </w:rPr>
            </w:pPr>
          </w:p>
        </w:tc>
        <w:tc>
          <w:tcPr>
            <w:tcW w:w="172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58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135</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350</w:t>
            </w:r>
          </w:p>
        </w:tc>
        <w:tc>
          <w:tcPr>
            <w:tcW w:w="320" w:type="dxa"/>
            <w:vAlign w:val="bottom"/>
            <w:gridSpan w:val="2"/>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2"/>
        </w:trPr>
        <w:tc>
          <w:tcPr>
            <w:tcW w:w="540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Probable insurance recoveries related to estimated liability</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3"/>
              <w:spacing w:after="0" w:line="201"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40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Insurance receivables settlements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3"/>
              <w:spacing w:after="0" w:line="203"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Insurance receipts for asbestos related liabilities</w:t>
            </w:r>
          </w:p>
        </w:tc>
        <w:tc>
          <w:tcPr>
            <w:tcW w:w="58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26"/>
        </w:trPr>
        <w:tc>
          <w:tcPr>
            <w:tcW w:w="5400" w:type="dxa"/>
            <w:vAlign w:val="bottom"/>
            <w:gridSpan w:val="3"/>
          </w:tcPr>
          <w:p>
            <w:pPr>
              <w:spacing w:after="0"/>
              <w:rPr>
                <w:sz w:val="20"/>
                <w:szCs w:val="20"/>
                <w:color w:val="auto"/>
              </w:rPr>
            </w:pPr>
            <w:r>
              <w:rPr>
                <w:rFonts w:ascii="Arial" w:cs="Arial" w:eastAsia="Arial" w:hAnsi="Arial"/>
                <w:sz w:val="18"/>
                <w:szCs w:val="18"/>
                <w:color w:val="auto"/>
              </w:rPr>
              <w:t>September 30, 2015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5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560" w:type="dxa"/>
            <w:vAlign w:val="bottom"/>
            <w:tcBorders>
              <w:bottom w:val="single" w:sz="8" w:color="E5FFFF"/>
            </w:tcBorders>
          </w:tcPr>
          <w:p>
            <w:pPr>
              <w:spacing w:after="0"/>
              <w:rPr>
                <w:sz w:val="15"/>
                <w:szCs w:val="15"/>
                <w:color w:val="auto"/>
              </w:rPr>
            </w:pPr>
          </w:p>
        </w:tc>
        <w:tc>
          <w:tcPr>
            <w:tcW w:w="154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196"/>
        </w:trPr>
        <w:tc>
          <w:tcPr>
            <w:tcW w:w="5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31</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31</w:t>
            </w:r>
          </w:p>
        </w:tc>
      </w:tr>
      <w:tr>
        <w:trPr>
          <w:trHeight w:val="216"/>
        </w:trPr>
        <w:tc>
          <w:tcPr>
            <w:tcW w:w="55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15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414</w:t>
            </w:r>
          </w:p>
        </w:tc>
        <w:tc>
          <w:tcPr>
            <w:tcW w:w="30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454</w:t>
            </w:r>
          </w:p>
        </w:tc>
      </w:tr>
      <w:tr>
        <w:trPr>
          <w:trHeight w:val="210"/>
        </w:trPr>
        <w:tc>
          <w:tcPr>
            <w:tcW w:w="55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E5FFFF"/>
          </w:tcPr>
          <w:p>
            <w:pPr>
              <w:spacing w:after="0"/>
              <w:rPr>
                <w:sz w:val="18"/>
                <w:szCs w:val="18"/>
                <w:color w:val="auto"/>
              </w:rPr>
            </w:pPr>
          </w:p>
        </w:tc>
        <w:tc>
          <w:tcPr>
            <w:tcW w:w="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485</w:t>
            </w: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5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8"/>
                <w:szCs w:val="18"/>
                <w:color w:val="auto"/>
              </w:rPr>
              <w:t>Accrued liabilities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352</w:t>
            </w: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15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1,198</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1,200</w:t>
            </w:r>
          </w:p>
        </w:tc>
      </w:tr>
      <w:tr>
        <w:trPr>
          <w:trHeight w:val="210"/>
        </w:trPr>
        <w:tc>
          <w:tcPr>
            <w:tcW w:w="55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1,550</w:t>
            </w:r>
          </w:p>
        </w:tc>
        <w:tc>
          <w:tcPr>
            <w:tcW w:w="3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1,552</w:t>
            </w:r>
          </w:p>
        </w:tc>
      </w:tr>
      <w:tr>
        <w:trPr>
          <w:trHeight w:val="20"/>
        </w:trPr>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2015 through 2018 and $145 million for each year thereafter. However, the initial $ 100 million of claims processed through the NARCO Trust (the Initial Claims Amount) will not count against the annual cap and any unused portion of the Initial Claims Amount will roll over to subsequent years until fully utilized. As of September 30, 2015, Honeywell has not made any payments to the NARCO Trust for Annual Contribution Claims.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NARCO Trust subject to qualification under the terms of the settlement agreements and Trust Distribution Procedures criteria (Pre-established Unliquidated Claims), which amounts are expected to be paid during the initial years of trust operations.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($147 million), unsettled claims pending as of the time NARCO filed for bankruptcy protection ($32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Claims Unresolved at the beginning of period</w:t>
      </w:r>
    </w:p>
    <w:p>
      <w:pPr>
        <w:ind w:left="40"/>
        <w:spacing w:after="0"/>
        <w:rPr>
          <w:sz w:val="20"/>
          <w:szCs w:val="20"/>
          <w:color w:val="auto"/>
        </w:rPr>
      </w:pPr>
      <w:r>
        <w:rPr>
          <w:rFonts w:ascii="Arial" w:cs="Arial" w:eastAsia="Arial" w:hAnsi="Arial"/>
          <w:sz w:val="18"/>
          <w:szCs w:val="18"/>
          <w:color w:val="auto"/>
        </w:rPr>
        <w:t>Claims Filed</w:t>
      </w:r>
    </w:p>
    <w:p>
      <w:pPr>
        <w:ind w:left="40"/>
        <w:spacing w:after="0" w:line="181" w:lineRule="auto"/>
        <w:rPr>
          <w:sz w:val="20"/>
          <w:szCs w:val="20"/>
          <w:color w:val="auto"/>
        </w:rPr>
      </w:pPr>
      <w:r>
        <w:rPr>
          <w:rFonts w:ascii="Arial" w:cs="Arial" w:eastAsia="Arial" w:hAnsi="Arial"/>
          <w:sz w:val="18"/>
          <w:szCs w:val="18"/>
          <w:color w:val="auto"/>
        </w:rPr>
        <w:t xml:space="preserve">Claims Resolved </w:t>
      </w:r>
      <w:r>
        <w:rPr>
          <w:rFonts w:ascii="Arial" w:cs="Arial" w:eastAsia="Arial" w:hAnsi="Arial"/>
          <w:sz w:val="29"/>
          <w:szCs w:val="29"/>
          <w:color w:val="auto"/>
          <w:vertAlign w:val="superscript"/>
        </w:rPr>
        <w:t>(a)</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560" w:type="dxa"/>
            <w:vAlign w:val="bottom"/>
            <w:gridSpan w:val="3"/>
          </w:tcPr>
          <w:p>
            <w:pPr>
              <w:jc w:val="center"/>
              <w:ind w:left="1158"/>
              <w:spacing w:after="0"/>
              <w:rPr>
                <w:sz w:val="20"/>
                <w:szCs w:val="20"/>
                <w:color w:val="auto"/>
              </w:rPr>
            </w:pPr>
            <w:r>
              <w:rPr>
                <w:rFonts w:ascii="Arial" w:cs="Arial" w:eastAsia="Arial" w:hAnsi="Arial"/>
                <w:sz w:val="14"/>
                <w:szCs w:val="14"/>
                <w:b w:val="1"/>
                <w:bCs w:val="1"/>
                <w:color w:val="auto"/>
              </w:rPr>
              <w:t>Years Ended</w:t>
            </w:r>
          </w:p>
        </w:tc>
        <w:tc>
          <w:tcPr>
            <w:tcW w:w="1340" w:type="dxa"/>
            <w:vAlign w:val="bottom"/>
          </w:tcPr>
          <w:p>
            <w:pPr>
              <w:spacing w:after="0"/>
              <w:rPr>
                <w:sz w:val="16"/>
                <w:szCs w:val="16"/>
                <w:color w:val="auto"/>
              </w:rPr>
            </w:pPr>
          </w:p>
        </w:tc>
      </w:tr>
      <w:tr>
        <w:trPr>
          <w:trHeight w:val="201"/>
        </w:trPr>
        <w:tc>
          <w:tcPr>
            <w:tcW w:w="2360" w:type="dxa"/>
            <w:vAlign w:val="bottom"/>
            <w:gridSpan w:val="2"/>
          </w:tcPr>
          <w:p>
            <w:pPr>
              <w:ind w:left="520"/>
              <w:spacing w:after="0"/>
              <w:rPr>
                <w:sz w:val="20"/>
                <w:szCs w:val="20"/>
                <w:color w:val="auto"/>
              </w:rPr>
            </w:pPr>
            <w:r>
              <w:rPr>
                <w:rFonts w:ascii="Arial" w:cs="Arial" w:eastAsia="Arial" w:hAnsi="Arial"/>
                <w:sz w:val="14"/>
                <w:szCs w:val="14"/>
                <w:b w:val="1"/>
                <w:bCs w:val="1"/>
                <w:color w:val="auto"/>
              </w:rPr>
              <w:t>September 30,</w:t>
            </w:r>
          </w:p>
        </w:tc>
        <w:tc>
          <w:tcPr>
            <w:tcW w:w="2560" w:type="dxa"/>
            <w:vAlign w:val="bottom"/>
            <w:tcBorders>
              <w:bottom w:val="single" w:sz="8" w:color="auto"/>
            </w:tcBorders>
            <w:gridSpan w:val="3"/>
          </w:tcPr>
          <w:p>
            <w:pPr>
              <w:jc w:val="center"/>
              <w:ind w:left="1158"/>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r>
      <w:tr>
        <w:trPr>
          <w:trHeight w:val="210"/>
        </w:trPr>
        <w:tc>
          <w:tcPr>
            <w:tcW w:w="216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8"/>
                <w:szCs w:val="18"/>
                <w:color w:val="auto"/>
              </w:rPr>
            </w:pPr>
          </w:p>
        </w:tc>
        <w:tc>
          <w:tcPr>
            <w:tcW w:w="18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r>
      <w:tr>
        <w:trPr>
          <w:trHeight w:val="195"/>
        </w:trPr>
        <w:tc>
          <w:tcPr>
            <w:tcW w:w="2160" w:type="dxa"/>
            <w:vAlign w:val="bottom"/>
          </w:tcPr>
          <w:p>
            <w:pPr>
              <w:jc w:val="right"/>
              <w:ind w:right="38"/>
              <w:spacing w:after="0" w:line="195" w:lineRule="exact"/>
              <w:rPr>
                <w:sz w:val="20"/>
                <w:szCs w:val="20"/>
                <w:color w:val="auto"/>
              </w:rPr>
            </w:pPr>
            <w:r>
              <w:rPr>
                <w:rFonts w:ascii="Arial" w:cs="Arial" w:eastAsia="Arial" w:hAnsi="Arial"/>
                <w:sz w:val="18"/>
                <w:szCs w:val="18"/>
                <w:color w:val="auto"/>
              </w:rPr>
              <w:t>9,267</w:t>
            </w:r>
          </w:p>
        </w:tc>
        <w:tc>
          <w:tcPr>
            <w:tcW w:w="200" w:type="dxa"/>
            <w:vAlign w:val="bottom"/>
          </w:tcPr>
          <w:p>
            <w:pPr>
              <w:spacing w:after="0"/>
              <w:rPr>
                <w:sz w:val="16"/>
                <w:szCs w:val="16"/>
                <w:color w:val="auto"/>
              </w:rPr>
            </w:pPr>
          </w:p>
        </w:tc>
        <w:tc>
          <w:tcPr>
            <w:tcW w:w="1840" w:type="dxa"/>
            <w:vAlign w:val="bottom"/>
          </w:tcPr>
          <w:p>
            <w:pPr>
              <w:jc w:val="right"/>
              <w:ind w:right="18"/>
              <w:spacing w:after="0" w:line="195" w:lineRule="exact"/>
              <w:rPr>
                <w:sz w:val="20"/>
                <w:szCs w:val="20"/>
                <w:color w:val="auto"/>
              </w:rPr>
            </w:pPr>
            <w:r>
              <w:rPr>
                <w:rFonts w:ascii="Arial" w:cs="Arial" w:eastAsia="Arial" w:hAnsi="Arial"/>
                <w:sz w:val="18"/>
                <w:szCs w:val="18"/>
                <w:color w:val="auto"/>
              </w:rPr>
              <w:t>12,302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14"/>
              <w:spacing w:after="0" w:line="195" w:lineRule="exact"/>
              <w:rPr>
                <w:sz w:val="20"/>
                <w:szCs w:val="20"/>
                <w:color w:val="auto"/>
              </w:rPr>
            </w:pPr>
            <w:r>
              <w:rPr>
                <w:rFonts w:ascii="Arial" w:cs="Arial" w:eastAsia="Arial" w:hAnsi="Arial"/>
                <w:sz w:val="18"/>
                <w:szCs w:val="18"/>
                <w:color w:val="auto"/>
              </w:rPr>
              <w:t>23,141</w:t>
            </w:r>
          </w:p>
        </w:tc>
      </w:tr>
      <w:tr>
        <w:trPr>
          <w:trHeight w:val="217"/>
        </w:trPr>
        <w:tc>
          <w:tcPr>
            <w:tcW w:w="2160" w:type="dxa"/>
            <w:vAlign w:val="bottom"/>
          </w:tcPr>
          <w:p>
            <w:pPr>
              <w:jc w:val="right"/>
              <w:ind w:right="38"/>
              <w:spacing w:after="0"/>
              <w:rPr>
                <w:sz w:val="20"/>
                <w:szCs w:val="20"/>
                <w:color w:val="auto"/>
              </w:rPr>
            </w:pPr>
            <w:r>
              <w:rPr>
                <w:rFonts w:ascii="Arial" w:cs="Arial" w:eastAsia="Arial" w:hAnsi="Arial"/>
                <w:sz w:val="18"/>
                <w:szCs w:val="18"/>
                <w:color w:val="auto"/>
              </w:rPr>
              <w:t>2,098</w:t>
            </w:r>
          </w:p>
        </w:tc>
        <w:tc>
          <w:tcPr>
            <w:tcW w:w="20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3,694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4,527</w:t>
            </w:r>
          </w:p>
        </w:tc>
      </w:tr>
      <w:tr>
        <w:trPr>
          <w:trHeight w:val="24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0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(15,366)</w:t>
            </w:r>
          </w:p>
        </w:tc>
      </w:tr>
      <w:tr>
        <w:trPr>
          <w:trHeight w:val="210"/>
        </w:trPr>
        <w:tc>
          <w:tcPr>
            <w:tcW w:w="2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9,510</w:t>
            </w:r>
          </w:p>
        </w:tc>
        <w:tc>
          <w:tcPr>
            <w:tcW w:w="200" w:type="dxa"/>
            <w:vAlign w:val="bottom"/>
          </w:tcPr>
          <w:p>
            <w:pPr>
              <w:spacing w:after="0"/>
              <w:rPr>
                <w:sz w:val="18"/>
                <w:szCs w:val="18"/>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9,267</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12,302</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-599440</wp:posOffset>
            </wp:positionV>
            <wp:extent cx="68776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-334010</wp:posOffset>
            </wp:positionV>
            <wp:extent cx="687768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400" w:right="239" w:bottom="1440" w:gutter="0" w:footer="0" w:header="0"/>
          <w:type w:val="continuous"/>
        </w:sectPr>
      </w:pPr>
    </w:p>
    <w:p>
      <w:pPr>
        <w:spacing w:after="0" w:line="15" w:lineRule="exact"/>
        <w:rPr>
          <w:sz w:val="20"/>
          <w:szCs w:val="20"/>
          <w:color w:val="auto"/>
        </w:rPr>
      </w:pPr>
    </w:p>
    <w:p>
      <w:pPr>
        <w:ind w:right="440" w:firstLine="8"/>
        <w:spacing w:after="0"/>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resolved in 2014 include 2,110 cancer claims which were determined to have no value. Also, claims resolved in 2014 and 2013 included significantly aged (i.e., pending for more than six years) claims totaling 1,266 and 12,250, respectively, of which 82% and 92%, respectively, were non-malignant.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Disease Distribution of Unresolved Claims</w:t>
            </w:r>
          </w:p>
        </w:tc>
        <w:tc>
          <w:tcPr>
            <w:tcW w:w="1040" w:type="dxa"/>
            <w:vAlign w:val="bottom"/>
          </w:tcPr>
          <w:p>
            <w:pPr>
              <w:spacing w:after="0"/>
              <w:rPr>
                <w:sz w:val="19"/>
                <w:szCs w:val="19"/>
                <w:color w:val="auto"/>
              </w:rPr>
            </w:pPr>
          </w:p>
        </w:tc>
        <w:tc>
          <w:tcPr>
            <w:tcW w:w="2160" w:type="dxa"/>
            <w:vAlign w:val="bottom"/>
            <w:gridSpan w:val="2"/>
          </w:tcPr>
          <w:p>
            <w:pPr>
              <w:ind w:left="380"/>
              <w:spacing w:after="0"/>
              <w:rPr>
                <w:sz w:val="20"/>
                <w:szCs w:val="20"/>
                <w:color w:val="auto"/>
              </w:rPr>
            </w:pPr>
            <w:r>
              <w:rPr>
                <w:rFonts w:ascii="Arial" w:cs="Arial" w:eastAsia="Arial" w:hAnsi="Arial"/>
                <w:sz w:val="14"/>
                <w:szCs w:val="14"/>
                <w:b w:val="1"/>
                <w:bCs w:val="1"/>
                <w:color w:val="auto"/>
              </w:rPr>
              <w:t>September 30,</w:t>
            </w:r>
          </w:p>
        </w:tc>
        <w:tc>
          <w:tcPr>
            <w:tcW w:w="2640" w:type="dxa"/>
            <w:vAlign w:val="bottom"/>
            <w:gridSpan w:val="3"/>
          </w:tcPr>
          <w:p>
            <w:pPr>
              <w:ind w:left="14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E5FFFF"/>
            </w:tcBorders>
          </w:tcPr>
          <w:p>
            <w:pPr>
              <w:spacing w:after="0"/>
              <w:rPr>
                <w:sz w:val="18"/>
                <w:szCs w:val="18"/>
                <w:color w:val="auto"/>
              </w:rPr>
            </w:pPr>
          </w:p>
        </w:tc>
        <w:tc>
          <w:tcPr>
            <w:tcW w:w="1040" w:type="dxa"/>
            <w:vAlign w:val="bottom"/>
            <w:tcBorders>
              <w:bottom w:val="single" w:sz="8" w:color="E5FFFF"/>
            </w:tcBorders>
          </w:tcPr>
          <w:p>
            <w:pPr>
              <w:spacing w:after="0"/>
              <w:rPr>
                <w:sz w:val="18"/>
                <w:szCs w:val="18"/>
                <w:color w:val="auto"/>
              </w:rPr>
            </w:pPr>
          </w:p>
        </w:tc>
        <w:tc>
          <w:tcPr>
            <w:tcW w:w="184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E5FFFF"/>
            </w:tcBorders>
          </w:tcPr>
          <w:p>
            <w:pPr>
              <w:spacing w:after="0"/>
              <w:rPr>
                <w:sz w:val="18"/>
                <w:szCs w:val="18"/>
                <w:color w:val="auto"/>
              </w:rPr>
            </w:pPr>
          </w:p>
        </w:tc>
        <w:tc>
          <w:tcPr>
            <w:tcW w:w="184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466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84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3,933</w:t>
            </w:r>
          </w:p>
        </w:tc>
        <w:tc>
          <w:tcPr>
            <w:tcW w:w="320" w:type="dxa"/>
            <w:vAlign w:val="bottom"/>
            <w:shd w:val="clear" w:color="auto" w:fill="E5FFFF"/>
          </w:tcPr>
          <w:p>
            <w:pPr>
              <w:spacing w:after="0"/>
              <w:rPr>
                <w:sz w:val="17"/>
                <w:szCs w:val="17"/>
                <w:color w:val="auto"/>
              </w:rPr>
            </w:pPr>
          </w:p>
        </w:tc>
        <w:tc>
          <w:tcPr>
            <w:tcW w:w="184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3,933</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5,810</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18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5,577</w:t>
            </w:r>
          </w:p>
        </w:tc>
        <w:tc>
          <w:tcPr>
            <w:tcW w:w="320" w:type="dxa"/>
            <w:vAlign w:val="bottom"/>
            <w:tcBorders>
              <w:bottom w:val="single" w:sz="8" w:color="E5FFFF"/>
            </w:tcBorders>
          </w:tcPr>
          <w:p>
            <w:pPr>
              <w:spacing w:after="0"/>
              <w:rPr>
                <w:sz w:val="18"/>
                <w:szCs w:val="18"/>
                <w:color w:val="auto"/>
              </w:rPr>
            </w:pPr>
          </w:p>
        </w:tc>
        <w:tc>
          <w:tcPr>
            <w:tcW w:w="1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5,334</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6,492</w:t>
            </w:r>
          </w:p>
        </w:tc>
      </w:tr>
      <w:tr>
        <w:trPr>
          <w:trHeight w:val="210"/>
        </w:trPr>
        <w:tc>
          <w:tcPr>
            <w:tcW w:w="20" w:type="dxa"/>
            <w:vAlign w:val="bottom"/>
          </w:tcPr>
          <w:p>
            <w:pPr>
              <w:spacing w:after="0"/>
              <w:rPr>
                <w:sz w:val="18"/>
                <w:szCs w:val="18"/>
                <w:color w:val="auto"/>
              </w:rPr>
            </w:pPr>
          </w:p>
        </w:tc>
        <w:tc>
          <w:tcPr>
            <w:tcW w:w="4660" w:type="dxa"/>
            <w:vAlign w:val="bottom"/>
            <w:tcBorders>
              <w:bottom w:val="single" w:sz="8" w:color="E5FFFF"/>
            </w:tcBorders>
            <w:gridSpan w:val="2"/>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Claims</w:t>
            </w:r>
          </w:p>
        </w:tc>
        <w:tc>
          <w:tcPr>
            <w:tcW w:w="184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9,510</w:t>
            </w:r>
          </w:p>
        </w:tc>
        <w:tc>
          <w:tcPr>
            <w:tcW w:w="320" w:type="dxa"/>
            <w:vAlign w:val="bottom"/>
            <w:tcBorders>
              <w:bottom w:val="single" w:sz="8" w:color="E5FFFF"/>
            </w:tcBorders>
            <w:shd w:val="clear" w:color="auto" w:fill="E5FFFF"/>
          </w:tcPr>
          <w:p>
            <w:pPr>
              <w:spacing w:after="0"/>
              <w:rPr>
                <w:sz w:val="18"/>
                <w:szCs w:val="18"/>
                <w:color w:val="auto"/>
              </w:rPr>
            </w:pPr>
          </w:p>
        </w:tc>
        <w:tc>
          <w:tcPr>
            <w:tcW w:w="184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9,267</w:t>
            </w:r>
          </w:p>
        </w:tc>
        <w:tc>
          <w:tcPr>
            <w:tcW w:w="320" w:type="dxa"/>
            <w:vAlign w:val="bottom"/>
            <w:tcBorders>
              <w:bottom w:val="single" w:sz="8" w:color="E5FFFF"/>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12,302</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r>
      <w:tr>
        <w:trPr>
          <w:trHeight w:val="155"/>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gridSpan w:val="2"/>
          </w:tcPr>
          <w:p>
            <w:pPr>
              <w:jc w:val="right"/>
              <w:ind w:right="256"/>
              <w:spacing w:after="0" w:line="155" w:lineRule="exact"/>
              <w:rPr>
                <w:sz w:val="20"/>
                <w:szCs w:val="20"/>
                <w:color w:val="auto"/>
              </w:rPr>
            </w:pPr>
            <w:r>
              <w:rPr>
                <w:rFonts w:ascii="Arial" w:cs="Arial" w:eastAsia="Arial" w:hAnsi="Arial"/>
                <w:sz w:val="14"/>
                <w:szCs w:val="14"/>
                <w:b w:val="1"/>
                <w:bCs w:val="1"/>
                <w:color w:val="auto"/>
              </w:rPr>
              <w:t>(in whole dollars)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53,500</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51,000</w:t>
            </w:r>
          </w:p>
        </w:tc>
        <w:tc>
          <w:tcPr>
            <w:tcW w:w="4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49,000</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48,000</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54,000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120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850</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1,400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Tackett </w:t>
      </w:r>
      <w:r>
        <w:rPr>
          <w:rFonts w:ascii="Arial" w:cs="Arial" w:eastAsia="Arial" w:hAnsi="Arial"/>
          <w:sz w:val="18"/>
          <w:szCs w:val="18"/>
          <w:color w:val="auto"/>
        </w:rPr>
        <w:t>case. 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The stay of the proceedings has been lifted and the case is again proceeding in the normal course.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$180 million, reflecting the estimated value of these CAPS.</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$120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Joint Strike Fighter Investigation</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380" w:type="dxa"/>
            <w:vAlign w:val="bottom"/>
          </w:tcPr>
          <w:p>
            <w:pPr>
              <w:spacing w:after="0"/>
              <w:rPr>
                <w:sz w:val="17"/>
                <w:szCs w:val="17"/>
                <w:color w:val="auto"/>
              </w:rPr>
            </w:pPr>
          </w:p>
        </w:tc>
        <w:tc>
          <w:tcPr>
            <w:tcW w:w="5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000" w:type="dxa"/>
            <w:vAlign w:val="bottom"/>
          </w:tcPr>
          <w:p>
            <w:pPr>
              <w:spacing w:after="0"/>
              <w:rPr>
                <w:sz w:val="17"/>
                <w:szCs w:val="17"/>
                <w:color w:val="auto"/>
              </w:rPr>
            </w:pPr>
          </w:p>
        </w:tc>
        <w:tc>
          <w:tcPr>
            <w:tcW w:w="6980" w:type="dxa"/>
            <w:vAlign w:val="bottom"/>
            <w:gridSpan w:val="3"/>
          </w:tcPr>
          <w:p>
            <w:pPr>
              <w:jc w:val="center"/>
              <w:ind w:left="127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2"/>
        </w:trPr>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and nine months ended September 30, 2015. The financial information as of September 30, 2015 should be read in conjunction with the financial statements for the year ended December 31, 2014 contained in our 2014 Annual Report on Form 10-K.</w:t>
      </w:r>
    </w:p>
    <w:p>
      <w:pPr>
        <w:spacing w:after="0" w:line="166" w:lineRule="exact"/>
        <w:rPr>
          <w:sz w:val="20"/>
          <w:szCs w:val="20"/>
          <w:color w:val="auto"/>
        </w:rPr>
      </w:pPr>
    </w:p>
    <w:p>
      <w:pPr>
        <w:ind w:left="580" w:right="320" w:hanging="572"/>
        <w:spacing w:after="0" w:line="271"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nine months ended September 30, 2015 compared with the three and nine months ended September 30,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center"/>
              <w:ind w:right="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left="557"/>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61"/>
              <w:spacing w:after="0" w:line="195" w:lineRule="exact"/>
              <w:rPr>
                <w:sz w:val="20"/>
                <w:szCs w:val="20"/>
                <w:color w:val="auto"/>
              </w:rPr>
            </w:pPr>
            <w:r>
              <w:rPr>
                <w:rFonts w:ascii="Arial" w:cs="Arial" w:eastAsia="Arial" w:hAnsi="Arial"/>
                <w:sz w:val="18"/>
                <w:szCs w:val="18"/>
                <w:color w:val="auto"/>
              </w:rPr>
              <w:t>9,611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
              <w:spacing w:after="0" w:line="195" w:lineRule="exact"/>
              <w:rPr>
                <w:sz w:val="20"/>
                <w:szCs w:val="20"/>
                <w:color w:val="auto"/>
              </w:rPr>
            </w:pPr>
            <w:r>
              <w:rPr>
                <w:rFonts w:ascii="Arial" w:cs="Arial" w:eastAsia="Arial" w:hAnsi="Arial"/>
                <w:sz w:val="18"/>
                <w:szCs w:val="18"/>
                <w:color w:val="auto"/>
              </w:rPr>
              <w:t>10,108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7"/>
              <w:spacing w:after="0" w:line="195" w:lineRule="exact"/>
              <w:rPr>
                <w:sz w:val="20"/>
                <w:szCs w:val="20"/>
                <w:color w:val="auto"/>
              </w:rPr>
            </w:pPr>
            <w:r>
              <w:rPr>
                <w:rFonts w:ascii="Arial" w:cs="Arial" w:eastAsia="Arial" w:hAnsi="Arial"/>
                <w:sz w:val="18"/>
                <w:szCs w:val="18"/>
                <w:color w:val="auto"/>
              </w:rPr>
              <w:t>28,599</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line="195" w:lineRule="exact"/>
              <w:rPr>
                <w:sz w:val="20"/>
                <w:szCs w:val="20"/>
                <w:color w:val="auto"/>
              </w:rPr>
            </w:pPr>
            <w:r>
              <w:rPr>
                <w:rFonts w:ascii="Arial" w:cs="Arial" w:eastAsia="Arial" w:hAnsi="Arial"/>
                <w:sz w:val="18"/>
                <w:szCs w:val="18"/>
                <w:color w:val="auto"/>
              </w:rPr>
              <w:t>30,040</w:t>
            </w:r>
          </w:p>
        </w:tc>
        <w:tc>
          <w:tcPr>
            <w:tcW w:w="0" w:type="dxa"/>
            <w:vAlign w:val="bottom"/>
          </w:tcPr>
          <w:p>
            <w:pPr>
              <w:spacing w:after="0"/>
              <w:rPr>
                <w:sz w:val="1"/>
                <w:szCs w:val="1"/>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960" w:type="dxa"/>
            <w:vAlign w:val="bottom"/>
            <w:gridSpan w:val="10"/>
          </w:tcPr>
          <w:p>
            <w:pPr>
              <w:ind w:left="3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Year to Date</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1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8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jc w:val="right"/>
              <w:ind w:right="73"/>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100" w:type="dxa"/>
            <w:vAlign w:val="bottom"/>
            <w:shd w:val="clear" w:color="auto" w:fill="E5FFFF"/>
          </w:tcPr>
          <w:p>
            <w:pPr>
              <w:spacing w:after="0"/>
              <w:rPr>
                <w:sz w:val="20"/>
                <w:szCs w:val="20"/>
                <w:color w:val="auto"/>
              </w:rPr>
            </w:pPr>
            <w:r>
              <w:rPr>
                <w:rFonts w:ascii="Arial" w:cs="Arial" w:eastAsia="Arial" w:hAnsi="Arial"/>
                <w:sz w:val="18"/>
                <w:szCs w:val="18"/>
                <w:color w:val="auto"/>
              </w:rPr>
              <w:t>Acquisitions/Divestitures</w:t>
            </w:r>
          </w:p>
        </w:tc>
        <w:tc>
          <w:tcPr>
            <w:tcW w:w="8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7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is principally driven by the weakening of the Euro and Canadian Dollar against the U.S. Dollar.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139"/>
              <w:spacing w:after="0" w:line="196" w:lineRule="exact"/>
              <w:rPr>
                <w:sz w:val="20"/>
                <w:szCs w:val="20"/>
                <w:color w:val="auto"/>
              </w:rPr>
            </w:pPr>
            <w:r>
              <w:rPr>
                <w:rFonts w:ascii="Arial" w:cs="Arial" w:eastAsia="Arial" w:hAnsi="Arial"/>
                <w:sz w:val="18"/>
                <w:szCs w:val="18"/>
                <w:color w:val="auto"/>
              </w:rPr>
              <w:t>6,654</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7,128</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39"/>
              <w:spacing w:after="0" w:line="196" w:lineRule="exact"/>
              <w:rPr>
                <w:sz w:val="20"/>
                <w:szCs w:val="20"/>
                <w:color w:val="auto"/>
              </w:rPr>
            </w:pPr>
            <w:r>
              <w:rPr>
                <w:rFonts w:ascii="Arial" w:cs="Arial" w:eastAsia="Arial" w:hAnsi="Arial"/>
                <w:sz w:val="18"/>
                <w:szCs w:val="18"/>
                <w:color w:val="auto"/>
              </w:rPr>
              <w:t>19,830</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30.8%</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29.5%</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30.7%</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products and services sold decreased in the quarter ended September 30, 2015 principally due to a decrease in direct and indirect material costs of approximately $385 million (driven primarily by the favorable impact of foreign currency translation, productivity and lower raw materials pass-through pricing, partially offset by higher sales volume) and a decrease in labor costs of approximately $80 million.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decreased in the nine months ended September 30, 2015 principally due to a decrease in direct and indirect material costs of approximately $1,065 million (driven primarily by the favorable impact of foreign currency translation, productivity and lower raw materials pass-through pricing and the absence of the Friction Materials business, partially offset by higher sales volume), a decrease in labor costs of approximately $340 million and higher pension income of approximately $75 million.</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Gross margin percentage increased in the quarter ended September 30, 2015 primarily due to higher segment gross margin in all business segments (approximately 1.3 percentage point impact) and increased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18"/>
          <w:szCs w:val="18"/>
          <w:color w:val="auto"/>
        </w:rPr>
        <w:t>pension income (approximately 0.2 percentage point impact), partially offset by higher repositioning and other charges (approximately 0.2 percentage point impact).</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Gross margin percentage increased in the nine months ended September 30, 2015 primarily due to higher gross margin in all business segments (approximately 1.5 percentage point impact), increased pension income (approximately 0.2 percentage point impact) and lower repositioning and other charges (approximately 0.2 percentage point impact).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1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5"/>
        </w:trPr>
        <w:tc>
          <w:tcPr>
            <w:tcW w:w="45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81"/>
              <w:spacing w:after="0" w:line="195" w:lineRule="exact"/>
              <w:rPr>
                <w:sz w:val="20"/>
                <w:szCs w:val="20"/>
                <w:color w:val="auto"/>
              </w:rPr>
            </w:pPr>
            <w:r>
              <w:rPr>
                <w:rFonts w:ascii="Arial" w:cs="Arial" w:eastAsia="Arial" w:hAnsi="Arial"/>
                <w:sz w:val="18"/>
                <w:szCs w:val="18"/>
                <w:color w:val="auto"/>
              </w:rPr>
              <w:t>1,202</w:t>
            </w:r>
          </w:p>
        </w:tc>
        <w:tc>
          <w:tcPr>
            <w:tcW w:w="340" w:type="dxa"/>
            <w:vAlign w:val="bottom"/>
          </w:tcPr>
          <w:p>
            <w:pPr>
              <w:spacing w:after="0"/>
              <w:rPr>
                <w:sz w:val="16"/>
                <w:szCs w:val="16"/>
                <w:color w:val="auto"/>
              </w:rPr>
            </w:pPr>
          </w:p>
        </w:tc>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76"/>
              <w:spacing w:after="0" w:line="195" w:lineRule="exact"/>
              <w:rPr>
                <w:sz w:val="20"/>
                <w:szCs w:val="20"/>
                <w:color w:val="auto"/>
              </w:rPr>
            </w:pPr>
            <w:r>
              <w:rPr>
                <w:rFonts w:ascii="Arial" w:cs="Arial" w:eastAsia="Arial" w:hAnsi="Arial"/>
                <w:sz w:val="18"/>
                <w:szCs w:val="18"/>
                <w:color w:val="auto"/>
              </w:rPr>
              <w:t>1,344</w:t>
            </w:r>
          </w:p>
        </w:tc>
        <w:tc>
          <w:tcPr>
            <w:tcW w:w="34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81"/>
              <w:spacing w:after="0" w:line="195" w:lineRule="exact"/>
              <w:rPr>
                <w:sz w:val="20"/>
                <w:szCs w:val="20"/>
                <w:color w:val="auto"/>
              </w:rPr>
            </w:pPr>
            <w:r>
              <w:rPr>
                <w:rFonts w:ascii="Arial" w:cs="Arial" w:eastAsia="Arial" w:hAnsi="Arial"/>
                <w:sz w:val="18"/>
                <w:szCs w:val="18"/>
                <w:color w:val="auto"/>
              </w:rPr>
              <w:t>3,674</w:t>
            </w:r>
          </w:p>
        </w:tc>
        <w:tc>
          <w:tcPr>
            <w:tcW w:w="340" w:type="dxa"/>
            <w:vAlign w:val="bottom"/>
          </w:tcPr>
          <w:p>
            <w:pPr>
              <w:spacing w:after="0"/>
              <w:rPr>
                <w:sz w:val="16"/>
                <w:szCs w:val="16"/>
                <w:color w:val="auto"/>
              </w:rPr>
            </w:pPr>
          </w:p>
        </w:tc>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76"/>
              <w:spacing w:after="0" w:line="195"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Percent of sales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Selling, general and administrative expenses (SG&amp;A) decreased in the quarter and nine months ended September 30, 2015 primarily driven by the favorable impact from foreign currency translation, decreased indirect costs and increased pension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35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69"/>
        </w:trPr>
        <w:tc>
          <w:tcPr>
            <w:tcW w:w="3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r>
      <w:tr>
        <w:trPr>
          <w:trHeight w:val="357"/>
        </w:trPr>
        <w:tc>
          <w:tcPr>
            <w:tcW w:w="3500" w:type="dxa"/>
            <w:vAlign w:val="bottom"/>
          </w:tcPr>
          <w:p>
            <w:pPr>
              <w:spacing w:after="0"/>
              <w:rPr>
                <w:sz w:val="20"/>
                <w:szCs w:val="20"/>
                <w:color w:val="auto"/>
              </w:rPr>
            </w:pPr>
            <w:r>
              <w:rPr>
                <w:rFonts w:ascii="Arial" w:cs="Arial" w:eastAsia="Arial" w:hAnsi="Arial"/>
                <w:sz w:val="18"/>
                <w:szCs w:val="18"/>
                <w:color w:val="auto"/>
              </w:rPr>
              <w:t>Tax expense</w:t>
            </w:r>
          </w:p>
        </w:tc>
        <w:tc>
          <w:tcPr>
            <w:tcW w:w="2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1"/>
              <w:spacing w:after="0"/>
              <w:rPr>
                <w:sz w:val="20"/>
                <w:szCs w:val="20"/>
                <w:color w:val="auto"/>
              </w:rPr>
            </w:pPr>
            <w:r>
              <w:rPr>
                <w:rFonts w:ascii="Arial" w:cs="Arial" w:eastAsia="Arial" w:hAnsi="Arial"/>
                <w:sz w:val="18"/>
                <w:szCs w:val="18"/>
                <w:color w:val="auto"/>
              </w:rPr>
              <w:t>431</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388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1"/>
              <w:spacing w:after="0"/>
              <w:rPr>
                <w:sz w:val="20"/>
                <w:szCs w:val="20"/>
                <w:color w:val="auto"/>
              </w:rPr>
            </w:pPr>
            <w:r>
              <w:rPr>
                <w:rFonts w:ascii="Arial" w:cs="Arial" w:eastAsia="Arial" w:hAnsi="Arial"/>
                <w:sz w:val="18"/>
                <w:szCs w:val="18"/>
                <w:color w:val="auto"/>
              </w:rPr>
              <w:t>1,289</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1,160</w:t>
            </w: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Effective tax rate</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by 0.6 percentage points in the quarter ended September 30, 2015 and 0.4 percentage points in the nine months ended September 30, 2015 primarily due to decreased tax benefits from the resolution of tax audits, partially offset by decreased tax expense for reserves in 2015 and increased tax benefits from manufacturing incentives in 2015.</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effective tax rates in the quarter and nine months ended September 30, 2015 were lower than the U.S. federal statutory rate of 35% due, in part, to non-U.S. earnings taxed at lower rates and tax benefits from manufacturing incentives in 2015.</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effective tax rates in the quarter and nine months ended September 30, 2014 were lower than the U.S. federal statutory rate of 35% primarily due to non-U.S. earnings taxed at lower rates and tax benefits from the resolution of tax audits and manufacturing incentives.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69"/>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r>
      <w:tr>
        <w:trPr>
          <w:trHeight w:val="372"/>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1,264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1,167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3,574</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3,283</w:t>
            </w:r>
          </w:p>
        </w:tc>
      </w:tr>
      <w:tr>
        <w:trPr>
          <w:trHeight w:val="405"/>
        </w:trPr>
        <w:tc>
          <w:tcPr>
            <w:tcW w:w="518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1.60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4.51</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4.13</w:t>
            </w:r>
          </w:p>
        </w:tc>
      </w:tr>
    </w:tbl>
    <w:p>
      <w:pPr>
        <w:spacing w:after="0" w:line="3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Earnings per share of common stock – assuming dilution increased in the quarter ended September 30, 2015 primarily driven by increased segment profit in each business segment and increased pension income, partially offset by increased tax expense.</w:t>
      </w:r>
    </w:p>
    <w:p>
      <w:pPr>
        <w:spacing w:after="0" w:line="183"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Earnings per share of common stock – assuming dilution increased in the nine months ended September 30, 2015 primarily due to increased segment profit in each business segment, increased pension income and lower repositioning and other charges, partially offset by increased tax expense and lower other income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(principally due to the absence of a realized gain related to the prior year sale of marketable equity securities).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center"/>
              <w:ind w:left="413"/>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5"/>
          </w:tcPr>
          <w:p>
            <w:pPr>
              <w:jc w:val="center"/>
              <w:ind w:left="413"/>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40" w:type="dxa"/>
            <w:vAlign w:val="bottom"/>
            <w:gridSpan w:val="2"/>
            <w:shd w:val="clear" w:color="auto" w:fill="E5FFFF"/>
          </w:tcPr>
          <w:p>
            <w:pPr>
              <w:spacing w:after="0" w:line="176" w:lineRule="exact"/>
              <w:rPr>
                <w:sz w:val="20"/>
                <w:szCs w:val="20"/>
                <w:color w:val="auto"/>
              </w:rPr>
            </w:pPr>
            <w:r>
              <w:rPr>
                <w:rFonts w:ascii="Arial" w:cs="Arial" w:eastAsia="Arial" w:hAnsi="Arial"/>
                <w:sz w:val="18"/>
                <w:szCs w:val="18"/>
                <w:color w:val="auto"/>
              </w:rPr>
              <w:t>Aerospace Sales</w:t>
            </w:r>
          </w:p>
        </w:tc>
        <w:tc>
          <w:tcPr>
            <w:tcW w:w="1320" w:type="dxa"/>
            <w:vAlign w:val="bottom"/>
            <w:shd w:val="clear" w:color="auto" w:fill="E5FFFF"/>
          </w:tcPr>
          <w:p>
            <w:pPr>
              <w:spacing w:after="0"/>
              <w:rPr>
                <w:sz w:val="15"/>
                <w:szCs w:val="15"/>
                <w:color w:val="auto"/>
              </w:rPr>
            </w:pPr>
          </w:p>
        </w:tc>
        <w:tc>
          <w:tcPr>
            <w:tcW w:w="580" w:type="dxa"/>
            <w:vAlign w:val="bottom"/>
            <w:shd w:val="clear" w:color="auto" w:fill="E5FFFF"/>
          </w:tcPr>
          <w:p>
            <w:pPr>
              <w:spacing w:after="0"/>
              <w:rPr>
                <w:sz w:val="15"/>
                <w:szCs w:val="15"/>
                <w:color w:val="auto"/>
              </w:rPr>
            </w:pPr>
          </w:p>
        </w:tc>
        <w:tc>
          <w:tcPr>
            <w:tcW w:w="15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1320" w:type="dxa"/>
            <w:vAlign w:val="bottom"/>
            <w:shd w:val="clear" w:color="auto" w:fill="E5FFFF"/>
          </w:tcPr>
          <w:p>
            <w:pPr>
              <w:spacing w:after="0"/>
              <w:rPr>
                <w:sz w:val="2"/>
                <w:szCs w:val="2"/>
                <w:color w:val="auto"/>
              </w:rPr>
            </w:pPr>
          </w:p>
        </w:tc>
        <w:tc>
          <w:tcPr>
            <w:tcW w:w="580" w:type="dxa"/>
            <w:vAlign w:val="bottom"/>
            <w:shd w:val="clear" w:color="auto" w:fill="E5FFFF"/>
          </w:tcPr>
          <w:p>
            <w:pPr>
              <w:spacing w:after="0"/>
              <w:rPr>
                <w:sz w:val="2"/>
                <w:szCs w:val="2"/>
                <w:color w:val="auto"/>
              </w:rPr>
            </w:pPr>
          </w:p>
        </w:tc>
        <w:tc>
          <w:tcPr>
            <w:tcW w:w="150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7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7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70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7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7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68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Commercial Original Equipment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725</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706</w:t>
            </w:r>
          </w:p>
        </w:tc>
        <w:tc>
          <w:tcPr>
            <w:tcW w:w="22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2,149</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2,086</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5"/>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Aftermarket</w:t>
            </w: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1,200</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1,171</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3,425</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3,371</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Defense and Space</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1,190</w:t>
            </w:r>
          </w:p>
        </w:tc>
        <w:tc>
          <w:tcPr>
            <w:tcW w:w="22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3,459</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E5FFFF"/>
          </w:tcPr>
          <w:p>
            <w:pPr>
              <w:ind w:left="160"/>
              <w:spacing w:after="0"/>
              <w:rPr>
                <w:sz w:val="20"/>
                <w:szCs w:val="20"/>
                <w:color w:val="auto"/>
              </w:rPr>
            </w:pPr>
            <w:r>
              <w:rPr>
                <w:rFonts w:ascii="Arial" w:cs="Arial" w:eastAsia="Arial" w:hAnsi="Arial"/>
                <w:sz w:val="18"/>
                <w:szCs w:val="18"/>
                <w:color w:val="auto"/>
              </w:rPr>
              <w:t>Transportation Systems</w:t>
            </w:r>
          </w:p>
        </w:tc>
        <w:tc>
          <w:tcPr>
            <w:tcW w:w="20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828</w:t>
            </w: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(16)%</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2,227</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2,840</w:t>
            </w:r>
          </w:p>
        </w:tc>
        <w:tc>
          <w:tcPr>
            <w:tcW w:w="220" w:type="dxa"/>
            <w:vAlign w:val="bottom"/>
            <w:shd w:val="clear" w:color="auto" w:fill="E5FFFF"/>
          </w:tcPr>
          <w:p>
            <w:pPr>
              <w:spacing w:after="0"/>
              <w:rPr>
                <w:sz w:val="18"/>
                <w:szCs w:val="18"/>
                <w:color w:val="auto"/>
              </w:rPr>
            </w:pP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5"/>
          </w:tcPr>
          <w:p>
            <w:pPr>
              <w:ind w:left="340"/>
              <w:spacing w:after="0"/>
              <w:rPr>
                <w:sz w:val="20"/>
                <w:szCs w:val="20"/>
                <w:color w:val="auto"/>
              </w:rPr>
            </w:pPr>
            <w:r>
              <w:rPr>
                <w:rFonts w:ascii="Arial" w:cs="Arial" w:eastAsia="Arial" w:hAnsi="Arial"/>
                <w:sz w:val="18"/>
                <w:szCs w:val="18"/>
                <w:color w:val="auto"/>
              </w:rPr>
              <w:t>Total Aerospace Sales</w:t>
            </w:r>
          </w:p>
        </w:tc>
        <w:tc>
          <w:tcPr>
            <w:tcW w:w="20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3,895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11,756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240" w:type="dxa"/>
            <w:vAlign w:val="bottom"/>
            <w:gridSpan w:val="5"/>
            <w:shd w:val="clear" w:color="auto" w:fill="E5FFFF"/>
          </w:tcPr>
          <w:p>
            <w:pPr>
              <w:spacing w:after="0" w:line="176" w:lineRule="exact"/>
              <w:rPr>
                <w:sz w:val="20"/>
                <w:szCs w:val="20"/>
                <w:color w:val="auto"/>
              </w:rPr>
            </w:pPr>
            <w:r>
              <w:rPr>
                <w:rFonts w:ascii="Arial" w:cs="Arial" w:eastAsia="Arial" w:hAnsi="Arial"/>
                <w:sz w:val="18"/>
                <w:szCs w:val="18"/>
                <w:color w:val="auto"/>
              </w:rPr>
              <w:t>Automation and Control Solutions Sales</w:t>
            </w:r>
          </w:p>
        </w:tc>
        <w:tc>
          <w:tcPr>
            <w:tcW w:w="20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top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Energy Safety &amp; Security</w:t>
            </w:r>
          </w:p>
        </w:tc>
        <w:tc>
          <w:tcPr>
            <w:tcW w:w="2080" w:type="dxa"/>
            <w:vAlign w:val="bottom"/>
            <w:tcBorders>
              <w:top w:val="single" w:sz="8" w:color="E5FFFF"/>
            </w:tcBorders>
            <w:gridSpan w:val="2"/>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33"/>
              <w:spacing w:after="0" w:line="202" w:lineRule="exact"/>
              <w:rPr>
                <w:sz w:val="20"/>
                <w:szCs w:val="20"/>
                <w:color w:val="auto"/>
              </w:rPr>
            </w:pPr>
            <w:r>
              <w:rPr>
                <w:rFonts w:ascii="Arial" w:cs="Arial" w:eastAsia="Arial" w:hAnsi="Arial"/>
                <w:sz w:val="18"/>
                <w:szCs w:val="18"/>
                <w:color w:val="auto"/>
              </w:rPr>
              <w:t>2,417</w:t>
            </w:r>
          </w:p>
        </w:tc>
        <w:tc>
          <w:tcPr>
            <w:tcW w:w="22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right"/>
              <w:ind w:right="32"/>
              <w:spacing w:after="0" w:line="202" w:lineRule="exact"/>
              <w:rPr>
                <w:sz w:val="20"/>
                <w:szCs w:val="20"/>
                <w:color w:val="auto"/>
              </w:rPr>
            </w:pPr>
            <w:r>
              <w:rPr>
                <w:rFonts w:ascii="Arial" w:cs="Arial" w:eastAsia="Arial" w:hAnsi="Arial"/>
                <w:sz w:val="18"/>
                <w:szCs w:val="18"/>
                <w:color w:val="auto"/>
              </w:rPr>
              <w:t>2,449</w:t>
            </w:r>
          </w:p>
        </w:tc>
        <w:tc>
          <w:tcPr>
            <w:tcW w:w="220" w:type="dxa"/>
            <w:vAlign w:val="bottom"/>
            <w:tcBorders>
              <w:top w:val="single" w:sz="8" w:color="E5FFFF"/>
            </w:tcBorders>
          </w:tcPr>
          <w:p>
            <w:pPr>
              <w:spacing w:after="0"/>
              <w:rPr>
                <w:sz w:val="17"/>
                <w:szCs w:val="17"/>
                <w:color w:val="auto"/>
              </w:rPr>
            </w:pPr>
          </w:p>
        </w:tc>
        <w:tc>
          <w:tcPr>
            <w:tcW w:w="70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(1)%</w:t>
            </w:r>
          </w:p>
        </w:tc>
        <w:tc>
          <w:tcPr>
            <w:tcW w:w="22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13"/>
              <w:spacing w:after="0" w:line="202" w:lineRule="exact"/>
              <w:rPr>
                <w:sz w:val="20"/>
                <w:szCs w:val="20"/>
                <w:color w:val="auto"/>
              </w:rPr>
            </w:pPr>
            <w:r>
              <w:rPr>
                <w:rFonts w:ascii="Arial" w:cs="Arial" w:eastAsia="Arial" w:hAnsi="Arial"/>
                <w:sz w:val="18"/>
                <w:szCs w:val="18"/>
                <w:color w:val="auto"/>
              </w:rPr>
              <w:t>7,040</w:t>
            </w: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20" w:type="dxa"/>
            <w:vAlign w:val="bottom"/>
            <w:tcBorders>
              <w:top w:val="single" w:sz="8" w:color="E5FFFF"/>
            </w:tcBorders>
          </w:tcPr>
          <w:p>
            <w:pPr>
              <w:jc w:val="right"/>
              <w:ind w:right="12"/>
              <w:spacing w:after="0" w:line="202" w:lineRule="exact"/>
              <w:rPr>
                <w:sz w:val="20"/>
                <w:szCs w:val="20"/>
                <w:color w:val="auto"/>
              </w:rPr>
            </w:pPr>
            <w:r>
              <w:rPr>
                <w:rFonts w:ascii="Arial" w:cs="Arial" w:eastAsia="Arial" w:hAnsi="Arial"/>
                <w:sz w:val="18"/>
                <w:szCs w:val="18"/>
                <w:color w:val="auto"/>
              </w:rPr>
              <w:t>7,144</w:t>
            </w:r>
          </w:p>
        </w:tc>
        <w:tc>
          <w:tcPr>
            <w:tcW w:w="220" w:type="dxa"/>
            <w:vAlign w:val="bottom"/>
            <w:tcBorders>
              <w:top w:val="single" w:sz="8" w:color="E5FFFF"/>
            </w:tcBorders>
          </w:tcPr>
          <w:p>
            <w:pPr>
              <w:spacing w:after="0"/>
              <w:rPr>
                <w:sz w:val="17"/>
                <w:szCs w:val="17"/>
                <w:color w:val="auto"/>
              </w:rPr>
            </w:pPr>
          </w:p>
        </w:tc>
        <w:tc>
          <w:tcPr>
            <w:tcW w:w="68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E5FFFF"/>
          </w:tcPr>
          <w:p>
            <w:pPr>
              <w:ind w:left="160"/>
              <w:spacing w:after="0"/>
              <w:rPr>
                <w:sz w:val="20"/>
                <w:szCs w:val="20"/>
                <w:color w:val="auto"/>
              </w:rPr>
            </w:pPr>
            <w:r>
              <w:rPr>
                <w:rFonts w:ascii="Arial" w:cs="Arial" w:eastAsia="Arial" w:hAnsi="Arial"/>
                <w:sz w:val="18"/>
                <w:szCs w:val="18"/>
                <w:color w:val="auto"/>
              </w:rPr>
              <w:t>Building Solutions &amp; Distribution</w:t>
            </w:r>
          </w:p>
        </w:tc>
        <w:tc>
          <w:tcPr>
            <w:tcW w:w="20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3,348</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3,496</w:t>
            </w:r>
          </w:p>
        </w:tc>
        <w:tc>
          <w:tcPr>
            <w:tcW w:w="220" w:type="dxa"/>
            <w:vAlign w:val="bottom"/>
            <w:shd w:val="clear" w:color="auto" w:fill="E5FFFF"/>
          </w:tcPr>
          <w:p>
            <w:pPr>
              <w:spacing w:after="0"/>
              <w:rPr>
                <w:sz w:val="18"/>
                <w:szCs w:val="18"/>
                <w:color w:val="auto"/>
              </w:rPr>
            </w:pP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5"/>
          </w:tcPr>
          <w:p>
            <w:pPr>
              <w:ind w:left="340"/>
              <w:spacing w:after="0"/>
              <w:rPr>
                <w:sz w:val="20"/>
                <w:szCs w:val="20"/>
                <w:color w:val="auto"/>
              </w:rPr>
            </w:pPr>
            <w:r>
              <w:rPr>
                <w:rFonts w:ascii="Arial" w:cs="Arial" w:eastAsia="Arial" w:hAnsi="Arial"/>
                <w:sz w:val="18"/>
                <w:szCs w:val="18"/>
                <w:color w:val="auto"/>
              </w:rPr>
              <w:t>Total Automation and Control Solutions Sales</w:t>
            </w:r>
          </w:p>
        </w:tc>
        <w:tc>
          <w:tcPr>
            <w:tcW w:w="20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3,571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3,671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10,388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10,640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240" w:type="dxa"/>
            <w:vAlign w:val="bottom"/>
            <w:gridSpan w:val="5"/>
            <w:shd w:val="clear" w:color="auto" w:fill="E5FFFF"/>
          </w:tcPr>
          <w:p>
            <w:pPr>
              <w:spacing w:after="0" w:line="176" w:lineRule="exact"/>
              <w:rPr>
                <w:sz w:val="20"/>
                <w:szCs w:val="20"/>
                <w:color w:val="auto"/>
              </w:rPr>
            </w:pPr>
            <w:r>
              <w:rPr>
                <w:rFonts w:ascii="Arial" w:cs="Arial" w:eastAsia="Arial" w:hAnsi="Arial"/>
                <w:sz w:val="18"/>
                <w:szCs w:val="18"/>
                <w:color w:val="auto"/>
              </w:rPr>
              <w:t>Performance Materials and Technologies Sales</w:t>
            </w:r>
          </w:p>
        </w:tc>
        <w:tc>
          <w:tcPr>
            <w:tcW w:w="20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tcBorders>
              <w:top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UOP</w:t>
            </w:r>
          </w:p>
        </w:tc>
        <w:tc>
          <w:tcPr>
            <w:tcW w:w="1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50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33"/>
              <w:spacing w:after="0" w:line="202" w:lineRule="exact"/>
              <w:rPr>
                <w:sz w:val="20"/>
                <w:szCs w:val="20"/>
                <w:color w:val="auto"/>
              </w:rPr>
            </w:pPr>
            <w:r>
              <w:rPr>
                <w:rFonts w:ascii="Arial" w:cs="Arial" w:eastAsia="Arial" w:hAnsi="Arial"/>
                <w:sz w:val="18"/>
                <w:szCs w:val="18"/>
                <w:color w:val="auto"/>
              </w:rPr>
              <w:t>638</w:t>
            </w:r>
          </w:p>
        </w:tc>
        <w:tc>
          <w:tcPr>
            <w:tcW w:w="22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right"/>
              <w:ind w:right="32"/>
              <w:spacing w:after="0" w:line="202" w:lineRule="exact"/>
              <w:rPr>
                <w:sz w:val="20"/>
                <w:szCs w:val="20"/>
                <w:color w:val="auto"/>
              </w:rPr>
            </w:pPr>
            <w:r>
              <w:rPr>
                <w:rFonts w:ascii="Arial" w:cs="Arial" w:eastAsia="Arial" w:hAnsi="Arial"/>
                <w:sz w:val="18"/>
                <w:szCs w:val="18"/>
                <w:color w:val="auto"/>
              </w:rPr>
              <w:t>761</w:t>
            </w:r>
          </w:p>
        </w:tc>
        <w:tc>
          <w:tcPr>
            <w:tcW w:w="220" w:type="dxa"/>
            <w:vAlign w:val="bottom"/>
            <w:tcBorders>
              <w:top w:val="single" w:sz="8" w:color="E5FFFF"/>
            </w:tcBorders>
          </w:tcPr>
          <w:p>
            <w:pPr>
              <w:spacing w:after="0"/>
              <w:rPr>
                <w:sz w:val="17"/>
                <w:szCs w:val="17"/>
                <w:color w:val="auto"/>
              </w:rPr>
            </w:pPr>
          </w:p>
        </w:tc>
        <w:tc>
          <w:tcPr>
            <w:tcW w:w="70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2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13"/>
              <w:spacing w:after="0" w:line="202" w:lineRule="exact"/>
              <w:rPr>
                <w:sz w:val="20"/>
                <w:szCs w:val="20"/>
                <w:color w:val="auto"/>
              </w:rPr>
            </w:pPr>
            <w:r>
              <w:rPr>
                <w:rFonts w:ascii="Arial" w:cs="Arial" w:eastAsia="Arial" w:hAnsi="Arial"/>
                <w:sz w:val="18"/>
                <w:szCs w:val="18"/>
                <w:color w:val="auto"/>
              </w:rPr>
              <w:t>2,297</w:t>
            </w: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20" w:type="dxa"/>
            <w:vAlign w:val="bottom"/>
            <w:tcBorders>
              <w:top w:val="single" w:sz="8" w:color="E5FFFF"/>
            </w:tcBorders>
          </w:tcPr>
          <w:p>
            <w:pPr>
              <w:jc w:val="right"/>
              <w:ind w:right="12"/>
              <w:spacing w:after="0" w:line="202" w:lineRule="exact"/>
              <w:rPr>
                <w:sz w:val="20"/>
                <w:szCs w:val="20"/>
                <w:color w:val="auto"/>
              </w:rPr>
            </w:pPr>
            <w:r>
              <w:rPr>
                <w:rFonts w:ascii="Arial" w:cs="Arial" w:eastAsia="Arial" w:hAnsi="Arial"/>
                <w:sz w:val="18"/>
                <w:szCs w:val="18"/>
                <w:color w:val="auto"/>
              </w:rPr>
              <w:t>2,435</w:t>
            </w:r>
          </w:p>
        </w:tc>
        <w:tc>
          <w:tcPr>
            <w:tcW w:w="220" w:type="dxa"/>
            <w:vAlign w:val="bottom"/>
            <w:tcBorders>
              <w:top w:val="single" w:sz="8" w:color="E5FFFF"/>
            </w:tcBorders>
          </w:tcPr>
          <w:p>
            <w:pPr>
              <w:spacing w:after="0"/>
              <w:rPr>
                <w:sz w:val="17"/>
                <w:szCs w:val="17"/>
                <w:color w:val="auto"/>
              </w:rPr>
            </w:pPr>
          </w:p>
        </w:tc>
        <w:tc>
          <w:tcPr>
            <w:tcW w:w="68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shd w:val="clear" w:color="auto" w:fill="E5FFFF"/>
          </w:tcPr>
          <w:p>
            <w:pPr>
              <w:ind w:left="160"/>
              <w:spacing w:after="0" w:line="202" w:lineRule="exact"/>
              <w:rPr>
                <w:sz w:val="20"/>
                <w:szCs w:val="20"/>
                <w:color w:val="auto"/>
              </w:rPr>
            </w:pPr>
            <w:r>
              <w:rPr>
                <w:rFonts w:ascii="Arial" w:cs="Arial" w:eastAsia="Arial" w:hAnsi="Arial"/>
                <w:sz w:val="18"/>
                <w:szCs w:val="18"/>
                <w:color w:val="auto"/>
              </w:rPr>
              <w:t>Process Solutions</w:t>
            </w:r>
          </w:p>
        </w:tc>
        <w:tc>
          <w:tcPr>
            <w:tcW w:w="132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666</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787</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1,985</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2,285</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bottom w:val="single" w:sz="8" w:color="E5FFFF"/>
            </w:tcBorders>
            <w:gridSpan w:val="2"/>
          </w:tcPr>
          <w:p>
            <w:pPr>
              <w:ind w:left="160"/>
              <w:spacing w:after="0"/>
              <w:rPr>
                <w:sz w:val="20"/>
                <w:szCs w:val="20"/>
                <w:color w:val="auto"/>
              </w:rPr>
            </w:pPr>
            <w:r>
              <w:rPr>
                <w:rFonts w:ascii="Arial" w:cs="Arial" w:eastAsia="Arial" w:hAnsi="Arial"/>
                <w:sz w:val="18"/>
                <w:szCs w:val="18"/>
                <w:color w:val="auto"/>
              </w:rPr>
              <w:t>Advanced Materials</w:t>
            </w:r>
          </w:p>
        </w:tc>
        <w:tc>
          <w:tcPr>
            <w:tcW w:w="1320" w:type="dxa"/>
            <w:vAlign w:val="bottom"/>
            <w:tcBorders>
              <w:bottom w:val="single" w:sz="8" w:color="E5FFFF"/>
            </w:tcBorders>
          </w:tcPr>
          <w:p>
            <w:pPr>
              <w:spacing w:after="0"/>
              <w:rPr>
                <w:sz w:val="18"/>
                <w:szCs w:val="18"/>
                <w:color w:val="auto"/>
              </w:rPr>
            </w:pPr>
          </w:p>
        </w:tc>
        <w:tc>
          <w:tcPr>
            <w:tcW w:w="580" w:type="dxa"/>
            <w:vAlign w:val="bottom"/>
            <w:tcBorders>
              <w:bottom w:val="single" w:sz="8" w:color="E5FFFF"/>
            </w:tcBorders>
          </w:tcPr>
          <w:p>
            <w:pPr>
              <w:spacing w:after="0"/>
              <w:rPr>
                <w:sz w:val="18"/>
                <w:szCs w:val="18"/>
                <w:color w:val="auto"/>
              </w:rPr>
            </w:pPr>
          </w:p>
        </w:tc>
        <w:tc>
          <w:tcPr>
            <w:tcW w:w="15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916</w:t>
            </w: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994</w:t>
            </w:r>
          </w:p>
        </w:tc>
        <w:tc>
          <w:tcPr>
            <w:tcW w:w="22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2,675</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2,924</w:t>
            </w:r>
          </w:p>
        </w:tc>
        <w:tc>
          <w:tcPr>
            <w:tcW w:w="220" w:type="dxa"/>
            <w:vAlign w:val="bottom"/>
            <w:tcBorders>
              <w:bottom w:val="single" w:sz="8" w:color="E5FFFF"/>
            </w:tcBorders>
          </w:tcPr>
          <w:p>
            <w:pPr>
              <w:spacing w:after="0"/>
              <w:rPr>
                <w:sz w:val="18"/>
                <w:szCs w:val="18"/>
                <w:color w:val="auto"/>
              </w:rPr>
            </w:pPr>
          </w:p>
        </w:tc>
        <w:tc>
          <w:tcPr>
            <w:tcW w:w="68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5"/>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Performance Materials and Technologies Sales</w:t>
            </w: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2,220</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2,542</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6,957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7,644</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3"/>
            <w:vMerge w:val="continue"/>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9,611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10,108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28,599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30,040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Aerospace</w:t>
            </w: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6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left="413"/>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left="413"/>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8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132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3,820</w:t>
            </w:r>
          </w:p>
        </w:tc>
        <w:tc>
          <w:tcPr>
            <w:tcW w:w="40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3,895</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40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11,254</w:t>
            </w:r>
          </w:p>
        </w:tc>
        <w:tc>
          <w:tcPr>
            <w:tcW w:w="3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11,756</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Cost of products and</w:t>
            </w:r>
          </w:p>
        </w:tc>
        <w:tc>
          <w:tcPr>
            <w:tcW w:w="34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services sold</w:t>
            </w:r>
          </w:p>
        </w:tc>
        <w:tc>
          <w:tcPr>
            <w:tcW w:w="20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2,856</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8,767</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shd w:val="clear" w:color="auto" w:fill="E5FFFF"/>
          </w:tcPr>
          <w:p>
            <w:pPr>
              <w:ind w:left="160"/>
              <w:spacing w:after="0" w:line="202" w:lineRule="exact"/>
              <w:rPr>
                <w:sz w:val="20"/>
                <w:szCs w:val="20"/>
                <w:color w:val="auto"/>
              </w:rPr>
            </w:pPr>
            <w:r>
              <w:rPr>
                <w:rFonts w:ascii="Arial" w:cs="Arial" w:eastAsia="Arial" w:hAnsi="Arial"/>
                <w:sz w:val="18"/>
                <w:szCs w:val="18"/>
                <w:color w:val="auto"/>
              </w:rPr>
              <w:t>Selling, general and</w:t>
            </w:r>
          </w:p>
        </w:tc>
        <w:tc>
          <w:tcPr>
            <w:tcW w:w="3400" w:type="dxa"/>
            <w:vAlign w:val="bottom"/>
            <w:gridSpan w:val="3"/>
            <w:shd w:val="clear" w:color="auto" w:fill="E5FFFF"/>
          </w:tcPr>
          <w:p>
            <w:pPr>
              <w:ind w:left="20"/>
              <w:spacing w:after="0" w:line="202" w:lineRule="exact"/>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156</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181</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473</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536</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bottom w:val="single" w:sz="8" w:color="E5FFFF"/>
            </w:tcBorders>
            <w:gridSpan w:val="2"/>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E5FFFF"/>
            </w:tcBorders>
          </w:tcPr>
          <w:p>
            <w:pPr>
              <w:spacing w:after="0"/>
              <w:rPr>
                <w:sz w:val="18"/>
                <w:szCs w:val="18"/>
                <w:color w:val="auto"/>
              </w:rPr>
            </w:pPr>
          </w:p>
        </w:tc>
        <w:tc>
          <w:tcPr>
            <w:tcW w:w="580" w:type="dxa"/>
            <w:vAlign w:val="bottom"/>
            <w:tcBorders>
              <w:bottom w:val="single" w:sz="8" w:color="E5FFFF"/>
            </w:tcBorders>
          </w:tcPr>
          <w:p>
            <w:pPr>
              <w:spacing w:after="0"/>
              <w:rPr>
                <w:sz w:val="18"/>
                <w:szCs w:val="18"/>
                <w:color w:val="auto"/>
              </w:rPr>
            </w:pPr>
          </w:p>
        </w:tc>
        <w:tc>
          <w:tcPr>
            <w:tcW w:w="15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E5FFFF"/>
            </w:tcBorders>
          </w:tcPr>
          <w:p>
            <w:pPr>
              <w:spacing w:after="0"/>
              <w:rPr>
                <w:sz w:val="18"/>
                <w:szCs w:val="18"/>
                <w:color w:val="auto"/>
              </w:rPr>
            </w:pPr>
          </w:p>
        </w:tc>
        <w:tc>
          <w:tcPr>
            <w:tcW w:w="6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Segment profit</w:t>
            </w:r>
          </w:p>
        </w:tc>
        <w:tc>
          <w:tcPr>
            <w:tcW w:w="13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833</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115"/>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2,362</w:t>
            </w:r>
          </w:p>
        </w:tc>
        <w:tc>
          <w:tcPr>
            <w:tcW w:w="3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E5FFFF"/>
          </w:tcPr>
          <w:p>
            <w:pPr>
              <w:spacing w:after="0"/>
              <w:rPr>
                <w:sz w:val="18"/>
                <w:szCs w:val="18"/>
                <w:color w:val="auto"/>
              </w:rPr>
            </w:pPr>
          </w:p>
        </w:tc>
        <w:tc>
          <w:tcPr>
            <w:tcW w:w="680" w:type="dxa"/>
            <w:vAlign w:val="bottom"/>
            <w:shd w:val="clear" w:color="auto" w:fill="E5FFFF"/>
          </w:tcPr>
          <w:p>
            <w:pPr>
              <w:jc w:val="right"/>
              <w:ind w:right="9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ind w:right="133"/>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32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106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1061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Organic growth/ Operational segment profit</w:t>
      </w:r>
    </w:p>
    <w:p>
      <w:pPr>
        <w:ind w:left="640"/>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divestitures and other, net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2015 vs. 2014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Borders>
              <w:top w:val="single" w:sz="8" w:color="auto"/>
            </w:tcBorders>
            <w:gridSpan w:val="4"/>
          </w:tcPr>
          <w:p>
            <w:pPr>
              <w:jc w:val="center"/>
              <w:ind w:right="200"/>
              <w:spacing w:after="0" w:line="156" w:lineRule="exact"/>
              <w:rPr>
                <w:sz w:val="20"/>
                <w:szCs w:val="20"/>
                <w:color w:val="auto"/>
              </w:rPr>
            </w:pPr>
            <w:r>
              <w:rPr>
                <w:rFonts w:ascii="Arial" w:cs="Arial" w:eastAsia="Arial" w:hAnsi="Arial"/>
                <w:sz w:val="14"/>
                <w:szCs w:val="14"/>
                <w:b w:val="1"/>
                <w:bCs w:val="1"/>
                <w:color w:val="auto"/>
              </w:rPr>
              <w:t>Three Months Ended</w:t>
            </w:r>
          </w:p>
        </w:tc>
        <w:tc>
          <w:tcPr>
            <w:tcW w:w="2020" w:type="dxa"/>
            <w:vAlign w:val="bottom"/>
            <w:tcBorders>
              <w:top w:val="single" w:sz="8" w:color="auto"/>
            </w:tcBorders>
            <w:gridSpan w:val="3"/>
          </w:tcPr>
          <w:p>
            <w:pPr>
              <w:jc w:val="right"/>
              <w:ind w:right="256"/>
              <w:spacing w:after="0" w:line="156"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Profit</w:t>
            </w:r>
          </w:p>
        </w:tc>
      </w:tr>
      <w:tr>
        <w:trPr>
          <w:trHeight w:val="195"/>
        </w:trPr>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3"/>
        </w:trPr>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r>
      <w:tr>
        <w:trPr>
          <w:trHeight w:val="21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240"/>
          </w:cols>
          <w:pgMar w:left="240" w:top="423" w:right="239" w:bottom="1440" w:gutter="0" w:footer="0" w:header="0"/>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Aerospace sales decreased in the quarter and nine months ended September 30, 2015 primarily due to the unfavorable impact from foreign currency translation and the Friction Materials divestiture, partially offset by an increase in organic sales.</w:t>
      </w:r>
    </w:p>
    <w:p>
      <w:pPr>
        <w:spacing w:after="0" w:line="183" w:lineRule="exact"/>
        <w:rPr>
          <w:sz w:val="20"/>
          <w:szCs w:val="20"/>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Original Equipment sales increased 3% (increased 4% organic) in the quarter ended September 30, 2015 and increased 3% (increased 5% organic) in the nine months ended September 30, 2015 primarily driven by higher business and general aviation engine shipments.</w:t>
      </w:r>
    </w:p>
    <w:p>
      <w:pPr>
        <w:spacing w:after="0" w:line="189"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Aftermarket sales increased 2% (increased 3% organic) in the quarter ended September 30, 2015 and increased 2% (increased 3% organic) in the nine months ended September 30, 2015 primarily driven by higher repair and overhaul activities, partially offset by lower retrofits, modifications and upgrades for business and general aviation customers.</w:t>
      </w:r>
    </w:p>
    <w:p>
      <w:pPr>
        <w:spacing w:after="0" w:line="189"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increased 1% (increased 2% organic) in the quarter ended September 30, 2015 and were flat (increased 1% organic) in the nine months ended September 30, 2015 primarily driven by growth in international programs, partially offset by lower U.S. government sales.</w:t>
      </w:r>
    </w:p>
    <w:p>
      <w:pPr>
        <w:spacing w:after="0" w:line="189"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decreased 16% (increased 1% organic) in the quarter ended September 30, 2015 and decreased 22% (increased 3% organic) in the nine months ended September 30, 2015 primarily due to the unfavorable impact from foreign currency translation, the Friction Materials divestiture and lower commercial vehicle production, partially offset by continued growth from new platform launches and higher global gas turbo penetration.</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Aerospace segment profit increased in the quarter and nine months ended September 30, 2015 primarily driven by an increase in operational segment profit, partially offset by the unfavorable impact of foreign currency translation. The increase in operational segment profit is primarily driven by productivity, net of inflation, and favorable pricing, partially offset by continued investments for growth. Cost of products and services sold decreased $103 million in the quarter ended September 30, 2015 and $577 million in the nine months ended September 30, 2015 primarily driven by the favorable impact of foreign currency translation and productivity, net of inflation, partially offset by continued investments for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69"/>
        </w:trPr>
        <w:tc>
          <w:tcPr>
            <w:tcW w:w="1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18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7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3,571</w:t>
            </w:r>
          </w:p>
        </w:tc>
        <w:tc>
          <w:tcPr>
            <w:tcW w:w="2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3,671</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216"/>
              <w:spacing w:after="0" w:line="196" w:lineRule="exact"/>
              <w:rPr>
                <w:sz w:val="20"/>
                <w:szCs w:val="20"/>
                <w:color w:val="auto"/>
              </w:rPr>
            </w:pPr>
            <w:r>
              <w:rPr>
                <w:rFonts w:ascii="Arial" w:cs="Arial" w:eastAsia="Arial" w:hAnsi="Arial"/>
                <w:sz w:val="18"/>
                <w:szCs w:val="18"/>
                <w:color w:val="auto"/>
              </w:rPr>
              <w:t>(3)%</w:t>
            </w:r>
          </w:p>
        </w:tc>
        <w:tc>
          <w:tcPr>
            <w:tcW w:w="2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10,388</w:t>
            </w:r>
          </w:p>
        </w:tc>
        <w:tc>
          <w:tcPr>
            <w:tcW w:w="2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10,640</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216"/>
              <w:spacing w:after="0" w:line="196" w:lineRule="exact"/>
              <w:rPr>
                <w:sz w:val="20"/>
                <w:szCs w:val="20"/>
                <w:color w:val="auto"/>
              </w:rPr>
            </w:pPr>
            <w:r>
              <w:rPr>
                <w:rFonts w:ascii="Arial" w:cs="Arial" w:eastAsia="Arial" w:hAnsi="Arial"/>
                <w:sz w:val="18"/>
                <w:szCs w:val="18"/>
                <w:color w:val="auto"/>
              </w:rPr>
              <w:t>(2)%</w:t>
            </w: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w w:val="99"/>
              </w:rPr>
              <w:t>Cost of products and</w:t>
            </w:r>
          </w:p>
        </w:tc>
        <w:tc>
          <w:tcPr>
            <w:tcW w:w="2720" w:type="dxa"/>
            <w:vAlign w:val="bottom"/>
          </w:tcPr>
          <w:p>
            <w:pPr>
              <w:ind w:left="80"/>
              <w:spacing w:after="0"/>
              <w:rPr>
                <w:sz w:val="20"/>
                <w:szCs w:val="20"/>
                <w:color w:val="auto"/>
              </w:rPr>
            </w:pPr>
            <w:r>
              <w:rPr>
                <w:rFonts w:ascii="Arial" w:cs="Arial" w:eastAsia="Arial" w:hAnsi="Arial"/>
                <w:sz w:val="18"/>
                <w:szCs w:val="18"/>
                <w:color w:val="auto"/>
              </w:rPr>
              <w:t>services sold</w:t>
            </w:r>
          </w:p>
        </w:tc>
        <w:tc>
          <w:tcPr>
            <w:tcW w:w="20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6,718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8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w:t>
            </w:r>
          </w:p>
        </w:tc>
        <w:tc>
          <w:tcPr>
            <w:tcW w:w="2720" w:type="dxa"/>
            <w:vAlign w:val="bottom"/>
            <w:shd w:val="clear" w:color="auto" w:fill="E5FFFF"/>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1,924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18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90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00" w:type="dxa"/>
            <w:vAlign w:val="bottom"/>
            <w:tcBorders>
              <w:bottom w:val="single" w:sz="8" w:color="E5FFFF"/>
            </w:tcBorders>
          </w:tcPr>
          <w:p>
            <w:pPr>
              <w:spacing w:after="0"/>
              <w:rPr>
                <w:sz w:val="18"/>
                <w:szCs w:val="18"/>
                <w:color w:val="auto"/>
              </w:rPr>
            </w:pPr>
          </w:p>
        </w:tc>
      </w:tr>
      <w:tr>
        <w:trPr>
          <w:trHeight w:val="196"/>
        </w:trPr>
        <w:tc>
          <w:tcPr>
            <w:tcW w:w="18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7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614</w:t>
            </w:r>
          </w:p>
        </w:tc>
        <w:tc>
          <w:tcPr>
            <w:tcW w:w="22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583</w:t>
            </w: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236"/>
              <w:spacing w:after="0" w:line="196" w:lineRule="exact"/>
              <w:rPr>
                <w:sz w:val="20"/>
                <w:szCs w:val="20"/>
                <w:color w:val="auto"/>
              </w:rPr>
            </w:pPr>
            <w:r>
              <w:rPr>
                <w:rFonts w:ascii="Arial" w:cs="Arial" w:eastAsia="Arial" w:hAnsi="Arial"/>
                <w:sz w:val="18"/>
                <w:szCs w:val="18"/>
                <w:color w:val="auto"/>
              </w:rPr>
              <w:t>5%</w:t>
            </w:r>
          </w:p>
        </w:tc>
        <w:tc>
          <w:tcPr>
            <w:tcW w:w="24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1,697</w:t>
            </w:r>
          </w:p>
        </w:tc>
        <w:tc>
          <w:tcPr>
            <w:tcW w:w="2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1,587</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276"/>
              <w:spacing w:after="0" w:line="196" w:lineRule="exact"/>
              <w:rPr>
                <w:sz w:val="20"/>
                <w:szCs w:val="20"/>
                <w:color w:val="auto"/>
              </w:rPr>
            </w:pPr>
            <w:r>
              <w:rPr>
                <w:rFonts w:ascii="Arial" w:cs="Arial" w:eastAsia="Arial" w:hAnsi="Arial"/>
                <w:sz w:val="18"/>
                <w:szCs w:val="18"/>
                <w:color w:val="auto"/>
              </w:rPr>
              <w:t>7%</w:t>
            </w:r>
          </w:p>
        </w:tc>
      </w:tr>
      <w:tr>
        <w:trPr>
          <w:trHeight w:val="399"/>
        </w:trPr>
        <w:tc>
          <w:tcPr>
            <w:tcW w:w="1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gridSpan w:val="2"/>
          </w:tcPr>
          <w:p>
            <w:pPr>
              <w:jc w:val="right"/>
              <w:ind w:right="56"/>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860" w:type="dxa"/>
            <w:vAlign w:val="bottom"/>
            <w:tcBorders>
              <w:bottom w:val="single" w:sz="8" w:color="C0C0C0"/>
            </w:tcBorders>
          </w:tcPr>
          <w:p>
            <w:pPr>
              <w:spacing w:after="0"/>
              <w:rPr>
                <w:sz w:val="20"/>
                <w:szCs w:val="20"/>
                <w:color w:val="auto"/>
              </w:rPr>
            </w:pPr>
          </w:p>
        </w:tc>
        <w:tc>
          <w:tcPr>
            <w:tcW w:w="27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23" w:right="2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106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1061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Organic growth/ Operational segment profit</w:t>
      </w:r>
    </w:p>
    <w:p>
      <w:pPr>
        <w:ind w:left="640"/>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2015 vs. 2014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Borders>
              <w:top w:val="single" w:sz="8" w:color="auto"/>
            </w:tcBorders>
            <w:gridSpan w:val="4"/>
          </w:tcPr>
          <w:p>
            <w:pPr>
              <w:jc w:val="center"/>
              <w:ind w:right="200"/>
              <w:spacing w:after="0" w:line="156" w:lineRule="exact"/>
              <w:rPr>
                <w:sz w:val="20"/>
                <w:szCs w:val="20"/>
                <w:color w:val="auto"/>
              </w:rPr>
            </w:pPr>
            <w:r>
              <w:rPr>
                <w:rFonts w:ascii="Arial" w:cs="Arial" w:eastAsia="Arial" w:hAnsi="Arial"/>
                <w:sz w:val="14"/>
                <w:szCs w:val="14"/>
                <w:b w:val="1"/>
                <w:bCs w:val="1"/>
                <w:color w:val="auto"/>
              </w:rPr>
              <w:t>Three Months Ended</w:t>
            </w:r>
          </w:p>
        </w:tc>
        <w:tc>
          <w:tcPr>
            <w:tcW w:w="2020" w:type="dxa"/>
            <w:vAlign w:val="bottom"/>
            <w:tcBorders>
              <w:top w:val="single" w:sz="8" w:color="auto"/>
            </w:tcBorders>
            <w:gridSpan w:val="3"/>
          </w:tcPr>
          <w:p>
            <w:pPr>
              <w:jc w:val="right"/>
              <w:ind w:right="256"/>
              <w:spacing w:after="0" w:line="156"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Profit</w:t>
            </w:r>
          </w:p>
        </w:tc>
      </w:tr>
      <w:tr>
        <w:trPr>
          <w:trHeight w:val="195"/>
        </w:trPr>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3"/>
        </w:trPr>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r>
      <w:tr>
        <w:trPr>
          <w:trHeight w:val="21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240"/>
          </w:cols>
          <w:pgMar w:left="240" w:top="423" w:right="239" w:bottom="1440" w:gutter="0" w:footer="0" w:header="0"/>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Automation and Control Solutions (ACS) sales decreased in the quarter and nine months ended September 30, 2015 primarily due to the unfavorable impact of foreign currency translation partially offset by organic sales growth and growth from acquisitions, net of divestitures.</w:t>
      </w:r>
    </w:p>
    <w:p>
      <w:pPr>
        <w:spacing w:after="0" w:line="183" w:lineRule="exact"/>
        <w:rPr>
          <w:sz w:val="20"/>
          <w:szCs w:val="20"/>
          <w:color w:val="auto"/>
        </w:rPr>
      </w:pPr>
    </w:p>
    <w:p>
      <w:pPr>
        <w:jc w:val="both"/>
        <w:ind w:left="980" w:hanging="324"/>
        <w:spacing w:after="0" w:line="23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Energy, Safety &amp; Security decreased 1% (increased 4% organic) in the quarter ended September 30, 2015 and decreased 2% (increased 4% organic) in the nine months ended September 30, 2015 principally due to the unfavorable impact of foreign currency translation partially offset by organic sales growth and acquisitions, net of divestitures. Organic sales growth was primarily due to increased sales volumes, most significantly in Security and Fire across all regions, as well as Sensing &amp; Productivity Solutions.</w:t>
      </w:r>
    </w:p>
    <w:p>
      <w:pPr>
        <w:spacing w:after="0" w:line="189"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Building Solutions &amp; Distribution decreased 6% (increased 1% organic) in the quarter ended September 30, 2015 and decreased 4% (increased 2% organic) in the nine months ended September 30, 2015 principally due to the unfavorable impact of foreign currency translation. Organic sales growth was primarily due to increased sales volume in Americas Distribution partially offset by softness in the project installation and energy retrofit businesses.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ACS segment profit increased in the quarter and nine months ended September 30, 2015 due to an increase in operational segment profit and acquisitions, net of divestitures partially offset by the unfavorable impact of foreign currency translation. The increase in operational segment profit is primarily due to the positive impact of price and productivity net of inflation and higher organic sales volumes partially offset by continued investments for growth. Cost of products and services sold decreased $70 million and $217 million in the quarter and nine months ended September 30, 2015 which is primarily due to the favorable impact of foreign currency translation and productivity partially offset by higher organic sales volume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center"/>
              <w:ind w:left="414"/>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left="395"/>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42"/>
        </w:trPr>
        <w:tc>
          <w:tcPr>
            <w:tcW w:w="1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9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9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1860" w:type="dxa"/>
            <w:vAlign w:val="bottom"/>
            <w:tcBorders>
              <w:bottom w:val="single" w:sz="8" w:color="E5FFFF"/>
            </w:tcBorders>
          </w:tcPr>
          <w:p>
            <w:pPr>
              <w:spacing w:after="0"/>
              <w:rPr>
                <w:sz w:val="15"/>
                <w:szCs w:val="15"/>
                <w:color w:val="auto"/>
              </w:rPr>
            </w:pPr>
          </w:p>
        </w:tc>
        <w:tc>
          <w:tcPr>
            <w:tcW w:w="340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E5FF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E5FF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96"/>
        </w:trPr>
        <w:tc>
          <w:tcPr>
            <w:tcW w:w="18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34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2,220</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2,542</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(13)%</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6,957</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7,644</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(9)%</w:t>
            </w: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w w:val="99"/>
              </w:rPr>
              <w:t>Cost of products and</w:t>
            </w:r>
          </w:p>
        </w:tc>
        <w:tc>
          <w:tcPr>
            <w:tcW w:w="3400" w:type="dxa"/>
            <w:vAlign w:val="bottom"/>
          </w:tcPr>
          <w:p>
            <w:pPr>
              <w:ind w:left="80"/>
              <w:spacing w:after="0"/>
              <w:rPr>
                <w:sz w:val="20"/>
                <w:szCs w:val="20"/>
                <w:color w:val="auto"/>
              </w:rPr>
            </w:pPr>
            <w:r>
              <w:rPr>
                <w:rFonts w:ascii="Arial" w:cs="Arial" w:eastAsia="Arial" w:hAnsi="Arial"/>
                <w:sz w:val="18"/>
                <w:szCs w:val="18"/>
                <w:color w:val="auto"/>
              </w:rPr>
              <w:t>services sold</w:t>
            </w:r>
          </w:p>
        </w:tc>
        <w:tc>
          <w:tcPr>
            <w:tcW w:w="20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4,726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5,367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8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w:t>
            </w:r>
          </w:p>
        </w:tc>
        <w:tc>
          <w:tcPr>
            <w:tcW w:w="3400" w:type="dxa"/>
            <w:vAlign w:val="bottom"/>
            <w:shd w:val="clear" w:color="auto" w:fill="E5FFFF"/>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r>
      <w:tr>
        <w:trPr>
          <w:trHeight w:val="216"/>
        </w:trPr>
        <w:tc>
          <w:tcPr>
            <w:tcW w:w="18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E5FFFF"/>
            </w:tcBorders>
          </w:tcPr>
          <w:p>
            <w:pPr>
              <w:spacing w:after="0"/>
              <w:rPr>
                <w:sz w:val="18"/>
                <w:szCs w:val="18"/>
                <w:color w:val="auto"/>
              </w:rPr>
            </w:pPr>
          </w:p>
        </w:tc>
        <w:tc>
          <w:tcPr>
            <w:tcW w:w="680" w:type="dxa"/>
            <w:vAlign w:val="bottom"/>
            <w:tcBorders>
              <w:bottom w:val="single" w:sz="8" w:color="E5FFFF"/>
            </w:tcBorders>
          </w:tcPr>
          <w:p>
            <w:pPr>
              <w:spacing w:after="0"/>
              <w:rPr>
                <w:sz w:val="18"/>
                <w:szCs w:val="18"/>
                <w:color w:val="auto"/>
              </w:rPr>
            </w:pPr>
          </w:p>
        </w:tc>
      </w:tr>
      <w:tr>
        <w:trPr>
          <w:trHeight w:val="196"/>
        </w:trPr>
        <w:tc>
          <w:tcPr>
            <w:tcW w:w="18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340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461</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444</w:t>
            </w: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9"/>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1,473</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1,392</w:t>
            </w: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99"/>
              <w:spacing w:after="0" w:line="196" w:lineRule="exact"/>
              <w:rPr>
                <w:sz w:val="20"/>
                <w:szCs w:val="20"/>
                <w:color w:val="auto"/>
              </w:rPr>
            </w:pPr>
            <w:r>
              <w:rPr>
                <w:rFonts w:ascii="Arial" w:cs="Arial" w:eastAsia="Arial" w:hAnsi="Arial"/>
                <w:sz w:val="18"/>
                <w:szCs w:val="18"/>
                <w:color w:val="auto"/>
              </w:rPr>
              <w:t>6%</w:t>
            </w:r>
          </w:p>
        </w:tc>
      </w:tr>
      <w:tr>
        <w:trPr>
          <w:trHeight w:val="399"/>
        </w:trPr>
        <w:tc>
          <w:tcPr>
            <w:tcW w:w="1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94"/>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7"/>
        </w:trPr>
        <w:tc>
          <w:tcPr>
            <w:tcW w:w="1860" w:type="dxa"/>
            <w:vAlign w:val="bottom"/>
            <w:tcBorders>
              <w:bottom w:val="single" w:sz="8" w:color="C0C0C0"/>
            </w:tcBorders>
          </w:tcPr>
          <w:p>
            <w:pPr>
              <w:spacing w:after="0"/>
              <w:rPr>
                <w:sz w:val="20"/>
                <w:szCs w:val="20"/>
                <w:color w:val="auto"/>
              </w:rPr>
            </w:pPr>
          </w:p>
        </w:tc>
        <w:tc>
          <w:tcPr>
            <w:tcW w:w="34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23" w:right="2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106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1061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Organic growth/ Operational segment profit</w:t>
      </w:r>
    </w:p>
    <w:p>
      <w:pPr>
        <w:ind w:left="640"/>
        <w:spacing w:after="0"/>
        <w:rPr>
          <w:sz w:val="20"/>
          <w:szCs w:val="20"/>
          <w:color w:val="auto"/>
        </w:rPr>
      </w:pPr>
      <w:r>
        <w:rPr>
          <w:rFonts w:ascii="Arial" w:cs="Arial" w:eastAsia="Arial" w:hAnsi="Arial"/>
          <w:sz w:val="18"/>
          <w:szCs w:val="18"/>
          <w:color w:val="auto"/>
        </w:rPr>
        <w:t>Foreign currency translation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2015 vs. 2014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Borders>
              <w:top w:val="single" w:sz="8" w:color="auto"/>
            </w:tcBorders>
            <w:gridSpan w:val="4"/>
          </w:tcPr>
          <w:p>
            <w:pPr>
              <w:jc w:val="center"/>
              <w:ind w:right="200"/>
              <w:spacing w:after="0" w:line="156" w:lineRule="exact"/>
              <w:rPr>
                <w:sz w:val="20"/>
                <w:szCs w:val="20"/>
                <w:color w:val="auto"/>
              </w:rPr>
            </w:pPr>
            <w:r>
              <w:rPr>
                <w:rFonts w:ascii="Arial" w:cs="Arial" w:eastAsia="Arial" w:hAnsi="Arial"/>
                <w:sz w:val="14"/>
                <w:szCs w:val="14"/>
                <w:b w:val="1"/>
                <w:bCs w:val="1"/>
                <w:color w:val="auto"/>
              </w:rPr>
              <w:t>Three Months Ended</w:t>
            </w:r>
          </w:p>
        </w:tc>
        <w:tc>
          <w:tcPr>
            <w:tcW w:w="2020" w:type="dxa"/>
            <w:vAlign w:val="bottom"/>
            <w:tcBorders>
              <w:top w:val="single" w:sz="8" w:color="auto"/>
            </w:tcBorders>
            <w:gridSpan w:val="3"/>
          </w:tcPr>
          <w:p>
            <w:pPr>
              <w:jc w:val="right"/>
              <w:ind w:right="257"/>
              <w:spacing w:after="0" w:line="156"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 2015</w:t>
            </w:r>
          </w:p>
        </w:tc>
        <w:tc>
          <w:tcPr>
            <w:tcW w:w="202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September 30, 2015</w:t>
            </w:r>
          </w:p>
        </w:tc>
      </w:tr>
      <w:tr>
        <w:trPr>
          <w:trHeight w:val="142"/>
        </w:trPr>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900" w:type="dxa"/>
            <w:vAlign w:val="bottom"/>
          </w:tcPr>
          <w:p>
            <w:pPr>
              <w:jc w:val="right"/>
              <w:ind w:right="177"/>
              <w:spacing w:after="0"/>
              <w:rPr>
                <w:sz w:val="20"/>
                <w:szCs w:val="20"/>
                <w:color w:val="auto"/>
              </w:rPr>
            </w:pPr>
            <w:r>
              <w:rPr>
                <w:rFonts w:ascii="Arial" w:cs="Arial" w:eastAsia="Arial" w:hAnsi="Arial"/>
                <w:sz w:val="14"/>
                <w:szCs w:val="14"/>
                <w:b w:val="1"/>
                <w:bCs w:val="1"/>
                <w:color w:val="auto"/>
              </w:rPr>
              <w:t>Profit</w:t>
            </w:r>
          </w:p>
        </w:tc>
      </w:tr>
      <w:tr>
        <w:trPr>
          <w:trHeight w:val="411"/>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3"/>
        </w:trPr>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r>
      <w:tr>
        <w:trPr>
          <w:trHeight w:val="21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240"/>
          </w:cols>
          <w:pgMar w:left="240" w:top="423" w:right="239" w:bottom="1440" w:gutter="0" w:footer="0" w:header="0"/>
        </w:sectPr>
      </w:pPr>
    </w:p>
    <w:p>
      <w:pPr>
        <w:spacing w:after="0" w:line="2" w:lineRule="exact"/>
        <w:rPr>
          <w:sz w:val="20"/>
          <w:szCs w:val="20"/>
          <w:color w:val="auto"/>
        </w:rPr>
      </w:pPr>
    </w:p>
    <w:p>
      <w:pPr>
        <w:ind w:firstLine="972"/>
        <w:spacing w:after="0" w:line="246" w:lineRule="auto"/>
        <w:rPr>
          <w:sz w:val="20"/>
          <w:szCs w:val="20"/>
          <w:color w:val="auto"/>
        </w:rPr>
      </w:pPr>
      <w:r>
        <w:rPr>
          <w:rFonts w:ascii="Arial" w:cs="Arial" w:eastAsia="Arial" w:hAnsi="Arial"/>
          <w:sz w:val="18"/>
          <w:szCs w:val="18"/>
          <w:color w:val="auto"/>
        </w:rPr>
        <w:t>Performance Materials and Technologies (PMT) sales decreased in the quarter and nine months ended September 30, 2015 due to decreased organic sales volumes and the unfavorable impact of foreign currency translation.</w:t>
      </w:r>
    </w:p>
    <w:p>
      <w:pPr>
        <w:spacing w:after="0" w:line="183" w:lineRule="exact"/>
        <w:rPr>
          <w:sz w:val="20"/>
          <w:szCs w:val="20"/>
          <w:color w:val="auto"/>
        </w:rPr>
      </w:pPr>
    </w:p>
    <w:p>
      <w:pPr>
        <w:jc w:val="both"/>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decreased 16% (decreased 15% organic) in the quarter ended September 30, 2015 driven primarily by lower gas processing revenues due to a significant slowdown in customer projects, which is expected to continue, and decreased equipment and licensing revenues partially offset by increased catalyst revenues.</w:t>
      </w:r>
    </w:p>
    <w:p>
      <w:pPr>
        <w:spacing w:after="0" w:line="189"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UOP sales decreased 6% (decreased 4% organic) in the nine months ended September 30, 2015 driven primarily by lower gas processing and engineering revenues due to a significant slowdown in customer projects, which is expected to continue.</w:t>
      </w:r>
    </w:p>
    <w:p>
      <w:pPr>
        <w:spacing w:after="0" w:line="183"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decreased 15% (decreased 5% organic) in the quarter ended September 30, 2015 and decreased 13% (decreased 4% organic) in the nine months ended September 30, 2015 principally due to the unfavorable impact of foreign currency translation and lower volumes primarily due to project and field products weakness, which is expected to continue, partially offset by volume growth in advanced solutions software and services predominately in the first half of 2015.</w:t>
      </w:r>
    </w:p>
    <w:p>
      <w:pPr>
        <w:spacing w:after="0" w:line="188" w:lineRule="exact"/>
        <w:rPr>
          <w:rFonts w:ascii="Arial" w:cs="Arial" w:eastAsia="Arial" w:hAnsi="Arial"/>
          <w:sz w:val="18"/>
          <w:szCs w:val="18"/>
          <w:color w:val="auto"/>
        </w:rPr>
      </w:pPr>
    </w:p>
    <w:p>
      <w:pPr>
        <w:jc w:val="both"/>
        <w:ind w:left="980" w:hanging="324"/>
        <w:spacing w:after="0" w:line="23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decreased 8% (decreased 5% organic) in the quarter ended September 30, 2015 and decreased 9% (decreased 5% organic) in the nine months ended September 30, 2015 primarily driven by lower raw material pass-through pricing and unplanned plant outages in Resins and Chemicals partially offset by increased volumes in Fluorine Products and Specialty Products. We anticipate lower raw materials pass-through pricing to continue in 2015 primarily in Resins and Chemicals where sales fluctuate with the market price of certain raw materials, which are correlated to the price of oil.</w:t>
      </w:r>
    </w:p>
    <w:p>
      <w:pPr>
        <w:spacing w:after="0" w:line="189" w:lineRule="exact"/>
        <w:rPr>
          <w:sz w:val="20"/>
          <w:szCs w:val="20"/>
          <w:color w:val="auto"/>
        </w:rPr>
      </w:pPr>
    </w:p>
    <w:p>
      <w:pPr>
        <w:jc w:val="both"/>
        <w:ind w:firstLine="972"/>
        <w:spacing w:after="0" w:line="237" w:lineRule="auto"/>
        <w:rPr>
          <w:sz w:val="20"/>
          <w:szCs w:val="20"/>
          <w:color w:val="auto"/>
        </w:rPr>
      </w:pPr>
      <w:r>
        <w:rPr>
          <w:rFonts w:ascii="Arial" w:cs="Arial" w:eastAsia="Arial" w:hAnsi="Arial"/>
          <w:sz w:val="18"/>
          <w:szCs w:val="18"/>
          <w:color w:val="auto"/>
        </w:rPr>
        <w:t>PMT segment profit increased in the quarter and nine months ended September 30, 2015 due to an increase in operational segment profit partially offset by the unfavorable impact of foreign currency translation. The increase in operational segment profit is primarily due to price and productivity net of inflation partially offset by lower organic sales volumes and continued investments for growth. Cost of products and services sold decreased $296 million and $641 million in the quarter and nine months ended September 30, 2015 primarily due to the favorable impacts of inflation and foreign currency translation and lower organic sales volumes, partially offset by continued investments for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972"/>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$100 million to $ 125 million in 2015 compared with 2014 principally from planned workforce reductions. Cash spending related to our repositioning actions was $77 million in the nine months ended September 30, 2015 and was funded through operating cash flows. We expect cash spending for repositioning actions to be approximately $125 million in 2015 and to be funded through operating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type w:val="continuous"/>
        </w:sectPr>
      </w:pPr>
    </w:p>
    <w:bookmarkStart w:id="26" w:name="page27"/>
    <w:bookmarkEnd w:id="26"/>
    <w:p>
      <w:pPr>
        <w:ind w:right="8340" w:firstLine="8"/>
        <w:spacing w:after="0" w:line="491" w:lineRule="auto"/>
        <w:tabs>
          <w:tab w:leader="none" w:pos="3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Liquidity and Capital Resources </w:t>
      </w:r>
      <w:r>
        <w:rPr>
          <w:rFonts w:ascii="Arial" w:cs="Arial" w:eastAsia="Arial" w:hAnsi="Arial"/>
          <w:sz w:val="18"/>
          <w:szCs w:val="18"/>
          <w:b w:val="1"/>
          <w:bCs w:val="1"/>
          <w:color w:val="auto"/>
        </w:rPr>
        <w:t>Cash Flow Summary</w:t>
      </w:r>
    </w:p>
    <w:p>
      <w:pPr>
        <w:ind w:left="84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-1905</wp:posOffset>
            </wp:positionV>
            <wp:extent cx="1595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2014</w:t>
            </w:r>
          </w:p>
        </w:tc>
      </w:tr>
      <w:tr>
        <w:trPr>
          <w:trHeight w:val="196"/>
        </w:trPr>
        <w:tc>
          <w:tcPr>
            <w:tcW w:w="5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6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3,495</w:t>
            </w:r>
          </w:p>
        </w:tc>
        <w:tc>
          <w:tcPr>
            <w:tcW w:w="260" w:type="dxa"/>
            <w:vAlign w:val="bottom"/>
          </w:tcPr>
          <w:p>
            <w:pPr>
              <w:spacing w:after="0"/>
              <w:rPr>
                <w:sz w:val="17"/>
                <w:szCs w:val="17"/>
                <w:color w:val="auto"/>
              </w:rPr>
            </w:pPr>
          </w:p>
        </w:tc>
        <w:tc>
          <w:tcPr>
            <w:tcW w:w="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3,262</w:t>
            </w:r>
          </w:p>
        </w:tc>
      </w:tr>
      <w:tr>
        <w:trPr>
          <w:trHeight w:val="203"/>
        </w:trPr>
        <w:tc>
          <w:tcPr>
            <w:tcW w:w="55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(2,584)</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(1,639)</w:t>
            </w: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(1,503)</w:t>
            </w:r>
          </w:p>
        </w:tc>
      </w:tr>
      <w:tr>
        <w:trPr>
          <w:trHeight w:val="216"/>
        </w:trPr>
        <w:tc>
          <w:tcPr>
            <w:tcW w:w="55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(114)</w:t>
            </w:r>
          </w:p>
        </w:tc>
      </w:tr>
      <w:tr>
        <w:trPr>
          <w:trHeight w:val="210"/>
        </w:trPr>
        <w:tc>
          <w:tcPr>
            <w:tcW w:w="5560" w:type="dxa"/>
            <w:vAlign w:val="bottom"/>
          </w:tcPr>
          <w:p>
            <w:pPr>
              <w:spacing w:after="0" w:line="197" w:lineRule="exact"/>
              <w:rPr>
                <w:sz w:val="20"/>
                <w:szCs w:val="20"/>
                <w:color w:val="auto"/>
              </w:rPr>
            </w:pPr>
            <w:r>
              <w:rPr>
                <w:rFonts w:ascii="Arial" w:cs="Arial" w:eastAsia="Arial" w:hAnsi="Arial"/>
                <w:sz w:val="18"/>
                <w:szCs w:val="18"/>
                <w:color w:val="auto"/>
              </w:rPr>
              <w:t>Net (decrease) increase in cash and cash equivalents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5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provided by operating activities increased by $233 million primarily due to a $673 million favorable impact from working capital and increased net income of $290 million, partially offset by a $644 million decrease in accrued liabilities (primarily a $223 million decrease in customer advances and deferred income and $151 million in incentive payments to Aerospace Original Equipment manufacturers) and increased cash tax payments of $112 million.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investing activities increased by $945 million primarily due to a net $ 636 million increase in investments (primarily short-term marketable securities), an increase in cash paid for acquisitions of $181 million and a decrease in proceeds from the sales of businesses of $154 million (due to the Friction Materials divestiture in 2014).</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decreased by $651 million primarily due to an increase in the net proceeds from debt issuances of $1,894 million partially offset by an increase in net repurchases of common stock of $1,088 million and an increase in cash dividends paid of $160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 We intend to use available sources of liquidity to settle current maturities of our long-term debt, principally with commercial paper.</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2015, we are not required to make contributions to our U.S. pension plans. We plan to make contributions of cash and/or marketable securities of approximately $140 million to our non-U.S. plans to satisfy regulatory funding standards, of which $ 128 million were made in the nine months ended September 30, 2015.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accordance with our accounting policy for defined benefit pension plans, we recognize changes in the fair value of plan assets and net actuarial gains or losses in excess of 10 percent of the greater of the market-related value of plan assets or the plans’ projected benefit obligation annually in the fourth quarter each year (MTM adjustment). The primary factors contributing to actuarial gains and losses are changes in the discount rate used to value pension obligations each year as of December 31 (measurement date) and difference between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p>
      <w:pPr>
        <w:jc w:val="both"/>
        <w:spacing w:after="0" w:line="246" w:lineRule="auto"/>
        <w:rPr>
          <w:sz w:val="20"/>
          <w:szCs w:val="20"/>
          <w:color w:val="auto"/>
        </w:rPr>
      </w:pPr>
      <w:r>
        <w:rPr>
          <w:rFonts w:ascii="Arial" w:cs="Arial" w:eastAsia="Arial" w:hAnsi="Arial"/>
          <w:sz w:val="18"/>
          <w:szCs w:val="18"/>
          <w:color w:val="auto"/>
        </w:rPr>
        <w:t>expected and actual return on plan assets. The table below illustrates the potential MTM adjustment for our significant pension plans in the fourth quarter of 2015 at various December 31, 2015 discount rates and 2015 rates of return on plan assets.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3400" w:type="dxa"/>
            <w:vAlign w:val="bottom"/>
            <w:gridSpan w:val="2"/>
            <w:vMerge w:val="restart"/>
          </w:tcPr>
          <w:p>
            <w:pPr>
              <w:ind w:left="980"/>
              <w:spacing w:after="0"/>
              <w:rPr>
                <w:sz w:val="20"/>
                <w:szCs w:val="20"/>
                <w:color w:val="auto"/>
              </w:rPr>
            </w:pPr>
            <w:r>
              <w:rPr>
                <w:rFonts w:ascii="Arial" w:cs="Arial" w:eastAsia="Arial" w:hAnsi="Arial"/>
                <w:sz w:val="18"/>
                <w:szCs w:val="18"/>
                <w:b w:val="1"/>
                <w:bCs w:val="1"/>
                <w:color w:val="auto"/>
              </w:rPr>
              <w:t>Discount Rate</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Rate of Return</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980" w:type="dxa"/>
            <w:vAlign w:val="bottom"/>
          </w:tcPr>
          <w:p>
            <w:pPr>
              <w:jc w:val="right"/>
              <w:ind w:right="223"/>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3180" w:type="dxa"/>
            <w:vAlign w:val="bottom"/>
            <w:tcBorders>
              <w:top w:val="single" w:sz="8" w:color="auto"/>
            </w:tcBorders>
            <w:shd w:val="clear" w:color="auto" w:fill="E5FFFF"/>
          </w:tcPr>
          <w:p>
            <w:pPr>
              <w:jc w:val="right"/>
              <w:ind w:right="2570"/>
              <w:spacing w:after="0" w:line="196" w:lineRule="exact"/>
              <w:rPr>
                <w:sz w:val="20"/>
                <w:szCs w:val="20"/>
                <w:color w:val="auto"/>
              </w:rPr>
            </w:pPr>
            <w:r>
              <w:rPr>
                <w:rFonts w:ascii="Arial" w:cs="Arial" w:eastAsia="Arial" w:hAnsi="Arial"/>
                <w:sz w:val="18"/>
                <w:szCs w:val="18"/>
                <w:color w:val="auto"/>
                <w:w w:val="97"/>
              </w:rPr>
              <w:t>4.15%</w:t>
            </w:r>
          </w:p>
        </w:tc>
        <w:tc>
          <w:tcPr>
            <w:tcW w:w="22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$1,280</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790</w:t>
            </w:r>
          </w:p>
        </w:tc>
        <w:tc>
          <w:tcPr>
            <w:tcW w:w="2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290</w:t>
            </w:r>
          </w:p>
        </w:tc>
        <w:tc>
          <w:tcPr>
            <w:tcW w:w="2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180" w:type="dxa"/>
            <w:vAlign w:val="bottom"/>
          </w:tcPr>
          <w:p>
            <w:pPr>
              <w:jc w:val="right"/>
              <w:ind w:right="2570"/>
              <w:spacing w:after="0" w:line="202" w:lineRule="exact"/>
              <w:rPr>
                <w:sz w:val="20"/>
                <w:szCs w:val="20"/>
                <w:color w:val="auto"/>
              </w:rPr>
            </w:pPr>
            <w:r>
              <w:rPr>
                <w:rFonts w:ascii="Arial" w:cs="Arial" w:eastAsia="Arial" w:hAnsi="Arial"/>
                <w:sz w:val="18"/>
                <w:szCs w:val="18"/>
                <w:color w:val="auto"/>
                <w:w w:val="97"/>
              </w:rPr>
              <w:t>4.35%</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180" w:type="dxa"/>
            <w:vAlign w:val="bottom"/>
            <w:shd w:val="clear" w:color="auto" w:fill="E5FFFF"/>
          </w:tcPr>
          <w:p>
            <w:pPr>
              <w:jc w:val="right"/>
              <w:ind w:right="2570"/>
              <w:spacing w:after="0" w:line="202" w:lineRule="exact"/>
              <w:rPr>
                <w:sz w:val="20"/>
                <w:szCs w:val="20"/>
                <w:color w:val="auto"/>
              </w:rPr>
            </w:pPr>
            <w:r>
              <w:rPr>
                <w:rFonts w:ascii="Arial" w:cs="Arial" w:eastAsia="Arial" w:hAnsi="Arial"/>
                <w:sz w:val="18"/>
                <w:szCs w:val="18"/>
                <w:color w:val="auto"/>
                <w:w w:val="97"/>
              </w:rPr>
              <w:t>4.55%</w:t>
            </w: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3180" w:type="dxa"/>
            <w:vAlign w:val="bottom"/>
          </w:tcPr>
          <w:p>
            <w:pPr>
              <w:jc w:val="right"/>
              <w:ind w:right="2570"/>
              <w:spacing w:after="0"/>
              <w:rPr>
                <w:sz w:val="20"/>
                <w:szCs w:val="20"/>
                <w:color w:val="auto"/>
              </w:rPr>
            </w:pPr>
            <w:r>
              <w:rPr>
                <w:rFonts w:ascii="Arial" w:cs="Arial" w:eastAsia="Arial" w:hAnsi="Arial"/>
                <w:sz w:val="18"/>
                <w:szCs w:val="18"/>
                <w:color w:val="auto"/>
                <w:w w:val="97"/>
              </w:rPr>
              <w:t>4.75%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However, as the amount of the MTM adjustment is primarily driven by changes in interest rates and the performance of the financial markets which may change significantly in the fourth quarter, the Company is not able to determine or project the actual amount of the MTM adjustment that may be recorded as of December 31, 2015.</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nine months ended September 30, 2015, the Company repurchased $1,721 million of outstanding shares, $1,235 million of which were repurchased during the third quarter. Under the Company’s previously reported $5 billion share repurchase program, $2.4 billion remained available as of September 30, 2015 for additional share repurchases. Honeywell presently expects to repurchase outstanding shares from time to time to offset the dilutive impact of employee stock based compensation plans, including future option exercises, restricted unit vesting and matching contributions under our savings plans. In addition, the Company may repurchase additional shares if and when its net cash (cash and cash equivalents plus short-term available for sale investments less commercial paper, current maturities of long-term debt and long-term debt) exceeds $1 to $2 billion. The amount and timing of future repurchases may vary depending on market conditions and the level of operating, financing and other investing activities.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5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6,563</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5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Short-term available for sale investments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3,006</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196"/>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FFFF"/>
          </w:tcPr>
          <w:p>
            <w:pPr>
              <w:spacing w:after="0"/>
              <w:rPr>
                <w:sz w:val="17"/>
                <w:szCs w:val="17"/>
                <w:color w:val="auto"/>
              </w:rPr>
            </w:pPr>
          </w:p>
        </w:tc>
        <w:tc>
          <w:tcPr>
            <w:tcW w:w="128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9,569</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6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405"/>
        </w:trPr>
        <w:tc>
          <w:tcPr>
            <w:tcW w:w="538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3,696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3"/>
        </w:trPr>
        <w:tc>
          <w:tcPr>
            <w:tcW w:w="53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E5FFFF"/>
          </w:tcPr>
          <w:p>
            <w:pPr>
              <w:spacing w:after="0"/>
              <w:rPr>
                <w:sz w:val="17"/>
                <w:szCs w:val="17"/>
                <w:color w:val="auto"/>
              </w:rPr>
            </w:pPr>
          </w:p>
        </w:tc>
        <w:tc>
          <w:tcPr>
            <w:tcW w:w="128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1,268</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6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5,599</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196"/>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Debt</w:t>
            </w:r>
          </w:p>
        </w:tc>
        <w:tc>
          <w:tcPr>
            <w:tcW w:w="180" w:type="dxa"/>
            <w:vAlign w:val="bottom"/>
            <w:shd w:val="clear" w:color="auto" w:fill="E5FFFF"/>
          </w:tcPr>
          <w:p>
            <w:pPr>
              <w:spacing w:after="0"/>
              <w:rPr>
                <w:sz w:val="17"/>
                <w:szCs w:val="17"/>
                <w:color w:val="auto"/>
              </w:rPr>
            </w:pPr>
          </w:p>
        </w:tc>
        <w:tc>
          <w:tcPr>
            <w:tcW w:w="128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10,563</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6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16"/>
        </w:trPr>
        <w:tc>
          <w:tcPr>
            <w:tcW w:w="5380" w:type="dxa"/>
            <w:vAlign w:val="bottom"/>
            <w:vMerge w:val="restart"/>
          </w:tcPr>
          <w:p>
            <w:pPr>
              <w:spacing w:after="0"/>
              <w:rPr>
                <w:sz w:val="20"/>
                <w:szCs w:val="20"/>
                <w:color w:val="auto"/>
              </w:rPr>
            </w:pPr>
            <w:r>
              <w:rPr>
                <w:rFonts w:ascii="Arial" w:cs="Arial" w:eastAsia="Arial" w:hAnsi="Arial"/>
                <w:sz w:val="18"/>
                <w:szCs w:val="18"/>
                <w:color w:val="auto"/>
              </w:rPr>
              <w:t>Net cash</w:t>
            </w: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Long-term Debt, of Notes to Financial Statements for additional discussion of items impacting our liquidity.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13, Commitments and Contingencies, of Notes to Financial Statements for further discussion of environmental, asbestos and other litigation matters.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September 30, 2015 should be read in conjunction with the financial statements for the year ended December 31, 2014 contained in our 2014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2014 Annual Report on Form 10-K. As of September 30, 2015, there has been no material change in this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CEO, our CFO,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13, Commitments and Contingencies, of Notes to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Virginia Department of Environmental Quality (DEQ) has alleged that Honeywell’s facility in Hopewell, Virginia failed to comply with certain conditions of its wastewater discharge permit at various times between August 2013 and March 2015. Honeywell and the DEQ have now settled this matter by consent order in consideration of the payment of a $300,000 penalty and the performance of certain corrective measures.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Honeywell purchased 12,332,118 shares of its common stock, par value $1 per share, in the quarter ended September 30, 2015. The following table summarizes Honeywell’s purchase of its common stock for the quarter ended September 30, 2015:</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Arial" w:cs="Arial" w:eastAsia="Arial" w:hAnsi="Arial"/>
                <w:sz w:val="14"/>
                <w:szCs w:val="14"/>
                <w:b w:val="1"/>
                <w:bCs w:val="1"/>
                <w:color w:val="auto"/>
              </w:rPr>
              <w:t>Issuer Purchases of Equity Securities</w:t>
            </w:r>
          </w:p>
        </w:tc>
        <w:tc>
          <w:tcPr>
            <w:tcW w:w="26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w:t>
            </w: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 )</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 Number</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of Shares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Purchased as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Part of Publicly</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Price Paid</w:t>
            </w: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Announced Plans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32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290"/>
        </w:trPr>
        <w:tc>
          <w:tcPr>
            <w:tcW w:w="2740" w:type="dxa"/>
            <w:vAlign w:val="bottom"/>
            <w:gridSpan w:val="2"/>
          </w:tcPr>
          <w:p>
            <w:pPr>
              <w:spacing w:after="0"/>
              <w:rPr>
                <w:sz w:val="20"/>
                <w:szCs w:val="20"/>
                <w:color w:val="auto"/>
              </w:rPr>
            </w:pPr>
            <w:r>
              <w:rPr>
                <w:rFonts w:ascii="Arial" w:cs="Arial" w:eastAsia="Arial" w:hAnsi="Arial"/>
                <w:sz w:val="18"/>
                <w:szCs w:val="18"/>
                <w:color w:val="auto"/>
              </w:rPr>
              <w:t>August 2015</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2,650,000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6"/>
              <w:spacing w:after="0"/>
              <w:rPr>
                <w:sz w:val="20"/>
                <w:szCs w:val="20"/>
                <w:color w:val="auto"/>
              </w:rPr>
            </w:pPr>
            <w:r>
              <w:rPr>
                <w:rFonts w:ascii="Arial" w:cs="Arial" w:eastAsia="Arial" w:hAnsi="Arial"/>
                <w:sz w:val="18"/>
                <w:szCs w:val="18"/>
                <w:color w:val="auto"/>
                <w:w w:val="98"/>
              </w:rPr>
              <w:t>104.72</w:t>
            </w:r>
          </w:p>
        </w:tc>
        <w:tc>
          <w:tcPr>
            <w:tcW w:w="3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2,650,000</w:t>
            </w:r>
          </w:p>
        </w:tc>
        <w:tc>
          <w:tcPr>
            <w:tcW w:w="3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8"/>
              </w:rPr>
              <w:t>$3,312</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September 2015</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9,682,118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6"/>
              <w:spacing w:after="0"/>
              <w:rPr>
                <w:sz w:val="20"/>
                <w:szCs w:val="20"/>
                <w:color w:val="auto"/>
              </w:rPr>
            </w:pPr>
            <w:r>
              <w:rPr>
                <w:rFonts w:ascii="Arial" w:cs="Arial" w:eastAsia="Arial" w:hAnsi="Arial"/>
                <w:sz w:val="18"/>
                <w:szCs w:val="18"/>
                <w:color w:val="auto"/>
              </w:rPr>
              <w:t>98.84</w:t>
            </w:r>
          </w:p>
        </w:tc>
        <w:tc>
          <w:tcPr>
            <w:tcW w:w="3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9,682,118</w:t>
            </w:r>
          </w:p>
        </w:tc>
        <w:tc>
          <w:tcPr>
            <w:tcW w:w="3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8"/>
              </w:rPr>
              <w:t>$2,355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460" w:hanging="4964"/>
        <w:spacing w:after="0" w:line="465" w:lineRule="auto"/>
        <w:tabs>
          <w:tab w:leader="none" w:pos="1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Exhibit Index on page 32 of this Quarterly Report on Form 10-Q.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Honeywell International Inc.</w:t>
      </w:r>
    </w:p>
    <w:p>
      <w:pPr>
        <w:spacing w:after="0" w:line="198" w:lineRule="exact"/>
        <w:rPr>
          <w:sz w:val="20"/>
          <w:szCs w:val="20"/>
          <w:color w:val="auto"/>
        </w:rPr>
      </w:pPr>
    </w:p>
    <w:p>
      <w:pPr>
        <w:ind w:left="6860" w:right="2540" w:hanging="7305"/>
        <w:spacing w:after="0" w:line="242" w:lineRule="auto"/>
        <w:tabs>
          <w:tab w:leader="none" w:pos="6840" w:val="left"/>
        </w:tabs>
        <w:rPr>
          <w:sz w:val="20"/>
          <w:szCs w:val="20"/>
          <w:color w:val="auto"/>
        </w:rPr>
      </w:pPr>
      <w:r>
        <w:rPr>
          <w:rFonts w:ascii="Arial" w:cs="Arial" w:eastAsia="Arial" w:hAnsi="Arial"/>
          <w:sz w:val="18"/>
          <w:szCs w:val="18"/>
          <w:color w:val="auto"/>
        </w:rPr>
        <w:t>Date: October 16, 2015</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M. Matteo</w:t>
      </w:r>
      <w:r>
        <w:rPr>
          <w:rFonts w:ascii="Arial" w:cs="Arial" w:eastAsia="Arial" w:hAnsi="Arial"/>
          <w:sz w:val="18"/>
          <w:szCs w:val="18"/>
          <w:color w:val="auto"/>
        </w:rPr>
        <w:t xml:space="preserve"> Adam M. Matteo</w:t>
      </w:r>
    </w:p>
    <w:p>
      <w:pPr>
        <w:ind w:left="7320"/>
        <w:spacing w:after="0" w:line="236" w:lineRule="auto"/>
        <w:rPr>
          <w:sz w:val="20"/>
          <w:szCs w:val="20"/>
          <w:color w:val="auto"/>
        </w:rPr>
      </w:pPr>
      <w:r>
        <w:rPr>
          <w:rFonts w:ascii="Arial" w:cs="Arial" w:eastAsia="Arial" w:hAnsi="Arial"/>
          <w:sz w:val="18"/>
          <w:szCs w:val="18"/>
          <w:color w:val="auto"/>
        </w:rPr>
        <w:t>Vice President and Controller</w:t>
      </w:r>
    </w:p>
    <w:p>
      <w:pPr>
        <w:ind w:left="7320"/>
        <w:spacing w:after="0" w:line="235" w:lineRule="auto"/>
        <w:rPr>
          <w:sz w:val="20"/>
          <w:szCs w:val="20"/>
          <w:color w:val="auto"/>
        </w:rPr>
      </w:pPr>
      <w:r>
        <w:rPr>
          <w:rFonts w:ascii="Arial" w:cs="Arial" w:eastAsia="Arial" w:hAnsi="Arial"/>
          <w:sz w:val="18"/>
          <w:szCs w:val="18"/>
          <w:color w:val="auto"/>
        </w:rPr>
        <w:t>(on behalf of the Registrant</w:t>
      </w:r>
    </w:p>
    <w:p>
      <w:pPr>
        <w:ind w:left="7320"/>
        <w:spacing w:after="0" w:line="235" w:lineRule="auto"/>
        <w:rPr>
          <w:sz w:val="20"/>
          <w:szCs w:val="20"/>
          <w:color w:val="auto"/>
        </w:rPr>
      </w:pPr>
      <w:r>
        <w:rPr>
          <w:rFonts w:ascii="Arial" w:cs="Arial" w:eastAsia="Arial" w:hAnsi="Arial"/>
          <w:sz w:val="18"/>
          <w:szCs w:val="18"/>
          <w:color w:val="auto"/>
        </w:rPr>
        <w:t>and as the Registrant’s</w:t>
      </w:r>
    </w:p>
    <w:p>
      <w:pPr>
        <w:ind w:left="7320"/>
        <w:spacing w:after="0"/>
        <w:rPr>
          <w:sz w:val="20"/>
          <w:szCs w:val="20"/>
          <w:color w:val="auto"/>
        </w:rPr>
      </w:pPr>
      <w:r>
        <w:rPr>
          <w:rFonts w:ascii="Arial" w:cs="Arial" w:eastAsia="Arial" w:hAnsi="Arial"/>
          <w:sz w:val="18"/>
          <w:szCs w:val="18"/>
          <w:color w:val="auto"/>
        </w:rPr>
        <w:t>Principal Accounting Officer)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w:t>
            </w:r>
          </w:p>
        </w:tc>
        <w:tc>
          <w:tcPr>
            <w:tcW w:w="340" w:type="dxa"/>
            <w:vAlign w:val="bottom"/>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Pr>
          <w:p>
            <w:pPr>
              <w:jc w:val="right"/>
              <w:ind w:right="470"/>
              <w:spacing w:after="0" w:line="195" w:lineRule="exact"/>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16"/>
                <w:szCs w:val="16"/>
                <w:color w:val="auto"/>
              </w:rPr>
            </w:pPr>
          </w:p>
        </w:tc>
        <w:tc>
          <w:tcPr>
            <w:tcW w:w="10160" w:type="dxa"/>
            <w:vAlign w:val="bottom"/>
            <w:gridSpan w:val="3"/>
          </w:tcPr>
          <w:p>
            <w:pPr>
              <w:spacing w:after="0" w:line="195" w:lineRule="exact"/>
              <w:rPr>
                <w:sz w:val="20"/>
                <w:szCs w:val="20"/>
                <w:color w:val="auto"/>
              </w:rPr>
            </w:pPr>
            <w:r>
              <w:rPr>
                <w:rFonts w:ascii="Arial" w:cs="Arial" w:eastAsia="Arial" w:hAnsi="Arial"/>
                <w:sz w:val="18"/>
                <w:szCs w:val="18"/>
                <w:color w:val="auto"/>
              </w:rPr>
              <w:t>Amended and Restated Five Year Credit Agreement dated as of July 10, 2015 among Honeywell International Inc., the banks,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50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financial institutions and other institutional lenders parties thereto, Citibank, N.A., as administrative agent, Citibank International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50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Limited, as swing line agent, JPMorgan Chase Bank, N.A., as syndication agent, Bank of America, N.A., Barclays Bank PLC,</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50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Deutsche Bank Securities Inc., Goldman Sachs Bank USA, Morgan Stanley MUFG Loan Partners, LLC and Wells Fargo Bank,</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50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National Association, as documentation agents, and Citigroup Global Markets Inc., and J.P. Morgan Securities LLC, as joint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4"/>
          </w:tcPr>
          <w:p>
            <w:pPr>
              <w:ind w:left="340"/>
              <w:spacing w:after="0"/>
              <w:rPr>
                <w:sz w:val="20"/>
                <w:szCs w:val="20"/>
                <w:color w:val="auto"/>
              </w:rPr>
            </w:pPr>
            <w:r>
              <w:rPr>
                <w:rFonts w:ascii="Arial" w:cs="Arial" w:eastAsia="Arial" w:hAnsi="Arial"/>
                <w:sz w:val="18"/>
                <w:szCs w:val="18"/>
                <w:color w:val="auto"/>
              </w:rPr>
              <w:t>lead arrangers and co-book managers (incorporated by reference to Exhibit 10.1 to Honeywell’s Form 8-K filed July 10, 2015)</w:t>
            </w:r>
          </w:p>
        </w:tc>
      </w:tr>
    </w:tbl>
    <w:p>
      <w:pPr>
        <w:spacing w:after="0" w:line="158"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 xml:space="preserve">Computation of Per Share Earnings </w:t>
      </w:r>
      <w:r>
        <w:rPr>
          <w:rFonts w:ascii="Arial" w:cs="Arial" w:eastAsia="Arial" w:hAnsi="Arial"/>
          <w:sz w:val="30"/>
          <w:szCs w:val="30"/>
          <w:color w:val="auto"/>
          <w:vertAlign w:val="superscript"/>
        </w:rPr>
        <w:t>(1)</w:t>
      </w:r>
    </w:p>
    <w:p>
      <w:pPr>
        <w:spacing w:after="0" w:line="62" w:lineRule="exact"/>
        <w:rPr>
          <w:rFonts w:ascii="Arial" w:cs="Arial" w:eastAsia="Arial" w:hAnsi="Arial"/>
          <w:sz w:val="36"/>
          <w:szCs w:val="36"/>
          <w:color w:val="auto"/>
          <w:vertAlign w:val="superscript"/>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26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ind w:left="26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ind w:left="5620" w:right="3620" w:hanging="5612"/>
        <w:spacing w:after="0" w:line="465" w:lineRule="auto"/>
        <w:tabs>
          <w:tab w:leader="none" w:pos="5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required is provided in Note 5, Earnings Per Share, of Notes to Financial Statements.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12</w:t>
      </w:r>
    </w:p>
    <w:p>
      <w:pPr>
        <w:spacing w:after="0" w:line="19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100"/>
        <w:spacing w:after="0" w:line="234" w:lineRule="auto"/>
        <w:rPr>
          <w:sz w:val="20"/>
          <w:szCs w:val="20"/>
          <w:color w:val="auto"/>
        </w:rPr>
      </w:pPr>
      <w:r>
        <w:rPr>
          <w:rFonts w:ascii="Arial" w:cs="Arial" w:eastAsia="Arial" w:hAnsi="Arial"/>
          <w:sz w:val="18"/>
          <w:szCs w:val="18"/>
          <w:b w:val="1"/>
          <w:bCs w:val="1"/>
          <w:color w:val="auto"/>
        </w:rPr>
        <w:t>Nine Months Ended</w:t>
      </w:r>
    </w:p>
    <w:p>
      <w:pPr>
        <w:ind w:left="3760"/>
        <w:spacing w:after="0" w:line="235" w:lineRule="auto"/>
        <w:rPr>
          <w:sz w:val="20"/>
          <w:szCs w:val="20"/>
          <w:color w:val="auto"/>
        </w:rPr>
      </w:pPr>
      <w:r>
        <w:rPr>
          <w:rFonts w:ascii="Arial" w:cs="Arial" w:eastAsia="Arial" w:hAnsi="Arial"/>
          <w:sz w:val="18"/>
          <w:szCs w:val="18"/>
          <w:b w:val="1"/>
          <w:bCs w:val="1"/>
          <w:color w:val="auto"/>
        </w:rPr>
        <w:t>September 30, 2015</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800" w:type="dxa"/>
            <w:vAlign w:val="bottom"/>
            <w:gridSpan w:val="2"/>
          </w:tcPr>
          <w:p>
            <w:pPr>
              <w:jc w:val="right"/>
              <w:ind w:right="165"/>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E5FFFF"/>
            </w:tcBorders>
          </w:tcPr>
          <w:p>
            <w:pPr>
              <w:ind w:left="340"/>
              <w:spacing w:after="0" w:line="202" w:lineRule="exact"/>
              <w:rPr>
                <w:sz w:val="20"/>
                <w:szCs w:val="20"/>
                <w:color w:val="auto"/>
              </w:rPr>
            </w:pPr>
            <w:r>
              <w:rPr>
                <w:rFonts w:ascii="Arial" w:cs="Arial" w:eastAsia="Arial" w:hAnsi="Arial"/>
                <w:sz w:val="18"/>
                <w:szCs w:val="18"/>
                <w:color w:val="auto"/>
              </w:rPr>
              <w:t>Equity income, net of distributions</w:t>
            </w:r>
          </w:p>
        </w:tc>
        <w:tc>
          <w:tcPr>
            <w:tcW w:w="24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E5FFFF"/>
            </w:tcBorders>
            <w:shd w:val="clear" w:color="auto" w:fill="E5FFFF"/>
          </w:tcPr>
          <w:p>
            <w:pPr>
              <w:ind w:left="520"/>
              <w:spacing w:after="0" w:line="196" w:lineRule="exact"/>
              <w:rPr>
                <w:sz w:val="20"/>
                <w:szCs w:val="20"/>
                <w:color w:val="auto"/>
              </w:rPr>
            </w:pPr>
            <w:r>
              <w:rPr>
                <w:rFonts w:ascii="Arial" w:cs="Arial" w:eastAsia="Arial" w:hAnsi="Arial"/>
                <w:sz w:val="18"/>
                <w:szCs w:val="18"/>
                <w:b w:val="1"/>
                <w:bCs w:val="1"/>
                <w:color w:val="auto"/>
              </w:rPr>
              <w:t>Total earnings, as defined</w:t>
            </w:r>
          </w:p>
        </w:tc>
        <w:tc>
          <w:tcPr>
            <w:tcW w:w="248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Fixed Charges:</w:t>
            </w: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00" w:type="dxa"/>
            <w:vAlign w:val="bottom"/>
            <w:gridSpan w:val="2"/>
            <w:shd w:val="clear" w:color="auto" w:fill="E5FFFF"/>
          </w:tcPr>
          <w:p>
            <w:pPr>
              <w:jc w:val="right"/>
              <w:ind w:right="165"/>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E5FFFF"/>
            </w:tcBorders>
          </w:tcPr>
          <w:p>
            <w:pPr>
              <w:ind w:left="160"/>
              <w:spacing w:after="0" w:line="202" w:lineRule="exact"/>
              <w:rPr>
                <w:sz w:val="20"/>
                <w:szCs w:val="20"/>
                <w:color w:val="auto"/>
              </w:rPr>
            </w:pPr>
            <w:r>
              <w:rPr>
                <w:rFonts w:ascii="Arial" w:cs="Arial" w:eastAsia="Arial" w:hAnsi="Arial"/>
                <w:sz w:val="18"/>
                <w:szCs w:val="18"/>
                <w:color w:val="auto"/>
              </w:rPr>
              <w:t>Interest and other financial charges</w:t>
            </w:r>
          </w:p>
        </w:tc>
        <w:tc>
          <w:tcPr>
            <w:tcW w:w="24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17"/>
                <w:szCs w:val="17"/>
                <w:color w:val="auto"/>
              </w:rPr>
            </w:pP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E5FFFF"/>
            </w:tcBorders>
          </w:tcPr>
          <w:p>
            <w:pPr>
              <w:ind w:left="160"/>
              <w:spacing w:after="0" w:line="202" w:lineRule="exact"/>
              <w:rPr>
                <w:sz w:val="20"/>
                <w:szCs w:val="20"/>
                <w:color w:val="auto"/>
              </w:rPr>
            </w:pPr>
            <w:r>
              <w:rPr>
                <w:rFonts w:ascii="Arial" w:cs="Arial" w:eastAsia="Arial" w:hAnsi="Arial"/>
                <w:sz w:val="18"/>
                <w:szCs w:val="18"/>
                <w:color w:val="auto"/>
              </w:rPr>
              <w:t>Capitalized interest</w:t>
            </w:r>
          </w:p>
        </w:tc>
        <w:tc>
          <w:tcPr>
            <w:tcW w:w="24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E5FFFF"/>
            </w:tcBorders>
            <w:shd w:val="clear" w:color="auto" w:fill="E5FFFF"/>
          </w:tcPr>
          <w:p>
            <w:pPr>
              <w:ind w:left="520"/>
              <w:spacing w:after="0" w:line="196" w:lineRule="exact"/>
              <w:rPr>
                <w:sz w:val="20"/>
                <w:szCs w:val="20"/>
                <w:color w:val="auto"/>
              </w:rPr>
            </w:pPr>
            <w:r>
              <w:rPr>
                <w:rFonts w:ascii="Arial" w:cs="Arial" w:eastAsia="Arial" w:hAnsi="Arial"/>
                <w:sz w:val="18"/>
                <w:szCs w:val="18"/>
                <w:b w:val="1"/>
                <w:bCs w:val="1"/>
                <w:color w:val="auto"/>
              </w:rPr>
              <w:t>Total fixed charges</w:t>
            </w:r>
          </w:p>
        </w:tc>
        <w:tc>
          <w:tcPr>
            <w:tcW w:w="248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Ratio of Earnings to Fixed Charges</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18.78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0" w:right="1340" w:hanging="551"/>
        <w:spacing w:after="0" w:line="246"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1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80"/>
          </w:cols>
          <w:pgMar w:left="138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38"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right"/>
        <w:ind w:right="2720"/>
        <w:spacing w:after="0" w:line="250" w:lineRule="auto"/>
        <w:rPr>
          <w:sz w:val="20"/>
          <w:szCs w:val="20"/>
          <w:color w:val="auto"/>
        </w:rPr>
      </w:pPr>
      <w:r>
        <w:rPr>
          <w:rFonts w:ascii="Arial" w:cs="Arial" w:eastAsia="Arial" w:hAnsi="Arial"/>
          <w:sz w:val="18"/>
          <w:szCs w:val="18"/>
          <w:color w:val="auto"/>
        </w:rPr>
        <w:t xml:space="preserve">Date: October 16, 2015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11"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October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2015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right"/>
        <w:ind w:right="2720"/>
        <w:spacing w:after="0" w:line="250" w:lineRule="auto"/>
        <w:rPr>
          <w:sz w:val="20"/>
          <w:szCs w:val="20"/>
          <w:color w:val="auto"/>
        </w:rPr>
      </w:pPr>
      <w:r>
        <w:rPr>
          <w:rFonts w:ascii="Arial" w:cs="Arial" w:eastAsia="Arial" w:hAnsi="Arial"/>
          <w:sz w:val="18"/>
          <w:szCs w:val="18"/>
          <w:color w:val="auto"/>
        </w:rPr>
        <w:t xml:space="preserve">Date: October 16, 2015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2015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October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upp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upp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2020-01-24T22:23:19Z</dcterms:created>
  <dcterms:modified xsi:type="dcterms:W3CDTF">2020-01-24T22:23:19Z</dcterms:modified>
</cp:coreProperties>
</file>