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Arial" w:cs="Arial" w:eastAsia="Arial" w:hAnsi="Arial"/>
          <w:sz w:val="14"/>
          <w:szCs w:val="14"/>
          <w:color w:val="auto"/>
        </w:rPr>
        <w:t>UNITED STATES</w:t>
      </w:r>
    </w:p>
    <w:p>
      <w:pPr>
        <w:spacing w:after="0" w:line="29"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5"/>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ind w:left="4020"/>
        <w:spacing w:after="0"/>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w:t>
      </w:r>
    </w:p>
    <w:p>
      <w:pPr>
        <w:spacing w:after="0" w:line="14" w:lineRule="exact"/>
        <w:rPr>
          <w:rFonts w:ascii="MS PGothic" w:cs="MS PGothic" w:eastAsia="MS PGothic" w:hAnsi="MS PGothic"/>
          <w:sz w:val="14"/>
          <w:szCs w:val="14"/>
          <w:color w:val="auto"/>
        </w:rPr>
      </w:pPr>
    </w:p>
    <w:p>
      <w:pPr>
        <w:ind w:left="4180"/>
        <w:spacing w:after="0"/>
        <w:rPr>
          <w:rFonts w:ascii="MS PGothic" w:cs="MS PGothic" w:eastAsia="MS PGothic" w:hAnsi="MS PGothic"/>
          <w:sz w:val="14"/>
          <w:szCs w:val="14"/>
          <w:color w:val="auto"/>
        </w:rPr>
      </w:pPr>
      <w:r>
        <w:rPr>
          <w:rFonts w:ascii="Arial" w:cs="Arial" w:eastAsia="Arial" w:hAnsi="Arial"/>
          <w:sz w:val="14"/>
          <w:szCs w:val="14"/>
          <w:color w:val="auto"/>
        </w:rPr>
        <w:t xml:space="preserve">For the quarterly period ended </w:t>
      </w:r>
      <w:r>
        <w:rPr>
          <w:rFonts w:ascii="Arial" w:cs="Arial" w:eastAsia="Arial" w:hAnsi="Arial"/>
          <w:sz w:val="14"/>
          <w:szCs w:val="14"/>
          <w:u w:val="single" w:color="auto"/>
          <w:color w:val="auto"/>
        </w:rPr>
        <w:t>June 30, 2025</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25" w:lineRule="exact"/>
        <w:rPr>
          <w:sz w:val="24"/>
          <w:szCs w:val="24"/>
          <w:color w:val="auto"/>
        </w:rPr>
      </w:pPr>
    </w:p>
    <w:p>
      <w:pPr>
        <w:ind w:left="3660" w:hanging="167"/>
        <w:spacing w:after="0"/>
        <w:tabs>
          <w:tab w:leader="none" w:pos="3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9"/>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Honeywell International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0"/>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tcPr>
          <w:p>
            <w:pPr>
              <w:jc w:val="center"/>
              <w:ind w:right="160"/>
              <w:spacing w:after="0" w:line="151"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6"/>
                <w:szCs w:val="16"/>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1"/>
        </w:trPr>
        <w:tc>
          <w:tcPr>
            <w:tcW w:w="1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Charlotte, North Carolina</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2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6"/>
          </w:tcPr>
          <w:p>
            <w:pPr>
              <w:jc w:val="center"/>
              <w:ind w:right="720"/>
              <w:spacing w:after="0"/>
              <w:rPr>
                <w:sz w:val="20"/>
                <w:szCs w:val="20"/>
                <w:color w:val="auto"/>
              </w:rPr>
            </w:pPr>
            <w:r>
              <w:rPr>
                <w:rFonts w:ascii="Arial" w:cs="Arial" w:eastAsia="Arial" w:hAnsi="Arial"/>
                <w:sz w:val="14"/>
                <w:szCs w:val="14"/>
                <w:color w:val="auto"/>
              </w:rPr>
              <w:t>(Address of principal executive offices)</w:t>
            </w: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28"/>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08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83"/>
        </w:trPr>
        <w:tc>
          <w:tcPr>
            <w:tcW w:w="4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1208"/>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414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7"/>
                <w:szCs w:val="17"/>
                <w:color w:val="auto"/>
              </w:rPr>
            </w:pPr>
          </w:p>
        </w:tc>
      </w:tr>
      <w:tr>
        <w:trPr>
          <w:trHeight w:val="192"/>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3.500% Senior Notes due 2027</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27</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2.250% Senior Notes due 2028</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28A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3.375% Senior Notes due 2030</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30</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2032</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32A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4.125% Senior Notes due 2034</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34</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2036</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36</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47"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20" w:type="dxa"/>
            <w:vAlign w:val="bottom"/>
          </w:tcPr>
          <w:p>
            <w:pPr>
              <w:ind w:left="460"/>
              <w:spacing w:after="0"/>
              <w:rPr>
                <w:sz w:val="20"/>
                <w:szCs w:val="20"/>
                <w:color w:val="auto"/>
              </w:rPr>
            </w:pPr>
            <w:r>
              <w:rPr>
                <w:rFonts w:ascii="Wingdings" w:cs="Wingdings" w:eastAsia="Wingdings" w:hAnsi="Wingdings"/>
                <w:sz w:val="14"/>
                <w:szCs w:val="14"/>
                <w:b w:val="1"/>
                <w:bCs w:val="1"/>
                <w:color w:val="auto"/>
              </w:rPr>
              <w:t>x</w:t>
            </w:r>
          </w:p>
        </w:tc>
        <w:tc>
          <w:tcPr>
            <w:tcW w:w="364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0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40" w:type="dxa"/>
            <w:vAlign w:val="bottom"/>
          </w:tcPr>
          <w:p>
            <w:pPr>
              <w:ind w:left="14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1"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 w:lineRule="exact"/>
        <w:rPr>
          <w:sz w:val="24"/>
          <w:szCs w:val="24"/>
          <w:color w:val="auto"/>
        </w:rPr>
      </w:pPr>
    </w:p>
    <w:p>
      <w:pPr>
        <w:ind w:right="310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There were 634,896,562 shares of Common Stock outstanding at June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760" w:type="dxa"/>
            <w:vAlign w:val="bottom"/>
            <w:tcBorders>
              <w:top w:val="single" w:sz="8" w:color="61656A"/>
              <w:bottom w:val="single" w:sz="8" w:color="61656A"/>
            </w:tcBorders>
          </w:tcPr>
          <w:p>
            <w:pPr>
              <w:spacing w:after="0"/>
              <w:rPr>
                <w:sz w:val="19"/>
                <w:szCs w:val="19"/>
                <w:color w:val="auto"/>
              </w:rPr>
            </w:pPr>
          </w:p>
        </w:tc>
        <w:tc>
          <w:tcPr>
            <w:tcW w:w="9500" w:type="dxa"/>
            <w:vAlign w:val="bottom"/>
            <w:tcBorders>
              <w:top w:val="single" w:sz="8" w:color="61656A"/>
              <w:bottom w:val="single" w:sz="8" w:color="61656A"/>
            </w:tcBorders>
          </w:tcPr>
          <w:p>
            <w:pPr>
              <w:ind w:left="120"/>
              <w:spacing w:after="0"/>
              <w:rPr>
                <w:sz w:val="20"/>
                <w:szCs w:val="20"/>
                <w:color w:val="auto"/>
              </w:rPr>
            </w:pPr>
            <w:r>
              <w:rPr>
                <w:rFonts w:ascii="Arial" w:cs="Arial" w:eastAsia="Arial" w:hAnsi="Arial"/>
                <w:sz w:val="16"/>
                <w:szCs w:val="16"/>
                <w:color w:val="auto"/>
              </w:rPr>
              <w:t>Cautionary Statement about Forward-Looking Statements</w:t>
            </w:r>
          </w:p>
        </w:tc>
        <w:tc>
          <w:tcPr>
            <w:tcW w:w="92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18"/>
                <w:szCs w:val="18"/>
                <w:color w:val="auto"/>
              </w:rPr>
            </w:pPr>
          </w:p>
        </w:tc>
        <w:tc>
          <w:tcPr>
            <w:tcW w:w="950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About Honeywell</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2</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D7282F"/>
              </w:rPr>
              <w:t>PART I</w:t>
            </w:r>
          </w:p>
        </w:tc>
        <w:tc>
          <w:tcPr>
            <w:tcW w:w="950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Financial Information</w:t>
            </w:r>
          </w:p>
        </w:tc>
        <w:tc>
          <w:tcPr>
            <w:tcW w:w="92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w:t>
            </w: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Financial Statements and Supplementary Data (unaudited):</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Operations (unaudited) – Three and Six Months Ended June 30, 2025, and 2024</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Comprehensive Income (unaudited) – Three and Six Months Ended June 30, 2025, and 2024</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Balance Sheet (unaudited) – June 30, 2025, and December 31, 2024</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Cash Flows (unaudited) – Six Months Ended June 30, 2025, and 2024</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Shareowners' Equity (unaudited) – Three and Six Months Ended June 30, 2025, and 2024</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 – Basis of Presentation</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2 – Summary of Significant Accounting Policies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3 – Acquisitions and Divestitures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9</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4 – Revenue Recognition and Contracts with Customers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12</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5 – Repositioning and Other Charges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6 – Income Taxes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7 – Inventories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8 – Goodwill and Other Intangible Assets—Net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9 – Debt and Credit Agreements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10 – Leases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11 – Derivative Instruments and Hedging Transactions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12 – Fair Value Measurements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13 – Earnings Per Share</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24</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14 – Accumulated Other Comprehensive Loss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15 – Commitments and Contingencies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16 – Pension Benefits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17 – Other (Income) Expense</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18 – Segment Financial Data</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2</w:t>
            </w: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3</w:t>
            </w: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Quantitative and Qualitative Disclosures about Market Risks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52</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auto"/>
              </w:rPr>
              <w:t>ITEM 4</w:t>
            </w:r>
          </w:p>
        </w:tc>
        <w:tc>
          <w:tcPr>
            <w:tcW w:w="950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Controls and Procedures</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53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D7282F"/>
              </w:rPr>
              <w:t>PART II</w:t>
            </w:r>
          </w:p>
        </w:tc>
        <w:tc>
          <w:tcPr>
            <w:tcW w:w="950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Other Information</w:t>
            </w:r>
          </w:p>
        </w:tc>
        <w:tc>
          <w:tcPr>
            <w:tcW w:w="92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w:t>
            </w: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Legal Proceedings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1A</w:t>
            </w: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Risk Factors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2</w:t>
            </w: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Unregistered Sales of Equity Securities and Use of Proceeds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4</w:t>
            </w: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Mine Safety Disclosures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5</w:t>
            </w: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Other Information</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6</w:t>
            </w: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Exhibits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50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Signatures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57</w:t>
            </w:r>
          </w:p>
        </w:tc>
        <w:tc>
          <w:tcPr>
            <w:tcW w:w="20" w:type="dxa"/>
            <w:vAlign w:val="bottom"/>
          </w:tcPr>
          <w:p>
            <w:pPr>
              <w:spacing w:after="0"/>
              <w:rPr>
                <w:sz w:val="18"/>
                <w:szCs w:val="18"/>
                <w:color w:val="auto"/>
              </w:rPr>
            </w:pPr>
          </w:p>
        </w:tc>
      </w:tr>
      <w:tr>
        <w:trPr>
          <w:trHeight w:val="1256"/>
        </w:trPr>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60"/>
        <w:spacing w:after="0" w:line="297"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We describe many of the trends and other factors that drive our business and future results in the section titled </w:t>
      </w:r>
      <w:r>
        <w:rPr>
          <w:rFonts w:ascii="Arial" w:cs="Arial" w:eastAsia="Arial" w:hAnsi="Arial"/>
          <w:sz w:val="16"/>
          <w:szCs w:val="16"/>
          <w:u w:val="single" w:color="auto"/>
          <w:color w:val="0000FF"/>
        </w:rPr>
        <w:t>Management’s Discussion and Analysis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Financial Condition and Results of Operations</w:t>
      </w:r>
      <w:r>
        <w:rPr>
          <w:rFonts w:ascii="Arial" w:cs="Arial" w:eastAsia="Arial" w:hAnsi="Arial"/>
          <w:sz w:val="16"/>
          <w:szCs w:val="16"/>
          <w:color w:val="0000FF"/>
        </w:rPr>
        <w:t xml:space="preserve"> </w:t>
      </w:r>
      <w:r>
        <w:rPr>
          <w:rFonts w:ascii="Arial" w:cs="Arial" w:eastAsia="Arial" w:hAnsi="Arial"/>
          <w:sz w:val="16"/>
          <w:szCs w:val="16"/>
          <w:color w:val="000000"/>
        </w:rPr>
        <w:t>and in other parts of this report (including</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Part II, Item 1A Risk Factors</w:t>
      </w:r>
      <w:r>
        <w:rPr>
          <w:rFonts w:ascii="Arial" w:cs="Arial" w:eastAsia="Arial" w:hAnsi="Arial"/>
          <w:sz w:val="16"/>
          <w:szCs w:val="16"/>
          <w:color w:val="000000"/>
        </w:rPr>
        <w:t xml:space="preserve">). Such discussions contain forward-looking statements within the meaning of Section 21E of the Securities Exchange Act of 1934, as amended (the Exchange Act), including statements related to the proposed spin-off of the Company's Advanced Materials business into Solstice Advanced Materials, a standalone, publicly traded company, the proposed separation of Automation and Aerospace Technologies, and the evaluation of strategic alternatives for the Productivity Solutions and Services and Warehouse and Workflow Solutions businesses.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including Honeywell's current expectations, estimates, and projections regarding the proposed spin-off of the Company's Advanced Materials business into Solstice Advanced Materials, a standalone, publicly traded company, the proposed separation of Automation and Aerospace Technologies, and the evaluation of strategic alternatives for the Productivity Solutions and Services and Warehouse and Workflow Solutions businesses. They are not guarantees of future performance, and actual results, developments, and business decisions may differ significantly from those envisaged by our forward-looking statements, including the consummation of the spin-off of the Advanced Materials business into Solstice Advanced Materials, the proposed separation of Automation and Aerospace Technologies, and the evaluation of strategic alternatives for the Productivity Solutions and Services and Warehouse and Workflow Solutions businesses, and the anticipated benefits of each.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which can affect our performance in both the near and long term. In addition, no assurance can be given that any plan, initiative, projection, goal, commitment, expectation, or prospect set forth in this Form 10-Q can or will be achieved. These forward-looking statements should be considered in light of the information included in this report and our other filings with the Securities and Exchange Commission (SEC), including, without limitation, the </w:t>
      </w:r>
      <w:r>
        <w:rPr>
          <w:rFonts w:ascii="Arial" w:cs="Arial" w:eastAsia="Arial" w:hAnsi="Arial"/>
          <w:sz w:val="16"/>
          <w:szCs w:val="16"/>
          <w:u w:val="single" w:color="auto"/>
          <w:color w:val="0000FF"/>
        </w:rPr>
        <w:t>Risk Factors</w:t>
      </w:r>
      <w:r>
        <w:rPr>
          <w:rFonts w:ascii="Arial" w:cs="Arial" w:eastAsia="Arial" w:hAnsi="Arial"/>
          <w:sz w:val="16"/>
          <w:szCs w:val="16"/>
          <w:color w:val="000000"/>
        </w:rPr>
        <w:t xml:space="preserve">, as well as the description of trends and other factors in </w:t>
      </w:r>
      <w:r>
        <w:rPr>
          <w:rFonts w:ascii="Arial" w:cs="Arial" w:eastAsia="Arial" w:hAnsi="Arial"/>
          <w:sz w:val="16"/>
          <w:szCs w:val="16"/>
          <w:u w:val="single" w:color="auto"/>
          <w:color w:val="0000FF"/>
        </w:rPr>
        <w:t>Management’s Discussion and Analysis of Financial</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Condition and Results of Operations</w:t>
      </w:r>
      <w:r>
        <w:rPr>
          <w:rFonts w:ascii="Arial" w:cs="Arial" w:eastAsia="Arial" w:hAnsi="Arial"/>
          <w:sz w:val="16"/>
          <w:szCs w:val="16"/>
          <w:color w:val="000000"/>
        </w:rPr>
        <w:t>, set forth in this report and our 2024 Annual Report on Form 10-K. Any forward-looking plans described herein are not</w:t>
      </w:r>
      <w:r>
        <w:rPr>
          <w:rFonts w:ascii="Arial" w:cs="Arial" w:eastAsia="Arial" w:hAnsi="Arial"/>
          <w:sz w:val="16"/>
          <w:szCs w:val="16"/>
          <w:color w:val="0000FF"/>
        </w:rPr>
        <w:t xml:space="preserve"> </w:t>
      </w:r>
      <w:r>
        <w:rPr>
          <w:rFonts w:ascii="Arial" w:cs="Arial" w:eastAsia="Arial" w:hAnsi="Arial"/>
          <w:sz w:val="16"/>
          <w:szCs w:val="16"/>
          <w:color w:val="000000"/>
        </w:rPr>
        <w:t>final and may be modified or abandoned at any time.</w:t>
      </w:r>
    </w:p>
    <w:p>
      <w:pPr>
        <w:spacing w:after="0" w:line="321"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Honeywell International Inc. (Honeywell, we, us, our, or the Company) is an integrated operating company serving a broad range of industries and geographies around the world. Our products and solutions enable a safer, more comfortable, and more productive world, enhancing the quality of life of people around the globe. Our business is aligned with three powerful megatrends – automation, the future of aviation, and energy transition – underpinned by our Honeywell Accelerator operating system and Honeywell Forge Internet of Things (IoT) platform. Our portfolio of solutions is uniquely positioned to blend physical products with software to serve customers worldwide. As a trusted partner, we help organizations solve the world's toughest, most complex challenges, providing actionable solutions and innovations through our Aerospace Technologies, Industrial Automation, Building Automation, and Energy and Sustainability Solutions business segments that help make the world smarter and safer, as well as more secure and sustainable. The Honeywell brand dates back to 1906, and the Company was incorporated in Delaware in 1985.</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 Honeywell uses our Investor Relations website, along with press releases on our primary Honeywell website (honeywell.com) under the heading News &amp; Media, as a means of disclosing information which may be of interest or material to our investors and for complying with disclosure obligations under Regulation FD. Accordingly, investors should monitor our Investor Relations website and Honeywell News feed,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0" w:lineRule="exact"/>
        <w:rPr>
          <w:sz w:val="20"/>
          <w:szCs w:val="20"/>
          <w:color w:val="auto"/>
        </w:rPr>
      </w:pPr>
    </w:p>
    <w:p>
      <w:pPr>
        <w:spacing w:after="0" w:line="211"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3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financial statements and related notes as of June 30, 2025, should be read in conjunction with the financial statements for the year ended December 31, 2024, contained in the Company's 2024 Annual Report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100" w:type="dxa"/>
            <w:vAlign w:val="bottom"/>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3960" w:type="dxa"/>
            <w:vAlign w:val="bottom"/>
            <w:tcBorders>
              <w:bottom w:val="single" w:sz="8" w:color="D7282F"/>
            </w:tcBorders>
            <w:gridSpan w:val="8"/>
          </w:tcPr>
          <w:p>
            <w:pPr>
              <w:jc w:val="right"/>
              <w:ind w:right="408"/>
              <w:spacing w:after="0"/>
              <w:rPr>
                <w:sz w:val="20"/>
                <w:szCs w:val="20"/>
                <w:color w:val="auto"/>
              </w:rPr>
            </w:pPr>
            <w:r>
              <w:rPr>
                <w:rFonts w:ascii="Arial" w:cs="Arial" w:eastAsia="Arial" w:hAnsi="Arial"/>
                <w:sz w:val="14"/>
                <w:szCs w:val="14"/>
                <w:b w:val="1"/>
                <w:bCs w:val="1"/>
                <w:color w:val="auto"/>
              </w:rPr>
              <w:t>(Dollars in millions, except per share amounts)</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7,119</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6,477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13,764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12,740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3,233</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3,100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6,410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5,942</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10,352</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9,577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20,174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18,682</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4,548</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4,247</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8,799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8,282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1,781</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1,609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3,567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3,157</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6,329</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5,856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12,366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11,439</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481</w:t>
            </w: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382</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920</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1,428</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1,361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2,789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2,663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Impairment of assets held for sale</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(87)</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330</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250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616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8,481</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7,603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16,419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14,837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1,871</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1,974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3,755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3,845</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302</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414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719</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1,569</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1,560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3,036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3,035</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1,570</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1,544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3,019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3,007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2.46</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2.37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4.70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2.45</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2.36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4.67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100" w:type="dxa"/>
            <w:vAlign w:val="bottom"/>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188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1,569</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1,560</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3,036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Foreign exchange translation adjustment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(503)</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(781)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adjustments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fair value of available for sale investments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Changes in fair value of cash flow hedges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Other comprehensive income (loss), net of tax</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(607)</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(892)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962</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1,533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2,144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3,071</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Comprehensive income (loss) attributable to the noncontrolling interest</w:t>
            </w: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47</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945</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1,517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2,097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36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June 30, 2025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78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3240" w:type="dxa"/>
            <w:vAlign w:val="bottom"/>
            <w:tcBorders>
              <w:bottom w:val="single" w:sz="8" w:color="D7282F"/>
            </w:tcBorders>
            <w:gridSpan w:val="3"/>
          </w:tcPr>
          <w:p>
            <w:pPr>
              <w:jc w:val="center"/>
              <w:ind w:right="8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10,349</w:t>
            </w:r>
          </w:p>
        </w:tc>
        <w:tc>
          <w:tcPr>
            <w:tcW w:w="28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10,567</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328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386</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 less allowances of $331 and $314, respectively</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8,823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7,819</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7,013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6,442</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Assets held for sale</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1,365</w:t>
            </w:r>
          </w:p>
        </w:tc>
      </w:tr>
      <w:tr>
        <w:trPr>
          <w:trHeight w:val="196"/>
        </w:trPr>
        <w:tc>
          <w:tcPr>
            <w:tcW w:w="7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D7282F"/>
            </w:tcBorders>
          </w:tcPr>
          <w:p>
            <w:pPr>
              <w:spacing w:after="0"/>
              <w:rPr>
                <w:sz w:val="17"/>
                <w:szCs w:val="17"/>
                <w:color w:val="auto"/>
              </w:rPr>
            </w:pPr>
          </w:p>
        </w:tc>
        <w:tc>
          <w:tcPr>
            <w:tcW w:w="1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1,454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1,329</w:t>
            </w:r>
          </w:p>
        </w:tc>
      </w:tr>
      <w:tr>
        <w:trPr>
          <w:trHeight w:val="199"/>
        </w:trPr>
        <w:tc>
          <w:tcPr>
            <w:tcW w:w="78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160" w:type="dxa"/>
            <w:vAlign w:val="bottom"/>
            <w:tcBorders>
              <w:bottom w:val="single" w:sz="8" w:color="D7282F"/>
            </w:tcBorders>
          </w:tcPr>
          <w:p>
            <w:pPr>
              <w:spacing w:after="0"/>
              <w:rPr>
                <w:sz w:val="17"/>
                <w:szCs w:val="17"/>
                <w:color w:val="auto"/>
              </w:rPr>
            </w:pPr>
          </w:p>
        </w:tc>
        <w:tc>
          <w:tcPr>
            <w:tcW w:w="1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27,967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27,908</w:t>
            </w:r>
          </w:p>
        </w:tc>
      </w:tr>
      <w:tr>
        <w:trPr>
          <w:trHeight w:val="193"/>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1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1,427</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1,394</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6,405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6,194</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23,804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21,825</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7,356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6,656</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171</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238</w:t>
            </w:r>
          </w:p>
        </w:tc>
      </w:tr>
      <w:tr>
        <w:trPr>
          <w:trHeight w:val="196"/>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D7282F"/>
            </w:tcBorders>
          </w:tcPr>
          <w:p>
            <w:pPr>
              <w:spacing w:after="0"/>
              <w:rPr>
                <w:sz w:val="17"/>
                <w:szCs w:val="17"/>
                <w:color w:val="auto"/>
              </w:rPr>
            </w:pPr>
          </w:p>
        </w:tc>
        <w:tc>
          <w:tcPr>
            <w:tcW w:w="1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11,065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10,810</w:t>
            </w:r>
          </w:p>
        </w:tc>
      </w:tr>
      <w:tr>
        <w:trPr>
          <w:trHeight w:val="199"/>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78,419</w:t>
            </w:r>
          </w:p>
        </w:tc>
        <w:tc>
          <w:tcPr>
            <w:tcW w:w="2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75,196</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7,111</w:t>
            </w:r>
          </w:p>
        </w:tc>
        <w:tc>
          <w:tcPr>
            <w:tcW w:w="28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6,880</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6,271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4,273</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1,347</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8,163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8,348</w:t>
            </w:r>
          </w:p>
        </w:tc>
      </w:tr>
      <w:tr>
        <w:trPr>
          <w:trHeight w:val="196"/>
        </w:trPr>
        <w:tc>
          <w:tcPr>
            <w:tcW w:w="7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Liabilities held for sale</w:t>
            </w:r>
          </w:p>
        </w:tc>
        <w:tc>
          <w:tcPr>
            <w:tcW w:w="160" w:type="dxa"/>
            <w:vAlign w:val="bottom"/>
            <w:tcBorders>
              <w:bottom w:val="single" w:sz="8" w:color="D7282F"/>
            </w:tcBorders>
          </w:tcPr>
          <w:p>
            <w:pPr>
              <w:spacing w:after="0"/>
              <w:rPr>
                <w:sz w:val="17"/>
                <w:szCs w:val="17"/>
                <w:color w:val="auto"/>
              </w:rPr>
            </w:pPr>
          </w:p>
        </w:tc>
        <w:tc>
          <w:tcPr>
            <w:tcW w:w="1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408</w:t>
            </w:r>
          </w:p>
        </w:tc>
      </w:tr>
      <w:tr>
        <w:trPr>
          <w:trHeight w:val="199"/>
        </w:trPr>
        <w:tc>
          <w:tcPr>
            <w:tcW w:w="78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160" w:type="dxa"/>
            <w:vAlign w:val="bottom"/>
            <w:tcBorders>
              <w:bottom w:val="single" w:sz="8" w:color="D7282F"/>
            </w:tcBorders>
          </w:tcPr>
          <w:p>
            <w:pPr>
              <w:spacing w:after="0"/>
              <w:rPr>
                <w:sz w:val="17"/>
                <w:szCs w:val="17"/>
                <w:color w:val="auto"/>
              </w:rPr>
            </w:pPr>
          </w:p>
        </w:tc>
        <w:tc>
          <w:tcPr>
            <w:tcW w:w="1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21,619</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21,256</w:t>
            </w:r>
          </w:p>
        </w:tc>
      </w:tr>
      <w:tr>
        <w:trPr>
          <w:trHeight w:val="193"/>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1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30,167</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25,479</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1,894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1,787</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112</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1,243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6,733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6,076</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Capital—common stock issued</w:t>
            </w:r>
          </w:p>
        </w:tc>
        <w:tc>
          <w:tcPr>
            <w:tcW w:w="1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84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—additional paid-in capital</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10,048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9,695</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(42,897)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(39,378)</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(4,413)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(3,491)</w:t>
            </w:r>
          </w:p>
        </w:tc>
      </w:tr>
      <w:tr>
        <w:trPr>
          <w:trHeight w:val="196"/>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160" w:type="dxa"/>
            <w:vAlign w:val="bottom"/>
            <w:tcBorders>
              <w:bottom w:val="single" w:sz="8" w:color="D7282F"/>
            </w:tcBorders>
          </w:tcPr>
          <w:p>
            <w:pPr>
              <w:spacing w:after="0"/>
              <w:rPr>
                <w:sz w:val="17"/>
                <w:szCs w:val="17"/>
                <w:color w:val="auto"/>
              </w:rPr>
            </w:pPr>
          </w:p>
        </w:tc>
        <w:tc>
          <w:tcPr>
            <w:tcW w:w="1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52,399</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50,835</w:t>
            </w:r>
          </w:p>
        </w:tc>
      </w:tr>
      <w:tr>
        <w:trPr>
          <w:trHeight w:val="199"/>
        </w:trPr>
        <w:tc>
          <w:tcPr>
            <w:tcW w:w="78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160" w:type="dxa"/>
            <w:vAlign w:val="bottom"/>
            <w:tcBorders>
              <w:bottom w:val="single" w:sz="8" w:color="D7282F"/>
            </w:tcBorders>
          </w:tcPr>
          <w:p>
            <w:pPr>
              <w:spacing w:after="0"/>
              <w:rPr>
                <w:sz w:val="17"/>
                <w:szCs w:val="17"/>
                <w:color w:val="auto"/>
              </w:rPr>
            </w:pPr>
          </w:p>
        </w:tc>
        <w:tc>
          <w:tcPr>
            <w:tcW w:w="1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16,095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18,619</w:t>
            </w:r>
          </w:p>
        </w:tc>
      </w:tr>
      <w:tr>
        <w:trPr>
          <w:trHeight w:val="193"/>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16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552</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535</w:t>
            </w:r>
          </w:p>
        </w:tc>
      </w:tr>
      <w:tr>
        <w:trPr>
          <w:trHeight w:val="199"/>
        </w:trPr>
        <w:tc>
          <w:tcPr>
            <w:tcW w:w="78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160" w:type="dxa"/>
            <w:vAlign w:val="bottom"/>
            <w:tcBorders>
              <w:bottom w:val="single" w:sz="8" w:color="D7282F"/>
            </w:tcBorders>
          </w:tcPr>
          <w:p>
            <w:pPr>
              <w:spacing w:after="0"/>
              <w:rPr>
                <w:sz w:val="17"/>
                <w:szCs w:val="17"/>
                <w:color w:val="auto"/>
              </w:rPr>
            </w:pPr>
          </w:p>
        </w:tc>
        <w:tc>
          <w:tcPr>
            <w:tcW w:w="1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16,647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19,154</w:t>
            </w:r>
          </w:p>
        </w:tc>
      </w:tr>
      <w:tr>
        <w:trPr>
          <w:trHeight w:val="196"/>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78,419</w:t>
            </w:r>
          </w:p>
        </w:tc>
        <w:tc>
          <w:tcPr>
            <w:tcW w:w="2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75,196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00" w:type="dxa"/>
            <w:vAlign w:val="bottom"/>
          </w:tcPr>
          <w:p>
            <w:pPr>
              <w:spacing w:after="0"/>
              <w:rPr>
                <w:sz w:val="17"/>
                <w:szCs w:val="17"/>
                <w:color w:val="auto"/>
              </w:rPr>
            </w:pPr>
          </w:p>
        </w:tc>
        <w:tc>
          <w:tcPr>
            <w:tcW w:w="252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D7282F"/>
            </w:tcBorders>
          </w:tcPr>
          <w:p>
            <w:pPr>
              <w:spacing w:after="0"/>
              <w:rPr>
                <w:sz w:val="17"/>
                <w:szCs w:val="17"/>
                <w:color w:val="auto"/>
              </w:rPr>
            </w:pPr>
          </w:p>
        </w:tc>
      </w:tr>
      <w:tr>
        <w:trPr>
          <w:trHeight w:val="196"/>
        </w:trPr>
        <w:tc>
          <w:tcPr>
            <w:tcW w:w="8200" w:type="dxa"/>
            <w:vAlign w:val="bottom"/>
          </w:tcPr>
          <w:p>
            <w:pPr>
              <w:spacing w:after="0"/>
              <w:rPr>
                <w:sz w:val="17"/>
                <w:szCs w:val="17"/>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D7282F"/>
            </w:tcBorders>
          </w:tcPr>
          <w:p>
            <w:pPr>
              <w:spacing w:after="0"/>
              <w:rPr>
                <w:sz w:val="17"/>
                <w:szCs w:val="17"/>
                <w:color w:val="auto"/>
              </w:rPr>
            </w:pPr>
          </w:p>
        </w:tc>
      </w:tr>
      <w:tr>
        <w:trPr>
          <w:trHeight w:val="196"/>
        </w:trPr>
        <w:tc>
          <w:tcPr>
            <w:tcW w:w="8200" w:type="dxa"/>
            <w:vAlign w:val="bottom"/>
            <w:tcBorders>
              <w:bottom w:val="single" w:sz="8" w:color="D7282F"/>
            </w:tcBorders>
          </w:tcPr>
          <w:p>
            <w:pPr>
              <w:spacing w:after="0"/>
              <w:rPr>
                <w:sz w:val="17"/>
                <w:szCs w:val="17"/>
                <w:color w:val="auto"/>
              </w:rPr>
            </w:pPr>
          </w:p>
        </w:tc>
        <w:tc>
          <w:tcPr>
            <w:tcW w:w="252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Borders>
              <w:bottom w:val="single" w:sz="8" w:color="D7282F"/>
            </w:tcBorders>
          </w:tcPr>
          <w:p>
            <w:pPr>
              <w:spacing w:after="0"/>
              <w:rPr>
                <w:sz w:val="17"/>
                <w:szCs w:val="17"/>
                <w:color w:val="auto"/>
              </w:rPr>
            </w:pP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w:t>
            </w:r>
          </w:p>
        </w:tc>
        <w:tc>
          <w:tcPr>
            <w:tcW w:w="880" w:type="dxa"/>
            <w:vAlign w:val="bottom"/>
            <w:tcBorders>
              <w:bottom w:val="single" w:sz="8" w:color="61656A"/>
            </w:tcBorders>
          </w:tcPr>
          <w:p>
            <w:pPr>
              <w:jc w:val="right"/>
              <w:ind w:right="7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3,036</w:t>
            </w:r>
          </w:p>
        </w:tc>
        <w:tc>
          <w:tcPr>
            <w:tcW w:w="1000" w:type="dxa"/>
            <w:vAlign w:val="bottom"/>
            <w:tcBorders>
              <w:bottom w:val="single" w:sz="8" w:color="61656A"/>
            </w:tcBorders>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3,035</w:t>
            </w:r>
          </w:p>
        </w:tc>
      </w:tr>
      <w:tr>
        <w:trPr>
          <w:trHeight w:val="196"/>
        </w:trPr>
        <w:tc>
          <w:tcPr>
            <w:tcW w:w="8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r>
      <w:tr>
        <w:trPr>
          <w:trHeight w:val="199"/>
        </w:trPr>
        <w:tc>
          <w:tcPr>
            <w:tcW w:w="82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income attributable to Honeywell</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3,019</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3,007</w:t>
            </w:r>
          </w:p>
        </w:tc>
      </w:tr>
      <w:tr>
        <w:trPr>
          <w:trHeight w:val="193"/>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 to reconcile net income attributable to Honeywell to net cash provided by operating activities</w:t>
            </w:r>
          </w:p>
        </w:tc>
        <w:tc>
          <w:tcPr>
            <w:tcW w:w="88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Depreciation</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372</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329</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Amortization</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406</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271</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Loss on sale of non-strategic businesses and assets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Impairment of assets held for sale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Repositioning and other charges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84</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137</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payments for repositioning and other charges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(195)</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(211)</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income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(234)</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(295)</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payments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Stock compensation expense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118</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108</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Deferred income taxes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(31)</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(309)</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(186)</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receivable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(918)</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(149)</w:t>
            </w: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Inventories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(504)</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w:t>
            </w: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Other current assets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(150)</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payable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204</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(423)</w:t>
            </w: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Accrued liabilities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430</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(338)</w:t>
            </w:r>
          </w:p>
        </w:tc>
      </w:tr>
      <w:tr>
        <w:trPr>
          <w:trHeight w:val="196"/>
        </w:trPr>
        <w:tc>
          <w:tcPr>
            <w:tcW w:w="820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Income taxes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(393)</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(253)</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operating activities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1,916</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1,819</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Capital expenditures</w:t>
            </w:r>
          </w:p>
        </w:tc>
        <w:tc>
          <w:tcPr>
            <w:tcW w:w="88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(554)</w:t>
            </w:r>
          </w:p>
        </w:tc>
        <w:tc>
          <w:tcPr>
            <w:tcW w:w="100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(492)</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Proceeds from disposals of property, plant and equipment</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Increase in investments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(681)</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(468)</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Decrease in investments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753</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392</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(Payments) receipts from settlements of derivative contracts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(415)</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76</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(2,163)</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(4,913)</w:t>
            </w:r>
          </w:p>
        </w:tc>
      </w:tr>
      <w:tr>
        <w:trPr>
          <w:trHeight w:val="196"/>
        </w:trPr>
        <w:tc>
          <w:tcPr>
            <w:tcW w:w="8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Proceeds from sale of business, net of cash transferred</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1,157</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investing activities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(1,880)</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(5,405)</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88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11,863</w:t>
            </w:r>
          </w:p>
        </w:tc>
        <w:tc>
          <w:tcPr>
            <w:tcW w:w="100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6,993</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commercial paper and other short-term borrowings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(9,990)</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(4,489)</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98</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309</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long-term debt</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4,035</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5,710</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long-term debt</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(1,309)</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(605)</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Repurchases of common stock</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(3,604)</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(1,200)</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dividends paid</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(1,479)</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(1,446)</w:t>
            </w:r>
          </w:p>
        </w:tc>
      </w:tr>
      <w:tr>
        <w:trPr>
          <w:trHeight w:val="196"/>
        </w:trPr>
        <w:tc>
          <w:tcPr>
            <w:tcW w:w="820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(35)</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provided by financing activities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(421)</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5,298</w:t>
            </w:r>
          </w:p>
        </w:tc>
      </w:tr>
      <w:tr>
        <w:trPr>
          <w:trHeight w:val="193"/>
        </w:trPr>
        <w:tc>
          <w:tcPr>
            <w:tcW w:w="8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8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167</w:t>
            </w:r>
          </w:p>
        </w:tc>
        <w:tc>
          <w:tcPr>
            <w:tcW w:w="100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(61)</w:t>
            </w:r>
          </w:p>
        </w:tc>
      </w:tr>
      <w:tr>
        <w:trPr>
          <w:trHeight w:val="199"/>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(218)</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1,651</w:t>
            </w:r>
          </w:p>
        </w:tc>
      </w:tr>
      <w:tr>
        <w:trPr>
          <w:trHeight w:val="196"/>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10,567</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7,925</w:t>
            </w:r>
          </w:p>
        </w:tc>
      </w:tr>
      <w:tr>
        <w:trPr>
          <w:trHeight w:val="196"/>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88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10,349</w:t>
            </w:r>
          </w:p>
        </w:tc>
        <w:tc>
          <w:tcPr>
            <w:tcW w:w="100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9,576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3120" w:type="dxa"/>
            <w:vAlign w:val="bottom"/>
            <w:tcBorders>
              <w:bottom w:val="single" w:sz="8" w:color="D7282F"/>
            </w:tcBorders>
            <w:gridSpan w:val="3"/>
          </w:tcPr>
          <w:p>
            <w:pPr>
              <w:jc w:val="right"/>
              <w:ind w:right="168"/>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14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1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D7282F"/>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11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4000" w:type="dxa"/>
            <w:vAlign w:val="bottom"/>
            <w:tcBorders>
              <w:bottom w:val="single" w:sz="8" w:color="D7282F"/>
            </w:tcBorders>
            <w:gridSpan w:val="5"/>
          </w:tcPr>
          <w:p>
            <w:pPr>
              <w:jc w:val="right"/>
              <w:ind w:right="648"/>
              <w:spacing w:after="0"/>
              <w:rPr>
                <w:sz w:val="20"/>
                <w:szCs w:val="20"/>
                <w:color w:val="auto"/>
              </w:rPr>
            </w:pPr>
            <w:r>
              <w:rPr>
                <w:rFonts w:ascii="Arial" w:cs="Arial" w:eastAsia="Arial" w:hAnsi="Arial"/>
                <w:sz w:val="14"/>
                <w:szCs w:val="14"/>
                <w:b w:val="1"/>
                <w:bCs w:val="1"/>
                <w:color w:val="auto"/>
              </w:rPr>
              <w:t>(In millions, except per share amounts)</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2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9,943</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9,353</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9,695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9,062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48</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87</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235</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Stock compensation expense</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57</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118</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Impact of Quantinuum contribution</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10,048</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9,495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10,048</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9,495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(314.9)</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(41,200)</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(306.4)</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(38,544)</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(307.8)</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(39,378)</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(305.8)</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(38,008)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2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(8.2)</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(1,719)</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(2.7)</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(529)</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(17.1)</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(3,621)</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(6.1)</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0.4</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22</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1.2</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2.2</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102</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4.0</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(322.7)</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(42,897)</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(307.9)</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(39,007)</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(322.7)</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(42,897)</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(307.9)</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(39,007)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51,550</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48,735</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50,835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47,979</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1,570</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1,544</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3,019</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3,007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(721)</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(703)</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(1,455)</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52,399</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49,576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52,399</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49,576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Accumulated other comprehensive loss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(3,788)</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(4,048)</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(3,491)</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(4,135)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(521)</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(811)</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50"/>
        </w:trPr>
        <w:tc>
          <w:tcPr>
            <w:tcW w:w="3500" w:type="dxa"/>
            <w:vAlign w:val="bottom"/>
          </w:tcPr>
          <w:p>
            <w:pPr>
              <w:ind w:left="140"/>
              <w:spacing w:after="0" w:line="151" w:lineRule="exact"/>
              <w:rPr>
                <w:sz w:val="20"/>
                <w:szCs w:val="20"/>
                <w:color w:val="auto"/>
              </w:rPr>
            </w:pPr>
            <w:r>
              <w:rPr>
                <w:rFonts w:ascii="Arial" w:cs="Arial" w:eastAsia="Arial" w:hAnsi="Arial"/>
                <w:sz w:val="14"/>
                <w:szCs w:val="14"/>
                <w:color w:val="auto"/>
              </w:rPr>
              <w:t>Pension and other postretirement benefit</w:t>
            </w:r>
          </w:p>
        </w:tc>
        <w:tc>
          <w:tcPr>
            <w:tcW w:w="112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(95)</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(84)</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00" w:type="dxa"/>
            <w:vAlign w:val="bottom"/>
          </w:tcPr>
          <w:p>
            <w:pPr>
              <w:ind w:left="140"/>
              <w:spacing w:after="0" w:line="147" w:lineRule="exact"/>
              <w:rPr>
                <w:sz w:val="20"/>
                <w:szCs w:val="20"/>
                <w:color w:val="auto"/>
              </w:rPr>
            </w:pPr>
            <w:r>
              <w:rPr>
                <w:rFonts w:ascii="Arial" w:cs="Arial" w:eastAsia="Arial" w:hAnsi="Arial"/>
                <w:sz w:val="14"/>
                <w:szCs w:val="14"/>
                <w:color w:val="auto"/>
              </w:rPr>
              <w:t>Changes in fair value of available for sale</w:t>
            </w:r>
          </w:p>
        </w:tc>
        <w:tc>
          <w:tcPr>
            <w:tcW w:w="112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5</w:t>
            </w:r>
          </w:p>
        </w:tc>
        <w:tc>
          <w:tcPr>
            <w:tcW w:w="1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5</w:t>
            </w:r>
          </w:p>
        </w:tc>
        <w:tc>
          <w:tcPr>
            <w:tcW w:w="1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(14)</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(32)</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(4,413)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(4,075)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(4,413)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(4,075)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561</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591</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535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Acquisitions, divestitures, and other</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w:t>
            </w:r>
          </w:p>
        </w:tc>
        <w:tc>
          <w:tcPr>
            <w:tcW w:w="120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17</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18</w:t>
            </w:r>
          </w:p>
        </w:tc>
        <w:tc>
          <w:tcPr>
            <w:tcW w:w="120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30</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Dividends paid</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(28)</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(32)</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552</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563</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552</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634.9</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16,647</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649.7</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17,510</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634.9</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16,647</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649.7</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17,510</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1.13</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1.08</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2.26</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is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actual closing dates for the three and six months ended June 30, 2025, and 2024, were June 28, 2025, and June 29, 2024,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accounting policies of the Company are set forth in Note 1 Summary of Significant Accounting Policies of Notes to Consolidated Financial Statements in the Company’s 2024 Annual Report on Form 10-K. The Company includes herein certain updates to those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529"/>
        </w:rPr>
        <w:t>Certain prior year amounts are reclassified to conform to the current year presentation. This includes the separate disclosure of changes in Income taxes within operating activities on the Consolidated Statement of Cash Flows.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SUPPLY CHAIN FINANCING</w:t>
      </w:r>
    </w:p>
    <w:p>
      <w:pPr>
        <w:spacing w:after="0" w:line="12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Amounts outstanding related to supply chain financing programs are included in Accounts payable in the Consolidated Balance Sheet. Accounts payable included approximately $1,160 million and $1,150 million as of June 30, 2025, and December 31, 2024,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Income—Expense Disaggregation Disclosures (Subtopic</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220-40): Disaggregation of Income Statement Expenses</w:t>
      </w:r>
      <w:r>
        <w:rPr>
          <w:rFonts w:ascii="Arial" w:cs="Arial" w:eastAsia="Arial" w:hAnsi="Arial"/>
          <w:sz w:val="16"/>
          <w:szCs w:val="16"/>
          <w:color w:val="auto"/>
        </w:rPr>
        <w:t>, which requires companies to disclose additional information about the types of expenses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impacts of this guidance on the Company's Consolidated Financial Statements.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Taxes Disclosures</w:t>
      </w:r>
      <w:r>
        <w:rPr>
          <w:rFonts w:ascii="Arial" w:cs="Arial" w:eastAsia="Arial" w:hAnsi="Arial"/>
          <w:sz w:val="16"/>
          <w:szCs w:val="16"/>
          <w:color w:val="auto"/>
        </w:rPr>
        <w:t>, which requires greater disaggregation of income tax disclosures. The new standard requires additional information to be disclosed annually with respect to the income tax rate reconciliation and income taxes paid disaggregated by jurisdiction. This ASU should be applied prospectively for fiscal years beginning after December 15, 2024, with retrospective application permitted. The Company is currently evaluating the impacts of this guidance on the Company’s Consolidated Financial Statements.</w:t>
      </w:r>
    </w:p>
    <w:p>
      <w:pPr>
        <w:spacing w:after="0" w:line="200" w:lineRule="exact"/>
        <w:rPr>
          <w:sz w:val="20"/>
          <w:szCs w:val="20"/>
          <w:color w:val="auto"/>
        </w:rPr>
      </w:pPr>
    </w:p>
    <w:p>
      <w:pPr>
        <w:spacing w:after="0" w:line="223"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which requires companies to enhance the disclosures about segment expenses.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should be applied retrospectively for fiscal years beginning after December 15, 2023, and interim periods within fiscal years beginning after December 15, 2024. The Company adopted this guidance for annual disclosures for the year ended December 31, 2024, and interim disclosures for the first quarter of 2025. The adoption of this standard did not have a material impact on the Company’s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NOTE 3. ACQUISITIONS AND DIVESTITURES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Johnson Matthey's Catalyst Technologies Business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May 22, 2025, the Company announced its agreement to acquire Johnson Matthey's Catalyst Technologies business segment in an all-cash transaction for £1.8 billion. The transaction is subject to customary closing conditions, including receipt of certain regulatory approvals. The transaction is expected to close in the first half of 2026, and the business will be included within the Energy and Sustainability Solutions reportable business segment.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Sundyne</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June 6, 2025, the Company acquired 100% of the outstanding equity interests of Sundyne, a leader in the design manufacturing, and aftermarket support of highly-engineered pumps and gas compressors for process industries, for total consideration of $2,152 million, net of cash acquired. The business is part of the Energy and Sustainability Solutions reportable business segment. The following table summarizes the preliminary determination of the fair value of identifiable assets acquired and liabilities assumed that are included in the Consolidated Balance Sheet as of June 30,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293</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990</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(108)</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(265)</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972</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1,296</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2,268</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Sundyne identifiable intangible assets primarily include customer relationships, technology and trademarks which will amortize over their estimated useful lives ranging from one to 15 years using straight-line and accelerated amortization methods. The goodwill is not deductible for tax purposes. As of June 30, 2025, the purchase accounting is subject to final adjustment, primarily for the valuation of intangible assets, amounts allocated to goodwill, working capital adjustments, and tax balances.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Air Products' Liquefied Natural Gas Process Technology and Equipment Business</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September 30, 2024, the Company acquired 100% of the outstanding equity interests of Air Products' liquefied natural gas process technology and equipment business (LNG), strengthening the Company's energy transition portfolio, for total consideration of $1,843 million, net of cash acquired. The business is part of the Energy and Sustainability Solutions reportable business segment. The following table summarizes the preliminary determination of the fair value of identifiable assets acquired and liabilities assumed that are included in the Consolidated Balance Sheet as of June 30,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76</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931</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958</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885</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1,843</w:t>
            </w:r>
          </w:p>
        </w:tc>
      </w:tr>
    </w:tbl>
    <w:p>
      <w:pPr>
        <w:spacing w:after="0" w:line="200" w:lineRule="exact"/>
        <w:rPr>
          <w:sz w:val="20"/>
          <w:szCs w:val="20"/>
          <w:color w:val="auto"/>
        </w:rPr>
      </w:pPr>
    </w:p>
    <w:p>
      <w:pPr>
        <w:spacing w:after="0" w:line="328"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LNG identifiable intangible assets primarily include customer relationships and technology which will amortize over their estimated useful lives ranging from four to 20 years using accelerated amortization methods. The goodwill is deductible for tax purposes. As of June 30, 2025, the purchase accounting is subject to final adjustment, primarily for the valuation of intangible assets, amounts allocated to goodwill, and tax balances.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CAES Systems Holdings LLC</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August 30, 2024, the Company acquired 100% of the outstanding equity interests of CAES Systems Holdings LLC (CAES), enhancing the Company's defense and space portfolio with high-reliability radio frequency technologies, for total consideration of $1,935 million, net of cash acquired. The business is part of the Aerospace Technologies reportable business segment. The following table summarizes the preliminary determination of the fair value of identifiable assets acquired and liabilities assumed that are included in the Consolidated Balance Sheet as of June 30,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324</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1,205</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169</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(150)</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1,425</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553</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1,978</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CAES identifiable intangible assets primarily include customer relationships and trademarks which will amortize over their estimated useful lives ranging from two to 15 years using straight line and accelerated amortization methods. The goodwill is not deductible for tax purposes. As of June 30, 2025, the purchase accounting for CAES is subject to final adjustment, primarily for the valuation of intangible assets, amounts allocated to goodwill, and tax balances.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Civitanavi Systems S.p.A.</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19, 2024, the Company completed the acquisition of Civitanavi Systems S.p.A., a leader in position navigation and timing technology for the aerospace, defense, and industrial markets, for total consideration of $200 million, net of cash acquired. The business is part of the Aerospace Technologies reportable business segment. The assets acquired and liabilities assumed with Civitanavi Systems S.p.A. are included in the Consolidated Balance Sheet as of June 30, 2025, including $75 million of intangible assets and $107 million of goodwill, which is not deductible for tax purposes. As of June 30, 2025, the purchase accounting is subject to final adjustment, primarily for the valuation of intangible assets, amounts allocated to goodwill, and tax balances.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Carrier Global Corporation's Global Access Solutions Business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June 3, 2024, the Company acquired 100% of the outstanding equity interests of Carrier Global Corporation's Global Access Solutions business (Access Solutions), an innovative global leader in advanced access and security solutions, electronic locking systems, and contactless mobile key solutions, for total consideration of $4,913 million, net of cash acquired. The business is part of the Building Automation reportable business segment. The Company finalized the evaluation for the fair value of all the assets and liabilities acquired with Access Solutions during the second quarter of 2025. The following table summarizes the determination of the fair value of identifiable assets acquired and liabilities assumed that are included in the Consolidated Balance Sheet as of June 30, 2025:</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236</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1,959</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(158)</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2,074</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2,924</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4,998</w:t>
            </w: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Access Solutions identifiable intangible assets primarily include customer relationships, technology, and trademarks which will amortize over their estimated useful lives ranging from 10 to 20 years using straight line and accelerated amortization methods. The majority of the goodwill is deductible for tax purposes.</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May 21, 2025, the Company completed the sale of its personal protective equipment (PPE) business in exchange for total consideration of $1,157 million, net of cash transferred. The Company recognized a pre-tax loss on sale of the PPE business of $30 million for the three months ended June 30, 2025, which was recorded in Other (income) expense in the Consolidated Statement of Operations. The PPE business was previously included within the Sensing and Safety Technologies business unit within the Industrial Automation reportable segment. As of December 31, 2024, the Company classified the assets and liabilities of the PPE business as held for sale. During the first quarter of 2025, the Company recognized a $15 million increase to the valuation allowance to write down the disposal group to fair value, less costs to sell.</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February 6, 2025, the Company announced its intention to pursue a separation of its Automation and Aerospace Technologies businesses into independent, U.S. publicly traded companies, which is intended to be completed in the second half of 2026. The planned separation is intended to be a tax-free separation to Honeywell shareowners for U.S. federal income tax purposes. The separation will be subject to the satisfaction of a number of customary conditions, including, among others, the filing and effectiveness of applicable filings (including a Form 10 registration statement that includes required financial statements) with the SEC, assurance that the separation of the businesses will be tax-free to Honeywell’s shareowners, receipt of applicable regulatory approvals, and final approval by Honeywell’s Board of Directors. The proposed separation is complex in nature, and may be affected by unanticipated developments, credit and equity markets, or changes in market conditions.</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October 8, 2024, the Company announced its intention to spin off its Advanced Materials business into Solstice Advanced Materials, an independent, U.S. publicly traded company, which is expected to be completed during the fourth quarter of 2025. The planned spin-off is intended to be a tax-free spin to Honeywell shareowners for U.S. federal income tax purposes. The spin-off will be subject to the satisfaction of a number of customary conditions, including, among others, finalization of the financial statements of Solstice Advanced Materials, the filing and effectiveness of applicable filings (including a Form 10 registration statement) with the SEC, assurance that the spin-off of Solstice Advanced Materials will be tax-free to Honeywell’s shareowners, receipt of applicable regulatory approvals, and final approval by Honeywell’s Board of Directors. The proposed spin-off is complex in nature, and may be affected by unanticipated developments, credit and equity markets, or changes in market conditions.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Original Equipment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586</w:t>
            </w:r>
          </w:p>
        </w:tc>
        <w:tc>
          <w:tcPr>
            <w:tcW w:w="4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668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1,213</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Aftermarket</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1,916</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1,798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3,815</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3,457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Defense and Space</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1,805</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1,425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3,451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2,761</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Technologies sales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4,307</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3,891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8,479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7,560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Sensing and Safety Technologies</w:t>
            </w:r>
          </w:p>
        </w:tc>
        <w:tc>
          <w:tcPr>
            <w:tcW w:w="1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341</w:t>
            </w:r>
          </w:p>
        </w:tc>
        <w:tc>
          <w:tcPr>
            <w:tcW w:w="4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466</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764</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Productivity Solutions and Services</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278</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298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547</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Solutions</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1,538</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1,509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3,006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3,005</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Warehouse and Workflow Solutions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223</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233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441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Industrial Automation sales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2,380</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2,506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4,758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4,984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1,125</w:t>
            </w:r>
          </w:p>
        </w:tc>
        <w:tc>
          <w:tcPr>
            <w:tcW w:w="4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908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2,154</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Building Solutions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701</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663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1,364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Building Automation sales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1,826</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1,571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3,518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2,997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UOP</w:t>
            </w:r>
          </w:p>
        </w:tc>
        <w:tc>
          <w:tcPr>
            <w:tcW w:w="1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807</w:t>
            </w:r>
          </w:p>
        </w:tc>
        <w:tc>
          <w:tcPr>
            <w:tcW w:w="4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599</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1,471</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Advanced Materials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1,030</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1,005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1,927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Energy and Sustainability Solutions sales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1,837</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1,604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3,398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3,129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10,352</w:t>
            </w:r>
          </w:p>
        </w:tc>
        <w:tc>
          <w:tcPr>
            <w:tcW w:w="4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9,577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20,174</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18,682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Aerospace Technologies </w:t>
      </w:r>
      <w:r>
        <w:rPr>
          <w:rFonts w:ascii="Arial" w:cs="Arial" w:eastAsia="Arial" w:hAnsi="Arial"/>
          <w:sz w:val="16"/>
          <w:szCs w:val="16"/>
          <w:color w:val="auto"/>
        </w:rPr>
        <w:t>– A global supplier of products, software, and services for aircrafts that it sells to original equipment manufacturers (OEM)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customers in a variety of end markets including air transport, regional, business and general aviation aircraft, airlines, aircraft operators, and defense and space contractors. Aerospace Technologies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Honeywell Forge solutions enable customers to turn data into predictive maintenance and predictive analytics to enable better fleet management and make flight operations more efficient.</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Industrial Automation </w:t>
      </w:r>
      <w:r>
        <w:rPr>
          <w:rFonts w:ascii="Arial" w:cs="Arial" w:eastAsia="Arial" w:hAnsi="Arial"/>
          <w:sz w:val="16"/>
          <w:szCs w:val="16"/>
          <w:color w:val="auto"/>
        </w:rPr>
        <w:t>– A global provider of industrial automation solutions that deliver intelligent, sustainable, and secure operations for customers in</w:t>
      </w:r>
      <w:r>
        <w:rPr>
          <w:rFonts w:ascii="Arial" w:cs="Arial" w:eastAsia="Arial" w:hAnsi="Arial"/>
          <w:sz w:val="16"/>
          <w:szCs w:val="16"/>
          <w:b w:val="1"/>
          <w:bCs w:val="1"/>
          <w:color w:val="auto"/>
        </w:rPr>
        <w:t xml:space="preserve"> </w:t>
      </w:r>
      <w:r>
        <w:rPr>
          <w:rFonts w:ascii="Arial" w:cs="Arial" w:eastAsia="Arial" w:hAnsi="Arial"/>
          <w:sz w:val="16"/>
          <w:szCs w:val="16"/>
          <w:color w:val="auto"/>
        </w:rPr>
        <w:t>refining/petrochemicals, life sciences, utilities, and warehouse and logistics segments. With millions of installed assets, Industrial Automation deploys outcome-based solutions to increase asset utilization; improve operational efficiency and labor productivity; reduce carbon emissions with less energy consumption; and enhance cyber security for critical infrastructure and operational assets. Industrial Automation offerings include automation control and instrumentation products and services; smart energy products; sensing technologies with an array of custom-engineered sensors and services; gas detection technologies and personal protective equipment; and system design, advanced automation equipment, software and analytics for manufacturing, distribution, and fulfillment operations. Industrial Automation combines these products and services with proprietary machine learning and artificial intelligence algorithms in products and projects which are digitally enabled through the Company's industry leading industrial Internet of Things (IoT) platform, Honeywell Forge.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Building Automation </w:t>
      </w:r>
      <w:r>
        <w:rPr>
          <w:rFonts w:ascii="Arial" w:cs="Arial" w:eastAsia="Arial" w:hAnsi="Arial"/>
          <w:sz w:val="16"/>
          <w:szCs w:val="16"/>
          <w:color w:val="auto"/>
        </w:rPr>
        <w:t>– A global provider of products, software, solutions, and technologies that enable building owners and occupants to ensure their</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are safe, energy efficient, sustainable, and productive. Building Automation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customers to digitally manage buildings, connecting data from different assets to enable smart maintenance, improve building performance, and even protect from incoming security threats.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Energy and Sustainability Solutions </w:t>
      </w:r>
      <w:r>
        <w:rPr>
          <w:rFonts w:ascii="Arial" w:cs="Arial" w:eastAsia="Arial" w:hAnsi="Arial"/>
          <w:sz w:val="16"/>
          <w:szCs w:val="16"/>
          <w:color w:val="auto"/>
        </w:rPr>
        <w:t>– A global provider of industry leading technology, processing, and licensing capabilities combined with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science capabilities and innovative chemistry to offer focused solutions integral to facilitating the world's energy transition. The reportable business segment is comprised of UOP and Advanced Materials business units. The UOP business provides sustainable aviation fuels, petrochemical, refining, and natural gas liquefaction technologies, and carbon management solutions across multiple sectors through process technology solutions, products, including catalysts and adsorbents, equipment and aftermarket services. The Advanced Materials business provides customers with its Solstice lower global warming potential refrigeration and heating solutions, Spectra fibers for high end protective armor and medical applications, and leading-edge semiconductor materials. Honeywell Forge solutions serve customer asset productivity and efficiency needs by providing connectivity, data integration, and software solutions to generate a holistic view of their operations.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18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 xml:space="preserve"> for a summary by disaggregated product and services sales for each reportable business segment.</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recognizes revenue arising from performance obligations outlined in contracts with its customers that are satisfied at a point in time and over time. The disaggregation of the Company's revenue based on timing of recognition is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238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1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720" w:type="dxa"/>
            <w:vAlign w:val="bottom"/>
            <w:tcBorders>
              <w:bottom w:val="single" w:sz="8" w:color="D7282F"/>
            </w:tcBorders>
          </w:tcPr>
          <w:p>
            <w:pPr>
              <w:spacing w:after="0"/>
              <w:rPr>
                <w:sz w:val="17"/>
                <w:szCs w:val="17"/>
                <w:color w:val="auto"/>
              </w:rPr>
            </w:pPr>
          </w:p>
        </w:tc>
        <w:tc>
          <w:tcPr>
            <w:tcW w:w="122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7"/>
                <w:szCs w:val="17"/>
                <w:color w:val="auto"/>
              </w:rPr>
            </w:pPr>
          </w:p>
        </w:tc>
        <w:tc>
          <w:tcPr>
            <w:tcW w:w="122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r>
      <w:tr>
        <w:trPr>
          <w:trHeight w:val="193"/>
        </w:trPr>
        <w:tc>
          <w:tcPr>
            <w:tcW w:w="67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2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56 %</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57 %</w:t>
            </w:r>
          </w:p>
        </w:tc>
        <w:tc>
          <w:tcPr>
            <w:tcW w:w="24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56 %</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57 %</w:t>
            </w:r>
          </w:p>
        </w:tc>
      </w:tr>
      <w:tr>
        <w:trPr>
          <w:trHeight w:val="196"/>
        </w:trPr>
        <w:tc>
          <w:tcPr>
            <w:tcW w:w="67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13</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12</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w:t>
            </w:r>
          </w:p>
        </w:tc>
      </w:tr>
      <w:tr>
        <w:trPr>
          <w:trHeight w:val="199"/>
        </w:trPr>
        <w:tc>
          <w:tcPr>
            <w:tcW w:w="67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product sales</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69</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68</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w:t>
            </w:r>
          </w:p>
        </w:tc>
      </w:tr>
      <w:tr>
        <w:trPr>
          <w:trHeight w:val="193"/>
        </w:trPr>
        <w:tc>
          <w:tcPr>
            <w:tcW w:w="67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r>
      <w:tr>
        <w:trPr>
          <w:trHeight w:val="196"/>
        </w:trPr>
        <w:tc>
          <w:tcPr>
            <w:tcW w:w="67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26</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27</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27</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27</w:t>
            </w:r>
          </w:p>
        </w:tc>
      </w:tr>
      <w:tr>
        <w:trPr>
          <w:trHeight w:val="199"/>
        </w:trPr>
        <w:tc>
          <w:tcPr>
            <w:tcW w:w="67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service sales</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31</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32</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32</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32</w:t>
            </w:r>
          </w:p>
        </w:tc>
      </w:tr>
      <w:tr>
        <w:trPr>
          <w:trHeight w:val="196"/>
        </w:trPr>
        <w:tc>
          <w:tcPr>
            <w:tcW w:w="67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sales</w:t>
            </w:r>
          </w:p>
        </w:tc>
        <w:tc>
          <w:tcPr>
            <w:tcW w:w="1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200" w:lineRule="exact"/>
        <w:rPr>
          <w:sz w:val="20"/>
          <w:szCs w:val="20"/>
          <w:color w:val="auto"/>
        </w:rPr>
      </w:pPr>
    </w:p>
    <w:p>
      <w:pPr>
        <w:spacing w:after="0" w:line="266"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Borders>
              <w:bottom w:val="single" w:sz="8" w:color="D7282F"/>
            </w:tcBorders>
          </w:tcPr>
          <w:p>
            <w:pPr>
              <w:spacing w:after="0"/>
              <w:rPr>
                <w:sz w:val="17"/>
                <w:szCs w:val="17"/>
                <w:color w:val="auto"/>
              </w:rPr>
            </w:pP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assets—January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2,207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2,013</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assets—June 30</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2,562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2,072</w:t>
            </w:r>
          </w:p>
        </w:tc>
      </w:tr>
      <w:tr>
        <w:trPr>
          <w:trHeight w:val="199"/>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assets - increase (decrease)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355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59</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liabilities—January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(4,220)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(4,326)</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liabilities—June 30</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(4,371)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(4,096)</w:t>
            </w:r>
          </w:p>
        </w:tc>
      </w:tr>
      <w:tr>
        <w:trPr>
          <w:trHeight w:val="199"/>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liabilities - (increase) decrease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(151)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230</w:t>
            </w:r>
          </w:p>
        </w:tc>
      </w:tr>
      <w:tr>
        <w:trPr>
          <w:trHeight w:val="196"/>
        </w:trPr>
        <w:tc>
          <w:tcPr>
            <w:tcW w:w="6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change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289</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three and six months ended June 30, 2025, the Company recognized revenue of $442 million and $1,442 million, respectively, that was previously included in the beginning balance of contract liabilities. For the three and six months ended June 30, 2024, the Company recognized revenue of $494 million and $1,487 million, respectively, that was previously included in the beginning balance of contract liabilities.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Contract assets included $2,503 million and $2,139 million of unbilled balances under long-term contracts as of June 30, 2025, and December 31, 2024, respectively. These amounts are billed in accordance with the terms of customer contracts to which they relate.</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Company's remaining performance obligations as of June 30, 2025, are $36,601 million.</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Performance obligations recognized as of June 30, 2025,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56% and 44%, respectively.</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395"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net repositioning and other charges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58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Severance</w:t>
            </w:r>
          </w:p>
        </w:tc>
        <w:tc>
          <w:tcPr>
            <w:tcW w:w="580" w:type="dxa"/>
            <w:vAlign w:val="bottom"/>
            <w:tcBorders>
              <w:bottom w:val="single" w:sz="8" w:color="61656A"/>
            </w:tcBorders>
          </w:tcPr>
          <w:p>
            <w:pPr>
              <w:jc w:val="right"/>
              <w:ind w:right="4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 impairments</w:t>
            </w:r>
          </w:p>
        </w:tc>
        <w:tc>
          <w:tcPr>
            <w:tcW w:w="5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Exit costs</w:t>
            </w:r>
          </w:p>
        </w:tc>
        <w:tc>
          <w:tcPr>
            <w:tcW w:w="5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5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w w:val="96"/>
              </w:rPr>
              <w:t>(11)</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charges</w:t>
            </w:r>
          </w:p>
        </w:tc>
        <w:tc>
          <w:tcPr>
            <w:tcW w:w="5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charges, net of insurance and reimbursements</w:t>
            </w:r>
          </w:p>
        </w:tc>
        <w:tc>
          <w:tcPr>
            <w:tcW w:w="5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5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charges</w:t>
            </w:r>
          </w:p>
        </w:tc>
        <w:tc>
          <w:tcPr>
            <w:tcW w:w="5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Total net repositioning and other charges</w:t>
            </w:r>
          </w:p>
        </w:tc>
        <w:tc>
          <w:tcPr>
            <w:tcW w:w="58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137</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62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w:t>
            </w:r>
          </w:p>
        </w:tc>
        <w:tc>
          <w:tcPr>
            <w:tcW w:w="4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67</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6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w:t>
            </w:r>
          </w:p>
        </w:tc>
        <w:tc>
          <w:tcPr>
            <w:tcW w:w="4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84</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The following table summarizes the pre-tax amount of total net repositioning and other charges by reportable business segment. These amounts are excluded from segment profit as described in Note 18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62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6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6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6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6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w:t>
            </w:r>
          </w:p>
        </w:tc>
        <w:tc>
          <w:tcPr>
            <w:tcW w:w="4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137</w:t>
            </w: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REPOSITIONING CHARGES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June 30, 2025, the Company recognized gross repositioning charges totaling $21 million, including severance costs of $3 million related to workforce reductions of 149 manufacturing and administrative positions primarily in the Company's Industrial Automation reportable business segment. The workforce reductions related to productivity and ongoing functional transformation initiatives. The repositioning charges included asset impairments of $1 million related to the write-down of certain assets within the corporate function. The repositioning charges also included exit costs of $17 million related to current period costs incurred for closure obligations associated with site transitions primarily in the Company's Industrial Automation reportable business segment and corporate function. Also, $11 million of previously established reserves, primarily for severance, were returned to income due to higher-than-expected voluntary exits and adjustments to the scope of previously announced repositioning actions.</w:t>
      </w:r>
    </w:p>
    <w:p>
      <w:pPr>
        <w:spacing w:after="0" w:line="200" w:lineRule="exact"/>
        <w:rPr>
          <w:sz w:val="20"/>
          <w:szCs w:val="20"/>
          <w:color w:val="auto"/>
        </w:rPr>
      </w:pPr>
    </w:p>
    <w:p>
      <w:pPr>
        <w:spacing w:after="0" w:line="221"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three months ended June 30, 2024, the Company recognized gross repositioning charges totaling $39 million, including severance costs of $20 million related to workforce reductions of 645 manufacturing and administrative positions primarily in the Company's Industrial Automation reportable business segments and corporate function. The workforce reductions related to productivity and ongoing functional transformation initiatives. The repositioning charges included asset impairments of $1 million related to the write-down of certain assets within the Company's corporate function. The repositioning charges also included exit costs of $18 million related to current period costs incurred for closure obligations associated with site transitions primarily in the Company's Industrial Automation reportable business segment and corporate function. Also, $12 million of previously established reserves, primarily for severance, were returned to income due to higher-than-expected voluntary exits and adjustments to the scope of previously announced repositioning actions.</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six months ended June 30, 2025, the Company recognized gross repositioning charges totaling $57 million, including severance costs of $27 million related to workforce reductions of 862 manufacturing and administrative positions primarily in the Company's Building Automation and Industrial Automation reportable business segments. The workforce reductions related to productivity and ongoing functional transformation initiatives. The repositioning charges also included asset impairments of $2 million for the write-down of certain assets within the Company's Industrial Automation reportable business segment and corporate function. The repositioning charges also included exit costs of $28 million primarily related to current period costs incurred for closure obligations associated with site transitions primarily in the Company's Industrial Automation and Building Automation reportable business segments and corporate function. Also, $38 million of previously established reserves, primarily for severance, were returned to income due to higher-than-expected voluntary exits and adjustments to the scope of previously announced repositioning actions.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the six months ended June 30, 2024, the Company recognized gross repositioning charges totaling $88 million, including severance costs of $53 million related to workforce reductions of 2,007 manufacturing and administrative positions primarily in the Company's Industrial Automation reportable business segments and corporate function. The workforce reductions related to productivity and ongoing functional transformation initiatives. The repositioning charges included asset impairments of $2 million related to the write-down of certain assets within the Company's Industrial Automation reportable business segment. The repositioning charges also included exit costs of $33 million related to current period costs incurred for closure obligations associated with site transitions primarily in the Company's Industrial Automation reportable business segment and corporate function. Also, $27 million of previously established reserves, primarily for severance, were returned to income due to adjustments to the scope of previously announced repositioning actions.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repositioning reserves, excluding amounts that are included in Liabilities held for sale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auto"/>
              </w:rPr>
              <w:t>Exit</w:t>
            </w:r>
          </w:p>
        </w:tc>
        <w:tc>
          <w:tcPr>
            <w:tcW w:w="360" w:type="dxa"/>
            <w:vAlign w:val="bottom"/>
          </w:tcPr>
          <w:p>
            <w:pPr>
              <w:spacing w:after="0"/>
              <w:rPr>
                <w:sz w:val="14"/>
                <w:szCs w:val="14"/>
                <w:color w:val="auto"/>
              </w:rPr>
            </w:pPr>
          </w:p>
        </w:tc>
        <w:tc>
          <w:tcPr>
            <w:tcW w:w="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D7282F"/>
            </w:tcBorders>
          </w:tcPr>
          <w:p>
            <w:pPr>
              <w:spacing w:after="0"/>
              <w:rPr>
                <w:sz w:val="16"/>
                <w:szCs w:val="16"/>
                <w:color w:val="auto"/>
              </w:rPr>
            </w:pPr>
          </w:p>
        </w:tc>
        <w:tc>
          <w:tcPr>
            <w:tcW w:w="208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Impairments</w:t>
            </w:r>
          </w:p>
        </w:tc>
        <w:tc>
          <w:tcPr>
            <w:tcW w:w="3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w:t>
            </w:r>
          </w:p>
        </w:tc>
        <w:tc>
          <w:tcPr>
            <w:tcW w:w="0" w:type="dxa"/>
            <w:vAlign w:val="bottom"/>
          </w:tcPr>
          <w:p>
            <w:pPr>
              <w:spacing w:after="0"/>
              <w:rPr>
                <w:sz w:val="1"/>
                <w:szCs w:val="1"/>
                <w:color w:val="auto"/>
              </w:rPr>
            </w:pPr>
          </w:p>
        </w:tc>
      </w:tr>
      <w:tr>
        <w:trPr>
          <w:trHeight w:val="193"/>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Charges</w:t>
            </w:r>
          </w:p>
        </w:tc>
        <w:tc>
          <w:tcPr>
            <w:tcW w:w="2080" w:type="dxa"/>
            <w:vAlign w:val="bottom"/>
            <w:tcBorders>
              <w:bottom w:val="single" w:sz="8" w:color="61656A"/>
            </w:tcBorders>
          </w:tcPr>
          <w:p>
            <w:pPr>
              <w:spacing w:after="0"/>
              <w:rPr>
                <w:sz w:val="16"/>
                <w:szCs w:val="16"/>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w:t>
            </w:r>
          </w:p>
        </w:tc>
        <w:tc>
          <w:tcPr>
            <w:tcW w:w="36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Usage—cash</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(48)</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(33)</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Usage—noncash</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Adjustments</w:t>
            </w:r>
          </w:p>
        </w:tc>
        <w:tc>
          <w:tcPr>
            <w:tcW w:w="208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9"/>
        </w:trPr>
        <w:tc>
          <w:tcPr>
            <w:tcW w:w="4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six months ended June 30, 2025, and 2024, were $29 million and $26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CHARGES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six months ended June 30, 2024, the Company recognized Other charges of $17 million related to the settlement of a contractual dispute with a Russian entity associated with the Company's suspension and wind down activities in Russia. The charges were recorded in Other (income) expense in the Consolidated Statement of Operations.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Given the uncertainty inherent in the Company's remaining obligations related to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suspension and wind down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a discussion of the recognition and measurement of estimate for contingencies.</w:t>
      </w:r>
    </w:p>
    <w:p>
      <w:pPr>
        <w:spacing w:after="0" w:line="200" w:lineRule="exact"/>
        <w:rPr>
          <w:sz w:val="20"/>
          <w:szCs w:val="20"/>
          <w:color w:val="auto"/>
        </w:rPr>
      </w:pPr>
    </w:p>
    <w:p>
      <w:pPr>
        <w:spacing w:after="0" w:line="221"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effective tax rate was lower than the U.S. federal statutory rate of 21% and decreased during 2025 compared to 2024 as a result of decreased tax expense related to foreign tax matters.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July 4, 2025, H.R.1, commonly referred to as the One Big Beautiful Bill Act (OBBBA) was enacted. The OBBBA includes a broad range of tax reform provisions affecting businesses, including extending and modifying certain key Tax Cuts &amp; Jobs Act provisions (both domestic and international), expanding certain Inflation Reduction Act incentives, and accelerating the phase-out of or repealing others.</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tcBorders>
              <w:bottom w:val="single" w:sz="8" w:color="D7282F"/>
            </w:tcBorders>
          </w:tcPr>
          <w:p>
            <w:pPr>
              <w:spacing w:after="0"/>
              <w:rPr>
                <w:sz w:val="17"/>
                <w:szCs w:val="17"/>
                <w:color w:val="auto"/>
              </w:rPr>
            </w:pPr>
          </w:p>
        </w:tc>
        <w:tc>
          <w:tcPr>
            <w:tcW w:w="33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June 30, 2025</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Raw materials</w:t>
            </w:r>
          </w:p>
        </w:tc>
        <w:tc>
          <w:tcPr>
            <w:tcW w:w="33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1,875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1,528</w:t>
            </w:r>
          </w:p>
        </w:tc>
      </w:tr>
      <w:tr>
        <w:trPr>
          <w:trHeight w:val="196"/>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Work in process</w:t>
            </w:r>
          </w:p>
        </w:tc>
        <w:tc>
          <w:tcPr>
            <w:tcW w:w="336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1,409</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1,346</w:t>
            </w:r>
          </w:p>
        </w:tc>
      </w:tr>
      <w:tr>
        <w:trPr>
          <w:trHeight w:val="196"/>
        </w:trPr>
        <w:tc>
          <w:tcPr>
            <w:tcW w:w="43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33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3,729</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3,568</w:t>
            </w:r>
          </w:p>
        </w:tc>
      </w:tr>
      <w:tr>
        <w:trPr>
          <w:trHeight w:val="199"/>
        </w:trPr>
        <w:tc>
          <w:tcPr>
            <w:tcW w:w="4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Inventories</w:t>
            </w:r>
          </w:p>
        </w:tc>
        <w:tc>
          <w:tcPr>
            <w:tcW w:w="33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7,013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6,442</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29"/>
          <w:szCs w:val="29"/>
          <w:color w:val="D7282F"/>
        </w:rPr>
        <w:t>NOTE 8. GOODWILL AND OTHER INTANGIBLE ASSETS—NET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the carrying amount of goodwill for the six months ended June 30, 2025, by reportable business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28"/>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Currency</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72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Acquisitions</w:t>
            </w:r>
          </w:p>
        </w:tc>
        <w:tc>
          <w:tcPr>
            <w:tcW w:w="140" w:type="dxa"/>
            <w:vAlign w:val="bottom"/>
          </w:tcPr>
          <w:p>
            <w:pPr>
              <w:spacing w:after="0"/>
              <w:rPr>
                <w:sz w:val="12"/>
                <w:szCs w:val="12"/>
                <w:color w:val="auto"/>
              </w:rPr>
            </w:pPr>
          </w:p>
        </w:tc>
        <w:tc>
          <w:tcPr>
            <w:tcW w:w="1040" w:type="dxa"/>
            <w:vAlign w:val="bottom"/>
            <w:gridSpan w:val="2"/>
          </w:tcPr>
          <w:p>
            <w:pPr>
              <w:jc w:val="right"/>
              <w:ind w:right="108"/>
              <w:spacing w:after="0" w:line="149" w:lineRule="exact"/>
              <w:rPr>
                <w:sz w:val="20"/>
                <w:szCs w:val="20"/>
                <w:color w:val="auto"/>
              </w:rPr>
            </w:pPr>
            <w:r>
              <w:rPr>
                <w:rFonts w:ascii="Arial" w:cs="Arial" w:eastAsia="Arial" w:hAnsi="Arial"/>
                <w:sz w:val="14"/>
                <w:szCs w:val="14"/>
                <w:b w:val="1"/>
                <w:bCs w:val="1"/>
                <w:color w:val="auto"/>
              </w:rPr>
              <w:t>Translation</w:t>
            </w:r>
          </w:p>
        </w:tc>
        <w:tc>
          <w:tcPr>
            <w:tcW w:w="420" w:type="dxa"/>
            <w:vAlign w:val="bottom"/>
          </w:tcPr>
          <w:p>
            <w:pPr>
              <w:spacing w:after="0"/>
              <w:rPr>
                <w:sz w:val="12"/>
                <w:szCs w:val="12"/>
                <w:color w:val="auto"/>
              </w:rPr>
            </w:pPr>
          </w:p>
        </w:tc>
        <w:tc>
          <w:tcPr>
            <w:tcW w:w="11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June 30, 2025</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center"/>
              <w:ind w:left="24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D7282F"/>
            </w:tcBorders>
          </w:tcPr>
          <w:p>
            <w:pPr>
              <w:spacing w:after="0"/>
              <w:rPr>
                <w:sz w:val="16"/>
                <w:szCs w:val="16"/>
                <w:color w:val="auto"/>
              </w:rPr>
            </w:pPr>
          </w:p>
        </w:tc>
        <w:tc>
          <w:tcPr>
            <w:tcW w:w="1720" w:type="dxa"/>
            <w:vAlign w:val="bottom"/>
            <w:tcBorders>
              <w:bottom w:val="single" w:sz="8" w:color="D7282F"/>
            </w:tcBorders>
            <w:gridSpan w:val="4"/>
            <w:vMerge w:val="continue"/>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Adjustment</w:t>
            </w:r>
          </w:p>
        </w:tc>
        <w:tc>
          <w:tcPr>
            <w:tcW w:w="42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00" w:type="dxa"/>
            <w:vAlign w:val="bottom"/>
          </w:tcPr>
          <w:p>
            <w:pPr>
              <w:ind w:left="20"/>
              <w:spacing w:after="0"/>
              <w:rPr>
                <w:sz w:val="20"/>
                <w:szCs w:val="20"/>
                <w:color w:val="auto"/>
              </w:rPr>
            </w:pPr>
            <w:r>
              <w:rPr>
                <w:rFonts w:ascii="Arial" w:cs="Arial" w:eastAsia="Arial" w:hAnsi="Arial"/>
                <w:sz w:val="14"/>
                <w:szCs w:val="14"/>
                <w:color w:val="auto"/>
              </w:rPr>
              <w:t>Aerospace Technologies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3,028</w:t>
            </w:r>
          </w:p>
        </w:tc>
        <w:tc>
          <w:tcPr>
            <w:tcW w:w="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3,063</w:t>
            </w:r>
          </w:p>
        </w:tc>
        <w:tc>
          <w:tcPr>
            <w:tcW w:w="0" w:type="dxa"/>
            <w:vAlign w:val="bottom"/>
          </w:tcPr>
          <w:p>
            <w:pPr>
              <w:spacing w:after="0"/>
              <w:rPr>
                <w:sz w:val="1"/>
                <w:szCs w:val="1"/>
                <w:color w:val="auto"/>
              </w:rPr>
            </w:pPr>
          </w:p>
        </w:tc>
      </w:tr>
      <w:tr>
        <w:trPr>
          <w:trHeight w:val="196"/>
        </w:trPr>
        <w:tc>
          <w:tcPr>
            <w:tcW w:w="3900" w:type="dxa"/>
            <w:vAlign w:val="bottom"/>
            <w:tcBorders>
              <w:top w:val="single" w:sz="8" w:color="888B8D"/>
              <w:bottom w:val="single" w:sz="8" w:color="888B8D"/>
            </w:tcBorders>
          </w:tcPr>
          <w:p>
            <w:pPr>
              <w:ind w:left="20"/>
              <w:spacing w:after="0"/>
              <w:rPr>
                <w:sz w:val="20"/>
                <w:szCs w:val="20"/>
                <w:color w:val="auto"/>
              </w:rPr>
            </w:pPr>
            <w:r>
              <w:rPr>
                <w:rFonts w:ascii="Arial" w:cs="Arial" w:eastAsia="Arial" w:hAnsi="Arial"/>
                <w:sz w:val="14"/>
                <w:szCs w:val="14"/>
                <w:color w:val="auto"/>
              </w:rPr>
              <w:t>Industrial Automation</w:t>
            </w:r>
          </w:p>
        </w:tc>
        <w:tc>
          <w:tcPr>
            <w:tcW w:w="140" w:type="dxa"/>
            <w:vAlign w:val="bottom"/>
            <w:tcBorders>
              <w:top w:val="single" w:sz="8" w:color="888B8D"/>
              <w:bottom w:val="single" w:sz="8" w:color="888B8D"/>
            </w:tcBorders>
          </w:tcPr>
          <w:p>
            <w:pPr>
              <w:spacing w:after="0"/>
              <w:rPr>
                <w:sz w:val="17"/>
                <w:szCs w:val="17"/>
                <w:color w:val="auto"/>
              </w:rPr>
            </w:pPr>
          </w:p>
        </w:tc>
        <w:tc>
          <w:tcPr>
            <w:tcW w:w="860" w:type="dxa"/>
            <w:vAlign w:val="bottom"/>
            <w:tcBorders>
              <w:top w:val="single" w:sz="8" w:color="888B8D"/>
              <w:bottom w:val="single" w:sz="8" w:color="888B8D"/>
            </w:tcBorders>
          </w:tcPr>
          <w:p>
            <w:pPr>
              <w:spacing w:after="0"/>
              <w:rPr>
                <w:sz w:val="17"/>
                <w:szCs w:val="17"/>
                <w:color w:val="auto"/>
              </w:rPr>
            </w:pPr>
          </w:p>
        </w:tc>
        <w:tc>
          <w:tcPr>
            <w:tcW w:w="680" w:type="dxa"/>
            <w:vAlign w:val="bottom"/>
            <w:tcBorders>
              <w:top w:val="single" w:sz="8" w:color="888B8D"/>
              <w:bottom w:val="single" w:sz="8" w:color="888B8D"/>
            </w:tcBorders>
          </w:tcPr>
          <w:p>
            <w:pPr>
              <w:spacing w:after="0"/>
              <w:rPr>
                <w:sz w:val="17"/>
                <w:szCs w:val="17"/>
                <w:color w:val="auto"/>
              </w:rPr>
            </w:pPr>
          </w:p>
        </w:tc>
        <w:tc>
          <w:tcPr>
            <w:tcW w:w="120" w:type="dxa"/>
            <w:vAlign w:val="bottom"/>
            <w:tcBorders>
              <w:top w:val="single" w:sz="8" w:color="61656A"/>
              <w:bottom w:val="single" w:sz="8" w:color="61656A"/>
            </w:tcBorders>
          </w:tcPr>
          <w:p>
            <w:pPr>
              <w:spacing w:after="0"/>
              <w:rPr>
                <w:sz w:val="17"/>
                <w:szCs w:val="17"/>
                <w:color w:val="auto"/>
              </w:rPr>
            </w:pPr>
          </w:p>
        </w:tc>
        <w:tc>
          <w:tcPr>
            <w:tcW w:w="680" w:type="dxa"/>
            <w:vAlign w:val="bottom"/>
            <w:tcBorders>
              <w:top w:val="single" w:sz="8" w:color="61656A"/>
              <w:bottom w:val="single" w:sz="8" w:color="61656A"/>
            </w:tcBorders>
          </w:tcPr>
          <w:p>
            <w:pPr>
              <w:spacing w:after="0"/>
              <w:rPr>
                <w:sz w:val="17"/>
                <w:szCs w:val="17"/>
                <w:color w:val="auto"/>
              </w:rPr>
            </w:pPr>
          </w:p>
        </w:tc>
        <w:tc>
          <w:tcPr>
            <w:tcW w:w="44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9,164</w:t>
            </w:r>
          </w:p>
        </w:tc>
        <w:tc>
          <w:tcPr>
            <w:tcW w:w="640" w:type="dxa"/>
            <w:vAlign w:val="bottom"/>
            <w:tcBorders>
              <w:top w:val="single" w:sz="8" w:color="61656A"/>
              <w:bottom w:val="single" w:sz="8" w:color="61656A"/>
            </w:tcBorders>
          </w:tcPr>
          <w:p>
            <w:pPr>
              <w:spacing w:after="0"/>
              <w:rPr>
                <w:sz w:val="17"/>
                <w:szCs w:val="17"/>
                <w:color w:val="auto"/>
              </w:rPr>
            </w:pPr>
          </w:p>
        </w:tc>
        <w:tc>
          <w:tcPr>
            <w:tcW w:w="220" w:type="dxa"/>
            <w:vAlign w:val="bottom"/>
            <w:tcBorders>
              <w:top w:val="single" w:sz="8" w:color="61656A"/>
              <w:bottom w:val="single" w:sz="8" w:color="61656A"/>
            </w:tcBorders>
          </w:tcPr>
          <w:p>
            <w:pPr>
              <w:spacing w:after="0"/>
              <w:rPr>
                <w:sz w:val="17"/>
                <w:szCs w:val="17"/>
                <w:color w:val="auto"/>
              </w:rPr>
            </w:pPr>
          </w:p>
        </w:tc>
        <w:tc>
          <w:tcPr>
            <w:tcW w:w="140" w:type="dxa"/>
            <w:vAlign w:val="bottom"/>
            <w:tcBorders>
              <w:top w:val="single" w:sz="8" w:color="61656A"/>
              <w:bottom w:val="single" w:sz="8" w:color="61656A"/>
            </w:tcBorders>
          </w:tcPr>
          <w:p>
            <w:pPr>
              <w:spacing w:after="0"/>
              <w:rPr>
                <w:sz w:val="17"/>
                <w:szCs w:val="17"/>
                <w:color w:val="auto"/>
              </w:rPr>
            </w:pPr>
          </w:p>
        </w:tc>
        <w:tc>
          <w:tcPr>
            <w:tcW w:w="720" w:type="dxa"/>
            <w:vAlign w:val="bottom"/>
            <w:tcBorders>
              <w:top w:val="single" w:sz="8" w:color="61656A"/>
              <w:bottom w:val="single" w:sz="8" w:color="61656A"/>
            </w:tcBorders>
          </w:tcPr>
          <w:p>
            <w:pPr>
              <w:jc w:val="right"/>
              <w:ind w:right="228"/>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61656A"/>
              <w:bottom w:val="single" w:sz="8" w:color="61656A"/>
            </w:tcBorders>
          </w:tcPr>
          <w:p>
            <w:pPr>
              <w:spacing w:after="0"/>
              <w:rPr>
                <w:sz w:val="17"/>
                <w:szCs w:val="17"/>
                <w:color w:val="auto"/>
              </w:rPr>
            </w:pPr>
          </w:p>
        </w:tc>
        <w:tc>
          <w:tcPr>
            <w:tcW w:w="380" w:type="dxa"/>
            <w:vAlign w:val="bottom"/>
            <w:tcBorders>
              <w:top w:val="single" w:sz="8" w:color="61656A"/>
              <w:bottom w:val="single" w:sz="8" w:color="61656A"/>
            </w:tcBorders>
          </w:tcPr>
          <w:p>
            <w:pPr>
              <w:spacing w:after="0"/>
              <w:rPr>
                <w:sz w:val="17"/>
                <w:szCs w:val="17"/>
                <w:color w:val="auto"/>
              </w:rPr>
            </w:pPr>
          </w:p>
        </w:tc>
        <w:tc>
          <w:tcPr>
            <w:tcW w:w="6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302</w:t>
            </w:r>
          </w:p>
        </w:tc>
        <w:tc>
          <w:tcPr>
            <w:tcW w:w="420" w:type="dxa"/>
            <w:vAlign w:val="bottom"/>
            <w:tcBorders>
              <w:top w:val="single" w:sz="8" w:color="61656A"/>
              <w:bottom w:val="single" w:sz="8" w:color="61656A"/>
            </w:tcBorders>
          </w:tcPr>
          <w:p>
            <w:pPr>
              <w:spacing w:after="0"/>
              <w:rPr>
                <w:sz w:val="17"/>
                <w:szCs w:val="17"/>
                <w:color w:val="auto"/>
              </w:rPr>
            </w:pPr>
          </w:p>
        </w:tc>
        <w:tc>
          <w:tcPr>
            <w:tcW w:w="320" w:type="dxa"/>
            <w:vAlign w:val="bottom"/>
            <w:tcBorders>
              <w:top w:val="single" w:sz="8" w:color="61656A"/>
              <w:bottom w:val="single" w:sz="8" w:color="61656A"/>
            </w:tcBorders>
          </w:tcPr>
          <w:p>
            <w:pPr>
              <w:spacing w:after="0"/>
              <w:rPr>
                <w:sz w:val="17"/>
                <w:szCs w:val="17"/>
                <w:color w:val="auto"/>
              </w:rPr>
            </w:pPr>
          </w:p>
        </w:tc>
        <w:tc>
          <w:tcPr>
            <w:tcW w:w="78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9,466</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Building Automation</w:t>
            </w:r>
          </w:p>
        </w:tc>
        <w:tc>
          <w:tcPr>
            <w:tcW w:w="140" w:type="dxa"/>
            <w:vAlign w:val="bottom"/>
            <w:tcBorders>
              <w:bottom w:val="single" w:sz="8" w:color="888B8D"/>
            </w:tcBorders>
          </w:tcPr>
          <w:p>
            <w:pPr>
              <w:spacing w:after="0"/>
              <w:rPr>
                <w:sz w:val="17"/>
                <w:szCs w:val="17"/>
                <w:color w:val="auto"/>
              </w:rPr>
            </w:pPr>
          </w:p>
        </w:tc>
        <w:tc>
          <w:tcPr>
            <w:tcW w:w="86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6,136</w:t>
            </w:r>
          </w:p>
        </w:tc>
        <w:tc>
          <w:tcPr>
            <w:tcW w:w="6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97</w:t>
            </w:r>
          </w:p>
        </w:tc>
        <w:tc>
          <w:tcPr>
            <w:tcW w:w="14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165</w:t>
            </w:r>
          </w:p>
        </w:tc>
        <w:tc>
          <w:tcPr>
            <w:tcW w:w="4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6,398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140" w:type="dxa"/>
            <w:vAlign w:val="bottom"/>
            <w:tcBorders>
              <w:bottom w:val="single" w:sz="8" w:color="888B8D"/>
            </w:tcBorders>
          </w:tcPr>
          <w:p>
            <w:pPr>
              <w:spacing w:after="0"/>
              <w:rPr>
                <w:sz w:val="17"/>
                <w:szCs w:val="17"/>
                <w:color w:val="auto"/>
              </w:rPr>
            </w:pPr>
          </w:p>
        </w:tc>
        <w:tc>
          <w:tcPr>
            <w:tcW w:w="86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2,598</w:t>
            </w:r>
          </w:p>
        </w:tc>
        <w:tc>
          <w:tcPr>
            <w:tcW w:w="6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1,305</w:t>
            </w:r>
          </w:p>
        </w:tc>
        <w:tc>
          <w:tcPr>
            <w:tcW w:w="14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c>
          <w:tcPr>
            <w:tcW w:w="4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3,916</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899</w:t>
            </w:r>
          </w:p>
        </w:tc>
        <w:tc>
          <w:tcPr>
            <w:tcW w:w="6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62</w:t>
            </w:r>
          </w:p>
        </w:tc>
        <w:tc>
          <w:tcPr>
            <w:tcW w:w="4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Goodwill</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21,825</w:t>
            </w:r>
          </w:p>
        </w:tc>
        <w:tc>
          <w:tcPr>
            <w:tcW w:w="6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1,403</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576</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23,804</w:t>
            </w:r>
          </w:p>
        </w:tc>
        <w:tc>
          <w:tcPr>
            <w:tcW w:w="0" w:type="dxa"/>
            <w:vAlign w:val="bottom"/>
          </w:tcPr>
          <w:p>
            <w:pPr>
              <w:spacing w:after="0"/>
              <w:rPr>
                <w:sz w:val="1"/>
                <w:szCs w:val="1"/>
                <w:color w:val="auto"/>
              </w:rPr>
            </w:pPr>
          </w:p>
        </w:tc>
      </w:tr>
      <w:tr>
        <w:trPr>
          <w:trHeight w:val="384"/>
        </w:trPr>
        <w:tc>
          <w:tcPr>
            <w:tcW w:w="3900" w:type="dxa"/>
            <w:vAlign w:val="bottom"/>
          </w:tcPr>
          <w:p>
            <w:pPr>
              <w:spacing w:after="0"/>
              <w:rPr>
                <w:sz w:val="20"/>
                <w:szCs w:val="20"/>
                <w:color w:val="auto"/>
              </w:rPr>
            </w:pPr>
            <w:r>
              <w:rPr>
                <w:rFonts w:ascii="Arial" w:cs="Arial" w:eastAsia="Arial" w:hAnsi="Arial"/>
                <w:sz w:val="16"/>
                <w:szCs w:val="16"/>
                <w:color w:val="auto"/>
              </w:rPr>
              <w:t>Other intangible assets are comprised of:</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90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1480" w:type="dxa"/>
            <w:vAlign w:val="bottom"/>
            <w:tcBorders>
              <w:bottom w:val="single" w:sz="8" w:color="D7282F"/>
            </w:tcBorders>
            <w:gridSpan w:val="3"/>
          </w:tcPr>
          <w:p>
            <w:pPr>
              <w:jc w:val="center"/>
              <w:ind w:left="28"/>
              <w:spacing w:after="0"/>
              <w:rPr>
                <w:sz w:val="20"/>
                <w:szCs w:val="20"/>
                <w:color w:val="auto"/>
              </w:rPr>
            </w:pPr>
            <w:r>
              <w:rPr>
                <w:rFonts w:ascii="Arial" w:cs="Arial" w:eastAsia="Arial" w:hAnsi="Arial"/>
                <w:sz w:val="14"/>
                <w:szCs w:val="14"/>
                <w:b w:val="1"/>
                <w:bCs w:val="1"/>
                <w:color w:val="auto"/>
              </w:rPr>
              <w:t>June 30, 2025</w:t>
            </w:r>
          </w:p>
        </w:tc>
        <w:tc>
          <w:tcPr>
            <w:tcW w:w="440" w:type="dxa"/>
            <w:vAlign w:val="bottom"/>
            <w:tcBorders>
              <w:bottom w:val="single" w:sz="8" w:color="D7282F"/>
            </w:tcBorders>
          </w:tcPr>
          <w:p>
            <w:pPr>
              <w:spacing w:after="0"/>
              <w:rPr>
                <w:sz w:val="24"/>
                <w:szCs w:val="24"/>
                <w:color w:val="auto"/>
              </w:rPr>
            </w:pPr>
          </w:p>
        </w:tc>
        <w:tc>
          <w:tcPr>
            <w:tcW w:w="640" w:type="dxa"/>
            <w:vAlign w:val="bottom"/>
            <w:tcBorders>
              <w:bottom w:val="single" w:sz="8" w:color="D7282F"/>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720" w:type="dxa"/>
            <w:vAlign w:val="bottom"/>
            <w:tcBorders>
              <w:bottom w:val="single" w:sz="8" w:color="D7282F"/>
            </w:tcBorders>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1460" w:type="dxa"/>
            <w:vAlign w:val="bottom"/>
            <w:tcBorders>
              <w:bottom w:val="single" w:sz="8" w:color="D7282F"/>
            </w:tcBorders>
            <w:gridSpan w:val="3"/>
          </w:tcPr>
          <w:p>
            <w:pPr>
              <w:ind w:left="140"/>
              <w:spacing w:after="0"/>
              <w:rPr>
                <w:sz w:val="20"/>
                <w:szCs w:val="20"/>
                <w:color w:val="auto"/>
              </w:rPr>
            </w:pPr>
            <w:r>
              <w:rPr>
                <w:rFonts w:ascii="Arial" w:cs="Arial" w:eastAsia="Arial" w:hAnsi="Arial"/>
                <w:sz w:val="14"/>
                <w:szCs w:val="14"/>
                <w:b w:val="1"/>
                <w:bCs w:val="1"/>
                <w:color w:val="auto"/>
              </w:rPr>
              <w:t>December 31, 2024</w:t>
            </w:r>
          </w:p>
        </w:tc>
        <w:tc>
          <w:tcPr>
            <w:tcW w:w="320" w:type="dxa"/>
            <w:vAlign w:val="bottom"/>
            <w:tcBorders>
              <w:bottom w:val="single" w:sz="8" w:color="D7282F"/>
            </w:tcBorders>
          </w:tcPr>
          <w:p>
            <w:pPr>
              <w:spacing w:after="0"/>
              <w:rPr>
                <w:sz w:val="24"/>
                <w:szCs w:val="24"/>
                <w:color w:val="auto"/>
              </w:rPr>
            </w:pPr>
          </w:p>
        </w:tc>
        <w:tc>
          <w:tcPr>
            <w:tcW w:w="7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148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72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Gross</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1480" w:type="dxa"/>
            <w:vAlign w:val="bottom"/>
            <w:gridSpan w:val="3"/>
            <w:vMerge w:val="continue"/>
          </w:tcPr>
          <w:p>
            <w:pPr>
              <w:spacing w:after="0"/>
              <w:rPr>
                <w:sz w:val="12"/>
                <w:szCs w:val="12"/>
                <w:color w:val="auto"/>
              </w:rPr>
            </w:pPr>
          </w:p>
        </w:tc>
        <w:tc>
          <w:tcPr>
            <w:tcW w:w="13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7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1480" w:type="dxa"/>
            <w:vAlign w:val="bottom"/>
            <w:tcBorders>
              <w:bottom w:val="single" w:sz="8" w:color="D7282F"/>
            </w:tcBorders>
            <w:gridSpan w:val="3"/>
          </w:tcPr>
          <w:p>
            <w:pPr>
              <w:jc w:val="center"/>
              <w:ind w:left="8"/>
              <w:spacing w:after="0"/>
              <w:rPr>
                <w:sz w:val="20"/>
                <w:szCs w:val="20"/>
                <w:color w:val="auto"/>
              </w:rPr>
            </w:pPr>
            <w:r>
              <w:rPr>
                <w:rFonts w:ascii="Arial" w:cs="Arial" w:eastAsia="Arial" w:hAnsi="Arial"/>
                <w:sz w:val="14"/>
                <w:szCs w:val="14"/>
                <w:b w:val="1"/>
                <w:bCs w:val="1"/>
                <w:color w:val="auto"/>
              </w:rPr>
              <w:t>Amortization</w:t>
            </w:r>
          </w:p>
        </w:tc>
        <w:tc>
          <w:tcPr>
            <w:tcW w:w="1300" w:type="dxa"/>
            <w:vAlign w:val="bottom"/>
            <w:tcBorders>
              <w:bottom w:val="single" w:sz="8" w:color="D7282F"/>
            </w:tcBorders>
            <w:gridSpan w:val="3"/>
          </w:tcPr>
          <w:p>
            <w:pPr>
              <w:jc w:val="center"/>
              <w:ind w:right="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Definite-life intangibles</w:t>
            </w: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44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Patents and technology</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3,737</w:t>
            </w:r>
          </w:p>
        </w:tc>
        <w:tc>
          <w:tcPr>
            <w:tcW w:w="6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(1,971)</w:t>
            </w: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1,766</w:t>
            </w: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3,513</w:t>
            </w:r>
          </w:p>
        </w:tc>
        <w:tc>
          <w:tcPr>
            <w:tcW w:w="14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(1,849)</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Customer relationships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7,203</w:t>
            </w:r>
          </w:p>
        </w:tc>
        <w:tc>
          <w:tcPr>
            <w:tcW w:w="68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(2,480)</w:t>
            </w:r>
          </w:p>
        </w:tc>
        <w:tc>
          <w:tcPr>
            <w:tcW w:w="44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4,723</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6,411</w:t>
            </w:r>
          </w:p>
        </w:tc>
        <w:tc>
          <w:tcPr>
            <w:tcW w:w="14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(2,251)</w:t>
            </w:r>
          </w:p>
        </w:tc>
        <w:tc>
          <w:tcPr>
            <w:tcW w:w="3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4,160</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439</w:t>
            </w:r>
          </w:p>
        </w:tc>
        <w:tc>
          <w:tcPr>
            <w:tcW w:w="68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(318)</w:t>
            </w:r>
          </w:p>
        </w:tc>
        <w:tc>
          <w:tcPr>
            <w:tcW w:w="44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121</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398</w:t>
            </w:r>
          </w:p>
        </w:tc>
        <w:tc>
          <w:tcPr>
            <w:tcW w:w="14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(296)</w:t>
            </w:r>
          </w:p>
        </w:tc>
        <w:tc>
          <w:tcPr>
            <w:tcW w:w="3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593</w:t>
            </w:r>
          </w:p>
        </w:tc>
        <w:tc>
          <w:tcPr>
            <w:tcW w:w="6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(277)</w:t>
            </w:r>
          </w:p>
        </w:tc>
        <w:tc>
          <w:tcPr>
            <w:tcW w:w="4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316</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561</w:t>
            </w:r>
          </w:p>
        </w:tc>
        <w:tc>
          <w:tcPr>
            <w:tcW w:w="1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(270)</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definite-life intangibles—net</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11,972</w:t>
            </w:r>
          </w:p>
        </w:tc>
        <w:tc>
          <w:tcPr>
            <w:tcW w:w="6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(5,046)</w:t>
            </w:r>
          </w:p>
        </w:tc>
        <w:tc>
          <w:tcPr>
            <w:tcW w:w="4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6,926</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10,883</w:t>
            </w:r>
          </w:p>
        </w:tc>
        <w:tc>
          <w:tcPr>
            <w:tcW w:w="1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(4,666)</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6,217</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Indefinite-life intangibles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430</w:t>
            </w:r>
          </w:p>
        </w:tc>
        <w:tc>
          <w:tcPr>
            <w:tcW w:w="68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center"/>
              <w:ind w:left="228"/>
              <w:spacing w:after="0"/>
              <w:rPr>
                <w:sz w:val="20"/>
                <w:szCs w:val="20"/>
                <w:color w:val="auto"/>
              </w:rPr>
            </w:pPr>
            <w:r>
              <w:rPr>
                <w:rFonts w:ascii="Arial" w:cs="Arial" w:eastAsia="Arial" w:hAnsi="Arial"/>
                <w:sz w:val="14"/>
                <w:szCs w:val="14"/>
                <w:color w:val="auto"/>
                <w:w w:val="99"/>
              </w:rPr>
              <w:t>—</w:t>
            </w:r>
          </w:p>
        </w:tc>
        <w:tc>
          <w:tcPr>
            <w:tcW w:w="44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430</w:t>
            </w:r>
          </w:p>
        </w:tc>
        <w:tc>
          <w:tcPr>
            <w:tcW w:w="2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439</w:t>
            </w:r>
          </w:p>
        </w:tc>
        <w:tc>
          <w:tcPr>
            <w:tcW w:w="1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Other intangible assets—net</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12,402</w:t>
            </w:r>
          </w:p>
        </w:tc>
        <w:tc>
          <w:tcPr>
            <w:tcW w:w="6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(5,046)</w:t>
            </w: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7,356</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11,322</w:t>
            </w:r>
          </w:p>
        </w:tc>
        <w:tc>
          <w:tcPr>
            <w:tcW w:w="1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(4,666)</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6,656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Intangible assets amortization expense was $133 million and $269 million for the three and six months ended June 30, 2025, respectively, and $85 million and $155 million for the three and six months ended June 30, 2024, respectively.</w:t>
      </w:r>
    </w:p>
    <w:p>
      <w:pPr>
        <w:spacing w:after="0" w:line="373"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9. DEBT AND CREDIT AGREEMENTS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4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June 30, 2025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1.35% notes due 2025</w:t>
            </w:r>
          </w:p>
        </w:tc>
        <w:tc>
          <w:tcPr>
            <w:tcW w:w="5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2.50% notes due 2026</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1.10% notes due 2027</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3.50% euro notes due 2027</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675</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4.65% notes due 2027</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2028</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2.25% euro notes due 2028</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870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4.25% notes due 2029</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2.70% notes due 2029</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4.875% notes due 2029</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4.70% notes due 2030</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3.375% euro notes due 2030</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870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1.95% notes due 2030</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2031</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1.75% notes due 2031</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4.75% notes due 2032</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0.75% euro notes due 2032</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580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2032</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580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2033</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4.50% notes due 2034</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4.125% euro notes due 2034</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1,160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1,039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2035</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2036</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870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2036</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2037</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5.375% notes due 2041</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3.812% notes due 2047</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442</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2.80% notes due 2050</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5.25% notes due 2054</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5.35% notes due 2064</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4.37% term loan due 2027</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One month term SOFR plus 0.875% term loan due 2027</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6.625% debentures due 2028</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9.065% debentures due 2033</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(including finance leases), 3.5% weighted average interest rate maturing at various dates through 2031</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5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7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50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(303)</w:t>
            </w:r>
          </w:p>
        </w:tc>
      </w:tr>
      <w:tr>
        <w:trPr>
          <w:trHeight w:val="199"/>
        </w:trPr>
        <w:tc>
          <w:tcPr>
            <w:tcW w:w="7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50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30,241</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26,826</w:t>
            </w:r>
          </w:p>
        </w:tc>
      </w:tr>
      <w:tr>
        <w:trPr>
          <w:trHeight w:val="193"/>
        </w:trPr>
        <w:tc>
          <w:tcPr>
            <w:tcW w:w="7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Current maturities of long-term debt</w:t>
            </w:r>
          </w:p>
        </w:tc>
        <w:tc>
          <w:tcPr>
            <w:tcW w:w="500" w:type="dxa"/>
            <w:vAlign w:val="bottom"/>
            <w:tcBorders>
              <w:bottom w:val="single" w:sz="8" w:color="D7282F"/>
            </w:tcBorders>
          </w:tcPr>
          <w:p>
            <w:pPr>
              <w:spacing w:after="0"/>
              <w:rPr>
                <w:sz w:val="16"/>
                <w:szCs w:val="16"/>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74</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1,347</w:t>
            </w:r>
          </w:p>
        </w:tc>
      </w:tr>
      <w:tr>
        <w:trPr>
          <w:trHeight w:val="199"/>
        </w:trPr>
        <w:tc>
          <w:tcPr>
            <w:tcW w:w="7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Long-term debt</w:t>
            </w:r>
          </w:p>
        </w:tc>
        <w:tc>
          <w:tcPr>
            <w:tcW w:w="5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30,167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25,479</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18</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Paper and Other Short-Term Borrowings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of June 30, 2025, the Company had $6.3 billion of Commercial paper and other short-term borrowings outstanding at a weighted average interest rate of 4.09%. As of December 31, 2024, the Company had $4.3 billion of Commercial paper and other short-term borrowings outstanding at a weighted average interest rate of 4.22%.</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 Agreements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May 7, 2025, the Company entered into a Delayed Draw Term Loan Agreement (the Term Loan Agreement). The Term Loan Agreement provides for a delayed draw term loan facility of an aggregate principal amount of up to $6.0 billion comprised of two tranches: (i) commitments to provide loans in an aggregate principal amount of up to $4.0 billion (Tranche A-1) and (ii) commitments to provide loans in an aggregate amount of up to $2.0 billion (Tranche A-2). On May 30, 2025, the Company borrowed $4.0 billion under Tranche A-1, which remained outstanding as of June 30, 2025. Commitments to provide Tranche A-2 will expire on December 19, 2025. Interest rates on the term loans under each tranche will be based on prevailing market rates, plus a margin, in addition to a commitment fee on unused amounts. Amounts borrowed under the Term Loan Agreement are required to be paid no later than May 7, 2027, unless the Term Loan Agreement is terminated earlier pursuant to its terms. The Term Loan Agreement is maintained for general corporate purposes and provides financial flexibility as the Company manages the separation of its Automation, Aerospace Technologies, and Advanced Materials businesses into three independent public companies.</w:t>
      </w:r>
    </w:p>
    <w:p>
      <w:pPr>
        <w:spacing w:after="0" w:line="7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On July 1, 2025, the Company repaid its €196 million ($230 million) Euro Term Loan Credit Agreement due 2026, which is included within the Other (including financing leases) caption in the table above.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Agreements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March 17, 2025, the Company entered into a $3.0 billion 364-day credit agreement (the 364-Day Credit Agreement). The 364-Day Credit Agreement replaced the $1.5 billion 364-day credit agreement dated as of March 18, 2024, which was terminated in accordance with its terms effective March 17, 2025. Amounts borrowed under the 364-Day Credit Agreement are due no later than March 16, 2026, unless (i) Honeywell elects to convert all then outstanding amounts into a term loan, upon which such amounts shall be repaid in full on March 16, 2027, or (ii) the 364-Day Credit Agreement is terminated earlier pursuant to its terms. The 364-Day Credit Agreement is maintained for general corporate purposes.</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also maintains a $4.0 billion amended and restated five-year credit agreement dated as of March 18, 2024 (the Five-Year Credit Agreement) for general corporate purposes. Commitments under the Five-Year Credit Agreement can be increased pursuant to the terms of the Five-Year Credit Agreement to an aggregate amount not to exceed $4.5 billion.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2025, there were no outstanding borrowings under the 364-Day Credit Agreement or the Five-Year Credit Agreement.</w:t>
      </w: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color w:val="D7282F"/>
        </w:rPr>
        <w:t>NOTE 10. LEASES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Company's 2024 Annual Report on Form 10-K.</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Pr>
          <w:p>
            <w:pPr>
              <w:spacing w:after="0"/>
              <w:rPr>
                <w:sz w:val="17"/>
                <w:szCs w:val="17"/>
                <w:color w:val="auto"/>
              </w:rPr>
            </w:pPr>
          </w:p>
        </w:tc>
        <w:tc>
          <w:tcPr>
            <w:tcW w:w="196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Operating leases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143</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112</w:t>
            </w:r>
          </w:p>
        </w:tc>
      </w:tr>
      <w:tr>
        <w:trPr>
          <w:trHeight w:val="196"/>
        </w:trPr>
        <w:tc>
          <w:tcPr>
            <w:tcW w:w="9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Finance leases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61</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Borders>
              <w:bottom w:val="single" w:sz="8" w:color="D7282F"/>
            </w:tcBorders>
          </w:tcPr>
          <w:p>
            <w:pPr>
              <w:spacing w:after="0"/>
              <w:rPr>
                <w:sz w:val="17"/>
                <w:szCs w:val="17"/>
                <w:color w:val="auto"/>
              </w:rPr>
            </w:pPr>
          </w:p>
        </w:tc>
        <w:tc>
          <w:tcPr>
            <w:tcW w:w="26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June 30, 2025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26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spacing w:after="0"/>
              <w:rPr>
                <w:sz w:val="17"/>
                <w:szCs w:val="17"/>
                <w:color w:val="auto"/>
              </w:rPr>
            </w:pPr>
          </w:p>
        </w:tc>
      </w:tr>
      <w:tr>
        <w:trPr>
          <w:trHeight w:val="196"/>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Other assets</w:t>
            </w:r>
          </w:p>
        </w:tc>
        <w:tc>
          <w:tcPr>
            <w:tcW w:w="2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1,023</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1,025</w:t>
            </w:r>
          </w:p>
        </w:tc>
      </w:tr>
      <w:tr>
        <w:trPr>
          <w:trHeight w:val="193"/>
        </w:trPr>
        <w:tc>
          <w:tcPr>
            <w:tcW w:w="5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6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208</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199</w:t>
            </w:r>
          </w:p>
        </w:tc>
      </w:tr>
      <w:tr>
        <w:trPr>
          <w:trHeight w:val="196"/>
        </w:trPr>
        <w:tc>
          <w:tcPr>
            <w:tcW w:w="50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6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928</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927</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operating lease liabilities</w:t>
            </w:r>
          </w:p>
        </w:tc>
        <w:tc>
          <w:tcPr>
            <w:tcW w:w="2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1,136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1,126</w:t>
            </w:r>
          </w:p>
        </w:tc>
      </w:tr>
      <w:tr>
        <w:trPr>
          <w:trHeight w:val="196"/>
        </w:trPr>
        <w:tc>
          <w:tcPr>
            <w:tcW w:w="5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Finance leases</w:t>
            </w:r>
          </w:p>
        </w:tc>
        <w:tc>
          <w:tcPr>
            <w:tcW w:w="26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Property, plant and equipment</w:t>
            </w:r>
          </w:p>
        </w:tc>
        <w:tc>
          <w:tcPr>
            <w:tcW w:w="26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387</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396</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Accumulated depreciation</w:t>
            </w:r>
          </w:p>
        </w:tc>
        <w:tc>
          <w:tcPr>
            <w:tcW w:w="26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(231)</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(211)</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Property, plant and equipment—net</w:t>
            </w:r>
          </w:p>
        </w:tc>
        <w:tc>
          <w:tcPr>
            <w:tcW w:w="2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w:t>
            </w: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Current maturities of long-term debt</w:t>
            </w:r>
          </w:p>
        </w:tc>
        <w:tc>
          <w:tcPr>
            <w:tcW w:w="26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55</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Long-term debt</w:t>
            </w:r>
          </w:p>
        </w:tc>
        <w:tc>
          <w:tcPr>
            <w:tcW w:w="26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85</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finance lease liabilities</w:t>
            </w:r>
          </w:p>
        </w:tc>
        <w:tc>
          <w:tcPr>
            <w:tcW w:w="2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154</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11. DERIVATIVE INSTRUMENTS AND HEDGING TRANSACTIONS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foreign currency, interest rate, credit, and commodity price risk management policies are described in Note 11 Derivative Instruments and Hedging Transactions of Notes to Consolidated Financial Statements in the Company's 2024 Annual Report on Form 10-K.</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gridSpan w:val="2"/>
          </w:tcPr>
          <w:p>
            <w:pPr>
              <w:jc w:val="right"/>
              <w:ind w:right="48"/>
              <w:spacing w:after="0"/>
              <w:rPr>
                <w:sz w:val="20"/>
                <w:szCs w:val="20"/>
                <w:color w:val="auto"/>
              </w:rPr>
            </w:pPr>
            <w:r>
              <w:rPr>
                <w:rFonts w:ascii="Arial" w:cs="Arial" w:eastAsia="Arial" w:hAnsi="Arial"/>
                <w:sz w:val="14"/>
                <w:szCs w:val="14"/>
                <w:b w:val="1"/>
                <w:bCs w:val="1"/>
                <w:color w:val="auto"/>
              </w:rPr>
              <w:t>Notional</w:t>
            </w:r>
          </w:p>
        </w:tc>
        <w:tc>
          <w:tcPr>
            <w:tcW w:w="80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2"/>
          </w:tcPr>
          <w:p>
            <w:pPr>
              <w:jc w:val="right"/>
              <w:ind w:right="228"/>
              <w:spacing w:after="0"/>
              <w:rPr>
                <w:sz w:val="20"/>
                <w:szCs w:val="20"/>
                <w:color w:val="auto"/>
              </w:rPr>
            </w:pPr>
            <w:r>
              <w:rPr>
                <w:rFonts w:ascii="Arial" w:cs="Arial" w:eastAsia="Arial" w:hAnsi="Arial"/>
                <w:sz w:val="14"/>
                <w:szCs w:val="14"/>
                <w:b w:val="1"/>
                <w:bCs w:val="1"/>
                <w:color w:val="auto"/>
              </w:rPr>
              <w:t>Fair Value Asset</w:t>
            </w:r>
          </w:p>
        </w:tc>
        <w:tc>
          <w:tcPr>
            <w:tcW w:w="34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68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Fair Value Liability</w:t>
            </w:r>
          </w:p>
        </w:tc>
        <w:tc>
          <w:tcPr>
            <w:tcW w:w="3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118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June 30, 2025</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June 30, 2025</w:t>
            </w:r>
          </w:p>
        </w:tc>
        <w:tc>
          <w:tcPr>
            <w:tcW w:w="146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June 30, 2025</w:t>
            </w:r>
          </w:p>
        </w:tc>
        <w:tc>
          <w:tcPr>
            <w:tcW w:w="1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gridSpan w:val="2"/>
            <w:vMerge w:val="continue"/>
          </w:tcPr>
          <w:p>
            <w:pPr>
              <w:spacing w:after="0"/>
              <w:rPr>
                <w:sz w:val="16"/>
                <w:szCs w:val="16"/>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340" w:type="dxa"/>
            <w:vAlign w:val="bottom"/>
            <w:tcBorders>
              <w:bottom w:val="single" w:sz="8" w:color="61656A"/>
            </w:tcBorders>
          </w:tcPr>
          <w:p>
            <w:pPr>
              <w:spacing w:after="0"/>
              <w:rPr>
                <w:sz w:val="19"/>
                <w:szCs w:val="19"/>
                <w:color w:val="auto"/>
              </w:rPr>
            </w:pPr>
          </w:p>
        </w:tc>
        <w:tc>
          <w:tcPr>
            <w:tcW w:w="840" w:type="dxa"/>
            <w:vAlign w:val="bottom"/>
            <w:tcBorders>
              <w:bottom w:val="single" w:sz="8" w:color="61656A"/>
            </w:tcBorders>
          </w:tcPr>
          <w:p>
            <w:pPr>
              <w:spacing w:after="0"/>
              <w:rPr>
                <w:sz w:val="19"/>
                <w:szCs w:val="19"/>
                <w:color w:val="auto"/>
              </w:rPr>
            </w:pPr>
          </w:p>
        </w:tc>
        <w:tc>
          <w:tcPr>
            <w:tcW w:w="420" w:type="dxa"/>
            <w:vAlign w:val="bottom"/>
            <w:tcBorders>
              <w:bottom w:val="single" w:sz="8" w:color="61656A"/>
            </w:tcBorders>
          </w:tcPr>
          <w:p>
            <w:pPr>
              <w:spacing w:after="0"/>
              <w:rPr>
                <w:sz w:val="19"/>
                <w:szCs w:val="19"/>
                <w:color w:val="auto"/>
              </w:rPr>
            </w:pPr>
          </w:p>
        </w:tc>
        <w:tc>
          <w:tcPr>
            <w:tcW w:w="800" w:type="dxa"/>
            <w:vAlign w:val="bottom"/>
            <w:tcBorders>
              <w:bottom w:val="single" w:sz="8" w:color="61656A"/>
            </w:tcBorders>
          </w:tcPr>
          <w:p>
            <w:pPr>
              <w:spacing w:after="0"/>
              <w:rPr>
                <w:sz w:val="19"/>
                <w:szCs w:val="19"/>
                <w:color w:val="auto"/>
              </w:rPr>
            </w:pPr>
          </w:p>
        </w:tc>
        <w:tc>
          <w:tcPr>
            <w:tcW w:w="220" w:type="dxa"/>
            <w:vAlign w:val="bottom"/>
            <w:tcBorders>
              <w:bottom w:val="single" w:sz="8" w:color="61656A"/>
            </w:tcBorders>
          </w:tcPr>
          <w:p>
            <w:pPr>
              <w:spacing w:after="0"/>
              <w:rPr>
                <w:sz w:val="19"/>
                <w:szCs w:val="19"/>
                <w:color w:val="auto"/>
              </w:rPr>
            </w:pPr>
          </w:p>
        </w:tc>
        <w:tc>
          <w:tcPr>
            <w:tcW w:w="380" w:type="dxa"/>
            <w:vAlign w:val="bottom"/>
            <w:tcBorders>
              <w:bottom w:val="single" w:sz="8" w:color="61656A"/>
            </w:tcBorders>
          </w:tcPr>
          <w:p>
            <w:pPr>
              <w:spacing w:after="0"/>
              <w:rPr>
                <w:sz w:val="19"/>
                <w:szCs w:val="19"/>
                <w:color w:val="auto"/>
              </w:rPr>
            </w:pPr>
          </w:p>
        </w:tc>
        <w:tc>
          <w:tcPr>
            <w:tcW w:w="780" w:type="dxa"/>
            <w:vAlign w:val="bottom"/>
            <w:tcBorders>
              <w:bottom w:val="single" w:sz="8" w:color="61656A"/>
            </w:tcBorders>
          </w:tcPr>
          <w:p>
            <w:pPr>
              <w:spacing w:after="0"/>
              <w:rPr>
                <w:sz w:val="19"/>
                <w:szCs w:val="19"/>
                <w:color w:val="auto"/>
              </w:rPr>
            </w:pPr>
          </w:p>
        </w:tc>
        <w:tc>
          <w:tcPr>
            <w:tcW w:w="880" w:type="dxa"/>
            <w:vAlign w:val="bottom"/>
            <w:tcBorders>
              <w:bottom w:val="single" w:sz="8" w:color="61656A"/>
            </w:tcBorders>
          </w:tcPr>
          <w:p>
            <w:pPr>
              <w:spacing w:after="0"/>
              <w:rPr>
                <w:sz w:val="19"/>
                <w:szCs w:val="19"/>
                <w:color w:val="auto"/>
              </w:rPr>
            </w:pPr>
          </w:p>
        </w:tc>
        <w:tc>
          <w:tcPr>
            <w:tcW w:w="34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320" w:type="dxa"/>
            <w:vAlign w:val="bottom"/>
            <w:tcBorders>
              <w:bottom w:val="single" w:sz="8" w:color="61656A"/>
            </w:tcBorders>
          </w:tcPr>
          <w:p>
            <w:pPr>
              <w:spacing w:after="0"/>
              <w:rPr>
                <w:sz w:val="19"/>
                <w:szCs w:val="19"/>
                <w:color w:val="auto"/>
              </w:rPr>
            </w:pPr>
          </w:p>
        </w:tc>
        <w:tc>
          <w:tcPr>
            <w:tcW w:w="860" w:type="dxa"/>
            <w:vAlign w:val="bottom"/>
            <w:tcBorders>
              <w:bottom w:val="single" w:sz="8" w:color="61656A"/>
            </w:tcBorders>
          </w:tcPr>
          <w:p>
            <w:pPr>
              <w:spacing w:after="0"/>
              <w:rPr>
                <w:sz w:val="19"/>
                <w:szCs w:val="19"/>
                <w:color w:val="auto"/>
              </w:rPr>
            </w:pPr>
          </w:p>
        </w:tc>
        <w:tc>
          <w:tcPr>
            <w:tcW w:w="820" w:type="dxa"/>
            <w:vAlign w:val="bottom"/>
            <w:tcBorders>
              <w:bottom w:val="single" w:sz="8" w:color="61656A"/>
            </w:tcBorders>
          </w:tcPr>
          <w:p>
            <w:pPr>
              <w:spacing w:after="0"/>
              <w:rPr>
                <w:sz w:val="19"/>
                <w:szCs w:val="19"/>
                <w:color w:val="auto"/>
              </w:rPr>
            </w:pPr>
          </w:p>
        </w:tc>
        <w:tc>
          <w:tcPr>
            <w:tcW w:w="380" w:type="dxa"/>
            <w:vAlign w:val="bottom"/>
            <w:tcBorders>
              <w:bottom w:val="single" w:sz="8" w:color="61656A"/>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3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4,050</w:t>
            </w:r>
          </w:p>
        </w:tc>
        <w:tc>
          <w:tcPr>
            <w:tcW w:w="4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3,899</w:t>
            </w:r>
          </w:p>
        </w:tc>
        <w:tc>
          <w:tcPr>
            <w:tcW w:w="2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w:t>
            </w:r>
          </w:p>
        </w:tc>
        <w:tc>
          <w:tcPr>
            <w:tcW w:w="88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(101)</w:t>
            </w:r>
          </w:p>
        </w:tc>
        <w:tc>
          <w:tcPr>
            <w:tcW w:w="82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717</w:t>
            </w:r>
          </w:p>
        </w:tc>
        <w:tc>
          <w:tcPr>
            <w:tcW w:w="4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1,235</w:t>
            </w:r>
          </w:p>
        </w:tc>
        <w:tc>
          <w:tcPr>
            <w:tcW w:w="2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w:t>
            </w:r>
          </w:p>
        </w:tc>
        <w:tc>
          <w:tcPr>
            <w:tcW w:w="88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w:t>
            </w:r>
          </w:p>
        </w:tc>
        <w:tc>
          <w:tcPr>
            <w:tcW w:w="2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(24)</w:t>
            </w: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w:t>
            </w:r>
          </w:p>
        </w:tc>
        <w:tc>
          <w:tcPr>
            <w:tcW w:w="4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7,214</w:t>
            </w:r>
          </w:p>
        </w:tc>
        <w:tc>
          <w:tcPr>
            <w:tcW w:w="4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7,214</w:t>
            </w:r>
          </w:p>
        </w:tc>
        <w:tc>
          <w:tcPr>
            <w:tcW w:w="2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w:t>
            </w:r>
          </w:p>
        </w:tc>
        <w:tc>
          <w:tcPr>
            <w:tcW w:w="88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124</w:t>
            </w:r>
          </w:p>
        </w:tc>
        <w:tc>
          <w:tcPr>
            <w:tcW w:w="2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(777)</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6"/>
        </w:trPr>
        <w:tc>
          <w:tcPr>
            <w:tcW w:w="3620" w:type="dxa"/>
            <w:vAlign w:val="bottom"/>
          </w:tcPr>
          <w:p>
            <w:pPr>
              <w:ind w:left="240"/>
              <w:spacing w:after="0" w:line="146" w:lineRule="exact"/>
              <w:rPr>
                <w:sz w:val="20"/>
                <w:szCs w:val="20"/>
                <w:color w:val="auto"/>
              </w:rPr>
            </w:pPr>
            <w:r>
              <w:rPr>
                <w:rFonts w:ascii="Arial" w:cs="Arial" w:eastAsia="Arial" w:hAnsi="Arial"/>
                <w:sz w:val="14"/>
                <w:szCs w:val="14"/>
                <w:b w:val="1"/>
                <w:bCs w:val="1"/>
                <w:color w:val="auto"/>
              </w:rPr>
              <w:t>Total derivatives designated as hedging</w:t>
            </w:r>
          </w:p>
        </w:tc>
        <w:tc>
          <w:tcPr>
            <w:tcW w:w="340" w:type="dxa"/>
            <w:vAlign w:val="bottom"/>
          </w:tcPr>
          <w:p>
            <w:pPr>
              <w:spacing w:after="0"/>
              <w:rPr>
                <w:sz w:val="12"/>
                <w:szCs w:val="12"/>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11,988</w:t>
            </w:r>
          </w:p>
        </w:tc>
        <w:tc>
          <w:tcPr>
            <w:tcW w:w="42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12,349</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28</w:t>
            </w:r>
          </w:p>
        </w:tc>
        <w:tc>
          <w:tcPr>
            <w:tcW w:w="88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(902)</w:t>
            </w:r>
          </w:p>
        </w:tc>
        <w:tc>
          <w:tcPr>
            <w:tcW w:w="8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(205)</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vMerge w:val="continue"/>
          </w:tcPr>
          <w:p>
            <w:pPr>
              <w:spacing w:after="0"/>
              <w:rPr>
                <w:sz w:val="16"/>
                <w:szCs w:val="16"/>
                <w:color w:val="auto"/>
              </w:rPr>
            </w:pPr>
          </w:p>
        </w:tc>
        <w:tc>
          <w:tcPr>
            <w:tcW w:w="88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vMerge w:val="continue"/>
          </w:tcPr>
          <w:p>
            <w:pPr>
              <w:spacing w:after="0"/>
              <w:rPr>
                <w:sz w:val="16"/>
                <w:szCs w:val="16"/>
                <w:color w:val="auto"/>
              </w:rPr>
            </w:pP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10,017</w:t>
            </w:r>
          </w:p>
        </w:tc>
        <w:tc>
          <w:tcPr>
            <w:tcW w:w="4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8,773</w:t>
            </w:r>
          </w:p>
        </w:tc>
        <w:tc>
          <w:tcPr>
            <w:tcW w:w="2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w:t>
            </w:r>
          </w:p>
        </w:tc>
        <w:tc>
          <w:tcPr>
            <w:tcW w:w="88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Derivative instruments</w:t>
            </w:r>
          </w:p>
        </w:tc>
        <w:tc>
          <w:tcPr>
            <w:tcW w:w="3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22,005</w:t>
            </w: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21,122</w:t>
            </w:r>
          </w:p>
        </w:tc>
        <w:tc>
          <w:tcPr>
            <w:tcW w:w="22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30</w:t>
            </w:r>
          </w:p>
        </w:tc>
        <w:tc>
          <w:tcPr>
            <w:tcW w:w="880" w:type="dxa"/>
            <w:vAlign w:val="bottom"/>
            <w:tcBorders>
              <w:bottom w:val="single" w:sz="8" w:color="D7282F"/>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160</w:t>
            </w:r>
          </w:p>
        </w:tc>
        <w:tc>
          <w:tcPr>
            <w:tcW w:w="2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(909)</w:t>
            </w:r>
          </w:p>
        </w:tc>
        <w:tc>
          <w:tcPr>
            <w:tcW w:w="82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assets are presented in Other current assets or Other assets. All derivative liabilities are presented in Accrued liabilities or Other liabilities.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$6,880 million and $6,158 million as of June 30, 2025, and December 31, 2024, respectively.</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in the Consolidated Balance Sheet related to cumulative basis adjustments for fair value hedges: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vMerge w:val="restart"/>
          </w:tcPr>
          <w:p>
            <w:pPr>
              <w:jc w:val="center"/>
              <w:ind w:left="588"/>
              <w:spacing w:after="0"/>
              <w:rPr>
                <w:sz w:val="20"/>
                <w:szCs w:val="20"/>
                <w:color w:val="auto"/>
              </w:rPr>
            </w:pPr>
            <w:r>
              <w:rPr>
                <w:rFonts w:ascii="Arial" w:cs="Arial" w:eastAsia="Arial" w:hAnsi="Arial"/>
                <w:sz w:val="14"/>
                <w:szCs w:val="14"/>
                <w:b w:val="1"/>
                <w:bCs w:val="1"/>
                <w:color w:val="auto"/>
              </w:rPr>
              <w:t>Carrying Amount</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860" w:type="dxa"/>
            <w:vAlign w:val="bottom"/>
            <w:tcBorders>
              <w:bottom w:val="single" w:sz="8" w:color="D7282F"/>
            </w:tcBorders>
            <w:gridSpan w:val="2"/>
          </w:tcPr>
          <w:p>
            <w:pPr>
              <w:jc w:val="center"/>
              <w:ind w:left="628"/>
              <w:spacing w:after="0"/>
              <w:rPr>
                <w:sz w:val="20"/>
                <w:szCs w:val="20"/>
                <w:color w:val="auto"/>
              </w:rPr>
            </w:pPr>
            <w:r>
              <w:rPr>
                <w:rFonts w:ascii="Arial" w:cs="Arial" w:eastAsia="Arial" w:hAnsi="Arial"/>
                <w:sz w:val="14"/>
                <w:szCs w:val="14"/>
                <w:b w:val="1"/>
                <w:bCs w:val="1"/>
                <w:color w:val="auto"/>
              </w:rPr>
              <w:t>of Hedged Item</w:t>
            </w:r>
          </w:p>
        </w:tc>
        <w:tc>
          <w:tcPr>
            <w:tcW w:w="82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2680" w:type="dxa"/>
            <w:vAlign w:val="bottom"/>
            <w:tcBorders>
              <w:bottom w:val="single" w:sz="8" w:color="D7282F"/>
            </w:tcBorders>
            <w:gridSpan w:val="3"/>
          </w:tcPr>
          <w:p>
            <w:pPr>
              <w:jc w:val="center"/>
              <w:ind w:right="68"/>
              <w:spacing w:after="0"/>
              <w:rPr>
                <w:sz w:val="20"/>
                <w:szCs w:val="20"/>
                <w:color w:val="auto"/>
              </w:rPr>
            </w:pPr>
            <w:r>
              <w:rPr>
                <w:rFonts w:ascii="Arial" w:cs="Arial" w:eastAsia="Arial" w:hAnsi="Arial"/>
                <w:sz w:val="14"/>
                <w:szCs w:val="14"/>
                <w:b w:val="1"/>
                <w:bCs w:val="1"/>
                <w:color w:val="auto"/>
              </w:rPr>
              <w:t>Carrying Amount of Hedged Item</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June 30, 2025</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June 30, 2025</w:t>
            </w:r>
          </w:p>
        </w:tc>
        <w:tc>
          <w:tcPr>
            <w:tcW w:w="260" w:type="dxa"/>
            <w:vAlign w:val="bottom"/>
          </w:tcPr>
          <w:p>
            <w:pPr>
              <w:spacing w:after="0"/>
              <w:rPr>
                <w:sz w:val="15"/>
                <w:szCs w:val="15"/>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36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6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3,963</w:t>
            </w:r>
          </w:p>
        </w:tc>
        <w:tc>
          <w:tcPr>
            <w:tcW w:w="60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3,763</w:t>
            </w:r>
          </w:p>
        </w:tc>
        <w:tc>
          <w:tcPr>
            <w:tcW w:w="24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2580" w:type="dxa"/>
            <w:vAlign w:val="bottom"/>
            <w:tcBorders>
              <w:bottom w:val="single" w:sz="8" w:color="D7282F"/>
            </w:tcBorders>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 June 30, 2025</w:t>
            </w: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Selling,</w:t>
            </w:r>
          </w:p>
        </w:tc>
        <w:tc>
          <w:tcPr>
            <w:tcW w:w="26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2"/>
                <w:szCs w:val="12"/>
                <w:color w:val="auto"/>
              </w:rPr>
            </w:pPr>
          </w:p>
        </w:tc>
        <w:tc>
          <w:tcPr>
            <w:tcW w:w="10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2"/>
                <w:szCs w:val="12"/>
                <w:color w:val="auto"/>
              </w:rPr>
            </w:pPr>
          </w:p>
        </w:tc>
        <w:tc>
          <w:tcPr>
            <w:tcW w:w="12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General and</w:t>
            </w: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Net Sales</w:t>
            </w: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Administrative</w:t>
            </w:r>
          </w:p>
        </w:tc>
        <w:tc>
          <w:tcPr>
            <w:tcW w:w="260" w:type="dxa"/>
            <w:vAlign w:val="bottom"/>
          </w:tcPr>
          <w:p>
            <w:pPr>
              <w:spacing w:after="0"/>
              <w:rPr>
                <w:sz w:val="12"/>
                <w:szCs w:val="12"/>
                <w:color w:val="auto"/>
              </w:rPr>
            </w:pPr>
          </w:p>
        </w:tc>
        <w:tc>
          <w:tcPr>
            <w:tcW w:w="102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vMerge w:val="continue"/>
          </w:tcPr>
          <w:p>
            <w:pPr>
              <w:spacing w:after="0"/>
              <w:rPr>
                <w:sz w:val="16"/>
                <w:szCs w:val="16"/>
                <w:color w:val="auto"/>
              </w:rPr>
            </w:pPr>
          </w:p>
        </w:tc>
        <w:tc>
          <w:tcPr>
            <w:tcW w:w="12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Products Sold</w:t>
            </w:r>
          </w:p>
        </w:tc>
        <w:tc>
          <w:tcPr>
            <w:tcW w:w="12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2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61656A"/>
            </w:tcBorders>
            <w:gridSpan w:val="2"/>
          </w:tcPr>
          <w:p>
            <w:pPr>
              <w:ind w:left="36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10,352</w:t>
            </w:r>
          </w:p>
        </w:tc>
        <w:tc>
          <w:tcPr>
            <w:tcW w:w="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4,548</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1,781</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1,428</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9"/>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10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10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4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3"/>
                <w:szCs w:val="13"/>
                <w:color w:val="auto"/>
              </w:rPr>
            </w:pP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3"/>
                <w:szCs w:val="13"/>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100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10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10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10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10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0"/>
        </w:trPr>
        <w:tc>
          <w:tcPr>
            <w:tcW w:w="37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or (loss) on derivatives not designated as</w:t>
            </w: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10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10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(248)</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9"/>
        </w:trPr>
        <w:tc>
          <w:tcPr>
            <w:tcW w:w="360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tcPr>
          <w:p>
            <w:pPr>
              <w:spacing w:after="0"/>
              <w:rPr>
                <w:sz w:val="24"/>
                <w:szCs w:val="24"/>
                <w:color w:val="auto"/>
              </w:rPr>
            </w:pPr>
          </w:p>
        </w:tc>
        <w:tc>
          <w:tcPr>
            <w:tcW w:w="30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2580" w:type="dxa"/>
            <w:vAlign w:val="bottom"/>
            <w:tcBorders>
              <w:bottom w:val="single" w:sz="8" w:color="D7282F"/>
            </w:tcBorders>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 June 30, 2024</w:t>
            </w:r>
          </w:p>
        </w:tc>
        <w:tc>
          <w:tcPr>
            <w:tcW w:w="26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Selling,</w:t>
            </w:r>
          </w:p>
        </w:tc>
        <w:tc>
          <w:tcPr>
            <w:tcW w:w="26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2"/>
                <w:szCs w:val="12"/>
                <w:color w:val="auto"/>
              </w:rPr>
            </w:pPr>
          </w:p>
        </w:tc>
        <w:tc>
          <w:tcPr>
            <w:tcW w:w="10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2"/>
                <w:szCs w:val="12"/>
                <w:color w:val="auto"/>
              </w:rPr>
            </w:pPr>
          </w:p>
        </w:tc>
        <w:tc>
          <w:tcPr>
            <w:tcW w:w="128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General and</w:t>
            </w: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Net Sales</w:t>
            </w: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Administrative</w:t>
            </w:r>
          </w:p>
        </w:tc>
        <w:tc>
          <w:tcPr>
            <w:tcW w:w="260" w:type="dxa"/>
            <w:vAlign w:val="bottom"/>
          </w:tcPr>
          <w:p>
            <w:pPr>
              <w:spacing w:after="0"/>
              <w:rPr>
                <w:sz w:val="12"/>
                <w:szCs w:val="12"/>
                <w:color w:val="auto"/>
              </w:rPr>
            </w:pPr>
          </w:p>
        </w:tc>
        <w:tc>
          <w:tcPr>
            <w:tcW w:w="10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vMerge w:val="continue"/>
          </w:tcPr>
          <w:p>
            <w:pPr>
              <w:spacing w:after="0"/>
              <w:rPr>
                <w:sz w:val="16"/>
                <w:szCs w:val="16"/>
                <w:color w:val="auto"/>
              </w:rPr>
            </w:pPr>
          </w:p>
        </w:tc>
        <w:tc>
          <w:tcPr>
            <w:tcW w:w="12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Products Sold</w:t>
            </w:r>
          </w:p>
        </w:tc>
        <w:tc>
          <w:tcPr>
            <w:tcW w:w="12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2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61656A"/>
            </w:tcBorders>
            <w:gridSpan w:val="2"/>
          </w:tcPr>
          <w:p>
            <w:pPr>
              <w:ind w:left="36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9,577</w:t>
            </w:r>
          </w:p>
        </w:tc>
        <w:tc>
          <w:tcPr>
            <w:tcW w:w="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4,247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1,609</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1,361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246</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9"/>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10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10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4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3"/>
                <w:szCs w:val="13"/>
                <w:color w:val="auto"/>
              </w:rPr>
            </w:pP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3"/>
                <w:szCs w:val="13"/>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100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10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10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10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10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0"/>
        </w:trPr>
        <w:tc>
          <w:tcPr>
            <w:tcW w:w="37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or (loss) on derivatives not designated as</w:t>
            </w: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10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10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21</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560" w:type="dxa"/>
            <w:vAlign w:val="bottom"/>
            <w:tcBorders>
              <w:bottom w:val="single" w:sz="8" w:color="D7282F"/>
            </w:tcBorders>
            <w:gridSpan w:val="3"/>
          </w:tcPr>
          <w:p>
            <w:pPr>
              <w:jc w:val="right"/>
              <w:ind w:right="208"/>
              <w:spacing w:after="0"/>
              <w:rPr>
                <w:sz w:val="20"/>
                <w:szCs w:val="20"/>
                <w:color w:val="auto"/>
              </w:rPr>
            </w:pPr>
            <w:r>
              <w:rPr>
                <w:rFonts w:ascii="Arial" w:cs="Arial" w:eastAsia="Arial" w:hAnsi="Arial"/>
                <w:sz w:val="14"/>
                <w:szCs w:val="14"/>
                <w:b w:val="1"/>
                <w:bCs w:val="1"/>
                <w:color w:val="auto"/>
              </w:rPr>
              <w:t>Six Months Ended June 30, 2025</w:t>
            </w:r>
          </w:p>
        </w:tc>
        <w:tc>
          <w:tcPr>
            <w:tcW w:w="24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68"/>
              <w:spacing w:after="0" w:line="147"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2"/>
                <w:szCs w:val="12"/>
                <w:color w:val="auto"/>
              </w:rPr>
            </w:pPr>
          </w:p>
        </w:tc>
        <w:tc>
          <w:tcPr>
            <w:tcW w:w="130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Administrative</w:t>
            </w:r>
          </w:p>
        </w:tc>
        <w:tc>
          <w:tcPr>
            <w:tcW w:w="240" w:type="dxa"/>
            <w:vAlign w:val="bottom"/>
          </w:tcPr>
          <w:p>
            <w:pPr>
              <w:spacing w:after="0"/>
              <w:rPr>
                <w:sz w:val="12"/>
                <w:szCs w:val="12"/>
                <w:color w:val="auto"/>
              </w:rPr>
            </w:pPr>
          </w:p>
        </w:tc>
        <w:tc>
          <w:tcPr>
            <w:tcW w:w="10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8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2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24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20,174</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8,799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3,567</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2,789</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3"/>
                <w:szCs w:val="13"/>
                <w:color w:val="auto"/>
              </w:rPr>
            </w:pP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0"/>
        </w:trPr>
        <w:tc>
          <w:tcPr>
            <w:tcW w:w="37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(392)</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8"/>
        </w:trPr>
        <w:tc>
          <w:tcPr>
            <w:tcW w:w="362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2560" w:type="dxa"/>
            <w:vAlign w:val="bottom"/>
            <w:tcBorders>
              <w:bottom w:val="single" w:sz="8" w:color="D7282F"/>
            </w:tcBorders>
            <w:gridSpan w:val="3"/>
          </w:tcPr>
          <w:p>
            <w:pPr>
              <w:jc w:val="right"/>
              <w:ind w:right="208"/>
              <w:spacing w:after="0"/>
              <w:rPr>
                <w:sz w:val="20"/>
                <w:szCs w:val="20"/>
                <w:color w:val="auto"/>
              </w:rPr>
            </w:pPr>
            <w:r>
              <w:rPr>
                <w:rFonts w:ascii="Arial" w:cs="Arial" w:eastAsia="Arial" w:hAnsi="Arial"/>
                <w:sz w:val="14"/>
                <w:szCs w:val="14"/>
                <w:b w:val="1"/>
                <w:bCs w:val="1"/>
                <w:color w:val="auto"/>
              </w:rPr>
              <w:t>Six Months Ended June 30, 2024</w:t>
            </w:r>
          </w:p>
        </w:tc>
        <w:tc>
          <w:tcPr>
            <w:tcW w:w="24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68"/>
              <w:spacing w:after="0" w:line="143"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2"/>
                <w:szCs w:val="12"/>
                <w:color w:val="auto"/>
              </w:rPr>
            </w:pPr>
          </w:p>
        </w:tc>
        <w:tc>
          <w:tcPr>
            <w:tcW w:w="130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Administrative</w:t>
            </w:r>
          </w:p>
        </w:tc>
        <w:tc>
          <w:tcPr>
            <w:tcW w:w="240" w:type="dxa"/>
            <w:vAlign w:val="bottom"/>
          </w:tcPr>
          <w:p>
            <w:pPr>
              <w:spacing w:after="0"/>
              <w:rPr>
                <w:sz w:val="12"/>
                <w:szCs w:val="12"/>
                <w:color w:val="auto"/>
              </w:rPr>
            </w:pPr>
          </w:p>
        </w:tc>
        <w:tc>
          <w:tcPr>
            <w:tcW w:w="10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8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2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24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18,682</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8,282</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3,157</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2,663</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477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760" w:type="dxa"/>
            <w:vAlign w:val="bottom"/>
            <w:gridSpan w:val="2"/>
          </w:tcPr>
          <w:p>
            <w:pPr>
              <w:ind w:left="240"/>
              <w:spacing w:after="0" w:line="146"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2"/>
                <w:szCs w:val="12"/>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1300" w:type="dxa"/>
            <w:vAlign w:val="bottom"/>
            <w:vMerge w:val="restart"/>
          </w:tcPr>
          <w:p>
            <w:pPr>
              <w:jc w:val="right"/>
              <w:ind w:right="108"/>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6"/>
        </w:trPr>
        <w:tc>
          <w:tcPr>
            <w:tcW w:w="376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Gain (loss) on derivatives not designated as</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33</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loss: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10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(395)</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61</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(593)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Cross currency swap agreements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(591)</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(838)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22</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12.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1"/>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1"/>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classifies financial and nonfinancial assets and liabilities in their entirety based on the lowest level of input that is significant to the fair value measurement.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accounted for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3"/>
          </w:tcPr>
          <w:p>
            <w:pPr>
              <w:jc w:val="right"/>
              <w:ind w:right="428"/>
              <w:spacing w:after="0"/>
              <w:rPr>
                <w:sz w:val="20"/>
                <w:szCs w:val="20"/>
                <w:color w:val="auto"/>
              </w:rPr>
            </w:pPr>
            <w:r>
              <w:rPr>
                <w:rFonts w:ascii="Arial" w:cs="Arial" w:eastAsia="Arial" w:hAnsi="Arial"/>
                <w:sz w:val="14"/>
                <w:szCs w:val="14"/>
                <w:b w:val="1"/>
                <w:bCs w:val="1"/>
                <w:color w:val="auto"/>
              </w:rPr>
              <w:t>June 30, 2025</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6"/>
        </w:trPr>
        <w:tc>
          <w:tcPr>
            <w:tcW w:w="35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Available for sale investments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59</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366</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425</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69</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427</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496</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124</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in equity securities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Right to HWI Net Sale Proceeds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396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461</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587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670</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101</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101</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139</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777</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777</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56</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909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909</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values foreign currency exchange contracts, interest rate swap agreements, cross currency swap agreements, and commodity contracts using broker quotations, or market transactions in either the listed or over-the-counter markets.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These investments are classified within level 2.</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The Company values these investments utilizing published prices based on quoted market pricing, which are classified within level 1.</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other short-term borrowings contained in the Consolidated Balance Sheet approximates fair value.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448"/>
              <w:spacing w:after="0"/>
              <w:rPr>
                <w:sz w:val="20"/>
                <w:szCs w:val="20"/>
                <w:color w:val="auto"/>
              </w:rPr>
            </w:pPr>
            <w:r>
              <w:rPr>
                <w:rFonts w:ascii="Arial" w:cs="Arial" w:eastAsia="Arial" w:hAnsi="Arial"/>
                <w:sz w:val="14"/>
                <w:szCs w:val="14"/>
                <w:b w:val="1"/>
                <w:bCs w:val="1"/>
                <w:color w:val="auto"/>
              </w:rPr>
              <w:t>June 30, 2025</w:t>
            </w: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2024</w:t>
            </w:r>
          </w:p>
        </w:tc>
      </w:tr>
      <w:tr>
        <w:trPr>
          <w:trHeight w:val="147"/>
        </w:trPr>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9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84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700" w:type="dxa"/>
            <w:vAlign w:val="bottom"/>
          </w:tcPr>
          <w:p>
            <w:pPr>
              <w:jc w:val="right"/>
              <w:ind w:right="228"/>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710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Value</w:t>
            </w:r>
          </w:p>
        </w:tc>
      </w:tr>
      <w:tr>
        <w:trPr>
          <w:trHeight w:val="195"/>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receivables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781</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737</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723</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666</w:t>
            </w:r>
          </w:p>
        </w:tc>
      </w:tr>
      <w:tr>
        <w:trPr>
          <w:trHeight w:val="199"/>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Long-term debt and related current maturities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30,241</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29,442</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26,826</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25,503</w:t>
            </w:r>
          </w:p>
        </w:tc>
      </w:tr>
    </w:tbl>
    <w:p>
      <w:pPr>
        <w:spacing w:after="0" w:line="18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 of these receivables is considered level 2.</w:t>
      </w:r>
    </w:p>
    <w:p>
      <w:pPr>
        <w:spacing w:after="0" w:line="373"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determined the fair value of the long-term debt and related current maturities by utilizing transactions in the listed markets for identical or similar liabilities. As such, the fair value of the long-term debt and related current maturities is considered level 2.</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As of December 31, 2024, the Company measured the disposal group of the PPE business at fair value, less costs to sell. The fair value of the disposal group was determined using significant unobservable inputs based on expected proceeds to be received upon the sale of the business. As such, the fair value of the disposal group was considered level 3. See Note 3 </w:t>
      </w:r>
      <w:r>
        <w:rPr>
          <w:rFonts w:ascii="Arial" w:cs="Arial" w:eastAsia="Arial" w:hAnsi="Arial"/>
          <w:sz w:val="16"/>
          <w:szCs w:val="16"/>
          <w:u w:val="single" w:color="auto"/>
          <w:color w:val="0000FF"/>
        </w:rPr>
        <w:t>Acquisitions and Divestitures</w:t>
      </w:r>
      <w:r>
        <w:rPr>
          <w:rFonts w:ascii="Arial" w:cs="Arial" w:eastAsia="Arial" w:hAnsi="Arial"/>
          <w:sz w:val="16"/>
          <w:szCs w:val="16"/>
          <w:color w:val="auto"/>
        </w:rPr>
        <w:t xml:space="preserve"> for more information on the disposal group.</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NOTE 13.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earnings per share calculations for the three and six months ended June 30, 2025, and 2024, are as follows (shares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1,570</w:t>
            </w:r>
          </w:p>
        </w:tc>
        <w:tc>
          <w:tcPr>
            <w:tcW w:w="4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1,544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3,019</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3,007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637.5</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650.2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642.8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651.3</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2.46</w:t>
            </w:r>
          </w:p>
        </w:tc>
        <w:tc>
          <w:tcPr>
            <w:tcW w:w="4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2.37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4.70</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4.62</w:t>
            </w:r>
          </w:p>
        </w:tc>
        <w:tc>
          <w:tcPr>
            <w:tcW w:w="0" w:type="dxa"/>
            <w:vAlign w:val="bottom"/>
          </w:tcPr>
          <w:p>
            <w:pPr>
              <w:spacing w:after="0"/>
              <w:rPr>
                <w:sz w:val="1"/>
                <w:szCs w:val="1"/>
                <w:color w:val="auto"/>
              </w:rPr>
            </w:pPr>
          </w:p>
        </w:tc>
      </w:tr>
      <w:tr>
        <w:trPr>
          <w:trHeight w:val="377"/>
        </w:trPr>
        <w:tc>
          <w:tcPr>
            <w:tcW w:w="7100" w:type="dxa"/>
            <w:vAlign w:val="bottom"/>
          </w:tcPr>
          <w:p>
            <w:pPr>
              <w:spacing w:after="0"/>
              <w:rPr>
                <w:sz w:val="24"/>
                <w:szCs w:val="2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1,570</w:t>
            </w:r>
          </w:p>
        </w:tc>
        <w:tc>
          <w:tcPr>
            <w:tcW w:w="4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1,544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3,019</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3,007</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637.5</w:t>
            </w:r>
          </w:p>
        </w:tc>
        <w:tc>
          <w:tcPr>
            <w:tcW w:w="4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650.2</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642.8</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651.3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issuable—stock plans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640.9</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654.2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646.3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655.5</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2.45</w:t>
            </w:r>
          </w:p>
        </w:tc>
        <w:tc>
          <w:tcPr>
            <w:tcW w:w="4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2.36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4.67</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diluted earnings per share calculations exclude the effect of stock options when the cost to exercise an option exceeds the average market price of the common shares during the period. For the three and six months ended June 30, 2025, the weighted average number of stock options excluded from the computations were 3.4 million and 2.9 million, respectively. For the three and six months ended June 30, 2024, the weighted average number of stock options excluded from the computations were 5.6 million and 5.3 million, respectively.</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June 30, 2025, and 2024, the total shares outstanding were 634.9 million and 649.7 million, respectively, and as of June 30, 2025, and 2024, total shares issued were 957.6 million.</w:t>
      </w:r>
    </w:p>
    <w:p>
      <w:pPr>
        <w:spacing w:after="0" w:line="373"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14. ACCUMULATED OTHER COMPREHENSIVE LOSS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LOSS BY COMPONENT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400" w:type="dxa"/>
            <w:vAlign w:val="bottom"/>
          </w:tcPr>
          <w:p>
            <w:pPr>
              <w:jc w:val="center"/>
              <w:ind w:right="20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14"/>
                <w:szCs w:val="14"/>
                <w:color w:val="auto"/>
              </w:rPr>
            </w:pP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14"/>
                <w:szCs w:val="1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1"/>
                <w:szCs w:val="11"/>
                <w:color w:val="auto"/>
              </w:rPr>
            </w:pPr>
          </w:p>
        </w:tc>
        <w:tc>
          <w:tcPr>
            <w:tcW w:w="140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1"/>
                <w:szCs w:val="11"/>
                <w:color w:val="auto"/>
              </w:rPr>
            </w:pPr>
          </w:p>
        </w:tc>
        <w:tc>
          <w:tcPr>
            <w:tcW w:w="140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1"/>
                <w:szCs w:val="11"/>
                <w:color w:val="auto"/>
              </w:rPr>
            </w:pPr>
          </w:p>
        </w:tc>
        <w:tc>
          <w:tcPr>
            <w:tcW w:w="106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(2,872)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(3,491)</w:t>
            </w:r>
          </w:p>
        </w:tc>
        <w:tc>
          <w:tcPr>
            <w:tcW w:w="0" w:type="dxa"/>
            <w:vAlign w:val="bottom"/>
          </w:tcPr>
          <w:p>
            <w:pPr>
              <w:spacing w:after="0"/>
              <w:rPr>
                <w:sz w:val="1"/>
                <w:szCs w:val="1"/>
                <w:color w:val="auto"/>
              </w:rPr>
            </w:pPr>
          </w:p>
        </w:tc>
      </w:tr>
      <w:tr>
        <w:trPr>
          <w:trHeight w:val="193"/>
        </w:trPr>
        <w:tc>
          <w:tcPr>
            <w:tcW w:w="436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18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(964)</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(37)</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Amounts reclassified from accumulated other comprehensive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153</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(84)</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(811)</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(84)</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(32)</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(922)</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(3,683)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(726)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(4,413)</w:t>
            </w:r>
          </w:p>
        </w:tc>
        <w:tc>
          <w:tcPr>
            <w:tcW w:w="0" w:type="dxa"/>
            <w:vAlign w:val="bottom"/>
          </w:tcPr>
          <w:p>
            <w:pPr>
              <w:spacing w:after="0"/>
              <w:rPr>
                <w:sz w:val="1"/>
                <w:szCs w:val="1"/>
                <w:color w:val="auto"/>
              </w:rPr>
            </w:pPr>
          </w:p>
        </w:tc>
      </w:tr>
      <w:tr>
        <w:trPr>
          <w:trHeight w:val="373"/>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24"/>
                <w:szCs w:val="24"/>
                <w:color w:val="auto"/>
              </w:rPr>
            </w:pPr>
          </w:p>
        </w:tc>
        <w:tc>
          <w:tcPr>
            <w:tcW w:w="1400" w:type="dxa"/>
            <w:vAlign w:val="bottom"/>
          </w:tcPr>
          <w:p>
            <w:pPr>
              <w:jc w:val="center"/>
              <w:ind w:right="24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24"/>
                <w:szCs w:val="24"/>
                <w:color w:val="auto"/>
              </w:rPr>
            </w:pPr>
          </w:p>
        </w:tc>
        <w:tc>
          <w:tcPr>
            <w:tcW w:w="14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24"/>
                <w:szCs w:val="2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2"/>
                <w:szCs w:val="12"/>
                <w:color w:val="auto"/>
              </w:rPr>
            </w:pPr>
          </w:p>
        </w:tc>
        <w:tc>
          <w:tcPr>
            <w:tcW w:w="14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2"/>
                <w:szCs w:val="12"/>
                <w:color w:val="auto"/>
              </w:rPr>
            </w:pPr>
          </w:p>
        </w:tc>
        <w:tc>
          <w:tcPr>
            <w:tcW w:w="10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(3,101)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(1,055)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(4,135)</w:t>
            </w:r>
          </w:p>
        </w:tc>
        <w:tc>
          <w:tcPr>
            <w:tcW w:w="0" w:type="dxa"/>
            <w:vAlign w:val="bottom"/>
          </w:tcPr>
          <w:p>
            <w:pPr>
              <w:spacing w:after="0"/>
              <w:rPr>
                <w:sz w:val="1"/>
                <w:szCs w:val="1"/>
                <w:color w:val="auto"/>
              </w:rPr>
            </w:pPr>
          </w:p>
        </w:tc>
      </w:tr>
      <w:tr>
        <w:trPr>
          <w:trHeight w:val="193"/>
        </w:trPr>
        <w:tc>
          <w:tcPr>
            <w:tcW w:w="436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18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83</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Amounts reclassified from accumulated other comprehensive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83</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(3,018)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(1,065)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(4,075)</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15. COMMITMENTS AND CONTINGENCIES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various federal, state, local, and foreign government requirements relating to the protection of the environment. With respect to environmental matters involving site contamination, the Company continually conducts studies, individually or jointly with other potentially responsible parties, to determine the feasibility of various remedial techniques. It is the Company's policy to record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environmental matters are further described in Note 19 Commitments and Contingencies of Notes to Consolidated Financial Statements in the Company's 2024 Annual Report on Form 10-K.</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29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678</w:t>
            </w:r>
          </w:p>
        </w:tc>
      </w:tr>
      <w:tr>
        <w:trPr>
          <w:trHeight w:val="193"/>
        </w:trPr>
        <w:tc>
          <w:tcPr>
            <w:tcW w:w="78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90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w:t>
            </w:r>
          </w:p>
        </w:tc>
      </w:tr>
      <w:tr>
        <w:trPr>
          <w:trHeight w:val="196"/>
        </w:trPr>
        <w:tc>
          <w:tcPr>
            <w:tcW w:w="78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90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(73)</w:t>
            </w:r>
          </w:p>
        </w:tc>
      </w:tr>
      <w:tr>
        <w:trPr>
          <w:trHeight w:val="199"/>
        </w:trPr>
        <w:tc>
          <w:tcPr>
            <w:tcW w:w="7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29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755</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4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 2025</w:t>
            </w:r>
          </w:p>
        </w:tc>
        <w:tc>
          <w:tcPr>
            <w:tcW w:w="46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4060" w:type="dxa"/>
            <w:vAlign w:val="bottom"/>
            <w:tcBorders>
              <w:bottom w:val="single" w:sz="8" w:color="61656A"/>
            </w:tcBorders>
          </w:tcPr>
          <w:p>
            <w:pPr>
              <w:jc w:val="right"/>
              <w:ind w:right="12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244</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4060" w:type="dxa"/>
            <w:vAlign w:val="bottom"/>
            <w:tcBorders>
              <w:bottom w:val="single" w:sz="8" w:color="D7282F"/>
            </w:tcBorders>
          </w:tcPr>
          <w:p>
            <w:pPr>
              <w:spacing w:after="0"/>
              <w:rPr>
                <w:sz w:val="17"/>
                <w:szCs w:val="17"/>
                <w:color w:val="auto"/>
              </w:rPr>
            </w:pPr>
          </w:p>
        </w:tc>
        <w:tc>
          <w:tcPr>
            <w:tcW w:w="4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515</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434</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environmental liabilities</w:t>
            </w:r>
          </w:p>
        </w:tc>
        <w:tc>
          <w:tcPr>
            <w:tcW w:w="4060" w:type="dxa"/>
            <w:vAlign w:val="bottom"/>
            <w:tcBorders>
              <w:bottom w:val="single" w:sz="8" w:color="D7282F"/>
            </w:tcBorders>
          </w:tcPr>
          <w:p>
            <w:pPr>
              <w:jc w:val="right"/>
              <w:ind w:right="122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755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678</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Reimbursements associated with this agreement are collected from Resideo quarterly and were $70 million in the six months ended June 30, 2025,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six months ended June 30, 2025, was $123 million. As of June 30, 2025, Other current assets and Other assets included $140 million and $636 million, respectively, for the short-term and long-term portion of the receivable amount due from Resideo under the indemnification and reimbursement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Honeywell is named in asbestos-related personal injury claims related to the Bendix Friction Materials (Bendix) business, which was sold in 2014. Bendix manufactured automotive brake linings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Bendix asbestos-related balances: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Asbestos-Related Liabilities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4040" w:type="dxa"/>
            <w:vAlign w:val="bottom"/>
            <w:tcBorders>
              <w:top w:val="single" w:sz="8" w:color="D7282F"/>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1,482</w:t>
            </w:r>
          </w:p>
        </w:tc>
      </w:tr>
      <w:tr>
        <w:trPr>
          <w:trHeight w:val="193"/>
        </w:trPr>
        <w:tc>
          <w:tcPr>
            <w:tcW w:w="66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 for update to estimated liability</w:t>
            </w:r>
          </w:p>
        </w:tc>
        <w:tc>
          <w:tcPr>
            <w:tcW w:w="40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66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 in estimated cost of future claims</w:t>
            </w:r>
          </w:p>
        </w:tc>
        <w:tc>
          <w:tcPr>
            <w:tcW w:w="40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66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404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(111)</w:t>
            </w:r>
          </w:p>
        </w:tc>
      </w:tr>
      <w:tr>
        <w:trPr>
          <w:trHeight w:val="199"/>
        </w:trPr>
        <w:tc>
          <w:tcPr>
            <w:tcW w:w="66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June 30, 2025</w:t>
            </w:r>
          </w:p>
        </w:tc>
        <w:tc>
          <w:tcPr>
            <w:tcW w:w="4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1,406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Recoveries for Asbestos-Related Liabilities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38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320" w:type="dxa"/>
            <w:vAlign w:val="bottom"/>
            <w:tcBorders>
              <w:top w:val="single" w:sz="8" w:color="D7282F"/>
              <w:bottom w:val="single" w:sz="8" w:color="DC202E"/>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D7282F"/>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110</w:t>
            </w:r>
          </w:p>
        </w:tc>
      </w:tr>
      <w:tr>
        <w:trPr>
          <w:trHeight w:val="193"/>
        </w:trPr>
        <w:tc>
          <w:tcPr>
            <w:tcW w:w="10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Insurance receipts for asbestos-related liabilities</w:t>
            </w:r>
          </w:p>
        </w:tc>
        <w:tc>
          <w:tcPr>
            <w:tcW w:w="32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103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June 30, 2025</w:t>
            </w:r>
          </w:p>
        </w:tc>
        <w:tc>
          <w:tcPr>
            <w:tcW w:w="3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105</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Bendix asbestos-related balances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Borders>
              <w:bottom w:val="single" w:sz="8" w:color="D7282F"/>
            </w:tcBorders>
          </w:tcPr>
          <w:p>
            <w:pPr>
              <w:spacing w:after="0"/>
              <w:rPr>
                <w:sz w:val="17"/>
                <w:szCs w:val="17"/>
                <w:color w:val="auto"/>
              </w:rPr>
            </w:pPr>
          </w:p>
        </w:tc>
        <w:tc>
          <w:tcPr>
            <w:tcW w:w="19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June 30, 2025</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current assets</w:t>
            </w:r>
          </w:p>
        </w:tc>
        <w:tc>
          <w:tcPr>
            <w:tcW w:w="1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9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91</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96</w:t>
            </w: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insurance recoveries for asbestos-related liabilities</w:t>
            </w:r>
          </w:p>
        </w:tc>
        <w:tc>
          <w:tcPr>
            <w:tcW w:w="1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110</w:t>
            </w:r>
          </w:p>
        </w:tc>
      </w:tr>
      <w:tr>
        <w:trPr>
          <w:trHeight w:val="193"/>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157</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9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1,243</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1,325</w:t>
            </w: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asbestos-related liabilities</w:t>
            </w:r>
          </w:p>
        </w:tc>
        <w:tc>
          <w:tcPr>
            <w:tcW w:w="1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1,406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information regarding Bendix-related asbestos claims activity: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Six Months Ended</w:t>
            </w:r>
          </w:p>
        </w:tc>
        <w:tc>
          <w:tcPr>
            <w:tcW w:w="17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Year Ended December</w:t>
            </w:r>
          </w:p>
        </w:tc>
      </w:tr>
      <w:tr>
        <w:trPr>
          <w:trHeight w:val="185"/>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Borders>
              <w:bottom w:val="single" w:sz="8" w:color="D7282F"/>
            </w:tcBorders>
            <w:gridSpan w:val="2"/>
          </w:tcPr>
          <w:p>
            <w:pPr>
              <w:jc w:val="center"/>
              <w:ind w:left="508"/>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31,</w:t>
            </w:r>
          </w:p>
        </w:tc>
      </w:tr>
      <w:tr>
        <w:trPr>
          <w:trHeight w:val="195"/>
        </w:trPr>
        <w:tc>
          <w:tcPr>
            <w:tcW w:w="648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gridSpan w:val="2"/>
          </w:tcPr>
          <w:p>
            <w:pPr>
              <w:jc w:val="center"/>
              <w:ind w:left="528"/>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648"/>
              <w:spacing w:after="0"/>
              <w:rPr>
                <w:sz w:val="20"/>
                <w:szCs w:val="20"/>
                <w:color w:val="auto"/>
              </w:rPr>
            </w:pPr>
            <w:r>
              <w:rPr>
                <w:rFonts w:ascii="Arial" w:cs="Arial" w:eastAsia="Arial" w:hAnsi="Arial"/>
                <w:sz w:val="14"/>
                <w:szCs w:val="14"/>
                <w:b w:val="1"/>
                <w:bCs w:val="1"/>
                <w:color w:val="auto"/>
              </w:rPr>
              <w:t>2024</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beginning of period</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4,950</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5,517</w:t>
            </w:r>
          </w:p>
        </w:tc>
      </w:tr>
      <w:tr>
        <w:trPr>
          <w:trHeight w:val="193"/>
        </w:trPr>
        <w:tc>
          <w:tcPr>
            <w:tcW w:w="6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Claims filed</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44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801</w:t>
            </w:r>
          </w:p>
        </w:tc>
        <w:tc>
          <w:tcPr>
            <w:tcW w:w="24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1,617</w:t>
            </w:r>
          </w:p>
        </w:tc>
      </w:tr>
      <w:tr>
        <w:trPr>
          <w:trHeight w:val="196"/>
        </w:trPr>
        <w:tc>
          <w:tcPr>
            <w:tcW w:w="6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Claims resolved</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(993)</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(2,184)</w:t>
            </w:r>
          </w:p>
        </w:tc>
      </w:tr>
      <w:tr>
        <w:trPr>
          <w:trHeight w:val="199"/>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period</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4,758</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4,950</w:t>
            </w:r>
          </w:p>
        </w:tc>
      </w:tr>
      <w:tr>
        <w:trPr>
          <w:trHeight w:val="42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180" w:type="dxa"/>
            <w:vAlign w:val="bottom"/>
            <w:tcBorders>
              <w:bottom w:val="single" w:sz="8" w:color="D7282F"/>
            </w:tcBorders>
          </w:tcPr>
          <w:p>
            <w:pPr>
              <w:spacing w:after="0"/>
              <w:rPr>
                <w:sz w:val="24"/>
                <w:szCs w:val="24"/>
                <w:color w:val="auto"/>
              </w:rPr>
            </w:pPr>
          </w:p>
        </w:tc>
        <w:tc>
          <w:tcPr>
            <w:tcW w:w="760" w:type="dxa"/>
            <w:vAlign w:val="bottom"/>
            <w:tcBorders>
              <w:bottom w:val="single" w:sz="8" w:color="D7282F"/>
            </w:tcBorders>
          </w:tcPr>
          <w:p>
            <w:pPr>
              <w:spacing w:after="0"/>
              <w:rPr>
                <w:sz w:val="24"/>
                <w:szCs w:val="24"/>
                <w:color w:val="auto"/>
              </w:rPr>
            </w:pPr>
          </w:p>
        </w:tc>
        <w:tc>
          <w:tcPr>
            <w:tcW w:w="2060" w:type="dxa"/>
            <w:vAlign w:val="bottom"/>
            <w:tcBorders>
              <w:bottom w:val="single" w:sz="8" w:color="D7282F"/>
            </w:tcBorders>
            <w:gridSpan w:val="4"/>
          </w:tcPr>
          <w:p>
            <w:pPr>
              <w:ind w:left="460"/>
              <w:spacing w:after="0"/>
              <w:rPr>
                <w:sz w:val="20"/>
                <w:szCs w:val="20"/>
                <w:color w:val="auto"/>
              </w:rPr>
            </w:pPr>
            <w:r>
              <w:rPr>
                <w:rFonts w:ascii="Arial" w:cs="Arial" w:eastAsia="Arial" w:hAnsi="Arial"/>
                <w:sz w:val="14"/>
                <w:szCs w:val="14"/>
                <w:b w:val="1"/>
                <w:bCs w:val="1"/>
                <w:color w:val="auto"/>
              </w:rPr>
              <w:t>June 30, 2025</w:t>
            </w:r>
          </w:p>
        </w:tc>
        <w:tc>
          <w:tcPr>
            <w:tcW w:w="176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44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3,081</w:t>
            </w:r>
          </w:p>
        </w:tc>
        <w:tc>
          <w:tcPr>
            <w:tcW w:w="24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2,923</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1,677</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2,027</w:t>
            </w:r>
          </w:p>
        </w:tc>
      </w:tr>
      <w:tr>
        <w:trPr>
          <w:trHeight w:val="199"/>
        </w:trPr>
        <w:tc>
          <w:tcPr>
            <w:tcW w:w="6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claims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4,758</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4,950</w:t>
            </w:r>
          </w:p>
        </w:tc>
      </w:tr>
      <w:tr>
        <w:trPr>
          <w:trHeight w:val="398"/>
        </w:trPr>
        <w:tc>
          <w:tcPr>
            <w:tcW w:w="6660" w:type="dxa"/>
            <w:vAlign w:val="bottom"/>
            <w:gridSpan w:val="2"/>
          </w:tcPr>
          <w:p>
            <w:pPr>
              <w:spacing w:after="0"/>
              <w:rPr>
                <w:sz w:val="20"/>
                <w:szCs w:val="20"/>
                <w:color w:val="auto"/>
              </w:rPr>
            </w:pPr>
            <w:r>
              <w:rPr>
                <w:rFonts w:ascii="Arial" w:cs="Arial" w:eastAsia="Arial" w:hAnsi="Arial"/>
                <w:sz w:val="16"/>
                <w:szCs w:val="16"/>
                <w:color w:val="auto"/>
              </w:rPr>
              <w:t>Honeywell experienced average resolution values per claim excluding legal costs as follows:</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5"/>
        </w:trPr>
        <w:tc>
          <w:tcPr>
            <w:tcW w:w="648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760" w:type="dxa"/>
            <w:vAlign w:val="bottom"/>
            <w:tcBorders>
              <w:bottom w:val="single" w:sz="8" w:color="D7282F"/>
            </w:tcBorders>
          </w:tcPr>
          <w:p>
            <w:pPr>
              <w:spacing w:after="0"/>
              <w:rPr>
                <w:sz w:val="24"/>
                <w:szCs w:val="24"/>
                <w:color w:val="auto"/>
              </w:rPr>
            </w:pPr>
          </w:p>
        </w:tc>
        <w:tc>
          <w:tcPr>
            <w:tcW w:w="2760" w:type="dxa"/>
            <w:vAlign w:val="bottom"/>
            <w:tcBorders>
              <w:bottom w:val="single" w:sz="8" w:color="D7282F"/>
            </w:tcBorders>
            <w:gridSpan w:val="5"/>
          </w:tcPr>
          <w:p>
            <w:pPr>
              <w:jc w:val="center"/>
              <w:ind w:left="48"/>
              <w:spacing w:after="0"/>
              <w:rPr>
                <w:sz w:val="20"/>
                <w:szCs w:val="20"/>
                <w:color w:val="auto"/>
              </w:rPr>
            </w:pPr>
            <w:r>
              <w:rPr>
                <w:rFonts w:ascii="Arial" w:cs="Arial" w:eastAsia="Arial" w:hAnsi="Arial"/>
                <w:sz w:val="14"/>
                <w:szCs w:val="14"/>
                <w:b w:val="1"/>
                <w:bCs w:val="1"/>
                <w:color w:val="auto"/>
              </w:rPr>
              <w:t>Years Ended December 31,</w:t>
            </w:r>
          </w:p>
        </w:tc>
        <w:tc>
          <w:tcPr>
            <w:tcW w:w="1060" w:type="dxa"/>
            <w:vAlign w:val="bottom"/>
            <w:tcBorders>
              <w:bottom w:val="single" w:sz="8" w:color="D7282F"/>
            </w:tcBorders>
          </w:tcPr>
          <w:p>
            <w:pPr>
              <w:spacing w:after="0"/>
              <w:rPr>
                <w:sz w:val="24"/>
                <w:szCs w:val="24"/>
                <w:color w:val="auto"/>
              </w:rPr>
            </w:pPr>
          </w:p>
        </w:tc>
      </w:tr>
      <w:tr>
        <w:trPr>
          <w:trHeight w:val="196"/>
        </w:trPr>
        <w:tc>
          <w:tcPr>
            <w:tcW w:w="64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2020</w:t>
            </w:r>
          </w:p>
        </w:tc>
      </w:tr>
      <w:tr>
        <w:trPr>
          <w:trHeight w:val="196"/>
        </w:trPr>
        <w:tc>
          <w:tcPr>
            <w:tcW w:w="64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gridSpan w:val="3"/>
          </w:tcPr>
          <w:p>
            <w:pPr>
              <w:jc w:val="center"/>
              <w:spacing w:after="0"/>
              <w:rPr>
                <w:sz w:val="20"/>
                <w:szCs w:val="20"/>
                <w:color w:val="auto"/>
              </w:rPr>
            </w:pPr>
            <w:r>
              <w:rPr>
                <w:rFonts w:ascii="Arial" w:cs="Arial" w:eastAsia="Arial" w:hAnsi="Arial"/>
                <w:sz w:val="14"/>
                <w:szCs w:val="14"/>
                <w:b w:val="1"/>
                <w:bCs w:val="1"/>
                <w:color w:val="auto"/>
              </w:rPr>
              <w:t>(in whole dollars)</w:t>
            </w:r>
          </w:p>
        </w:tc>
        <w:tc>
          <w:tcPr>
            <w:tcW w:w="7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spacing w:after="0"/>
              <w:rPr>
                <w:sz w:val="17"/>
                <w:szCs w:val="17"/>
                <w:color w:val="auto"/>
              </w:rPr>
            </w:pPr>
          </w:p>
        </w:tc>
      </w:tr>
      <w:tr>
        <w:trPr>
          <w:trHeight w:val="193"/>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79,900</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66,200</w:t>
            </w:r>
          </w:p>
        </w:tc>
        <w:tc>
          <w:tcPr>
            <w:tcW w:w="4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59,200</w:t>
            </w:r>
          </w:p>
        </w:tc>
        <w:tc>
          <w:tcPr>
            <w:tcW w:w="24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56,000</w:t>
            </w: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61,500</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1,100</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1,730</w:t>
            </w:r>
          </w:p>
        </w:tc>
        <w:tc>
          <w:tcPr>
            <w:tcW w:w="4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520</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400</w:t>
            </w: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550</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average resolution values in the tort system over a defined look-back period. The Company valued Bendix asserted and unasserted claims using average resolution values for the previous two years. The Company reviews the valuation assumptions and average resolution values used to estimate the cost of Bendix asserted and unasserted claims during the fourth quarter each year.</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 MATTER</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cooperating with a formal investigation by the Securities and Exchange Commission (SEC) which is focused on certain financial reporting matters, including with respect to the Company's former Performance Materials and Technologies segment. At this time, the Company does not expect the outcome of this matter to have a material adverse effect on the Company's consolidated results of operations, cash flows, or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PETROBRAS AND UNAOIL MATTERS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December 19, 2022, the Company reached a comprehensive resolution to the investigations by the U.S. Department of Justice (DOJ), the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5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connection with the comprehensive resolution, (i) the Company agreed to pay a total equivalent of $203 million, which payment occurred in January 2023, to the DOJ, the SEC, and the Brazilian Authorities, collectively, in penalties, disgorgement, and prejudgment interest, (ii) the Company’s subsidiary, UOP, LLC (UOP), entered into a three-year Deferred Prosecution Agreement (DPA)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resolved the Petrobras and Unaoil investigations. In July 2025, the DOJ filed, and the court granted, a motion for early termination of the DPA, and the deferred charges related to the UOP Matters have been dismissed with prejudice.</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LITIGATION MATTERS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Flexjet v. Honeywell International Inc.</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Flexjet, LLC (Flexjet) provides private jet services to customers. Honeywell maintains aircraft engine maintenance service contracts with Flexjet. On March 1, 2023, Flexjet brought suit against the Company, alleging breach of the parties’ aircraft engine maintenance service agreement (the MSA), seeking liquidated damages for delayed engine repairs, and claiming that its liquidated damages continue to accrue monthly related to engines awaiting repair.</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suit was filed in the Supreme Court of the State of New York, County of New York, Commercial Division. On December 12, 2024, the court issued a partial summary judgment order holding that the MSA could not be terminated for convenience. On May 8, 2025, the court ruled on the remaining issues in the parties’ motions for summary judgment, finding that the MSA’s liquidated damages provision is enforceable and dismissing the Company’s force majeure defense, among other rulings. The court’s second summary judgment order also held that a trial is necessary to determine whether and to what extent specific engines are covered by the MSA. Trial has not yet been scheduled but is currently anticipated in 2026. The Company filed notices of appeal of the court’s summary judgment decisions on January 10, 2025 and June 17, 2025. In two related cases filed by third-party aircraft repair and services companies, Duncan Aviation, Inc. (Duncan) and StandardAero Business Aviation Services, LLC (StandardAero) brought suit against Flexjet for amounts allegedly owed for services provided. The Duncan litigation was filed in the U.S. District Court of Nebraska and is pending transfer to the U.S. District Court for the Southern District of New York. The StandardAero litigation was filed in the Supreme Court of the State of New York, County of New York, Commercial Division. Flexjet filed amended pleadings in the Duncan and StandardAero cases on January 10, 2025 and June 10, 2025, purporting to join the Company as a third-party defendant and claiming that amounts allegedly owed to the respective plaintiffs are the liabilities of the Company. Honeywell believes that it has strong defenses and intends to continue to vigorously defend the Flexjet-related matters.</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Company has recorded accruals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 with respect to the Flexjet-related matters, which accruals are not material. Given the uncertainties inherent in litigation, the Company cannot predict when or how these matters will be resolved and cannot reasonably estimate a range of possible loss in excess of accruals.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ultimate resolution of these matters could result in damage awards or settlements that are materially higher than amounts currently accrued and changes to amounts accrued or paid could have a material adverse effect on the Company's consolidated results of operations or operating cash flows in the period(s) recognized or paid. The Company does not expect the outcome of the Flexjet-related litigation matters, either individually or in the aggregate, to have a material adverse effect on the Company's consolidated financial position.</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Given the uncertainty inherent in litigation and investigations, including those discussed in this Note 15,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NOTE 16. PENSION BENEFITS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(income) cost for the Company's significant pension plans included the following components: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U.S. Plans</w:t>
            </w:r>
          </w:p>
        </w:tc>
        <w:tc>
          <w:tcPr>
            <w:tcW w:w="72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100" w:type="dxa"/>
            <w:vAlign w:val="bottom"/>
          </w:tcPr>
          <w:p>
            <w:pPr>
              <w:spacing w:after="0"/>
              <w:rPr>
                <w:sz w:val="14"/>
                <w:szCs w:val="1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10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147</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149</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294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(289)</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(281)</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(578)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 cost</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(135)</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(127)</w:t>
            </w:r>
          </w:p>
        </w:tc>
        <w:tc>
          <w:tcPr>
            <w:tcW w:w="2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(270)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466"/>
        </w:trPr>
        <w:tc>
          <w:tcPr>
            <w:tcW w:w="710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680" w:type="dxa"/>
            <w:vAlign w:val="bottom"/>
            <w:tcBorders>
              <w:bottom w:val="single" w:sz="8" w:color="D7282F"/>
            </w:tcBorders>
          </w:tcPr>
          <w:p>
            <w:pPr>
              <w:spacing w:after="0"/>
              <w:rPr>
                <w:sz w:val="24"/>
                <w:szCs w:val="24"/>
                <w:color w:val="auto"/>
              </w:rPr>
            </w:pPr>
          </w:p>
        </w:tc>
        <w:tc>
          <w:tcPr>
            <w:tcW w:w="420" w:type="dxa"/>
            <w:vAlign w:val="bottom"/>
            <w:tcBorders>
              <w:bottom w:val="single" w:sz="8" w:color="D7282F"/>
            </w:tcBorders>
          </w:tcPr>
          <w:p>
            <w:pPr>
              <w:spacing w:after="0"/>
              <w:rPr>
                <w:sz w:val="24"/>
                <w:szCs w:val="24"/>
                <w:color w:val="auto"/>
              </w:rPr>
            </w:pPr>
          </w:p>
        </w:tc>
        <w:tc>
          <w:tcPr>
            <w:tcW w:w="1880" w:type="dxa"/>
            <w:vAlign w:val="bottom"/>
            <w:tcBorders>
              <w:bottom w:val="single" w:sz="8" w:color="D7282F"/>
            </w:tcBorders>
            <w:gridSpan w:val="4"/>
          </w:tcPr>
          <w:p>
            <w:pPr>
              <w:jc w:val="right"/>
              <w:ind w:right="508"/>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Borders>
              <w:bottom w:val="single" w:sz="8" w:color="D7282F"/>
            </w:tcBorders>
          </w:tcPr>
          <w:p>
            <w:pPr>
              <w:spacing w:after="0"/>
              <w:rPr>
                <w:sz w:val="24"/>
                <w:szCs w:val="24"/>
                <w:color w:val="auto"/>
              </w:rPr>
            </w:pPr>
          </w:p>
        </w:tc>
        <w:tc>
          <w:tcPr>
            <w:tcW w:w="6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100" w:type="dxa"/>
            <w:vAlign w:val="bottom"/>
          </w:tcPr>
          <w:p>
            <w:pPr>
              <w:spacing w:after="0"/>
              <w:rPr>
                <w:sz w:val="15"/>
                <w:szCs w:val="15"/>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10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47</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Recognition of actuarial (gains) losses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C202E"/>
            </w:tcBorders>
          </w:tcPr>
          <w:p>
            <w:pPr>
              <w:ind w:left="20"/>
              <w:spacing w:after="0"/>
              <w:rPr>
                <w:sz w:val="20"/>
                <w:szCs w:val="20"/>
                <w:color w:val="auto"/>
              </w:rPr>
            </w:pPr>
            <w:r>
              <w:rPr>
                <w:rFonts w:ascii="Arial" w:cs="Arial" w:eastAsia="Arial" w:hAnsi="Arial"/>
                <w:sz w:val="14"/>
                <w:szCs w:val="14"/>
                <w:color w:val="auto"/>
              </w:rPr>
              <w:t>Settlements and curtailments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68</w:t>
            </w:r>
          </w:p>
        </w:tc>
        <w:tc>
          <w:tcPr>
            <w:tcW w:w="4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C202E"/>
            </w:tcBorders>
          </w:tcPr>
          <w:p>
            <w:pPr>
              <w:ind w:left="140"/>
              <w:spacing w:after="0"/>
              <w:rPr>
                <w:sz w:val="20"/>
                <w:szCs w:val="20"/>
                <w:color w:val="auto"/>
              </w:rPr>
            </w:pPr>
            <w:r>
              <w:rPr>
                <w:rFonts w:ascii="Arial" w:cs="Arial" w:eastAsia="Arial" w:hAnsi="Arial"/>
                <w:sz w:val="14"/>
                <w:szCs w:val="14"/>
                <w:b w:val="1"/>
                <w:bCs w:val="1"/>
                <w:color w:val="auto"/>
              </w:rPr>
              <w:t>Net periodic benefit (income) cost</w:t>
            </w:r>
          </w:p>
        </w:tc>
        <w:tc>
          <w:tcPr>
            <w:tcW w:w="18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45</w:t>
            </w:r>
          </w:p>
        </w:tc>
        <w:tc>
          <w:tcPr>
            <w:tcW w:w="420" w:type="dxa"/>
            <w:vAlign w:val="bottom"/>
            <w:tcBorders>
              <w:bottom w:val="single" w:sz="8" w:color="DC202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(24)</w:t>
            </w:r>
          </w:p>
        </w:tc>
        <w:tc>
          <w:tcPr>
            <w:tcW w:w="220" w:type="dxa"/>
            <w:vAlign w:val="bottom"/>
            <w:tcBorders>
              <w:bottom w:val="single" w:sz="8" w:color="DC202E"/>
            </w:tcBorders>
          </w:tcPr>
          <w:p>
            <w:pPr>
              <w:spacing w:after="0"/>
              <w:rPr>
                <w:sz w:val="17"/>
                <w:szCs w:val="17"/>
                <w:color w:val="auto"/>
              </w:rPr>
            </w:pPr>
          </w:p>
        </w:tc>
        <w:tc>
          <w:tcPr>
            <w:tcW w:w="260" w:type="dxa"/>
            <w:vAlign w:val="bottom"/>
            <w:tcBorders>
              <w:bottom w:val="single" w:sz="8" w:color="DC202E"/>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C202E"/>
            </w:tcBorders>
          </w:tcPr>
          <w:p>
            <w:pPr>
              <w:jc w:val="right"/>
              <w:ind w:right="108"/>
              <w:spacing w:after="0"/>
              <w:rPr>
                <w:sz w:val="20"/>
                <w:szCs w:val="20"/>
                <w:color w:val="auto"/>
              </w:rPr>
            </w:pPr>
            <w:r>
              <w:rPr>
                <w:rFonts w:ascii="Arial" w:cs="Arial" w:eastAsia="Arial" w:hAnsi="Arial"/>
                <w:sz w:val="14"/>
                <w:szCs w:val="14"/>
                <w:b w:val="1"/>
                <w:bCs w:val="1"/>
                <w:color w:val="auto"/>
              </w:rPr>
              <w:t>34</w:t>
            </w:r>
          </w:p>
        </w:tc>
        <w:tc>
          <w:tcPr>
            <w:tcW w:w="30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repurchased $100 million and $300 million of outstanding Honeywell shares of common stock from the Honeywell U.S. Pension Plan Master Trust during the three and six months ended June 30, 2025, respectively. The Company completed no repurchases of outstanding Honeywell shares of common stock from the Honeywell U.S. Pension Plan Master Trust during the six months ended June 30, 2024.</w:t>
      </w:r>
    </w:p>
    <w:p>
      <w:pPr>
        <w:spacing w:after="0" w:line="395"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17. OTHER (INCOME) EXPENSE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(79)</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(169)</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income—non-service</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income—non-service</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Loss on sale of non-strategic businesses and assets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w:t>
            </w:r>
          </w:p>
        </w:tc>
        <w:tc>
          <w:tcPr>
            <w:tcW w:w="4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exchange (gain) loss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0"/>
        </w:trPr>
        <w:tc>
          <w:tcPr>
            <w:tcW w:w="7100" w:type="dxa"/>
            <w:vAlign w:val="bottom"/>
            <w:tcBorders>
              <w:bottom w:val="single" w:sz="8" w:color="61656A"/>
            </w:tcBorders>
          </w:tcPr>
          <w:p>
            <w:pPr>
              <w:ind w:left="20"/>
              <w:spacing w:after="0" w:line="200" w:lineRule="exact"/>
              <w:rPr>
                <w:sz w:val="20"/>
                <w:szCs w:val="20"/>
                <w:color w:val="auto"/>
              </w:rPr>
            </w:pPr>
            <w:r>
              <w:rPr>
                <w:rFonts w:ascii="Arial" w:cs="Arial" w:eastAsia="Arial" w:hAnsi="Arial"/>
                <w:sz w:val="14"/>
                <w:szCs w:val="14"/>
                <w:color w:val="auto"/>
              </w:rPr>
              <w:t>Divestiture-related costs</w:t>
            </w:r>
            <w:r>
              <w:rPr>
                <w:rFonts w:ascii="Arial" w:cs="Arial" w:eastAsia="Arial" w:hAnsi="Arial"/>
                <w:sz w:val="18"/>
                <w:szCs w:val="18"/>
                <w:color w:val="auto"/>
                <w:vertAlign w:val="superscript"/>
              </w:rPr>
              <w:t>1</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79</w:t>
            </w:r>
          </w:p>
        </w:tc>
        <w:tc>
          <w:tcPr>
            <w:tcW w:w="4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Acquisition-related costs</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Expense related to Russia-Ukraine conflict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(87)</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(477)</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80" w:hanging="344"/>
        <w:spacing w:after="0"/>
        <w:tabs>
          <w:tab w:leader="none" w:pos="480" w:val="left"/>
        </w:tabs>
        <w:numPr>
          <w:ilvl w:val="0"/>
          <w:numId w:val="27"/>
        </w:numPr>
        <w:rPr>
          <w:rFonts w:ascii="Arial" w:cs="Arial" w:eastAsia="Arial" w:hAnsi="Arial"/>
          <w:sz w:val="25"/>
          <w:szCs w:val="25"/>
          <w:color w:val="auto"/>
          <w:vertAlign w:val="superscript"/>
        </w:rPr>
      </w:pPr>
      <w:r>
        <w:rPr>
          <w:rFonts w:ascii="Arial" w:cs="Arial" w:eastAsia="Arial" w:hAnsi="Arial"/>
          <w:sz w:val="13"/>
          <w:szCs w:val="13"/>
          <w:color w:val="auto"/>
        </w:rPr>
        <w:t>Includes divestiture, spin-off, and separation costs.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5 </w:t>
      </w:r>
      <w:r>
        <w:rPr>
          <w:rFonts w:ascii="Arial" w:cs="Arial" w:eastAsia="Arial" w:hAnsi="Arial"/>
          <w:sz w:val="16"/>
          <w:szCs w:val="16"/>
          <w:u w:val="single" w:color="auto"/>
          <w:color w:val="0000FF"/>
        </w:rPr>
        <w:t>Repositioning and Other Charges</w:t>
      </w:r>
      <w:r>
        <w:rPr>
          <w:rFonts w:ascii="Arial" w:cs="Arial" w:eastAsia="Arial" w:hAnsi="Arial"/>
          <w:sz w:val="16"/>
          <w:szCs w:val="16"/>
          <w:color w:val="auto"/>
        </w:rPr>
        <w:t xml:space="preserve"> for further discussion of the expense related to the Russia-Ukraine conflict.</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NOTE 18. SEGMENT FINANCIAL DATA</w:t>
      </w:r>
    </w:p>
    <w:p>
      <w:pPr>
        <w:spacing w:after="0" w:line="25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the Chairman and Chief Executive Officer, who is the Company's chief operating decision maker, and management reviews the businesses, makes investing and resource allocation decisions, and assesses operating performance.</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interest income, amortization of acquisition-related intangibles, certain acquisition- and divestiture-related costs, impairment of assets held for sale, stock compensation expense, pension and other postretirement income (expense), repositioning and other charges, and other items within Other (income) expense.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4"/>
                <w:szCs w:val="14"/>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Building</w:t>
            </w:r>
          </w:p>
        </w:tc>
        <w:tc>
          <w:tcPr>
            <w:tcW w:w="260" w:type="dxa"/>
            <w:vAlign w:val="bottom"/>
          </w:tcPr>
          <w:p>
            <w:pPr>
              <w:spacing w:after="0"/>
              <w:rPr>
                <w:sz w:val="14"/>
                <w:szCs w:val="14"/>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Energy and</w:t>
            </w:r>
          </w:p>
        </w:tc>
        <w:tc>
          <w:tcPr>
            <w:tcW w:w="260" w:type="dxa"/>
            <w:vAlign w:val="bottom"/>
          </w:tcPr>
          <w:p>
            <w:pPr>
              <w:spacing w:after="0"/>
              <w:rPr>
                <w:sz w:val="14"/>
                <w:szCs w:val="14"/>
                <w:color w:val="auto"/>
              </w:rPr>
            </w:pP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2025</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Sustainability</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Solutions</w:t>
            </w:r>
          </w:p>
        </w:tc>
        <w:tc>
          <w:tcPr>
            <w:tcW w:w="124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5"/>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2,468</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1,646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1,333</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1,672</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7,119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1,839</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734</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493</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165</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3,233</w:t>
            </w: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4,307</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2,380</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1,826</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1,837</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10,352</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2,718</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1,376</w:t>
            </w: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944</w:t>
            </w: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1,148</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181</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333</w:t>
            </w: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282</w:t>
            </w: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146</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segment items</w:t>
            </w:r>
            <w:r>
              <w:rPr>
                <w:rFonts w:ascii="Arial" w:cs="Arial" w:eastAsia="Arial" w:hAnsi="Arial"/>
                <w:sz w:val="9"/>
                <w:szCs w:val="9"/>
                <w:color w:val="auto"/>
              </w:rPr>
              <w:t>1</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310</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215</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121</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100</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1,098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456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443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2,366</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D7282F"/>
            </w:tcBorders>
          </w:tcPr>
          <w:p>
            <w:pPr>
              <w:spacing w:after="0"/>
              <w:rPr>
                <w:sz w:val="20"/>
                <w:szCs w:val="20"/>
                <w:color w:val="auto"/>
              </w:rPr>
            </w:pPr>
          </w:p>
        </w:tc>
        <w:tc>
          <w:tcPr>
            <w:tcW w:w="30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2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85</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108</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97</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42</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24</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106</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34</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80" w:right="120" w:hanging="344"/>
        <w:spacing w:after="0" w:line="181" w:lineRule="auto"/>
        <w:tabs>
          <w:tab w:leader="none" w:pos="480" w:val="left"/>
        </w:tabs>
        <w:numPr>
          <w:ilvl w:val="0"/>
          <w:numId w:val="28"/>
        </w:numPr>
        <w:rPr>
          <w:rFonts w:ascii="Arial" w:cs="Arial" w:eastAsia="Arial" w:hAnsi="Arial"/>
          <w:sz w:val="23"/>
          <w:szCs w:val="23"/>
          <w:color w:val="auto"/>
          <w:vertAlign w:val="superscript"/>
        </w:rPr>
      </w:pPr>
      <w:r>
        <w:rPr>
          <w:rFonts w:ascii="Arial" w:cs="Arial" w:eastAsia="Arial" w:hAnsi="Arial"/>
          <w:sz w:val="12"/>
          <w:szCs w:val="12"/>
          <w:color w:val="auto"/>
        </w:rPr>
        <w:t>For each reportable segment, the other segment items category includes research and development expenses, equity income of affiliated companies and certain allocated overhead expenses, which are comprised of salaries and fringe benefits, professional &amp; purchased services, and other indirect spend across core corporate functions such as central IT, corporate finance, human resources, supply chain, legal, government relations, and other corporate functions.</w:t>
      </w:r>
    </w:p>
    <w:p>
      <w:pPr>
        <w:spacing w:after="0" w:line="200" w:lineRule="exact"/>
        <w:rPr>
          <w:sz w:val="20"/>
          <w:szCs w:val="20"/>
          <w:color w:val="auto"/>
        </w:rPr>
      </w:pPr>
    </w:p>
    <w:p>
      <w:pPr>
        <w:spacing w:after="0" w:line="356"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4"/>
                <w:szCs w:val="14"/>
                <w:color w:val="auto"/>
              </w:rPr>
            </w:pPr>
          </w:p>
        </w:tc>
        <w:tc>
          <w:tcPr>
            <w:tcW w:w="10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10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Building</w:t>
            </w:r>
          </w:p>
        </w:tc>
        <w:tc>
          <w:tcPr>
            <w:tcW w:w="260" w:type="dxa"/>
            <w:vAlign w:val="bottom"/>
          </w:tcPr>
          <w:p>
            <w:pPr>
              <w:spacing w:after="0"/>
              <w:rPr>
                <w:sz w:val="14"/>
                <w:szCs w:val="14"/>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Energy and</w:t>
            </w:r>
          </w:p>
        </w:tc>
        <w:tc>
          <w:tcPr>
            <w:tcW w:w="260" w:type="dxa"/>
            <w:vAlign w:val="bottom"/>
          </w:tcPr>
          <w:p>
            <w:pPr>
              <w:spacing w:after="0"/>
              <w:rPr>
                <w:sz w:val="14"/>
                <w:szCs w:val="14"/>
                <w:color w:val="auto"/>
              </w:rPr>
            </w:pPr>
          </w:p>
        </w:tc>
        <w:tc>
          <w:tcPr>
            <w:tcW w:w="9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9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2024</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Sustainability</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Solutions</w:t>
            </w:r>
          </w:p>
        </w:tc>
        <w:tc>
          <w:tcPr>
            <w:tcW w:w="124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5"/>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2,127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1,777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1,154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1,419</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6,477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1,764</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729</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417</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185</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3,100</w:t>
            </w: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3,891</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2,506</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1,571</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1,604</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9,577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2,418</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1,451</w:t>
            </w: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844</w:t>
            </w: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996</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139</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371</w:t>
            </w: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231</w:t>
            </w: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111</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segment items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274</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207</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99</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92</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1,060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397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405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(140)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2,199</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D7282F"/>
            </w:tcBorders>
          </w:tcPr>
          <w:p>
            <w:pPr>
              <w:spacing w:after="0"/>
              <w:rPr>
                <w:sz w:val="20"/>
                <w:szCs w:val="20"/>
                <w:color w:val="auto"/>
              </w:rPr>
            </w:pPr>
          </w:p>
        </w:tc>
        <w:tc>
          <w:tcPr>
            <w:tcW w:w="30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2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68</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88</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41</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65</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69</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90</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40</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362"/>
        </w:trPr>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24"/>
                <w:szCs w:val="24"/>
                <w:color w:val="auto"/>
              </w:rPr>
            </w:pPr>
          </w:p>
        </w:tc>
        <w:tc>
          <w:tcPr>
            <w:tcW w:w="10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24"/>
                <w:szCs w:val="24"/>
                <w:color w:val="auto"/>
              </w:rPr>
            </w:pPr>
          </w:p>
        </w:tc>
        <w:tc>
          <w:tcPr>
            <w:tcW w:w="10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Building</w:t>
            </w:r>
          </w:p>
        </w:tc>
        <w:tc>
          <w:tcPr>
            <w:tcW w:w="260" w:type="dxa"/>
            <w:vAlign w:val="bottom"/>
          </w:tcPr>
          <w:p>
            <w:pPr>
              <w:spacing w:after="0"/>
              <w:rPr>
                <w:sz w:val="24"/>
                <w:szCs w:val="24"/>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Energy and</w:t>
            </w:r>
          </w:p>
        </w:tc>
        <w:tc>
          <w:tcPr>
            <w:tcW w:w="260" w:type="dxa"/>
            <w:vAlign w:val="bottom"/>
          </w:tcPr>
          <w:p>
            <w:pPr>
              <w:spacing w:after="0"/>
              <w:rPr>
                <w:sz w:val="24"/>
                <w:szCs w:val="24"/>
                <w:color w:val="auto"/>
              </w:rPr>
            </w:pPr>
          </w:p>
        </w:tc>
        <w:tc>
          <w:tcPr>
            <w:tcW w:w="9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24"/>
                <w:szCs w:val="24"/>
                <w:color w:val="auto"/>
              </w:rPr>
            </w:pPr>
          </w:p>
        </w:tc>
        <w:tc>
          <w:tcPr>
            <w:tcW w:w="9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June 30, 2025</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Sustainability</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Solutions</w:t>
            </w:r>
          </w:p>
        </w:tc>
        <w:tc>
          <w:tcPr>
            <w:tcW w:w="124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5"/>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4,833</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3,290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2,541</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3,100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13,764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3,646</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1,468</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977</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298</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21</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6,410</w:t>
            </w: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8,479</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4,758</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3,518</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3,398</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20,174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5,310</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2,760</w:t>
            </w: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1,812</w:t>
            </w: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2,130</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369</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699</w:t>
            </w: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557</w:t>
            </w: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282</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segment items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603</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419</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230</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197</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2,197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880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919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789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(161)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4,624</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D7282F"/>
            </w:tcBorders>
          </w:tcPr>
          <w:p>
            <w:pPr>
              <w:spacing w:after="0"/>
              <w:rPr>
                <w:sz w:val="20"/>
                <w:szCs w:val="20"/>
                <w:color w:val="auto"/>
              </w:rPr>
            </w:pPr>
          </w:p>
        </w:tc>
        <w:tc>
          <w:tcPr>
            <w:tcW w:w="30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2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194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169</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117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197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101</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170</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78</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47</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193</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66</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353"/>
        </w:trPr>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24"/>
                <w:szCs w:val="24"/>
                <w:color w:val="auto"/>
              </w:rPr>
            </w:pPr>
          </w:p>
        </w:tc>
        <w:tc>
          <w:tcPr>
            <w:tcW w:w="10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24"/>
                <w:szCs w:val="24"/>
                <w:color w:val="auto"/>
              </w:rPr>
            </w:pPr>
          </w:p>
        </w:tc>
        <w:tc>
          <w:tcPr>
            <w:tcW w:w="10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Building</w:t>
            </w:r>
          </w:p>
        </w:tc>
        <w:tc>
          <w:tcPr>
            <w:tcW w:w="260" w:type="dxa"/>
            <w:vAlign w:val="bottom"/>
          </w:tcPr>
          <w:p>
            <w:pPr>
              <w:spacing w:after="0"/>
              <w:rPr>
                <w:sz w:val="24"/>
                <w:szCs w:val="24"/>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Energy and</w:t>
            </w:r>
          </w:p>
        </w:tc>
        <w:tc>
          <w:tcPr>
            <w:tcW w:w="260" w:type="dxa"/>
            <w:vAlign w:val="bottom"/>
          </w:tcPr>
          <w:p>
            <w:pPr>
              <w:spacing w:after="0"/>
              <w:rPr>
                <w:sz w:val="24"/>
                <w:szCs w:val="24"/>
                <w:color w:val="auto"/>
              </w:rPr>
            </w:pPr>
          </w:p>
        </w:tc>
        <w:tc>
          <w:tcPr>
            <w:tcW w:w="9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24"/>
                <w:szCs w:val="24"/>
                <w:color w:val="auto"/>
              </w:rPr>
            </w:pPr>
          </w:p>
        </w:tc>
        <w:tc>
          <w:tcPr>
            <w:tcW w:w="9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June 30, 2024</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Sustainability</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Solutions</w:t>
            </w:r>
          </w:p>
        </w:tc>
        <w:tc>
          <w:tcPr>
            <w:tcW w:w="124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5"/>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4,152</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3,577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2,211</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2,800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12,740</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3,408</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1,407</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786</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329</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5,942</w:t>
            </w: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7,560</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4,984</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2,997</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3,129</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18,682</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4,635</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2,897</w:t>
            </w: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1,608</w:t>
            </w: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1,995</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294</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728</w:t>
            </w: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449</w:t>
            </w: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240</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segment items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536</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408</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193</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186</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2,095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951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747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708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4,293</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D7282F"/>
            </w:tcBorders>
          </w:tcPr>
          <w:p>
            <w:pPr>
              <w:spacing w:after="0"/>
              <w:rPr>
                <w:sz w:val="20"/>
                <w:szCs w:val="20"/>
                <w:color w:val="auto"/>
              </w:rPr>
            </w:pPr>
          </w:p>
        </w:tc>
        <w:tc>
          <w:tcPr>
            <w:tcW w:w="30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2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134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178</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65</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93</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142</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94</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169</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52</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31</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Borders>
              <w:bottom w:val="single" w:sz="8" w:color="D7282F"/>
            </w:tcBorders>
          </w:tcPr>
          <w:p>
            <w:pPr>
              <w:spacing w:after="0"/>
              <w:rPr>
                <w:sz w:val="17"/>
                <w:szCs w:val="17"/>
                <w:color w:val="auto"/>
              </w:rPr>
            </w:pPr>
          </w:p>
        </w:tc>
        <w:tc>
          <w:tcPr>
            <w:tcW w:w="282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568"/>
              <w:spacing w:after="0"/>
              <w:rPr>
                <w:sz w:val="20"/>
                <w:szCs w:val="20"/>
                <w:color w:val="auto"/>
              </w:rPr>
            </w:pPr>
            <w:r>
              <w:rPr>
                <w:rFonts w:ascii="Arial" w:cs="Arial" w:eastAsia="Arial" w:hAnsi="Arial"/>
                <w:sz w:val="14"/>
                <w:szCs w:val="14"/>
                <w:b w:val="1"/>
                <w:bCs w:val="1"/>
                <w:color w:val="auto"/>
              </w:rPr>
              <w:t>June 30, 2025</w:t>
            </w:r>
          </w:p>
        </w:tc>
        <w:tc>
          <w:tcPr>
            <w:tcW w:w="14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4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Aerospace Technologies</w:t>
            </w:r>
          </w:p>
        </w:tc>
        <w:tc>
          <w:tcPr>
            <w:tcW w:w="2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17,799</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16,966</w:t>
            </w:r>
          </w:p>
        </w:tc>
      </w:tr>
      <w:tr>
        <w:trPr>
          <w:trHeight w:val="196"/>
        </w:trPr>
        <w:tc>
          <w:tcPr>
            <w:tcW w:w="4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Industrial Automation</w:t>
            </w:r>
          </w:p>
        </w:tc>
        <w:tc>
          <w:tcPr>
            <w:tcW w:w="2820" w:type="dxa"/>
            <w:vAlign w:val="bottom"/>
            <w:tcBorders>
              <w:bottom w:val="single" w:sz="8" w:color="61656A"/>
            </w:tcBorders>
          </w:tcPr>
          <w:p>
            <w:pPr>
              <w:spacing w:after="0"/>
              <w:rPr>
                <w:sz w:val="17"/>
                <w:szCs w:val="17"/>
                <w:color w:val="auto"/>
              </w:rPr>
            </w:pPr>
          </w:p>
        </w:tc>
        <w:tc>
          <w:tcPr>
            <w:tcW w:w="17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21,221</w:t>
            </w:r>
          </w:p>
        </w:tc>
        <w:tc>
          <w:tcPr>
            <w:tcW w:w="140" w:type="dxa"/>
            <w:vAlign w:val="bottom"/>
            <w:tcBorders>
              <w:bottom w:val="single" w:sz="8" w:color="888B8D"/>
            </w:tcBorders>
          </w:tcPr>
          <w:p>
            <w:pPr>
              <w:spacing w:after="0"/>
              <w:rPr>
                <w:sz w:val="17"/>
                <w:szCs w:val="17"/>
                <w:color w:val="auto"/>
              </w:rPr>
            </w:pPr>
          </w:p>
        </w:tc>
        <w:tc>
          <w:tcPr>
            <w:tcW w:w="15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21,035</w:t>
            </w:r>
          </w:p>
        </w:tc>
      </w:tr>
      <w:tr>
        <w:trPr>
          <w:trHeight w:val="196"/>
        </w:trPr>
        <w:tc>
          <w:tcPr>
            <w:tcW w:w="4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2820" w:type="dxa"/>
            <w:vAlign w:val="bottom"/>
            <w:tcBorders>
              <w:bottom w:val="single" w:sz="8" w:color="61656A"/>
            </w:tcBorders>
          </w:tcPr>
          <w:p>
            <w:pPr>
              <w:spacing w:after="0"/>
              <w:rPr>
                <w:sz w:val="17"/>
                <w:szCs w:val="17"/>
                <w:color w:val="auto"/>
              </w:rPr>
            </w:pPr>
          </w:p>
        </w:tc>
        <w:tc>
          <w:tcPr>
            <w:tcW w:w="17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10,707</w:t>
            </w:r>
          </w:p>
        </w:tc>
        <w:tc>
          <w:tcPr>
            <w:tcW w:w="140" w:type="dxa"/>
            <w:vAlign w:val="bottom"/>
            <w:tcBorders>
              <w:bottom w:val="single" w:sz="8" w:color="888B8D"/>
            </w:tcBorders>
          </w:tcPr>
          <w:p>
            <w:pPr>
              <w:spacing w:after="0"/>
              <w:rPr>
                <w:sz w:val="17"/>
                <w:szCs w:val="17"/>
                <w:color w:val="auto"/>
              </w:rPr>
            </w:pPr>
          </w:p>
        </w:tc>
        <w:tc>
          <w:tcPr>
            <w:tcW w:w="15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11,438</w:t>
            </w:r>
          </w:p>
        </w:tc>
      </w:tr>
      <w:tr>
        <w:trPr>
          <w:trHeight w:val="196"/>
        </w:trPr>
        <w:tc>
          <w:tcPr>
            <w:tcW w:w="4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Energy and Sustainability Solutions</w:t>
            </w:r>
          </w:p>
        </w:tc>
        <w:tc>
          <w:tcPr>
            <w:tcW w:w="2820" w:type="dxa"/>
            <w:vAlign w:val="bottom"/>
            <w:tcBorders>
              <w:bottom w:val="single" w:sz="8" w:color="61656A"/>
            </w:tcBorders>
          </w:tcPr>
          <w:p>
            <w:pPr>
              <w:spacing w:after="0"/>
              <w:rPr>
                <w:sz w:val="17"/>
                <w:szCs w:val="17"/>
                <w:color w:val="auto"/>
              </w:rPr>
            </w:pPr>
          </w:p>
        </w:tc>
        <w:tc>
          <w:tcPr>
            <w:tcW w:w="17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13,670</w:t>
            </w:r>
          </w:p>
        </w:tc>
        <w:tc>
          <w:tcPr>
            <w:tcW w:w="140" w:type="dxa"/>
            <w:vAlign w:val="bottom"/>
            <w:tcBorders>
              <w:bottom w:val="single" w:sz="8" w:color="888B8D"/>
            </w:tcBorders>
          </w:tcPr>
          <w:p>
            <w:pPr>
              <w:spacing w:after="0"/>
              <w:rPr>
                <w:sz w:val="17"/>
                <w:szCs w:val="17"/>
                <w:color w:val="auto"/>
              </w:rPr>
            </w:pPr>
          </w:p>
        </w:tc>
        <w:tc>
          <w:tcPr>
            <w:tcW w:w="15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10,337</w:t>
            </w:r>
          </w:p>
        </w:tc>
      </w:tr>
      <w:tr>
        <w:trPr>
          <w:trHeight w:val="196"/>
        </w:trPr>
        <w:tc>
          <w:tcPr>
            <w:tcW w:w="4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282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15,022</w:t>
            </w:r>
          </w:p>
        </w:tc>
        <w:tc>
          <w:tcPr>
            <w:tcW w:w="14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15,420</w:t>
            </w:r>
          </w:p>
        </w:tc>
      </w:tr>
      <w:tr>
        <w:trPr>
          <w:trHeight w:val="199"/>
        </w:trPr>
        <w:tc>
          <w:tcPr>
            <w:tcW w:w="4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2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78,419</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75,196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segment profit to consolidated income before taxes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280" w:type="dxa"/>
            <w:vAlign w:val="bottom"/>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8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Segment profit</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2,366</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2,199</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4,624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4,293</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and other financial charges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(330)</w:t>
            </w:r>
          </w:p>
        </w:tc>
        <w:tc>
          <w:tcPr>
            <w:tcW w:w="32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(616)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00"/>
        </w:trPr>
        <w:tc>
          <w:tcPr>
            <w:tcW w:w="7280" w:type="dxa"/>
            <w:vAlign w:val="bottom"/>
            <w:tcBorders>
              <w:bottom w:val="single" w:sz="8" w:color="61656A"/>
            </w:tcBorders>
          </w:tcPr>
          <w:p>
            <w:pPr>
              <w:ind w:left="20"/>
              <w:spacing w:after="0" w:line="200" w:lineRule="exact"/>
              <w:rPr>
                <w:sz w:val="20"/>
                <w:szCs w:val="20"/>
                <w:color w:val="auto"/>
              </w:rPr>
            </w:pPr>
            <w:r>
              <w:rPr>
                <w:rFonts w:ascii="Arial" w:cs="Arial" w:eastAsia="Arial" w:hAnsi="Arial"/>
                <w:sz w:val="14"/>
                <w:szCs w:val="14"/>
                <w:color w:val="auto"/>
              </w:rPr>
              <w:t>Interest income</w:t>
            </w:r>
            <w:r>
              <w:rPr>
                <w:rFonts w:ascii="Arial" w:cs="Arial" w:eastAsia="Arial" w:hAnsi="Arial"/>
                <w:sz w:val="18"/>
                <w:szCs w:val="18"/>
                <w:color w:val="auto"/>
                <w:vertAlign w:val="superscript"/>
              </w:rPr>
              <w:t>1</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79</w:t>
            </w:r>
          </w:p>
        </w:tc>
        <w:tc>
          <w:tcPr>
            <w:tcW w:w="32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2</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(133)</w:t>
            </w:r>
          </w:p>
        </w:tc>
        <w:tc>
          <w:tcPr>
            <w:tcW w:w="32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2"/>
        </w:trPr>
        <w:tc>
          <w:tcPr>
            <w:tcW w:w="7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assets held for sale</w:t>
            </w:r>
          </w:p>
        </w:tc>
        <w:tc>
          <w:tcPr>
            <w:tcW w:w="1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7280" w:type="dxa"/>
            <w:vAlign w:val="bottom"/>
            <w:tcBorders>
              <w:bottom w:val="single" w:sz="8" w:color="61656A"/>
            </w:tcBorders>
          </w:tcPr>
          <w:p>
            <w:pPr>
              <w:ind w:left="20"/>
              <w:spacing w:after="0" w:line="200"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3</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(57)</w:t>
            </w:r>
          </w:p>
        </w:tc>
        <w:tc>
          <w:tcPr>
            <w:tcW w:w="32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Pension ongoing income</w:t>
            </w:r>
            <w:r>
              <w:rPr>
                <w:rFonts w:ascii="Arial" w:cs="Arial" w:eastAsia="Arial" w:hAnsi="Arial"/>
                <w:sz w:val="18"/>
                <w:szCs w:val="18"/>
                <w:color w:val="auto"/>
                <w:vertAlign w:val="superscript"/>
              </w:rPr>
              <w:t>4</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85</w:t>
            </w:r>
          </w:p>
        </w:tc>
        <w:tc>
          <w:tcPr>
            <w:tcW w:w="32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Pension mark-to-market expense</w:t>
            </w:r>
            <w:r>
              <w:rPr>
                <w:rFonts w:ascii="Arial" w:cs="Arial" w:eastAsia="Arial" w:hAnsi="Arial"/>
                <w:sz w:val="18"/>
                <w:szCs w:val="18"/>
                <w:color w:val="auto"/>
                <w:vertAlign w:val="superscript"/>
              </w:rPr>
              <w:t>4</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Other postretirement income</w:t>
            </w:r>
            <w:r>
              <w:rPr>
                <w:rFonts w:ascii="Arial" w:cs="Arial" w:eastAsia="Arial" w:hAnsi="Arial"/>
                <w:sz w:val="18"/>
                <w:szCs w:val="18"/>
                <w:color w:val="auto"/>
                <w:vertAlign w:val="superscript"/>
              </w:rPr>
              <w:t>4</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c>
          <w:tcPr>
            <w:tcW w:w="32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Repositioning and other charges</w:t>
            </w:r>
            <w:r>
              <w:rPr>
                <w:rFonts w:ascii="Arial" w:cs="Arial" w:eastAsia="Arial" w:hAnsi="Arial"/>
                <w:sz w:val="18"/>
                <w:szCs w:val="18"/>
                <w:color w:val="auto"/>
                <w:vertAlign w:val="superscript"/>
              </w:rPr>
              <w:t>5</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(39)</w:t>
            </w:r>
          </w:p>
        </w:tc>
        <w:tc>
          <w:tcPr>
            <w:tcW w:w="32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color w:val="auto"/>
              </w:rPr>
              <w:t>Other expense</w:t>
            </w:r>
            <w:r>
              <w:rPr>
                <w:rFonts w:ascii="Arial" w:cs="Arial" w:eastAsia="Arial" w:hAnsi="Arial"/>
                <w:sz w:val="18"/>
                <w:szCs w:val="18"/>
                <w:color w:val="auto"/>
                <w:vertAlign w:val="superscript"/>
              </w:rPr>
              <w:t>6</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(104)</w:t>
            </w:r>
          </w:p>
        </w:tc>
        <w:tc>
          <w:tcPr>
            <w:tcW w:w="3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5"/>
        </w:trPr>
        <w:tc>
          <w:tcPr>
            <w:tcW w:w="7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Income before taxes</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1,871</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1,974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3,755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3,845</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hanging="344"/>
        <w:spacing w:after="0"/>
        <w:tabs>
          <w:tab w:leader="none" w:pos="4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Amounts included in Other (income) expense.</w:t>
      </w:r>
    </w:p>
    <w:p>
      <w:pPr>
        <w:spacing w:after="0" w:line="26" w:lineRule="exact"/>
        <w:rPr>
          <w:sz w:val="20"/>
          <w:szCs w:val="20"/>
          <w:color w:val="auto"/>
        </w:rPr>
      </w:pPr>
    </w:p>
    <w:p>
      <w:pPr>
        <w:ind w:left="480" w:hanging="344"/>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w:t>
      </w:r>
    </w:p>
    <w:p>
      <w:pPr>
        <w:ind w:left="480" w:hanging="344"/>
        <w:spacing w:after="0" w:line="182" w:lineRule="auto"/>
        <w:tabs>
          <w:tab w:leader="none" w:pos="480" w:val="left"/>
        </w:tabs>
        <w:numPr>
          <w:ilvl w:val="0"/>
          <w:numId w:val="32"/>
        </w:numPr>
        <w:rPr>
          <w:rFonts w:ascii="Arial" w:cs="Arial" w:eastAsia="Arial" w:hAnsi="Arial"/>
          <w:sz w:val="25"/>
          <w:szCs w:val="25"/>
          <w:color w:val="auto"/>
          <w:vertAlign w:val="superscript"/>
        </w:rPr>
      </w:pPr>
      <w:r>
        <w:rPr>
          <w:rFonts w:ascii="Arial" w:cs="Arial" w:eastAsia="Arial" w:hAnsi="Arial"/>
          <w:sz w:val="13"/>
          <w:szCs w:val="13"/>
          <w:color w:val="auto"/>
        </w:rPr>
        <w:t>Amounts included in Selling, general and administrative expenses.</w:t>
      </w:r>
    </w:p>
    <w:p>
      <w:pPr>
        <w:spacing w:after="0" w:line="51" w:lineRule="exact"/>
        <w:rPr>
          <w:sz w:val="20"/>
          <w:szCs w:val="20"/>
          <w:color w:val="auto"/>
        </w:rPr>
      </w:pPr>
    </w:p>
    <w:p>
      <w:pPr>
        <w:ind w:left="480" w:right="40" w:hanging="344"/>
        <w:spacing w:after="0" w:line="190" w:lineRule="auto"/>
        <w:tabs>
          <w:tab w:leader="none" w:pos="480" w:val="left"/>
        </w:tabs>
        <w:numPr>
          <w:ilvl w:val="0"/>
          <w:numId w:val="33"/>
        </w:numPr>
        <w:rPr>
          <w:rFonts w:ascii="Arial" w:cs="Arial" w:eastAsia="Arial" w:hAnsi="Arial"/>
          <w:sz w:val="22"/>
          <w:szCs w:val="22"/>
          <w:color w:val="auto"/>
          <w:vertAlign w:val="superscript"/>
        </w:rPr>
      </w:pPr>
      <w:r>
        <w:rPr>
          <w:rFonts w:ascii="Arial" w:cs="Arial" w:eastAsia="Arial" w:hAnsi="Arial"/>
          <w:sz w:val="11"/>
          <w:szCs w:val="11"/>
          <w:color w:val="auto"/>
        </w:rPr>
        <w:t>Amounts included in Cost of products and services sold (service cost component), Selling, general and administrative expenses (service cost component), Research and development expenses (service cost component), and Other (income) expense (non-service cost component).</w:t>
      </w:r>
    </w:p>
    <w:p>
      <w:pPr>
        <w:ind w:left="480" w:hanging="344"/>
        <w:spacing w:after="0" w:line="184" w:lineRule="auto"/>
        <w:tabs>
          <w:tab w:leader="none" w:pos="480" w:val="left"/>
        </w:tabs>
        <w:numPr>
          <w:ilvl w:val="0"/>
          <w:numId w:val="34"/>
        </w:numPr>
        <w:rPr>
          <w:rFonts w:ascii="Arial" w:cs="Arial" w:eastAsia="Arial" w:hAnsi="Arial"/>
          <w:sz w:val="23"/>
          <w:szCs w:val="23"/>
          <w:color w:val="auto"/>
          <w:vertAlign w:val="superscript"/>
        </w:rPr>
      </w:pPr>
      <w:r>
        <w:rPr>
          <w:rFonts w:ascii="Arial" w:cs="Arial" w:eastAsia="Arial" w:hAnsi="Arial"/>
          <w:sz w:val="12"/>
          <w:szCs w:val="12"/>
          <w:color w:val="auto"/>
        </w:rPr>
        <w:t>Amounts included in Cost of products and services sold, Selling, general and administrative expenses, and Other (income) expense.</w:t>
      </w:r>
    </w:p>
    <w:p>
      <w:pPr>
        <w:ind w:left="480" w:hanging="344"/>
        <w:spacing w:after="0" w:line="188" w:lineRule="auto"/>
        <w:tabs>
          <w:tab w:leader="none" w:pos="480" w:val="left"/>
        </w:tabs>
        <w:numPr>
          <w:ilvl w:val="0"/>
          <w:numId w:val="35"/>
        </w:numPr>
        <w:rPr>
          <w:rFonts w:ascii="Arial" w:cs="Arial" w:eastAsia="Arial" w:hAnsi="Arial"/>
          <w:sz w:val="24"/>
          <w:szCs w:val="24"/>
          <w:color w:val="auto"/>
          <w:vertAlign w:val="superscript"/>
        </w:rPr>
      </w:pPr>
      <w:r>
        <w:rPr>
          <w:rFonts w:ascii="Arial" w:cs="Arial" w:eastAsia="Arial" w:hAnsi="Arial"/>
          <w:sz w:val="12"/>
          <w:szCs w:val="12"/>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42"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20"/>
        <w:spacing w:after="0" w:line="313"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 except per share amounts)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and six months ended June 30, 2025. The financial information as of June 30, 2025, should be read in conjunction with the Consolidated Financial Statements for the year ended December 31, 2024, contained in our 2024 Annual Report on Form 10-K.</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continue to monitor macroeconomic and geopolitical developments amid heightened trade tensions, economic and trade policy uncertainty, and inflationary risks. The trade policy volatility during 2025—including new tariffs and, in some cases, subsequent rollbacks or suspensions—could adversely impact global growth and contribute to inflationary pressures. Global conflicts, tariffs, labor disruptions, and regulations continue to generate volatility in global markets and can contribute to supply chain vulnerabilities and pricing fluctuations. We remain proactive in our collaboration with suppliers to minimize shortages and mitigate supply chain and pricing volatility.</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Mitigation strategies remain crucial to meet customer demand in this evolving environment. Our mitigation strategies include supply chain simplification, continued alignment to local supply sources, pricing actions and dual source strategies, long-term strategies for constrained materials, direct engagement with key suppliers, and new supplier development. Strong relationships with strategic primary and secondary suppliers allow us to collaborate together to reliably source key components and raw materials, develop new products, commit our resources to assist certain suppliers, and at times, alter designs of existing products. We believe these mitigation strategies enable us to reduce supply risk, foster new product innovation, and expand our market presence. Additionally, due to the stringent quality controls and product qualification we perform on any new or altered product, these mitigation strategies have not impacted, and we do not expect them to impact, product quality or reliability.</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To date, our strategies have helped minimize our exposure to these conditions. However, if we are not successful in sustaining or executing these strategies, these macroeconomic conditions could have a material adverse effect on our consolidated results of operations or operating cash flows.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PORTFOLIO TRANSFORMATION</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continually assess the relative strength of each business in our portfolio as to strategic fit, market position, profit, and cash flow contribution in order to identify target investment and acquisition opportunities in order to upgrade our combined portfolio. We also identify businesses that do not fit into our long-term strategic plan based on their market position, relative profitability, or growth potential. During the second quarter, we completed the divestiture of our PPE business, as well as closed on the acquisition of Sundyne. We also announced our agreement to acquire Johnson Matthey's Catalyst Technologies business segment.</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on October 8, 2024, we announced our intention to spin off our Advanced Materials business into Solstice Advanced Materials, an independent, U.S. publicly traded company, which is targeted to be completed during the fourth quarter of 2025. The planned spin-off is intended to be a tax-free spin to Honeywell shareowners for U.S. federal income tax purposes. The spin-off will be subject to the satisfaction of a number of customary conditions, including, among others, finalization of the financial statements of Solstice Advanced Materials, the filing and effectiveness of applicable filings (including a Form 10 registration statement) with the SEC, assurance that the spin-off of Solstice Advanced Materials will be tax-free to Honeywell’s shareowners, receipt of applicable regulatory approvals, and final approval by Honeywell’s Board of Directors. The proposed spin-off is complex in nature, and may be affected by unanticipated developments, credit and equity markets, or changes in market conditions.</w:t>
      </w:r>
    </w:p>
    <w:p>
      <w:pPr>
        <w:spacing w:after="0" w:line="200" w:lineRule="exact"/>
        <w:rPr>
          <w:sz w:val="20"/>
          <w:szCs w:val="20"/>
          <w:color w:val="auto"/>
        </w:rPr>
      </w:pPr>
    </w:p>
    <w:p>
      <w:pPr>
        <w:spacing w:after="0" w:line="221"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February 6, 2025, we announced our intention to pursue a separation of our Automation and Aerospace Technologies businesses into independent, U.S. publicly traded companies, which is intended to be completed in the second half of 2026. The planned separation is intended to be a tax-free separation to Honeywell shareowners for U.S. federal income tax purposes. The separation will be subject to the satisfaction of a number of customary conditions, including, among others, the filing and effectiveness of applicable filings (including a Form 10 registration statement that includes required financial statements) with the SEC, assurance that the separation of the businesses will be tax-free to Honeywell’s shareowners, receipt of applicable regulatory approvals, and final approval by Honeywell’s Board of Directors. The proposed separation is complex in nature, and may be affected by unanticipated developments, credit and equity markets, or changes in market conditions.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8, 2025, we announced we are evaluating strategic alternatives for our Productivity Solutions and Services and Warehouse and Workflow Solutions businesses within the Industrial Automation reportable segment to further simplify Honeywell's portfolio and accelerate shareowner value creation ahead of our planned separation into three independent, U.S. publicly traded companies.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LIABILITY MANAGEMENT REORGANIZATION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June 23, 2025, we completed our previously announced reorganization (the “Liability Management Reorganization”) in connection with which: (i) certain of our asbestos-related assets and liabilities were allocated to a separate, wholly owned entity, (ii) certain assets and liabilities associated with certain sites for which we had or may have had environmental liabilities were allocated to a separate, wholly owned entity, (iii) certain assets and liabilities associated with certain other sites (not included in clause (ii) above) for which we had or may have had environmental liabilities were allocated to a separate, wholly owned entity, and (iv) all of our remaining assets and liabilities (i.e., all assets and liabilities not included in clauses (i)-(iii) above) were allocated to the Company. The reorganization is intended to provide us flexibility with respect to managing certain asbestos, environmental, and other liabilities, including any future strategic transactions involving such liabilities, and enable us to focus on our operating business, while efficiently managing potential asbestos liabilities, existing or future environmental liabilities and remediation obligations, and certain other liabilities.</w:t>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8"/>
          <w:szCs w:val="28"/>
          <w:color w:val="D7282F"/>
        </w:rPr>
        <w:t>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5271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2125" cy="527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6214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00375" cy="621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6215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00375" cy="621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43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Borders>
              <w:bottom w:val="single" w:sz="8" w:color="D7282F"/>
            </w:tcBorders>
          </w:tcPr>
          <w:p>
            <w:pPr>
              <w:spacing w:after="0"/>
              <w:rPr>
                <w:sz w:val="17"/>
                <w:szCs w:val="17"/>
                <w:color w:val="auto"/>
              </w:rPr>
            </w:pPr>
          </w:p>
        </w:tc>
        <w:tc>
          <w:tcPr>
            <w:tcW w:w="4000" w:type="dxa"/>
            <w:vAlign w:val="bottom"/>
            <w:tcBorders>
              <w:bottom w:val="single" w:sz="8" w:color="D7282F"/>
            </w:tcBorders>
          </w:tcPr>
          <w:p>
            <w:pPr>
              <w:ind w:left="2260"/>
              <w:spacing w:after="0"/>
              <w:rPr>
                <w:sz w:val="20"/>
                <w:szCs w:val="20"/>
                <w:color w:val="auto"/>
              </w:rPr>
            </w:pPr>
            <w:r>
              <w:rPr>
                <w:rFonts w:ascii="Arial" w:cs="Arial" w:eastAsia="Arial" w:hAnsi="Arial"/>
                <w:sz w:val="14"/>
                <w:szCs w:val="14"/>
                <w:b w:val="1"/>
                <w:bCs w:val="1"/>
                <w:color w:val="auto"/>
              </w:rPr>
              <w:t>Q2 2025 vs. Q2 2024</w:t>
            </w:r>
          </w:p>
        </w:tc>
        <w:tc>
          <w:tcPr>
            <w:tcW w:w="24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Year to Date 2025 vs. 2024</w:t>
            </w:r>
          </w:p>
        </w:tc>
      </w:tr>
      <w:tr>
        <w:trPr>
          <w:trHeight w:val="193"/>
        </w:trPr>
        <w:tc>
          <w:tcPr>
            <w:tcW w:w="4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Volume</w:t>
            </w:r>
          </w:p>
        </w:tc>
        <w:tc>
          <w:tcPr>
            <w:tcW w:w="4000" w:type="dxa"/>
            <w:vAlign w:val="bottom"/>
            <w:tcBorders>
              <w:bottom w:val="single" w:sz="8" w:color="61656A"/>
            </w:tcBorders>
          </w:tcPr>
          <w:p>
            <w:pPr>
              <w:jc w:val="center"/>
              <w:ind w:left="1848"/>
              <w:spacing w:after="0"/>
              <w:rPr>
                <w:sz w:val="20"/>
                <w:szCs w:val="20"/>
                <w:color w:val="auto"/>
              </w:rPr>
            </w:pPr>
            <w:r>
              <w:rPr>
                <w:rFonts w:ascii="Arial" w:cs="Arial" w:eastAsia="Arial" w:hAnsi="Arial"/>
                <w:sz w:val="14"/>
                <w:szCs w:val="14"/>
                <w:color w:val="auto"/>
                <w:w w:val="98"/>
              </w:rPr>
              <w:t>2%</w:t>
            </w:r>
          </w:p>
        </w:tc>
        <w:tc>
          <w:tcPr>
            <w:tcW w:w="240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w w:val="98"/>
              </w:rPr>
              <w:t>2%</w:t>
            </w:r>
          </w:p>
        </w:tc>
      </w:tr>
      <w:tr>
        <w:trPr>
          <w:trHeight w:val="196"/>
        </w:trPr>
        <w:tc>
          <w:tcPr>
            <w:tcW w:w="4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Price</w:t>
            </w:r>
          </w:p>
        </w:tc>
        <w:tc>
          <w:tcPr>
            <w:tcW w:w="4000" w:type="dxa"/>
            <w:vAlign w:val="bottom"/>
            <w:tcBorders>
              <w:bottom w:val="single" w:sz="8" w:color="61656A"/>
            </w:tcBorders>
          </w:tcPr>
          <w:p>
            <w:pPr>
              <w:jc w:val="center"/>
              <w:ind w:left="1848"/>
              <w:spacing w:after="0"/>
              <w:rPr>
                <w:sz w:val="20"/>
                <w:szCs w:val="20"/>
                <w:color w:val="auto"/>
              </w:rPr>
            </w:pPr>
            <w:r>
              <w:rPr>
                <w:rFonts w:ascii="Arial" w:cs="Arial" w:eastAsia="Arial" w:hAnsi="Arial"/>
                <w:sz w:val="14"/>
                <w:szCs w:val="14"/>
                <w:color w:val="auto"/>
                <w:w w:val="98"/>
              </w:rPr>
              <w:t>3%</w:t>
            </w:r>
          </w:p>
        </w:tc>
        <w:tc>
          <w:tcPr>
            <w:tcW w:w="240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w w:val="98"/>
              </w:rPr>
              <w:t>2%</w:t>
            </w:r>
          </w:p>
        </w:tc>
      </w:tr>
      <w:tr>
        <w:trPr>
          <w:trHeight w:val="196"/>
        </w:trPr>
        <w:tc>
          <w:tcPr>
            <w:tcW w:w="4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4000" w:type="dxa"/>
            <w:vAlign w:val="bottom"/>
            <w:tcBorders>
              <w:bottom w:val="single" w:sz="8" w:color="61656A"/>
            </w:tcBorders>
          </w:tcPr>
          <w:p>
            <w:pPr>
              <w:jc w:val="center"/>
              <w:ind w:left="1848"/>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w:t>
            </w:r>
          </w:p>
        </w:tc>
      </w:tr>
      <w:tr>
        <w:trPr>
          <w:trHeight w:val="196"/>
        </w:trPr>
        <w:tc>
          <w:tcPr>
            <w:tcW w:w="4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4000" w:type="dxa"/>
            <w:vAlign w:val="bottom"/>
            <w:tcBorders>
              <w:bottom w:val="single" w:sz="8" w:color="D7282F"/>
            </w:tcBorders>
          </w:tcPr>
          <w:p>
            <w:pPr>
              <w:jc w:val="center"/>
              <w:ind w:left="1848"/>
              <w:spacing w:after="0"/>
              <w:rPr>
                <w:sz w:val="20"/>
                <w:szCs w:val="20"/>
                <w:color w:val="auto"/>
              </w:rPr>
            </w:pPr>
            <w:r>
              <w:rPr>
                <w:rFonts w:ascii="Arial" w:cs="Arial" w:eastAsia="Arial" w:hAnsi="Arial"/>
                <w:sz w:val="14"/>
                <w:szCs w:val="14"/>
                <w:color w:val="auto"/>
                <w:w w:val="98"/>
              </w:rPr>
              <w:t>3%</w:t>
            </w:r>
          </w:p>
        </w:tc>
        <w:tc>
          <w:tcPr>
            <w:tcW w:w="24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color w:val="auto"/>
                <w:w w:val="98"/>
              </w:rPr>
              <w:t>4%</w:t>
            </w:r>
          </w:p>
        </w:tc>
      </w:tr>
      <w:tr>
        <w:trPr>
          <w:trHeight w:val="199"/>
        </w:trPr>
        <w:tc>
          <w:tcPr>
            <w:tcW w:w="484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Total % change in Net sales</w:t>
            </w:r>
          </w:p>
        </w:tc>
        <w:tc>
          <w:tcPr>
            <w:tcW w:w="4000" w:type="dxa"/>
            <w:vAlign w:val="bottom"/>
            <w:tcBorders>
              <w:bottom w:val="single" w:sz="8" w:color="D7282F"/>
            </w:tcBorders>
          </w:tcPr>
          <w:p>
            <w:pPr>
              <w:jc w:val="center"/>
              <w:ind w:left="1848"/>
              <w:spacing w:after="0"/>
              <w:rPr>
                <w:sz w:val="20"/>
                <w:szCs w:val="20"/>
                <w:color w:val="auto"/>
              </w:rPr>
            </w:pPr>
            <w:r>
              <w:rPr>
                <w:rFonts w:ascii="Arial" w:cs="Arial" w:eastAsia="Arial" w:hAnsi="Arial"/>
                <w:sz w:val="14"/>
                <w:szCs w:val="14"/>
                <w:b w:val="1"/>
                <w:bCs w:val="1"/>
                <w:color w:val="auto"/>
                <w:w w:val="98"/>
              </w:rPr>
              <w:t>8%</w:t>
            </w:r>
          </w:p>
        </w:tc>
        <w:tc>
          <w:tcPr>
            <w:tcW w:w="24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w w:val="98"/>
              </w:rPr>
              <w:t>8%</w:t>
            </w: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discussion of Net sales by reportable business segment can be found in the </w:t>
      </w:r>
      <w:r>
        <w:rPr>
          <w:rFonts w:ascii="Arial" w:cs="Arial" w:eastAsia="Arial" w:hAnsi="Arial"/>
          <w:sz w:val="16"/>
          <w:szCs w:val="16"/>
          <w:u w:val="single" w:color="auto"/>
          <w:color w:val="0000FF"/>
        </w:rPr>
        <w:t>Review of Business Segments</w:t>
      </w:r>
      <w:r>
        <w:rPr>
          <w:rFonts w:ascii="Arial" w:cs="Arial" w:eastAsia="Arial" w:hAnsi="Arial"/>
          <w:sz w:val="16"/>
          <w:szCs w:val="16"/>
          <w:color w:val="auto"/>
        </w:rPr>
        <w:t xml:space="preserve"> section of this Management's Discussion and Analysis.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2025 compared with Q2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11"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2"/>
        </w:numPr>
        <w:rPr>
          <w:rFonts w:ascii="Arial" w:cs="Arial" w:eastAsia="Arial" w:hAnsi="Arial"/>
          <w:sz w:val="16"/>
          <w:szCs w:val="16"/>
          <w:color w:val="D7282F"/>
        </w:rPr>
      </w:pPr>
      <w:r>
        <w:rPr>
          <w:rFonts w:ascii="Arial" w:cs="Arial" w:eastAsia="Arial" w:hAnsi="Arial"/>
          <w:sz w:val="16"/>
          <w:szCs w:val="16"/>
          <w:color w:val="auto"/>
        </w:rPr>
        <w:t>Incremental sales from recent acquisitions,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2"/>
        </w:numPr>
        <w:rPr>
          <w:rFonts w:ascii="Arial" w:cs="Arial" w:eastAsia="Arial" w:hAnsi="Arial"/>
          <w:sz w:val="16"/>
          <w:szCs w:val="16"/>
          <w:color w:val="D7282F"/>
        </w:rPr>
      </w:pPr>
      <w:r>
        <w:rPr>
          <w:rFonts w:ascii="Arial" w:cs="Arial" w:eastAsia="Arial" w:hAnsi="Arial"/>
          <w:sz w:val="16"/>
          <w:szCs w:val="16"/>
          <w:color w:val="auto"/>
        </w:rPr>
        <w:t>Higher sales volumes.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with YTD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97"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6"/>
          <w:szCs w:val="16"/>
          <w:color w:val="D7282F"/>
        </w:rPr>
      </w:pPr>
      <w:r>
        <w:rPr>
          <w:rFonts w:ascii="Arial" w:cs="Arial" w:eastAsia="Arial" w:hAnsi="Arial"/>
          <w:sz w:val="16"/>
          <w:szCs w:val="16"/>
          <w:color w:val="auto"/>
        </w:rPr>
        <w:t>Incremental sales from recent acquisitions,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3"/>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3"/>
        </w:numPr>
        <w:rPr>
          <w:rFonts w:ascii="Arial" w:cs="Arial" w:eastAsia="Arial" w:hAnsi="Arial"/>
          <w:sz w:val="16"/>
          <w:szCs w:val="16"/>
          <w:color w:val="D7282F"/>
        </w:rPr>
      </w:pPr>
      <w:r>
        <w:rPr>
          <w:rFonts w:ascii="Arial" w:cs="Arial" w:eastAsia="Arial" w:hAnsi="Arial"/>
          <w:sz w:val="16"/>
          <w:szCs w:val="16"/>
          <w:color w:val="auto"/>
        </w:rPr>
        <w:t>Higher sales volumes.</w:t>
      </w: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Our backlog of orders increased 14% to $36.6 billion, as of June 30, 2025, compared to June 30, 2024. Backlog represents the estimated remaining value of work to be performed or products to be shipped under firm contracts. Backlog is equal to our remaining performance obligations under the contracts that meet the guidance on revenue from contracts with customers as discussed in Note 4 </w:t>
      </w:r>
      <w:r>
        <w:rPr>
          <w:rFonts w:ascii="Arial" w:cs="Arial" w:eastAsia="Arial" w:hAnsi="Arial"/>
          <w:sz w:val="16"/>
          <w:szCs w:val="16"/>
          <w:u w:val="single" w:color="auto"/>
          <w:color w:val="0000FF"/>
        </w:rPr>
        <w:t>Revenue Recognition and Contracts with Customers</w:t>
      </w:r>
      <w:r>
        <w:rPr>
          <w:rFonts w:ascii="Arial" w:cs="Arial" w:eastAsia="Arial" w:hAnsi="Arial"/>
          <w:sz w:val="16"/>
          <w:szCs w:val="16"/>
          <w:color w:val="auto"/>
        </w:rPr>
        <w:t xml:space="preserve"> of Notes to Consolidated Financial Statements. Our backlog by reportable business segment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52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30, 2025</w:t>
            </w:r>
          </w:p>
        </w:tc>
      </w:tr>
      <w:tr>
        <w:trPr>
          <w:trHeight w:val="70"/>
        </w:trPr>
        <w:tc>
          <w:tcPr>
            <w:tcW w:w="5880" w:type="dxa"/>
            <w:vAlign w:val="bottom"/>
            <w:tcBorders>
              <w:bottom w:val="single" w:sz="8" w:color="D7282F"/>
            </w:tcBorders>
          </w:tcPr>
          <w:p>
            <w:pPr>
              <w:spacing w:after="0"/>
              <w:rPr>
                <w:sz w:val="6"/>
                <w:szCs w:val="6"/>
                <w:color w:val="auto"/>
              </w:rPr>
            </w:pPr>
          </w:p>
        </w:tc>
        <w:tc>
          <w:tcPr>
            <w:tcW w:w="3840" w:type="dxa"/>
            <w:vAlign w:val="bottom"/>
            <w:tcBorders>
              <w:bottom w:val="single" w:sz="8" w:color="D7282F"/>
            </w:tcBorders>
          </w:tcPr>
          <w:p>
            <w:pPr>
              <w:spacing w:after="0"/>
              <w:rPr>
                <w:sz w:val="6"/>
                <w:szCs w:val="6"/>
                <w:color w:val="auto"/>
              </w:rPr>
            </w:pPr>
          </w:p>
        </w:tc>
        <w:tc>
          <w:tcPr>
            <w:tcW w:w="1520" w:type="dxa"/>
            <w:vAlign w:val="bottom"/>
            <w:tcBorders>
              <w:bottom w:val="single" w:sz="8" w:color="D7282F"/>
            </w:tcBorders>
          </w:tcPr>
          <w:p>
            <w:pPr>
              <w:spacing w:after="0"/>
              <w:rPr>
                <w:sz w:val="6"/>
                <w:szCs w:val="6"/>
                <w:color w:val="auto"/>
              </w:rPr>
            </w:pPr>
          </w:p>
        </w:tc>
      </w:tr>
      <w:tr>
        <w:trPr>
          <w:trHeight w:val="192"/>
        </w:trPr>
        <w:tc>
          <w:tcPr>
            <w:tcW w:w="5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3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15,881</w:t>
            </w:r>
          </w:p>
        </w:tc>
      </w:tr>
      <w:tr>
        <w:trPr>
          <w:trHeight w:val="196"/>
        </w:trPr>
        <w:tc>
          <w:tcPr>
            <w:tcW w:w="5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384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5,560</w:t>
            </w:r>
          </w:p>
        </w:tc>
      </w:tr>
      <w:tr>
        <w:trPr>
          <w:trHeight w:val="196"/>
        </w:trPr>
        <w:tc>
          <w:tcPr>
            <w:tcW w:w="5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384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8,839</w:t>
            </w:r>
          </w:p>
        </w:tc>
      </w:tr>
      <w:tr>
        <w:trPr>
          <w:trHeight w:val="196"/>
        </w:trPr>
        <w:tc>
          <w:tcPr>
            <w:tcW w:w="5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384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6,302</w:t>
            </w:r>
          </w:p>
        </w:tc>
      </w:tr>
      <w:tr>
        <w:trPr>
          <w:trHeight w:val="200"/>
        </w:trPr>
        <w:tc>
          <w:tcPr>
            <w:tcW w:w="588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Corporate and All Other</w:t>
            </w:r>
            <w:r>
              <w:rPr>
                <w:rFonts w:ascii="Arial" w:cs="Arial" w:eastAsia="Arial" w:hAnsi="Arial"/>
                <w:sz w:val="18"/>
                <w:szCs w:val="18"/>
                <w:color w:val="auto"/>
                <w:vertAlign w:val="superscript"/>
              </w:rPr>
              <w:t>1</w:t>
            </w:r>
          </w:p>
        </w:tc>
        <w:tc>
          <w:tcPr>
            <w:tcW w:w="384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w:t>
            </w:r>
          </w:p>
        </w:tc>
      </w:tr>
      <w:tr>
        <w:trPr>
          <w:trHeight w:val="195"/>
        </w:trPr>
        <w:tc>
          <w:tcPr>
            <w:tcW w:w="58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backlog</w:t>
            </w:r>
          </w:p>
        </w:tc>
        <w:tc>
          <w:tcPr>
            <w:tcW w:w="3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36,601</w:t>
            </w:r>
          </w:p>
        </w:tc>
      </w:tr>
    </w:tbl>
    <w:p>
      <w:pPr>
        <w:spacing w:after="0" w:line="185" w:lineRule="exact"/>
        <w:rPr>
          <w:sz w:val="20"/>
          <w:szCs w:val="20"/>
          <w:color w:val="auto"/>
        </w:rPr>
      </w:pPr>
    </w:p>
    <w:p>
      <w:pPr>
        <w:ind w:left="480" w:hanging="344"/>
        <w:spacing w:after="0"/>
        <w:tabs>
          <w:tab w:leader="none" w:pos="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backlog within Corporate and All Other relates to the Quantinuum business.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43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2025 compared with Q2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1"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6"/>
          <w:szCs w:val="16"/>
          <w:color w:val="D7282F"/>
        </w:rPr>
      </w:pPr>
      <w:r>
        <w:rPr>
          <w:rFonts w:ascii="Arial" w:cs="Arial" w:eastAsia="Arial" w:hAnsi="Arial"/>
          <w:sz w:val="16"/>
          <w:szCs w:val="16"/>
          <w:color w:val="auto"/>
        </w:rPr>
        <w:t>Incremental costs from recent acquisitions of approximately $0.3 billion or 5%,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6"/>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$0.2 billion or 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with YTD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1"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6"/>
          <w:szCs w:val="16"/>
          <w:color w:val="D7282F"/>
        </w:rPr>
      </w:pPr>
      <w:r>
        <w:rPr>
          <w:rFonts w:ascii="Arial" w:cs="Arial" w:eastAsia="Arial" w:hAnsi="Arial"/>
          <w:sz w:val="16"/>
          <w:szCs w:val="16"/>
          <w:color w:val="auto"/>
        </w:rPr>
        <w:t>Incremental costs from recent acquisitions of approximately $0.6 billion or 5%,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7"/>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$0.4 billion or 3%.</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57570" cy="2314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2025 compared with Q2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Gross margin increased by approximately $0.3 billion and gross margin percentage was flat at 38.9% compared to the same period of 2024.</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with YTD 2024</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Gross margin increased by approximately $0.6 billion and gross margin percentage decreased 10 basis points to 38.7% compared to 38.8% for the same period of 2024.</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57570" cy="2314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2025 compared with Q2 2024</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Research and development expenses increased as a percentage of net sales due to increased investment in new product development in our Aerospace Technologies business.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with YTD 2024</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Research and development expenses increased as a percentage of net sales due to increased investment in new product development in our Aerospace Technologies business.</w:t>
      </w:r>
    </w:p>
    <w:p>
      <w:pPr>
        <w:spacing w:after="0" w:line="200" w:lineRule="exact"/>
        <w:rPr>
          <w:sz w:val="20"/>
          <w:szCs w:val="20"/>
          <w:color w:val="auto"/>
        </w:rPr>
      </w:pPr>
    </w:p>
    <w:p>
      <w:pPr>
        <w:spacing w:after="0" w:line="203"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research and development costs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Company funded research and development expenses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481</w:t>
            </w:r>
          </w:p>
        </w:tc>
        <w:tc>
          <w:tcPr>
            <w:tcW w:w="4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382</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920</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Customer-sponsored research and development</w:t>
            </w:r>
            <w:r>
              <w:rPr>
                <w:rFonts w:ascii="Arial" w:cs="Arial" w:eastAsia="Arial" w:hAnsi="Arial"/>
                <w:sz w:val="9"/>
                <w:szCs w:val="9"/>
                <w:color w:val="auto"/>
              </w:rPr>
              <w:t>1</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260</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281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527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research and development costs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741</w:t>
            </w:r>
          </w:p>
        </w:tc>
        <w:tc>
          <w:tcPr>
            <w:tcW w:w="4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663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1,447</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1,292</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60" w:right="60" w:hanging="334"/>
        <w:spacing w:after="0" w:line="264" w:lineRule="auto"/>
        <w:tabs>
          <w:tab w:leader="none" w:pos="3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deferred customer funded nonrecurring engineering and development activities and expenditures on customer programs with a significant engineering performance obligation, included in Cost of products and services sold in the Consolidated Statement of Operations.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57570" cy="2314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2025 compared with Q2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incremental costs from acquisitions.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to YTD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the following:</w:t>
      </w:r>
    </w:p>
    <w:p>
      <w:pPr>
        <w:spacing w:after="0" w:line="97"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D7282F"/>
        </w:rPr>
        <w:t>•</w:t>
      </w:r>
      <w:r>
        <w:rPr>
          <w:rFonts w:ascii="Arial" w:cs="Arial" w:eastAsia="Arial" w:hAnsi="Arial"/>
          <w:sz w:val="16"/>
          <w:szCs w:val="16"/>
          <w:color w:val="auto"/>
        </w:rPr>
        <w:tab/>
        <w:t>Incremental costs from acquisitions of approximately $0.2 billion or 8%,</w:t>
      </w:r>
    </w:p>
    <w:p>
      <w:pPr>
        <w:spacing w:after="0" w:line="86"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D7282F"/>
        </w:rPr>
        <w:t>•</w:t>
      </w:r>
      <w:r>
        <w:rPr>
          <w:rFonts w:ascii="Arial" w:cs="Arial" w:eastAsia="Arial" w:hAnsi="Arial"/>
          <w:sz w:val="16"/>
          <w:szCs w:val="16"/>
          <w:color w:val="auto"/>
        </w:rPr>
        <w:tab/>
        <w:t>Partially offset by higher productivity of approximately $0.1 billion or 4%.</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Assets Held for Sale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Impairment of assets held for sale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7282F"/>
            </w:tcBorders>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to YTD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 impairment charge was recorded on assets held for sale related to the PPE business during the six months ended June 30, 2025.</w:t>
      </w:r>
    </w:p>
    <w:p>
      <w:pPr>
        <w:spacing w:after="0" w:line="200" w:lineRule="exact"/>
        <w:rPr>
          <w:sz w:val="20"/>
          <w:szCs w:val="20"/>
          <w:color w:val="auto"/>
        </w:rPr>
      </w:pPr>
    </w:p>
    <w:p>
      <w:pPr>
        <w:spacing w:after="0" w:line="236"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(246)</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(287)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375"/>
        </w:trPr>
        <w:tc>
          <w:tcPr>
            <w:tcW w:w="7100" w:type="dxa"/>
            <w:vAlign w:val="bottom"/>
          </w:tcPr>
          <w:p>
            <w:pPr>
              <w:spacing w:after="0"/>
              <w:rPr>
                <w:sz w:val="20"/>
                <w:szCs w:val="20"/>
                <w:color w:val="auto"/>
              </w:rPr>
            </w:pPr>
            <w:r>
              <w:rPr>
                <w:rFonts w:ascii="Arial" w:cs="Arial" w:eastAsia="Arial" w:hAnsi="Arial"/>
                <w:sz w:val="16"/>
                <w:szCs w:val="16"/>
                <w:b w:val="1"/>
                <w:bCs w:val="1"/>
                <w:color w:val="auto"/>
              </w:rPr>
              <w:t>Q2 2025 compared with Q2 2024</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Other income decreased due to the following:</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7100" w:type="dxa"/>
            <w:vAlign w:val="bottom"/>
          </w:tcPr>
          <w:p>
            <w:pPr>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Higher divestiture-related costs of approximately $0.1 billion, and</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Lower pension and other postretirement income of approximately $0.1 billion.</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100" w:type="dxa"/>
            <w:vAlign w:val="bottom"/>
          </w:tcPr>
          <w:p>
            <w:pPr>
              <w:spacing w:after="0"/>
              <w:rPr>
                <w:sz w:val="20"/>
                <w:szCs w:val="20"/>
                <w:color w:val="auto"/>
              </w:rPr>
            </w:pPr>
            <w:r>
              <w:rPr>
                <w:rFonts w:ascii="Arial" w:cs="Arial" w:eastAsia="Arial" w:hAnsi="Arial"/>
                <w:sz w:val="16"/>
                <w:szCs w:val="16"/>
                <w:b w:val="1"/>
                <w:bCs w:val="1"/>
                <w:color w:val="auto"/>
              </w:rPr>
              <w:t>YTD 2025 compared to YTD 2024</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Other income decreased due to the following:</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7100" w:type="dxa"/>
            <w:vAlign w:val="bottom"/>
          </w:tcPr>
          <w:p>
            <w:pPr>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Higher divestiture-related costs of approximately $0.1 billion, and</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00" w:type="dxa"/>
            <w:vAlign w:val="bottom"/>
          </w:tcPr>
          <w:p>
            <w:pPr>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Lower pension and other postretirement income of approximately $0.1 billion.</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7"/>
        </w:trPr>
        <w:tc>
          <w:tcPr>
            <w:tcW w:w="7100" w:type="dxa"/>
            <w:vAlign w:val="bottom"/>
          </w:tcPr>
          <w:p>
            <w:pPr>
              <w:spacing w:after="0"/>
              <w:rPr>
                <w:sz w:val="20"/>
                <w:szCs w:val="20"/>
                <w:color w:val="auto"/>
              </w:rPr>
            </w:pPr>
            <w:r>
              <w:rPr>
                <w:rFonts w:ascii="Arial" w:cs="Arial" w:eastAsia="Arial" w:hAnsi="Arial"/>
                <w:sz w:val="16"/>
                <w:szCs w:val="16"/>
                <w:b w:val="1"/>
                <w:bCs w:val="1"/>
                <w:color w:val="auto"/>
              </w:rPr>
              <w:t>Interest and Other Financial Charges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100" w:type="dxa"/>
            <w:vAlign w:val="bottom"/>
          </w:tcPr>
          <w:p>
            <w:pPr>
              <w:spacing w:after="0"/>
              <w:rPr>
                <w:sz w:val="23"/>
                <w:szCs w:val="23"/>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330</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250</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616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2025 compared with Q2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financial charges increased due to higher interest rates on issuances of long-term debt in past years.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to YTD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financial charges increased due to higher interest rates on issuances of long-term debt in past years.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89535</wp:posOffset>
            </wp:positionV>
            <wp:extent cx="5949315" cy="2314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4931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2025 compared with Q2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decreased 490 basis-points, primarily driven by changes in accruals on foreign tax matters.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with YTD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decreased 200 basis-points, primarily driven by changes in accruals on foreign tax matters.</w:t>
      </w:r>
    </w:p>
    <w:p>
      <w:pPr>
        <w:spacing w:after="0" w:line="200" w:lineRule="exact"/>
        <w:rPr>
          <w:sz w:val="20"/>
          <w:szCs w:val="20"/>
          <w:color w:val="auto"/>
        </w:rPr>
      </w:pPr>
    </w:p>
    <w:p>
      <w:pPr>
        <w:spacing w:after="0" w:line="236"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57570" cy="2314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2025 compared to Q2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111" w:lineRule="exact"/>
        <w:rPr>
          <w:sz w:val="20"/>
          <w:szCs w:val="20"/>
          <w:color w:val="auto"/>
        </w:rPr>
      </w:pPr>
    </w:p>
    <w:p>
      <w:pPr>
        <w:ind w:left="200" w:hanging="192"/>
        <w:spacing w:after="0"/>
        <w:tabs>
          <w:tab w:leader="none" w:pos="200" w:val="left"/>
        </w:tabs>
        <w:numPr>
          <w:ilvl w:val="0"/>
          <w:numId w:val="53"/>
        </w:numPr>
        <w:rPr>
          <w:rFonts w:ascii="Arial" w:cs="Arial" w:eastAsia="Arial" w:hAnsi="Arial"/>
          <w:sz w:val="16"/>
          <w:szCs w:val="16"/>
          <w:color w:val="D7282F"/>
        </w:rPr>
      </w:pPr>
      <w:r>
        <w:rPr>
          <w:rFonts w:ascii="Arial" w:cs="Arial" w:eastAsia="Arial" w:hAnsi="Arial"/>
          <w:sz w:val="16"/>
          <w:szCs w:val="16"/>
          <w:color w:val="auto"/>
        </w:rPr>
        <w:t>Higher segment profit ($0.20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3"/>
        </w:numPr>
        <w:rPr>
          <w:rFonts w:ascii="Arial" w:cs="Arial" w:eastAsia="Arial" w:hAnsi="Arial"/>
          <w:sz w:val="16"/>
          <w:szCs w:val="16"/>
          <w:color w:val="D7282F"/>
        </w:rPr>
      </w:pPr>
      <w:r>
        <w:rPr>
          <w:rFonts w:ascii="Arial" w:cs="Arial" w:eastAsia="Arial" w:hAnsi="Arial"/>
          <w:sz w:val="16"/>
          <w:szCs w:val="16"/>
          <w:color w:val="auto"/>
        </w:rPr>
        <w:t>Lower effective tax rate ($0.10),</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53"/>
        </w:numPr>
        <w:rPr>
          <w:rFonts w:ascii="Arial" w:cs="Arial" w:eastAsia="Arial" w:hAnsi="Arial"/>
          <w:sz w:val="16"/>
          <w:szCs w:val="16"/>
          <w:color w:val="D7282F"/>
        </w:rPr>
      </w:pPr>
      <w:r>
        <w:rPr>
          <w:rFonts w:ascii="Arial" w:cs="Arial" w:eastAsia="Arial" w:hAnsi="Arial"/>
          <w:sz w:val="16"/>
          <w:szCs w:val="16"/>
          <w:color w:val="auto"/>
        </w:rPr>
        <w:t>Partially offset by higher interest and other financial charges ($0.10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3"/>
        </w:numPr>
        <w:rPr>
          <w:rFonts w:ascii="Arial" w:cs="Arial" w:eastAsia="Arial" w:hAnsi="Arial"/>
          <w:sz w:val="16"/>
          <w:szCs w:val="16"/>
          <w:color w:val="D7282F"/>
        </w:rPr>
      </w:pPr>
      <w:r>
        <w:rPr>
          <w:rFonts w:ascii="Arial" w:cs="Arial" w:eastAsia="Arial" w:hAnsi="Arial"/>
          <w:sz w:val="16"/>
          <w:szCs w:val="16"/>
          <w:color w:val="auto"/>
        </w:rPr>
        <w:t>Higher divestiture-related costs ($0.09 after tax).</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with YTD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97"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6"/>
          <w:szCs w:val="16"/>
          <w:color w:val="DC202E"/>
        </w:rPr>
      </w:pPr>
      <w:r>
        <w:rPr>
          <w:rFonts w:ascii="Arial" w:cs="Arial" w:eastAsia="Arial" w:hAnsi="Arial"/>
          <w:sz w:val="16"/>
          <w:szCs w:val="16"/>
          <w:color w:val="auto"/>
        </w:rPr>
        <w:t>Higher segment profit ($0.40 after tax),</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54"/>
        </w:numPr>
        <w:rPr>
          <w:rFonts w:ascii="Arial" w:cs="Arial" w:eastAsia="Arial" w:hAnsi="Arial"/>
          <w:sz w:val="16"/>
          <w:szCs w:val="16"/>
          <w:color w:val="DC202E"/>
        </w:rPr>
      </w:pPr>
      <w:r>
        <w:rPr>
          <w:rFonts w:ascii="Arial" w:cs="Arial" w:eastAsia="Arial" w:hAnsi="Arial"/>
          <w:sz w:val="16"/>
          <w:szCs w:val="16"/>
          <w:color w:val="auto"/>
        </w:rPr>
        <w:t>Partially offset by higher interest and other financial charges ($0.18 after tax), and</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54"/>
        </w:numPr>
        <w:rPr>
          <w:rFonts w:ascii="Arial" w:cs="Arial" w:eastAsia="Arial" w:hAnsi="Arial"/>
          <w:sz w:val="16"/>
          <w:szCs w:val="16"/>
          <w:color w:val="DC202E"/>
        </w:rPr>
      </w:pPr>
      <w:r>
        <w:rPr>
          <w:rFonts w:ascii="Arial" w:cs="Arial" w:eastAsia="Arial" w:hAnsi="Arial"/>
          <w:sz w:val="16"/>
          <w:szCs w:val="16"/>
          <w:color w:val="auto"/>
        </w:rPr>
        <w:t>Higher divestiture-related costs ($0.17 after tax).</w:t>
      </w: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globally manage our business operations through four reportable business segments: Aerospace Technologies, Industrial Automation, Building Automation, and Energy and Sustainability Solutions.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 TECHNOLOGIES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89535</wp:posOffset>
            </wp:positionV>
            <wp:extent cx="5915025" cy="2314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2"/>
                <w:szCs w:val="12"/>
                <w:color w:val="auto"/>
              </w:rPr>
            </w:pPr>
          </w:p>
        </w:tc>
        <w:tc>
          <w:tcPr>
            <w:tcW w:w="880" w:type="dxa"/>
            <w:vAlign w:val="bottom"/>
            <w:gridSpan w:val="2"/>
            <w:vMerge w:val="restart"/>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86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80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gridSpan w:val="2"/>
            <w:vMerge w:val="continue"/>
          </w:tcPr>
          <w:p>
            <w:pPr>
              <w:spacing w:after="0"/>
              <w:rPr>
                <w:sz w:val="16"/>
                <w:szCs w:val="16"/>
                <w:color w:val="auto"/>
              </w:rPr>
            </w:pP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4,307</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gridSpan w:val="2"/>
          </w:tcPr>
          <w:p>
            <w:pPr>
              <w:jc w:val="right"/>
              <w:ind w:right="248"/>
              <w:spacing w:after="0"/>
              <w:rPr>
                <w:sz w:val="20"/>
                <w:szCs w:val="20"/>
                <w:color w:val="auto"/>
              </w:rPr>
            </w:pPr>
            <w:r>
              <w:rPr>
                <w:rFonts w:ascii="Arial" w:cs="Arial" w:eastAsia="Arial" w:hAnsi="Arial"/>
                <w:sz w:val="14"/>
                <w:szCs w:val="14"/>
                <w:color w:val="auto"/>
              </w:rPr>
              <w:t>3,891</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11 %</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gridSpan w:val="3"/>
          </w:tcPr>
          <w:p>
            <w:pPr>
              <w:jc w:val="right"/>
              <w:ind w:right="60"/>
              <w:spacing w:after="0"/>
              <w:rPr>
                <w:sz w:val="20"/>
                <w:szCs w:val="20"/>
                <w:color w:val="auto"/>
              </w:rPr>
            </w:pPr>
            <w:r>
              <w:rPr>
                <w:rFonts w:ascii="Arial" w:cs="Arial" w:eastAsia="Arial" w:hAnsi="Arial"/>
                <w:sz w:val="14"/>
                <w:szCs w:val="14"/>
                <w:color w:val="auto"/>
              </w:rPr>
              <w:t>8,479</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7,560</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2,718</w:t>
            </w:r>
          </w:p>
        </w:tc>
        <w:tc>
          <w:tcPr>
            <w:tcW w:w="4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248"/>
              <w:spacing w:after="0"/>
              <w:rPr>
                <w:sz w:val="20"/>
                <w:szCs w:val="20"/>
                <w:color w:val="auto"/>
              </w:rPr>
            </w:pPr>
            <w:r>
              <w:rPr>
                <w:rFonts w:ascii="Arial" w:cs="Arial" w:eastAsia="Arial" w:hAnsi="Arial"/>
                <w:sz w:val="14"/>
                <w:szCs w:val="14"/>
                <w:color w:val="auto"/>
              </w:rPr>
              <w:t>2,418</w:t>
            </w:r>
          </w:p>
        </w:tc>
        <w:tc>
          <w:tcPr>
            <w:tcW w:w="8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gridSpan w:val="3"/>
          </w:tcPr>
          <w:p>
            <w:pPr>
              <w:jc w:val="right"/>
              <w:ind w:right="60"/>
              <w:spacing w:after="0"/>
              <w:rPr>
                <w:sz w:val="20"/>
                <w:szCs w:val="20"/>
                <w:color w:val="auto"/>
              </w:rPr>
            </w:pPr>
            <w:r>
              <w:rPr>
                <w:rFonts w:ascii="Arial" w:cs="Arial" w:eastAsia="Arial" w:hAnsi="Arial"/>
                <w:sz w:val="14"/>
                <w:szCs w:val="14"/>
                <w:color w:val="auto"/>
              </w:rPr>
              <w:t>5,310</w:t>
            </w:r>
          </w:p>
        </w:tc>
        <w:tc>
          <w:tcPr>
            <w:tcW w:w="38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4,635</w:t>
            </w:r>
          </w:p>
        </w:tc>
        <w:tc>
          <w:tcPr>
            <w:tcW w:w="8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491</w:t>
            </w:r>
          </w:p>
        </w:tc>
        <w:tc>
          <w:tcPr>
            <w:tcW w:w="40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color w:val="auto"/>
              </w:rPr>
              <w:t>413</w:t>
            </w:r>
          </w:p>
        </w:tc>
        <w:tc>
          <w:tcPr>
            <w:tcW w:w="8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4"/>
                <w:szCs w:val="14"/>
                <w:color w:val="auto"/>
              </w:rPr>
              <w:t>972</w:t>
            </w: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830</w:t>
            </w:r>
          </w:p>
        </w:tc>
        <w:tc>
          <w:tcPr>
            <w:tcW w:w="8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1,098</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b w:val="1"/>
                <w:bCs w:val="1"/>
                <w:color w:val="auto"/>
              </w:rPr>
              <w:t>1,060</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4 %</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4"/>
                <w:szCs w:val="14"/>
                <w:b w:val="1"/>
                <w:bCs w:val="1"/>
                <w:color w:val="auto"/>
              </w:rPr>
              <w:t>2,197</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2,095</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5 %</w:t>
            </w:r>
          </w:p>
        </w:tc>
        <w:tc>
          <w:tcPr>
            <w:tcW w:w="0" w:type="dxa"/>
            <w:vAlign w:val="bottom"/>
          </w:tcPr>
          <w:p>
            <w:pPr>
              <w:spacing w:after="0"/>
              <w:rPr>
                <w:sz w:val="1"/>
                <w:szCs w:val="1"/>
                <w:color w:val="auto"/>
              </w:rPr>
            </w:pPr>
          </w:p>
        </w:tc>
      </w:tr>
      <w:tr>
        <w:trPr>
          <w:trHeight w:val="425"/>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2025 vs. 2024</w:t>
            </w:r>
          </w:p>
        </w:tc>
        <w:tc>
          <w:tcPr>
            <w:tcW w:w="940" w:type="dxa"/>
            <w:vAlign w:val="bottom"/>
            <w:tcBorders>
              <w:bottom w:val="single" w:sz="8" w:color="D7282F"/>
            </w:tcBorders>
          </w:tcPr>
          <w:p>
            <w:pPr>
              <w:spacing w:after="0"/>
              <w:rPr>
                <w:sz w:val="24"/>
                <w:szCs w:val="24"/>
                <w:color w:val="auto"/>
              </w:rPr>
            </w:pPr>
          </w:p>
        </w:tc>
        <w:tc>
          <w:tcPr>
            <w:tcW w:w="8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4"/>
          </w:tcPr>
          <w:p>
            <w:pPr>
              <w:ind w:left="360"/>
              <w:spacing w:after="0" w:line="147"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2"/>
          </w:tcPr>
          <w:p>
            <w:pPr>
              <w:jc w:val="right"/>
              <w:ind w:right="388"/>
              <w:spacing w:after="0" w:line="147"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ind w:left="360"/>
              <w:spacing w:after="0" w:line="147" w:lineRule="exact"/>
              <w:rPr>
                <w:sz w:val="20"/>
                <w:szCs w:val="20"/>
                <w:color w:val="auto"/>
              </w:rPr>
            </w:pPr>
            <w:r>
              <w:rPr>
                <w:rFonts w:ascii="Arial" w:cs="Arial" w:eastAsia="Arial" w:hAnsi="Arial"/>
                <w:sz w:val="14"/>
                <w:szCs w:val="14"/>
                <w:b w:val="1"/>
                <w:bCs w:val="1"/>
                <w:color w:val="auto"/>
                <w:w w:val="97"/>
              </w:rPr>
              <w:t>Net</w:t>
            </w:r>
          </w:p>
        </w:tc>
        <w:tc>
          <w:tcPr>
            <w:tcW w:w="1840" w:type="dxa"/>
            <w:vAlign w:val="bottom"/>
            <w:gridSpan w:val="6"/>
          </w:tcPr>
          <w:p>
            <w:pPr>
              <w:jc w:val="right"/>
              <w:ind w:right="460"/>
              <w:spacing w:after="0" w:line="147" w:lineRule="exact"/>
              <w:rPr>
                <w:sz w:val="20"/>
                <w:szCs w:val="20"/>
                <w:color w:val="auto"/>
              </w:rPr>
            </w:pPr>
            <w:r>
              <w:rPr>
                <w:rFonts w:ascii="Arial" w:cs="Arial" w:eastAsia="Arial" w:hAnsi="Arial"/>
                <w:sz w:val="14"/>
                <w:szCs w:val="14"/>
                <w:b w:val="1"/>
                <w:bCs w:val="1"/>
                <w:color w:val="auto"/>
              </w:rPr>
              <w:t>Segment</w:t>
            </w:r>
          </w:p>
        </w:tc>
        <w:tc>
          <w:tcPr>
            <w:tcW w:w="1320" w:type="dxa"/>
            <w:vAlign w:val="bottom"/>
            <w:gridSpan w:val="2"/>
          </w:tcPr>
          <w:p>
            <w:pPr>
              <w:jc w:val="right"/>
              <w:ind w:right="708"/>
              <w:spacing w:after="0" w:line="147" w:lineRule="exact"/>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gridSpan w:val="2"/>
          </w:tcPr>
          <w:p>
            <w:pPr>
              <w:jc w:val="right"/>
              <w:ind w:right="728"/>
              <w:spacing w:after="0"/>
              <w:rPr>
                <w:sz w:val="20"/>
                <w:szCs w:val="20"/>
                <w:color w:val="auto"/>
              </w:rPr>
            </w:pPr>
            <w:r>
              <w:rPr>
                <w:rFonts w:ascii="Arial" w:cs="Arial" w:eastAsia="Arial" w:hAnsi="Arial"/>
                <w:sz w:val="14"/>
                <w:szCs w:val="14"/>
                <w:b w:val="1"/>
                <w:bCs w:val="1"/>
                <w:color w:val="auto"/>
              </w:rPr>
              <w:t>Sales</w:t>
            </w:r>
          </w:p>
        </w:tc>
        <w:tc>
          <w:tcPr>
            <w:tcW w:w="980" w:type="dxa"/>
            <w:vAlign w:val="bottom"/>
            <w:tcBorders>
              <w:bottom w:val="single" w:sz="8" w:color="D7282F"/>
            </w:tcBorders>
            <w:gridSpan w:val="5"/>
          </w:tcPr>
          <w:p>
            <w:pPr>
              <w:jc w:val="right"/>
              <w:ind w:right="580"/>
              <w:spacing w:after="0"/>
              <w:rPr>
                <w:sz w:val="20"/>
                <w:szCs w:val="20"/>
                <w:color w:val="auto"/>
              </w:rPr>
            </w:pPr>
            <w:r>
              <w:rPr>
                <w:rFonts w:ascii="Arial" w:cs="Arial" w:eastAsia="Arial" w:hAnsi="Arial"/>
                <w:sz w:val="14"/>
                <w:szCs w:val="14"/>
                <w:b w:val="1"/>
                <w:bCs w:val="1"/>
                <w:color w:val="auto"/>
              </w:rPr>
              <w:t>Profit</w:t>
            </w:r>
          </w:p>
        </w:tc>
        <w:tc>
          <w:tcPr>
            <w:tcW w:w="1320" w:type="dxa"/>
            <w:vAlign w:val="bottom"/>
            <w:tcBorders>
              <w:bottom w:val="single" w:sz="8" w:color="D7282F"/>
            </w:tcBorders>
            <w:gridSpan w:val="2"/>
          </w:tcPr>
          <w:p>
            <w:pPr>
              <w:jc w:val="right"/>
              <w:ind w:right="628"/>
              <w:spacing w:after="0"/>
              <w:rPr>
                <w:sz w:val="20"/>
                <w:szCs w:val="20"/>
                <w:color w:val="auto"/>
              </w:rPr>
            </w:pPr>
            <w:r>
              <w:rPr>
                <w:rFonts w:ascii="Arial" w:cs="Arial" w:eastAsia="Arial" w:hAnsi="Arial"/>
                <w:sz w:val="14"/>
                <w:szCs w:val="14"/>
                <w:b w:val="1"/>
                <w:bCs w:val="1"/>
                <w:color w:val="auto"/>
              </w:rPr>
              <w:t>Sales</w:t>
            </w:r>
          </w:p>
        </w:tc>
        <w:tc>
          <w:tcPr>
            <w:tcW w:w="8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Organic</w:t>
            </w:r>
            <w:r>
              <w:rPr>
                <w:rFonts w:ascii="Arial" w:cs="Arial" w:eastAsia="Arial" w:hAnsi="Arial"/>
                <w:sz w:val="18"/>
                <w:szCs w:val="18"/>
                <w:color w:val="auto"/>
                <w:vertAlign w:val="superscript"/>
              </w:rPr>
              <w:t>1</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6 %</w:t>
            </w: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2 %</w:t>
            </w:r>
          </w:p>
        </w:tc>
        <w:tc>
          <w:tcPr>
            <w:tcW w:w="220" w:type="dxa"/>
            <w:vAlign w:val="bottom"/>
            <w:tcBorders>
              <w:bottom w:val="single" w:sz="8" w:color="61656A"/>
            </w:tcBorders>
          </w:tcPr>
          <w:p>
            <w:pPr>
              <w:spacing w:after="0"/>
              <w:rPr>
                <w:sz w:val="17"/>
                <w:szCs w:val="17"/>
                <w:color w:val="auto"/>
              </w:rPr>
            </w:pPr>
          </w:p>
        </w:tc>
        <w:tc>
          <w:tcPr>
            <w:tcW w:w="6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7 %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gridSpan w:val="3"/>
          </w:tcPr>
          <w:p>
            <w:pPr>
              <w:jc w:val="right"/>
              <w:ind w:right="30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color w:val="auto"/>
              </w:rPr>
              <w:t>5 %</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2 %</w:t>
            </w:r>
          </w:p>
        </w:tc>
        <w:tc>
          <w:tcPr>
            <w:tcW w:w="220" w:type="dxa"/>
            <w:vAlign w:val="bottom"/>
            <w:tcBorders>
              <w:bottom w:val="single" w:sz="8" w:color="D7282F"/>
            </w:tcBorders>
          </w:tcPr>
          <w:p>
            <w:pPr>
              <w:spacing w:after="0"/>
              <w:rPr>
                <w:sz w:val="17"/>
                <w:szCs w:val="17"/>
                <w:color w:val="auto"/>
              </w:rPr>
            </w:pPr>
          </w:p>
        </w:tc>
        <w:tc>
          <w:tcPr>
            <w:tcW w:w="6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5 %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11 %</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4 %</w:t>
            </w:r>
          </w:p>
        </w:tc>
        <w:tc>
          <w:tcPr>
            <w:tcW w:w="220" w:type="dxa"/>
            <w:vAlign w:val="bottom"/>
            <w:tcBorders>
              <w:bottom w:val="single" w:sz="8" w:color="D7282F"/>
            </w:tcBorders>
          </w:tcPr>
          <w:p>
            <w:pPr>
              <w:spacing w:after="0"/>
              <w:rPr>
                <w:sz w:val="17"/>
                <w:szCs w:val="17"/>
                <w:color w:val="auto"/>
              </w:rPr>
            </w:pPr>
          </w:p>
        </w:tc>
        <w:tc>
          <w:tcPr>
            <w:tcW w:w="6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12 %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80" w:right="40" w:hanging="344"/>
        <w:spacing w:after="0" w:line="189" w:lineRule="auto"/>
        <w:tabs>
          <w:tab w:leader="none" w:pos="480" w:val="left"/>
        </w:tabs>
        <w:numPr>
          <w:ilvl w:val="0"/>
          <w:numId w:val="56"/>
        </w:numPr>
        <w:rPr>
          <w:rFonts w:ascii="Arial" w:cs="Arial" w:eastAsia="Arial" w:hAnsi="Arial"/>
          <w:sz w:val="25"/>
          <w:szCs w:val="25"/>
          <w:color w:val="auto"/>
          <w:vertAlign w:val="superscript"/>
        </w:rPr>
      </w:pPr>
      <w:r>
        <w:rPr>
          <w:rFonts w:ascii="Arial" w:cs="Arial" w:eastAsia="Arial" w:hAnsi="Arial"/>
          <w:sz w:val="13"/>
          <w:szCs w:val="13"/>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2025 compared to Q2 2024</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Sales increased $416 million due to higher organic sales of $180 million in Defense and Space driven by higher sales volumes due to increased shipments and higher organic sales of $118 million in Commercial Aviation Aftermarket driven by increased pricing in air transport. Additionally, the acquisitions of CAES and Civitanavi Systems contributed $197 million to sales in the three months ended June 30, 2025.</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5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336" w:lineRule="auto"/>
        <w:rPr>
          <w:sz w:val="20"/>
          <w:szCs w:val="20"/>
          <w:color w:val="auto"/>
        </w:rPr>
      </w:pPr>
      <w:r>
        <w:rPr>
          <w:rFonts w:ascii="Arial" w:cs="Arial" w:eastAsia="Arial" w:hAnsi="Arial"/>
          <w:sz w:val="16"/>
          <w:szCs w:val="16"/>
          <w:color w:val="auto"/>
        </w:rPr>
        <w:t xml:space="preserve">Segment profit increased $38 million and segment margin percentage decreased 170 basis points to 25.5% compared to 27.2% for the same period of 2024. </w:t>
      </w:r>
      <w:r>
        <w:rPr>
          <w:rFonts w:ascii="Arial" w:cs="Arial" w:eastAsia="Arial" w:hAnsi="Arial"/>
          <w:sz w:val="16"/>
          <w:szCs w:val="16"/>
          <w:b w:val="1"/>
          <w:bCs w:val="1"/>
          <w:color w:val="auto"/>
        </w:rPr>
        <w:t>YTD 2025 compared to YTD 2024</w:t>
      </w:r>
    </w:p>
    <w:p>
      <w:pPr>
        <w:jc w:val="both"/>
        <w:spacing w:after="0" w:line="264" w:lineRule="auto"/>
        <w:rPr>
          <w:sz w:val="20"/>
          <w:szCs w:val="20"/>
          <w:color w:val="auto"/>
        </w:rPr>
      </w:pPr>
      <w:r>
        <w:rPr>
          <w:rFonts w:ascii="Arial" w:cs="Arial" w:eastAsia="Arial" w:hAnsi="Arial"/>
          <w:sz w:val="16"/>
          <w:szCs w:val="16"/>
          <w:color w:val="auto"/>
        </w:rPr>
        <w:t>Sales increased $919 million due to higher organic sales of $358 million in Commercial Aviation Aftermarket and higher organic sales of $313 million in Defense and Space, both driven by higher sales volumes due to increased shipments. Additionally, the acquisitions of CAES and Civitanavi Systems contributed $377 million to sales in the six months ended June 30, 2025.</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Segment profit increased $102 million and segment margin percentage decreased 180 basis points to 25.9% compared to 27.7% for the same period of 2024.</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On February 6, 2025, the Company announced its intention to separate its Automation and Aerospace Technologies businesses into independent,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publicly traded companies.</w:t>
      </w:r>
    </w:p>
    <w:p>
      <w:pPr>
        <w:spacing w:after="0" w:line="268" w:lineRule="exact"/>
        <w:rPr>
          <w:sz w:val="20"/>
          <w:szCs w:val="20"/>
          <w:color w:val="auto"/>
        </w:rPr>
      </w:pPr>
    </w:p>
    <w:p>
      <w:pPr>
        <w:spacing w:after="0"/>
        <w:rPr>
          <w:sz w:val="20"/>
          <w:szCs w:val="20"/>
          <w:color w:val="auto"/>
        </w:rPr>
      </w:pPr>
      <w:r>
        <w:rPr>
          <w:rFonts w:ascii="Arial" w:cs="Arial" w:eastAsia="Arial" w:hAnsi="Arial"/>
          <w:sz w:val="29"/>
          <w:szCs w:val="29"/>
          <w:color w:val="D7282F"/>
        </w:rPr>
        <w:t>INDUSTRIAL AUTOMATION</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89535</wp:posOffset>
            </wp:positionV>
            <wp:extent cx="5915025" cy="2314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2"/>
                <w:szCs w:val="12"/>
                <w:color w:val="auto"/>
              </w:rPr>
            </w:pPr>
          </w:p>
        </w:tc>
        <w:tc>
          <w:tcPr>
            <w:tcW w:w="880" w:type="dxa"/>
            <w:vAlign w:val="bottom"/>
            <w:gridSpan w:val="2"/>
            <w:vMerge w:val="restart"/>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86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80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gridSpan w:val="2"/>
            <w:vMerge w:val="continue"/>
          </w:tcPr>
          <w:p>
            <w:pPr>
              <w:spacing w:after="0"/>
              <w:rPr>
                <w:sz w:val="16"/>
                <w:szCs w:val="16"/>
                <w:color w:val="auto"/>
              </w:rPr>
            </w:pP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2,380</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gridSpan w:val="2"/>
          </w:tcPr>
          <w:p>
            <w:pPr>
              <w:jc w:val="right"/>
              <w:ind w:right="248"/>
              <w:spacing w:after="0"/>
              <w:rPr>
                <w:sz w:val="20"/>
                <w:szCs w:val="20"/>
                <w:color w:val="auto"/>
              </w:rPr>
            </w:pPr>
            <w:r>
              <w:rPr>
                <w:rFonts w:ascii="Arial" w:cs="Arial" w:eastAsia="Arial" w:hAnsi="Arial"/>
                <w:sz w:val="14"/>
                <w:szCs w:val="14"/>
                <w:color w:val="auto"/>
              </w:rPr>
              <w:t>2,506</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gridSpan w:val="3"/>
          </w:tcPr>
          <w:p>
            <w:pPr>
              <w:jc w:val="right"/>
              <w:ind w:right="60"/>
              <w:spacing w:after="0"/>
              <w:rPr>
                <w:sz w:val="20"/>
                <w:szCs w:val="20"/>
                <w:color w:val="auto"/>
              </w:rPr>
            </w:pPr>
            <w:r>
              <w:rPr>
                <w:rFonts w:ascii="Arial" w:cs="Arial" w:eastAsia="Arial" w:hAnsi="Arial"/>
                <w:sz w:val="14"/>
                <w:szCs w:val="14"/>
                <w:color w:val="auto"/>
              </w:rPr>
              <w:t>4,758</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4,984</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1,376</w:t>
            </w:r>
          </w:p>
        </w:tc>
        <w:tc>
          <w:tcPr>
            <w:tcW w:w="4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248"/>
              <w:spacing w:after="0"/>
              <w:rPr>
                <w:sz w:val="20"/>
                <w:szCs w:val="20"/>
                <w:color w:val="auto"/>
              </w:rPr>
            </w:pPr>
            <w:r>
              <w:rPr>
                <w:rFonts w:ascii="Arial" w:cs="Arial" w:eastAsia="Arial" w:hAnsi="Arial"/>
                <w:sz w:val="14"/>
                <w:szCs w:val="14"/>
                <w:color w:val="auto"/>
              </w:rPr>
              <w:t>1,451</w:t>
            </w:r>
          </w:p>
        </w:tc>
        <w:tc>
          <w:tcPr>
            <w:tcW w:w="8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gridSpan w:val="3"/>
          </w:tcPr>
          <w:p>
            <w:pPr>
              <w:jc w:val="right"/>
              <w:ind w:right="60"/>
              <w:spacing w:after="0"/>
              <w:rPr>
                <w:sz w:val="20"/>
                <w:szCs w:val="20"/>
                <w:color w:val="auto"/>
              </w:rPr>
            </w:pPr>
            <w:r>
              <w:rPr>
                <w:rFonts w:ascii="Arial" w:cs="Arial" w:eastAsia="Arial" w:hAnsi="Arial"/>
                <w:sz w:val="14"/>
                <w:szCs w:val="14"/>
                <w:color w:val="auto"/>
              </w:rPr>
              <w:t>2,760</w:t>
            </w:r>
          </w:p>
        </w:tc>
        <w:tc>
          <w:tcPr>
            <w:tcW w:w="38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2,897</w:t>
            </w:r>
          </w:p>
        </w:tc>
        <w:tc>
          <w:tcPr>
            <w:tcW w:w="8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548</w:t>
            </w:r>
          </w:p>
        </w:tc>
        <w:tc>
          <w:tcPr>
            <w:tcW w:w="40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color w:val="auto"/>
              </w:rPr>
              <w:t>578</w:t>
            </w:r>
          </w:p>
        </w:tc>
        <w:tc>
          <w:tcPr>
            <w:tcW w:w="8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4"/>
                <w:szCs w:val="14"/>
                <w:color w:val="auto"/>
              </w:rPr>
              <w:t>1,118</w:t>
            </w: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1,136</w:t>
            </w:r>
          </w:p>
        </w:tc>
        <w:tc>
          <w:tcPr>
            <w:tcW w:w="8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456</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b w:val="1"/>
                <w:bCs w:val="1"/>
                <w:color w:val="auto"/>
              </w:rPr>
              <w:t>477</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4"/>
                <w:szCs w:val="14"/>
                <w:b w:val="1"/>
                <w:bCs w:val="1"/>
                <w:color w:val="auto"/>
              </w:rPr>
              <w:t>880</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951</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42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2025 vs. 2024</w:t>
            </w:r>
          </w:p>
        </w:tc>
        <w:tc>
          <w:tcPr>
            <w:tcW w:w="940" w:type="dxa"/>
            <w:vAlign w:val="bottom"/>
            <w:tcBorders>
              <w:bottom w:val="single" w:sz="8" w:color="D7282F"/>
            </w:tcBorders>
          </w:tcPr>
          <w:p>
            <w:pPr>
              <w:spacing w:after="0"/>
              <w:rPr>
                <w:sz w:val="24"/>
                <w:szCs w:val="24"/>
                <w:color w:val="auto"/>
              </w:rPr>
            </w:pPr>
          </w:p>
        </w:tc>
        <w:tc>
          <w:tcPr>
            <w:tcW w:w="8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4"/>
          </w:tcPr>
          <w:p>
            <w:pPr>
              <w:ind w:left="360"/>
              <w:spacing w:after="0" w:line="147"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2"/>
          </w:tcPr>
          <w:p>
            <w:pPr>
              <w:jc w:val="right"/>
              <w:ind w:right="388"/>
              <w:spacing w:after="0" w:line="147"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ind w:left="360"/>
              <w:spacing w:after="0" w:line="147" w:lineRule="exact"/>
              <w:rPr>
                <w:sz w:val="20"/>
                <w:szCs w:val="20"/>
                <w:color w:val="auto"/>
              </w:rPr>
            </w:pPr>
            <w:r>
              <w:rPr>
                <w:rFonts w:ascii="Arial" w:cs="Arial" w:eastAsia="Arial" w:hAnsi="Arial"/>
                <w:sz w:val="14"/>
                <w:szCs w:val="14"/>
                <w:b w:val="1"/>
                <w:bCs w:val="1"/>
                <w:color w:val="auto"/>
                <w:w w:val="97"/>
              </w:rPr>
              <w:t>Net</w:t>
            </w:r>
          </w:p>
        </w:tc>
        <w:tc>
          <w:tcPr>
            <w:tcW w:w="1840" w:type="dxa"/>
            <w:vAlign w:val="bottom"/>
            <w:gridSpan w:val="6"/>
          </w:tcPr>
          <w:p>
            <w:pPr>
              <w:jc w:val="right"/>
              <w:ind w:right="460"/>
              <w:spacing w:after="0" w:line="147" w:lineRule="exact"/>
              <w:rPr>
                <w:sz w:val="20"/>
                <w:szCs w:val="20"/>
                <w:color w:val="auto"/>
              </w:rPr>
            </w:pPr>
            <w:r>
              <w:rPr>
                <w:rFonts w:ascii="Arial" w:cs="Arial" w:eastAsia="Arial" w:hAnsi="Arial"/>
                <w:sz w:val="14"/>
                <w:szCs w:val="14"/>
                <w:b w:val="1"/>
                <w:bCs w:val="1"/>
                <w:color w:val="auto"/>
              </w:rPr>
              <w:t>Segment</w:t>
            </w:r>
          </w:p>
        </w:tc>
        <w:tc>
          <w:tcPr>
            <w:tcW w:w="1320" w:type="dxa"/>
            <w:vAlign w:val="bottom"/>
            <w:gridSpan w:val="2"/>
          </w:tcPr>
          <w:p>
            <w:pPr>
              <w:jc w:val="right"/>
              <w:ind w:right="708"/>
              <w:spacing w:after="0" w:line="147" w:lineRule="exact"/>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gridSpan w:val="2"/>
          </w:tcPr>
          <w:p>
            <w:pPr>
              <w:jc w:val="right"/>
              <w:ind w:right="728"/>
              <w:spacing w:after="0"/>
              <w:rPr>
                <w:sz w:val="20"/>
                <w:szCs w:val="20"/>
                <w:color w:val="auto"/>
              </w:rPr>
            </w:pPr>
            <w:r>
              <w:rPr>
                <w:rFonts w:ascii="Arial" w:cs="Arial" w:eastAsia="Arial" w:hAnsi="Arial"/>
                <w:sz w:val="14"/>
                <w:szCs w:val="14"/>
                <w:b w:val="1"/>
                <w:bCs w:val="1"/>
                <w:color w:val="auto"/>
              </w:rPr>
              <w:t>Sales</w:t>
            </w:r>
          </w:p>
        </w:tc>
        <w:tc>
          <w:tcPr>
            <w:tcW w:w="980" w:type="dxa"/>
            <w:vAlign w:val="bottom"/>
            <w:tcBorders>
              <w:bottom w:val="single" w:sz="8" w:color="D7282F"/>
            </w:tcBorders>
            <w:gridSpan w:val="5"/>
          </w:tcPr>
          <w:p>
            <w:pPr>
              <w:jc w:val="right"/>
              <w:ind w:right="580"/>
              <w:spacing w:after="0"/>
              <w:rPr>
                <w:sz w:val="20"/>
                <w:szCs w:val="20"/>
                <w:color w:val="auto"/>
              </w:rPr>
            </w:pPr>
            <w:r>
              <w:rPr>
                <w:rFonts w:ascii="Arial" w:cs="Arial" w:eastAsia="Arial" w:hAnsi="Arial"/>
                <w:sz w:val="14"/>
                <w:szCs w:val="14"/>
                <w:b w:val="1"/>
                <w:bCs w:val="1"/>
                <w:color w:val="auto"/>
              </w:rPr>
              <w:t>Profit</w:t>
            </w:r>
          </w:p>
        </w:tc>
        <w:tc>
          <w:tcPr>
            <w:tcW w:w="1320" w:type="dxa"/>
            <w:vAlign w:val="bottom"/>
            <w:tcBorders>
              <w:bottom w:val="single" w:sz="8" w:color="D7282F"/>
            </w:tcBorders>
            <w:gridSpan w:val="2"/>
          </w:tcPr>
          <w:p>
            <w:pPr>
              <w:jc w:val="right"/>
              <w:ind w:right="628"/>
              <w:spacing w:after="0"/>
              <w:rPr>
                <w:sz w:val="20"/>
                <w:szCs w:val="20"/>
                <w:color w:val="auto"/>
              </w:rPr>
            </w:pPr>
            <w:r>
              <w:rPr>
                <w:rFonts w:ascii="Arial" w:cs="Arial" w:eastAsia="Arial" w:hAnsi="Arial"/>
                <w:sz w:val="14"/>
                <w:szCs w:val="14"/>
                <w:b w:val="1"/>
                <w:bCs w:val="1"/>
                <w:color w:val="auto"/>
              </w:rPr>
              <w:t>Sales</w:t>
            </w:r>
          </w:p>
        </w:tc>
        <w:tc>
          <w:tcPr>
            <w:tcW w:w="8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61656A"/>
            </w:tcBorders>
          </w:tcPr>
          <w:p>
            <w:pPr>
              <w:spacing w:after="0"/>
              <w:rPr>
                <w:sz w:val="16"/>
                <w:szCs w:val="16"/>
                <w:color w:val="auto"/>
              </w:rPr>
            </w:pPr>
          </w:p>
        </w:tc>
        <w:tc>
          <w:tcPr>
            <w:tcW w:w="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1 %</w:t>
            </w: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gridSpan w:val="3"/>
          </w:tcPr>
          <w:p>
            <w:pPr>
              <w:jc w:val="right"/>
              <w:ind w:right="30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D7282F"/>
            </w:tcBorders>
          </w:tcPr>
          <w:p>
            <w:pPr>
              <w:spacing w:after="0"/>
              <w:rPr>
                <w:sz w:val="17"/>
                <w:szCs w:val="17"/>
                <w:color w:val="auto"/>
              </w:rPr>
            </w:pPr>
          </w:p>
        </w:tc>
        <w:tc>
          <w:tcPr>
            <w:tcW w:w="6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(3)%</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(5)%</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w:t>
            </w:r>
          </w:p>
        </w:tc>
        <w:tc>
          <w:tcPr>
            <w:tcW w:w="220" w:type="dxa"/>
            <w:vAlign w:val="bottom"/>
            <w:tcBorders>
              <w:bottom w:val="single" w:sz="8" w:color="D7282F"/>
            </w:tcBorders>
          </w:tcPr>
          <w:p>
            <w:pPr>
              <w:spacing w:after="0"/>
              <w:rPr>
                <w:sz w:val="17"/>
                <w:szCs w:val="17"/>
                <w:color w:val="auto"/>
              </w:rPr>
            </w:pPr>
          </w:p>
        </w:tc>
        <w:tc>
          <w:tcPr>
            <w:tcW w:w="6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(5)%</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2025 compared to Q2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decreased $126 million due to lower sales of $141 million driven by the sale of our PPE business on May 21, 2025.</w:t>
      </w:r>
    </w:p>
    <w:p>
      <w:pPr>
        <w:spacing w:after="0" w:line="111" w:lineRule="exact"/>
        <w:rPr>
          <w:sz w:val="20"/>
          <w:szCs w:val="20"/>
          <w:color w:val="auto"/>
        </w:rPr>
      </w:pPr>
    </w:p>
    <w:p>
      <w:pPr>
        <w:ind w:right="120"/>
        <w:spacing w:after="0" w:line="336" w:lineRule="auto"/>
        <w:rPr>
          <w:sz w:val="20"/>
          <w:szCs w:val="20"/>
          <w:color w:val="auto"/>
        </w:rPr>
      </w:pPr>
      <w:r>
        <w:rPr>
          <w:rFonts w:ascii="Arial" w:cs="Arial" w:eastAsia="Arial" w:hAnsi="Arial"/>
          <w:sz w:val="16"/>
          <w:szCs w:val="16"/>
          <w:color w:val="auto"/>
        </w:rPr>
        <w:t xml:space="preserve">Segment profit decreased $21 million and segment margin percentage increased 20 basis points to 19.2% compared to 19.0% for the same period in 2024. </w:t>
      </w:r>
      <w:r>
        <w:rPr>
          <w:rFonts w:ascii="Arial" w:cs="Arial" w:eastAsia="Arial" w:hAnsi="Arial"/>
          <w:sz w:val="16"/>
          <w:szCs w:val="16"/>
          <w:b w:val="1"/>
          <w:bCs w:val="1"/>
          <w:color w:val="auto"/>
        </w:rPr>
        <w:t>YTD 2025 compared to YTD 2024</w:t>
      </w:r>
    </w:p>
    <w:p>
      <w:pPr>
        <w:jc w:val="both"/>
        <w:ind w:right="20"/>
        <w:spacing w:after="0" w:line="265" w:lineRule="auto"/>
        <w:rPr>
          <w:sz w:val="20"/>
          <w:szCs w:val="20"/>
          <w:color w:val="auto"/>
        </w:rPr>
      </w:pPr>
      <w:r>
        <w:rPr>
          <w:rFonts w:ascii="Arial" w:cs="Arial" w:eastAsia="Arial" w:hAnsi="Arial"/>
          <w:sz w:val="16"/>
          <w:szCs w:val="16"/>
          <w:color w:val="auto"/>
        </w:rPr>
        <w:t>Sales decreased $226 million due to lower sales of $141 million driven by the sale of our PPE business on May 21, 2025, and lower organic sales of $68 million in Productivity Solutions and Services driven by a decrease in license and settlement payments.</w:t>
      </w:r>
    </w:p>
    <w:p>
      <w:pPr>
        <w:spacing w:after="0" w:line="64"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During the second quarter of 2022, our Productivity Solutions and Services business entered into a license and settlement agreement (the Agreement). Under the Agreement, we received $360 million, paid in equal quarterly installments over eight quarters, beginning with the second quarter of 2022 and ending with the first quarter of 2024. The Agreement provides each party a license to its existing patent portfolio for use by the other party's existing products and resolved the patent-related litigation between the parties.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decreased $71 million and segment margin percentage decreased 60 basis points to 18.5% compared to 19.1% for the same period in 2024.</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July 8, 2025, the Company announced it is evaluating strategic alternatives for its Productivity Solutions and Services and Warehouse and Workflow Solutions businesses.</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BUILDING AUTOMATION</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80645</wp:posOffset>
            </wp:positionV>
            <wp:extent cx="5915025" cy="2314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2"/>
                <w:szCs w:val="12"/>
                <w:color w:val="auto"/>
              </w:rPr>
            </w:pPr>
          </w:p>
        </w:tc>
        <w:tc>
          <w:tcPr>
            <w:tcW w:w="10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70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80" w:type="dxa"/>
            <w:vAlign w:val="bottom"/>
          </w:tcPr>
          <w:p>
            <w:pPr>
              <w:spacing w:after="0"/>
              <w:rPr>
                <w:sz w:val="12"/>
                <w:szCs w:val="12"/>
                <w:color w:val="auto"/>
              </w:rPr>
            </w:pPr>
          </w:p>
        </w:tc>
        <w:tc>
          <w:tcPr>
            <w:tcW w:w="9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76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vMerge w:val="continue"/>
          </w:tcPr>
          <w:p>
            <w:pPr>
              <w:spacing w:after="0"/>
              <w:rPr>
                <w:sz w:val="16"/>
                <w:szCs w:val="16"/>
                <w:color w:val="auto"/>
              </w:rPr>
            </w:pPr>
          </w:p>
        </w:tc>
        <w:tc>
          <w:tcPr>
            <w:tcW w:w="94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vMerge w:val="continue"/>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1,826</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1656A"/>
            </w:tcBorders>
          </w:tcPr>
          <w:p>
            <w:pPr>
              <w:jc w:val="right"/>
              <w:ind w:right="408"/>
              <w:spacing w:after="0"/>
              <w:rPr>
                <w:sz w:val="20"/>
                <w:szCs w:val="20"/>
                <w:color w:val="auto"/>
              </w:rPr>
            </w:pPr>
            <w:r>
              <w:rPr>
                <w:rFonts w:ascii="Arial" w:cs="Arial" w:eastAsia="Arial" w:hAnsi="Arial"/>
                <w:sz w:val="14"/>
                <w:szCs w:val="14"/>
                <w:color w:val="auto"/>
              </w:rPr>
              <w:t>1,571</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16 %</w:t>
            </w: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3,518</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2,997</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944</w:t>
            </w:r>
          </w:p>
        </w:tc>
        <w:tc>
          <w:tcPr>
            <w:tcW w:w="40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ind w:right="408"/>
              <w:spacing w:after="0"/>
              <w:rPr>
                <w:sz w:val="20"/>
                <w:szCs w:val="20"/>
                <w:color w:val="auto"/>
              </w:rPr>
            </w:pPr>
            <w:r>
              <w:rPr>
                <w:rFonts w:ascii="Arial" w:cs="Arial" w:eastAsia="Arial" w:hAnsi="Arial"/>
                <w:sz w:val="14"/>
                <w:szCs w:val="14"/>
                <w:color w:val="auto"/>
              </w:rPr>
              <w:t>844</w:t>
            </w:r>
          </w:p>
        </w:tc>
        <w:tc>
          <w:tcPr>
            <w:tcW w:w="7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1,812</w:t>
            </w:r>
          </w:p>
        </w:tc>
        <w:tc>
          <w:tcPr>
            <w:tcW w:w="38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1,608</w:t>
            </w:r>
          </w:p>
        </w:tc>
        <w:tc>
          <w:tcPr>
            <w:tcW w:w="7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403</w:t>
            </w:r>
          </w:p>
        </w:tc>
        <w:tc>
          <w:tcPr>
            <w:tcW w:w="40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color w:val="auto"/>
              </w:rPr>
              <w:t>330</w:t>
            </w:r>
          </w:p>
        </w:tc>
        <w:tc>
          <w:tcPr>
            <w:tcW w:w="7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787</w:t>
            </w:r>
          </w:p>
        </w:tc>
        <w:tc>
          <w:tcPr>
            <w:tcW w:w="3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color w:val="auto"/>
              </w:rPr>
              <w:t>642</w:t>
            </w:r>
          </w:p>
        </w:tc>
        <w:tc>
          <w:tcPr>
            <w:tcW w:w="7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479</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397</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21 %</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919</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747</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1360" w:type="dxa"/>
            <w:vAlign w:val="bottom"/>
            <w:tcBorders>
              <w:bottom w:val="single" w:sz="8" w:color="D7282F"/>
            </w:tcBorders>
          </w:tcPr>
          <w:p>
            <w:pPr>
              <w:spacing w:after="0"/>
              <w:rPr>
                <w:sz w:val="17"/>
                <w:szCs w:val="17"/>
                <w:color w:val="auto"/>
              </w:rPr>
            </w:pPr>
          </w:p>
        </w:tc>
        <w:tc>
          <w:tcPr>
            <w:tcW w:w="2400" w:type="dxa"/>
            <w:vAlign w:val="bottom"/>
            <w:tcBorders>
              <w:bottom w:val="single" w:sz="8" w:color="D7282F"/>
            </w:tcBorders>
            <w:gridSpan w:val="3"/>
          </w:tcPr>
          <w:p>
            <w:pPr>
              <w:jc w:val="right"/>
              <w:ind w:right="948"/>
              <w:spacing w:after="0"/>
              <w:rPr>
                <w:sz w:val="20"/>
                <w:szCs w:val="20"/>
                <w:color w:val="auto"/>
              </w:rPr>
            </w:pPr>
            <w:r>
              <w:rPr>
                <w:rFonts w:ascii="Arial" w:cs="Arial" w:eastAsia="Arial" w:hAnsi="Arial"/>
                <w:sz w:val="14"/>
                <w:szCs w:val="14"/>
                <w:b w:val="1"/>
                <w:bCs w:val="1"/>
                <w:color w:val="auto"/>
              </w:rPr>
              <w:t>2025 vs. 2024</w:t>
            </w:r>
          </w:p>
        </w:tc>
        <w:tc>
          <w:tcPr>
            <w:tcW w:w="8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680" w:type="dxa"/>
            <w:vAlign w:val="bottom"/>
          </w:tcPr>
          <w:p>
            <w:pPr>
              <w:spacing w:after="0"/>
              <w:rPr>
                <w:sz w:val="12"/>
                <w:szCs w:val="12"/>
                <w:color w:val="auto"/>
              </w:rPr>
            </w:pPr>
          </w:p>
        </w:tc>
        <w:tc>
          <w:tcPr>
            <w:tcW w:w="2380" w:type="dxa"/>
            <w:vAlign w:val="bottom"/>
            <w:gridSpan w:val="3"/>
          </w:tcPr>
          <w:p>
            <w:pPr>
              <w:ind w:left="360"/>
              <w:spacing w:after="0" w:line="147"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right"/>
              <w:ind w:right="388"/>
              <w:spacing w:after="0" w:line="147"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1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360" w:type="dxa"/>
            <w:vAlign w:val="bottom"/>
          </w:tcPr>
          <w:p>
            <w:pPr>
              <w:jc w:val="right"/>
              <w:ind w:right="68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Segment</w:t>
            </w:r>
          </w:p>
        </w:tc>
        <w:tc>
          <w:tcPr>
            <w:tcW w:w="1380" w:type="dxa"/>
            <w:vAlign w:val="bottom"/>
          </w:tcPr>
          <w:p>
            <w:pPr>
              <w:jc w:val="right"/>
              <w:ind w:right="708"/>
              <w:spacing w:after="0" w:line="147" w:lineRule="exact"/>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6680" w:type="dxa"/>
            <w:vAlign w:val="bottom"/>
            <w:tcBorders>
              <w:bottom w:val="single" w:sz="8" w:color="D7282F"/>
            </w:tcBorders>
            <w:vMerge w:val="continue"/>
          </w:tcPr>
          <w:p>
            <w:pPr>
              <w:spacing w:after="0"/>
              <w:rPr>
                <w:sz w:val="16"/>
                <w:szCs w:val="16"/>
                <w:color w:val="auto"/>
              </w:rPr>
            </w:pPr>
          </w:p>
        </w:tc>
        <w:tc>
          <w:tcPr>
            <w:tcW w:w="1360" w:type="dxa"/>
            <w:vAlign w:val="bottom"/>
            <w:tcBorders>
              <w:bottom w:val="single" w:sz="8" w:color="D7282F"/>
            </w:tcBorders>
          </w:tcPr>
          <w:p>
            <w:pPr>
              <w:jc w:val="right"/>
              <w:ind w:right="62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gridSpan w:val="2"/>
          </w:tcPr>
          <w:p>
            <w:pPr>
              <w:jc w:val="center"/>
              <w:ind w:right="400"/>
              <w:spacing w:after="0"/>
              <w:rPr>
                <w:sz w:val="20"/>
                <w:szCs w:val="20"/>
                <w:color w:val="auto"/>
              </w:rPr>
            </w:pPr>
            <w:r>
              <w:rPr>
                <w:rFonts w:ascii="Arial" w:cs="Arial" w:eastAsia="Arial" w:hAnsi="Arial"/>
                <w:sz w:val="14"/>
                <w:szCs w:val="14"/>
                <w:b w:val="1"/>
                <w:bCs w:val="1"/>
                <w:color w:val="auto"/>
              </w:rPr>
              <w:t>Profit</w:t>
            </w:r>
          </w:p>
        </w:tc>
        <w:tc>
          <w:tcPr>
            <w:tcW w:w="1380" w:type="dxa"/>
            <w:vAlign w:val="bottom"/>
            <w:tcBorders>
              <w:bottom w:val="single" w:sz="8" w:color="D7282F"/>
            </w:tcBorders>
          </w:tcPr>
          <w:p>
            <w:pPr>
              <w:jc w:val="right"/>
              <w:ind w:right="628"/>
              <w:spacing w:after="0"/>
              <w:rPr>
                <w:sz w:val="20"/>
                <w:szCs w:val="20"/>
                <w:color w:val="auto"/>
              </w:rPr>
            </w:pPr>
            <w:r>
              <w:rPr>
                <w:rFonts w:ascii="Arial" w:cs="Arial" w:eastAsia="Arial" w:hAnsi="Arial"/>
                <w:sz w:val="14"/>
                <w:szCs w:val="14"/>
                <w:b w:val="1"/>
                <w:bCs w:val="1"/>
                <w:color w:val="auto"/>
              </w:rPr>
              <w:t>Sales</w:t>
            </w:r>
          </w:p>
        </w:tc>
        <w:tc>
          <w:tcPr>
            <w:tcW w:w="8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36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8 %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10 %</w:t>
            </w:r>
          </w:p>
        </w:tc>
        <w:tc>
          <w:tcPr>
            <w:tcW w:w="220" w:type="dxa"/>
            <w:vAlign w:val="bottom"/>
            <w:tcBorders>
              <w:bottom w:val="single" w:sz="8" w:color="61656A"/>
            </w:tcBorders>
          </w:tcPr>
          <w:p>
            <w:pPr>
              <w:spacing w:after="0"/>
              <w:rPr>
                <w:sz w:val="16"/>
                <w:szCs w:val="16"/>
                <w:color w:val="auto"/>
              </w:rPr>
            </w:pPr>
          </w:p>
        </w:tc>
        <w:tc>
          <w:tcPr>
            <w:tcW w:w="13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8 %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36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36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color w:val="auto"/>
              </w:rPr>
              <w:t>8 %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10 %</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10 %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99"/>
        </w:trPr>
        <w:tc>
          <w:tcPr>
            <w:tcW w:w="66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36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16 %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21 %</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17 %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2025 compared to Q2 2024</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Sales increased $255 million due to higher organic sales of $84 million in Products driven by higher demand. Additionally, the acquisition of Access Solutions contributed $123 million of inorganic sales in the three months ended June 30, 2025. Beginning June 3, 2025, Access Solutions results are considered organic following the first 12 months after the transaction date.</w:t>
      </w:r>
    </w:p>
    <w:p>
      <w:pPr>
        <w:spacing w:after="0" w:line="65" w:lineRule="exact"/>
        <w:rPr>
          <w:sz w:val="20"/>
          <w:szCs w:val="20"/>
          <w:color w:val="auto"/>
        </w:rPr>
      </w:pPr>
    </w:p>
    <w:p>
      <w:pPr>
        <w:ind w:right="160"/>
        <w:spacing w:after="0" w:line="336" w:lineRule="auto"/>
        <w:rPr>
          <w:sz w:val="20"/>
          <w:szCs w:val="20"/>
          <w:color w:val="auto"/>
        </w:rPr>
      </w:pPr>
      <w:r>
        <w:rPr>
          <w:rFonts w:ascii="Arial" w:cs="Arial" w:eastAsia="Arial" w:hAnsi="Arial"/>
          <w:sz w:val="16"/>
          <w:szCs w:val="16"/>
          <w:color w:val="auto"/>
        </w:rPr>
        <w:t xml:space="preserve">Segment profit increased $82 million and segment margin percentage increased 90 basis points to 26.2% compared to 25.3% for the same period of 2024. </w:t>
      </w:r>
      <w:r>
        <w:rPr>
          <w:rFonts w:ascii="Arial" w:cs="Arial" w:eastAsia="Arial" w:hAnsi="Arial"/>
          <w:sz w:val="16"/>
          <w:szCs w:val="16"/>
          <w:b w:val="1"/>
          <w:bCs w:val="1"/>
          <w:color w:val="auto"/>
        </w:rPr>
        <w:t>YTD 2025 compared to YTD 2024</w:t>
      </w:r>
    </w:p>
    <w:p>
      <w:pPr>
        <w:jc w:val="both"/>
        <w:spacing w:after="0" w:line="265" w:lineRule="auto"/>
        <w:rPr>
          <w:sz w:val="20"/>
          <w:szCs w:val="20"/>
          <w:color w:val="auto"/>
        </w:rPr>
      </w:pPr>
      <w:r>
        <w:rPr>
          <w:rFonts w:ascii="Arial" w:cs="Arial" w:eastAsia="Arial" w:hAnsi="Arial"/>
          <w:sz w:val="16"/>
          <w:szCs w:val="16"/>
          <w:color w:val="auto"/>
        </w:rPr>
        <w:t>Sales increased $521 million due to higher organic sales of $135 million in Products and higher organic sales of $104 million in Building Solutions, both driven by higher demand. Additionally, the acquisition of Access Solutions contributed $302 million of inorganic sales in the six months ended June 30, 2025.</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Segment profit increased $172 million and segment margin percentage increased 120 basis points to 26.1% compared to 24.9% for the same period of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D7282F"/>
        </w:rPr>
        <w:t>ENERGY AND SUSTAINABILITY SOLUTIONS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89535</wp:posOffset>
            </wp:positionV>
            <wp:extent cx="5915025" cy="2314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2"/>
                <w:szCs w:val="12"/>
                <w:color w:val="auto"/>
              </w:rPr>
            </w:pPr>
          </w:p>
        </w:tc>
        <w:tc>
          <w:tcPr>
            <w:tcW w:w="10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70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80" w:type="dxa"/>
            <w:vAlign w:val="bottom"/>
          </w:tcPr>
          <w:p>
            <w:pPr>
              <w:spacing w:after="0"/>
              <w:rPr>
                <w:sz w:val="12"/>
                <w:szCs w:val="12"/>
                <w:color w:val="auto"/>
              </w:rPr>
            </w:pPr>
          </w:p>
        </w:tc>
        <w:tc>
          <w:tcPr>
            <w:tcW w:w="9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76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vMerge w:val="continue"/>
          </w:tcPr>
          <w:p>
            <w:pPr>
              <w:spacing w:after="0"/>
              <w:rPr>
                <w:sz w:val="16"/>
                <w:szCs w:val="16"/>
                <w:color w:val="auto"/>
              </w:rPr>
            </w:pPr>
          </w:p>
        </w:tc>
        <w:tc>
          <w:tcPr>
            <w:tcW w:w="94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vMerge w:val="continue"/>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1,837</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1656A"/>
            </w:tcBorders>
          </w:tcPr>
          <w:p>
            <w:pPr>
              <w:jc w:val="right"/>
              <w:ind w:right="408"/>
              <w:spacing w:after="0"/>
              <w:rPr>
                <w:sz w:val="20"/>
                <w:szCs w:val="20"/>
                <w:color w:val="auto"/>
              </w:rPr>
            </w:pPr>
            <w:r>
              <w:rPr>
                <w:rFonts w:ascii="Arial" w:cs="Arial" w:eastAsia="Arial" w:hAnsi="Arial"/>
                <w:sz w:val="14"/>
                <w:szCs w:val="14"/>
                <w:color w:val="auto"/>
              </w:rPr>
              <w:t>1,604</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15 %</w:t>
            </w: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3,398</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3,129</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1,148</w:t>
            </w:r>
          </w:p>
        </w:tc>
        <w:tc>
          <w:tcPr>
            <w:tcW w:w="40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ind w:right="408"/>
              <w:spacing w:after="0"/>
              <w:rPr>
                <w:sz w:val="20"/>
                <w:szCs w:val="20"/>
                <w:color w:val="auto"/>
              </w:rPr>
            </w:pPr>
            <w:r>
              <w:rPr>
                <w:rFonts w:ascii="Arial" w:cs="Arial" w:eastAsia="Arial" w:hAnsi="Arial"/>
                <w:sz w:val="14"/>
                <w:szCs w:val="14"/>
                <w:color w:val="auto"/>
              </w:rPr>
              <w:t>996</w:t>
            </w:r>
          </w:p>
        </w:tc>
        <w:tc>
          <w:tcPr>
            <w:tcW w:w="7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2,130</w:t>
            </w:r>
          </w:p>
        </w:tc>
        <w:tc>
          <w:tcPr>
            <w:tcW w:w="38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1,995</w:t>
            </w:r>
          </w:p>
        </w:tc>
        <w:tc>
          <w:tcPr>
            <w:tcW w:w="7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246</w:t>
            </w:r>
          </w:p>
        </w:tc>
        <w:tc>
          <w:tcPr>
            <w:tcW w:w="40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color w:val="auto"/>
              </w:rPr>
              <w:t>203</w:t>
            </w:r>
          </w:p>
        </w:tc>
        <w:tc>
          <w:tcPr>
            <w:tcW w:w="7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479</w:t>
            </w:r>
          </w:p>
        </w:tc>
        <w:tc>
          <w:tcPr>
            <w:tcW w:w="3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color w:val="auto"/>
              </w:rPr>
              <w:t>426</w:t>
            </w:r>
          </w:p>
        </w:tc>
        <w:tc>
          <w:tcPr>
            <w:tcW w:w="7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443</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405</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9 %</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789</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708</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1360" w:type="dxa"/>
            <w:vAlign w:val="bottom"/>
            <w:tcBorders>
              <w:bottom w:val="single" w:sz="8" w:color="D7282F"/>
            </w:tcBorders>
          </w:tcPr>
          <w:p>
            <w:pPr>
              <w:spacing w:after="0"/>
              <w:rPr>
                <w:sz w:val="17"/>
                <w:szCs w:val="17"/>
                <w:color w:val="auto"/>
              </w:rPr>
            </w:pPr>
          </w:p>
        </w:tc>
        <w:tc>
          <w:tcPr>
            <w:tcW w:w="2400" w:type="dxa"/>
            <w:vAlign w:val="bottom"/>
            <w:tcBorders>
              <w:bottom w:val="single" w:sz="8" w:color="D7282F"/>
            </w:tcBorders>
            <w:gridSpan w:val="3"/>
          </w:tcPr>
          <w:p>
            <w:pPr>
              <w:jc w:val="right"/>
              <w:ind w:right="948"/>
              <w:spacing w:after="0"/>
              <w:rPr>
                <w:sz w:val="20"/>
                <w:szCs w:val="20"/>
                <w:color w:val="auto"/>
              </w:rPr>
            </w:pPr>
            <w:r>
              <w:rPr>
                <w:rFonts w:ascii="Arial" w:cs="Arial" w:eastAsia="Arial" w:hAnsi="Arial"/>
                <w:sz w:val="14"/>
                <w:szCs w:val="14"/>
                <w:b w:val="1"/>
                <w:bCs w:val="1"/>
                <w:color w:val="auto"/>
              </w:rPr>
              <w:t>2025 vs. 2024</w:t>
            </w:r>
          </w:p>
        </w:tc>
        <w:tc>
          <w:tcPr>
            <w:tcW w:w="8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680" w:type="dxa"/>
            <w:vAlign w:val="bottom"/>
          </w:tcPr>
          <w:p>
            <w:pPr>
              <w:spacing w:after="0"/>
              <w:rPr>
                <w:sz w:val="12"/>
                <w:szCs w:val="12"/>
                <w:color w:val="auto"/>
              </w:rPr>
            </w:pPr>
          </w:p>
        </w:tc>
        <w:tc>
          <w:tcPr>
            <w:tcW w:w="2380" w:type="dxa"/>
            <w:vAlign w:val="bottom"/>
            <w:gridSpan w:val="3"/>
          </w:tcPr>
          <w:p>
            <w:pPr>
              <w:ind w:left="360"/>
              <w:spacing w:after="0" w:line="147"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right"/>
              <w:ind w:right="388"/>
              <w:spacing w:after="0" w:line="147"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1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360" w:type="dxa"/>
            <w:vAlign w:val="bottom"/>
          </w:tcPr>
          <w:p>
            <w:pPr>
              <w:jc w:val="right"/>
              <w:ind w:right="68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Segment</w:t>
            </w:r>
          </w:p>
        </w:tc>
        <w:tc>
          <w:tcPr>
            <w:tcW w:w="1380" w:type="dxa"/>
            <w:vAlign w:val="bottom"/>
          </w:tcPr>
          <w:p>
            <w:pPr>
              <w:jc w:val="right"/>
              <w:ind w:right="708"/>
              <w:spacing w:after="0" w:line="147" w:lineRule="exact"/>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6680" w:type="dxa"/>
            <w:vAlign w:val="bottom"/>
            <w:tcBorders>
              <w:bottom w:val="single" w:sz="8" w:color="D7282F"/>
            </w:tcBorders>
            <w:vMerge w:val="continue"/>
          </w:tcPr>
          <w:p>
            <w:pPr>
              <w:spacing w:after="0"/>
              <w:rPr>
                <w:sz w:val="16"/>
                <w:szCs w:val="16"/>
                <w:color w:val="auto"/>
              </w:rPr>
            </w:pPr>
          </w:p>
        </w:tc>
        <w:tc>
          <w:tcPr>
            <w:tcW w:w="1360" w:type="dxa"/>
            <w:vAlign w:val="bottom"/>
            <w:tcBorders>
              <w:bottom w:val="single" w:sz="8" w:color="D7282F"/>
            </w:tcBorders>
          </w:tcPr>
          <w:p>
            <w:pPr>
              <w:jc w:val="right"/>
              <w:ind w:right="62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gridSpan w:val="2"/>
          </w:tcPr>
          <w:p>
            <w:pPr>
              <w:jc w:val="center"/>
              <w:ind w:right="400"/>
              <w:spacing w:after="0"/>
              <w:rPr>
                <w:sz w:val="20"/>
                <w:szCs w:val="20"/>
                <w:color w:val="auto"/>
              </w:rPr>
            </w:pPr>
            <w:r>
              <w:rPr>
                <w:rFonts w:ascii="Arial" w:cs="Arial" w:eastAsia="Arial" w:hAnsi="Arial"/>
                <w:sz w:val="14"/>
                <w:szCs w:val="14"/>
                <w:b w:val="1"/>
                <w:bCs w:val="1"/>
                <w:color w:val="auto"/>
              </w:rPr>
              <w:t>Profit</w:t>
            </w:r>
          </w:p>
        </w:tc>
        <w:tc>
          <w:tcPr>
            <w:tcW w:w="1380" w:type="dxa"/>
            <w:vAlign w:val="bottom"/>
            <w:tcBorders>
              <w:bottom w:val="single" w:sz="8" w:color="D7282F"/>
            </w:tcBorders>
          </w:tcPr>
          <w:p>
            <w:pPr>
              <w:jc w:val="right"/>
              <w:ind w:right="628"/>
              <w:spacing w:after="0"/>
              <w:rPr>
                <w:sz w:val="20"/>
                <w:szCs w:val="20"/>
                <w:color w:val="auto"/>
              </w:rPr>
            </w:pPr>
            <w:r>
              <w:rPr>
                <w:rFonts w:ascii="Arial" w:cs="Arial" w:eastAsia="Arial" w:hAnsi="Arial"/>
                <w:sz w:val="14"/>
                <w:szCs w:val="14"/>
                <w:b w:val="1"/>
                <w:bCs w:val="1"/>
                <w:color w:val="auto"/>
              </w:rPr>
              <w:t>Sales</w:t>
            </w:r>
          </w:p>
        </w:tc>
        <w:tc>
          <w:tcPr>
            <w:tcW w:w="8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36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6 %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61656A"/>
            </w:tcBorders>
          </w:tcPr>
          <w:p>
            <w:pPr>
              <w:spacing w:after="0"/>
              <w:rPr>
                <w:sz w:val="16"/>
                <w:szCs w:val="16"/>
                <w:color w:val="auto"/>
              </w:rPr>
            </w:pPr>
          </w:p>
        </w:tc>
        <w:tc>
          <w:tcPr>
            <w:tcW w:w="13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3 %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36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2 %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36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color w:val="auto"/>
              </w:rPr>
              <w:t>7 %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10 %</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6 %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99"/>
        </w:trPr>
        <w:tc>
          <w:tcPr>
            <w:tcW w:w="66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36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15 %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9 %</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9 %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2025 compared to Q2 2024</w:t>
      </w:r>
    </w:p>
    <w:p>
      <w:pPr>
        <w:spacing w:after="0" w:line="2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Sales increased $233 million due to higher organic sales of $93 million in UOP due to higher licensing sales volumes in gas processing. Additionally, the acquisitions of LNG and Sundyne contributed $114 million in the three months ended June 30, 2025.</w:t>
      </w:r>
    </w:p>
    <w:p>
      <w:pPr>
        <w:spacing w:after="0" w:line="77" w:lineRule="exact"/>
        <w:rPr>
          <w:sz w:val="20"/>
          <w:szCs w:val="20"/>
          <w:color w:val="auto"/>
        </w:rPr>
      </w:pPr>
    </w:p>
    <w:p>
      <w:pPr>
        <w:ind w:right="20"/>
        <w:spacing w:after="0" w:line="336" w:lineRule="auto"/>
        <w:rPr>
          <w:sz w:val="20"/>
          <w:szCs w:val="20"/>
          <w:color w:val="auto"/>
        </w:rPr>
      </w:pPr>
      <w:r>
        <w:rPr>
          <w:rFonts w:ascii="Arial" w:cs="Arial" w:eastAsia="Arial" w:hAnsi="Arial"/>
          <w:sz w:val="16"/>
          <w:szCs w:val="16"/>
          <w:color w:val="auto"/>
        </w:rPr>
        <w:t xml:space="preserve">Segment profit increased $38 million and segment margin percentage decreased 110 basis points to 24.1% compared to 25.2% for the same period of 2024. </w:t>
      </w:r>
      <w:r>
        <w:rPr>
          <w:rFonts w:ascii="Arial" w:cs="Arial" w:eastAsia="Arial" w:hAnsi="Arial"/>
          <w:sz w:val="16"/>
          <w:szCs w:val="16"/>
          <w:b w:val="1"/>
          <w:bCs w:val="1"/>
          <w:color w:val="auto"/>
        </w:rPr>
        <w:t>YTD 2025 compared to YTD 2024</w:t>
      </w:r>
    </w:p>
    <w:p>
      <w:pPr>
        <w:jc w:val="both"/>
        <w:spacing w:after="0" w:line="265" w:lineRule="auto"/>
        <w:rPr>
          <w:sz w:val="20"/>
          <w:szCs w:val="20"/>
          <w:color w:val="auto"/>
        </w:rPr>
      </w:pPr>
      <w:r>
        <w:rPr>
          <w:rFonts w:ascii="Arial" w:cs="Arial" w:eastAsia="Arial" w:hAnsi="Arial"/>
          <w:sz w:val="16"/>
          <w:szCs w:val="16"/>
          <w:color w:val="auto"/>
        </w:rPr>
        <w:t>Sales increased $269 million due to higher organic sales of $107 million in UOP due to higher licensing sales volumes in gas processing. Additionally, the acquisitions of LNG and Sundyne contributed $189 million in the six months ended June 30, 2025.</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$81 million and segment margin percentage increased 60 basis points to 23.2% compared to 22.6% for the same period of 2024.</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October 8, 2024, the Company announced its intention to spin off its Advanced Materials business into Solstice Advanced Materials, an independent, U.S. publicly traded company, which is expected to be completed during the fourth quarter of 2025.</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See Note 5 </w:t>
      </w:r>
      <w:r>
        <w:rPr>
          <w:rFonts w:ascii="Arial" w:cs="Arial" w:eastAsia="Arial" w:hAnsi="Arial"/>
          <w:sz w:val="16"/>
          <w:szCs w:val="16"/>
          <w:u w:val="single" w:color="auto"/>
          <w:color w:val="0000FF"/>
        </w:rPr>
        <w:t>Repositioning and Other Charges</w:t>
      </w:r>
      <w:r>
        <w:rPr>
          <w:rFonts w:ascii="Arial" w:cs="Arial" w:eastAsia="Arial" w:hAnsi="Arial"/>
          <w:sz w:val="16"/>
          <w:szCs w:val="16"/>
          <w:color w:val="auto"/>
        </w:rPr>
        <w:t xml:space="preserve"> of Notes to Consolidated Financial Statements for a discussion of our repositioning actions and related charges incurred in the six months ended June 30, 2025, and 2024. Cash spending related to our repositioning actions was $81 million in the six months ended June 30, 2025, and was funded through operating cash flows.</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leverage operating cash flows as the primary source of liquidity. Each of our businesses focuses on increasing operating cash flows through revenue growth, margin expansion, and improved working capital turnover. We also maintain other key sources of liquidity, including U.S. cash balances, and the ability to access non-U.S. cash balances, short-term debt from the commercial paper market, long-term borrowings, committed credit lines, and access to the public debt and equity markets.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June 30, 2025, and December 31, 2024, we held $10.7 billion and $11.0 billion, respectively, of cash and cash equivalents, including our short-term investments. We monitor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2025, we held $9.2 billion of the Company’s cash, cash equivalents, and short-term investments in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2860" w:type="dxa"/>
            <w:vAlign w:val="bottom"/>
            <w:tcBorders>
              <w:bottom w:val="single" w:sz="8" w:color="D7282F"/>
            </w:tcBorders>
            <w:gridSpan w:val="5"/>
          </w:tcPr>
          <w:p>
            <w:pPr>
              <w:jc w:val="right"/>
              <w:ind w:right="52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180" w:type="dxa"/>
            <w:vAlign w:val="bottom"/>
            <w:tcBorders>
              <w:bottom w:val="single" w:sz="8" w:color="D7282F"/>
            </w:tcBorders>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99"/>
              </w:rPr>
              <w:t>Variance</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10,567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2,642</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r>
      <w:tr>
        <w:trPr>
          <w:trHeight w:val="193"/>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3,019</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3,007</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Noncash adjustments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744</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514</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230</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working capital</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(1,218)</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(649)</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(569)</w:t>
            </w:r>
          </w:p>
        </w:tc>
      </w:tr>
      <w:tr>
        <w:trPr>
          <w:trHeight w:val="196"/>
        </w:trPr>
        <w:tc>
          <w:tcPr>
            <w:tcW w:w="8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(629)</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(1,053)</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424</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1,916</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1,819</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97</w:t>
            </w:r>
          </w:p>
        </w:tc>
      </w:tr>
      <w:tr>
        <w:trPr>
          <w:trHeight w:val="193"/>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investing activities</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(1,880)</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(5,405)</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3,525</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provided by financing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(421)</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5,298</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(5,719)</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167</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228</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(218)</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1,651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(1,869)</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10,349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9,576</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773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 2025</w:t>
      </w:r>
    </w:p>
    <w:p>
      <w:pPr>
        <w:spacing w:after="0" w:line="3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Net cash provided by operating activities was driven by Net income, partially offset by changes in working capital driven by an increase in accounts receivable due to timing of customer cash collections.</w:t>
      </w:r>
    </w:p>
    <w:p>
      <w:pPr>
        <w:spacing w:after="0" w:line="6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Net cash used for investing activities was driven by $2,163 million of cash paid for acquisitions, $554 million of capital expenditures, and $415 million of net payments from settlements of derivative contracts, partially offset by $1,157 million of proceeds from the sale of the PPE business.</w:t>
      </w:r>
    </w:p>
    <w:p>
      <w:pPr>
        <w:spacing w:after="0" w:line="3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Net cash used for financing activities was driven by $3,604 million of repurchases of common stock, $1,479 million of cash dividends paid, and $1,309 million of payments of long-term debt, partially offset by $4,035 million of long-term debt proceeds and $1,873 million of net proceeds of commercial paper.</w:t>
      </w:r>
    </w:p>
    <w:p>
      <w:pPr>
        <w:spacing w:after="0" w:line="373"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 2025 compared with six months ended June 30, 2024</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Net cash provided by operating activities increased by $97 million, driven by a $424 million favorable impact of other operating activities due to timing of customer advances and $230 million increase in noncash adjustments driven by higher depreciation and amortization, partially offset by a $569 million unfavorable impact of working capital driven by an increase in accounts receivable due to timing of customer cash collections.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cash used for investing activities decreased by $3,525 million, driven by a $2,750 million decrease in cash paid for acquisitions and $1,157 million increase in proceeds from the sale of the PPE business, partially offset by a $491 million increase in net payments from settlements of derivative contracts.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used for financing activities increased by $5,719 million, driven by a $2,404 million increase in repurchases of common stock, $1,675 million decrease in long-term debt proceeds, $704 million increase in payments of long-term debt, $631 million decrease in net proceeds of commercial paper, and $211 million decrease in proceeds from the issuance of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ASSESSMENT OF CURRENT LIQUIDITY AND CASH REQUIREMENTS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past performance and current expectations, we believe our operating cash flows will be sufficient to meet our future operating cash needs for at least the next twelve months. If necessary, our available cash, committed credit lines, and access to the public debt and equity markets provide additional sources of short-term and long-term liquidity to fund current operations, debt maturities, and future investment opportunities.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Debt and Credit Agreements</w:t>
      </w:r>
      <w:r>
        <w:rPr>
          <w:rFonts w:ascii="Arial" w:cs="Arial" w:eastAsia="Arial" w:hAnsi="Arial"/>
          <w:sz w:val="16"/>
          <w:szCs w:val="16"/>
          <w:color w:val="auto"/>
        </w:rPr>
        <w:t xml:space="preserve"> of Notes to Consolidated Financial Statements for additional discussion of items impacting our liquidity.</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normal operating cash requirements, our principal future cash requirements include funding capital expenditures, share repurchases, dividends, strategic acquisitions, and debt repayments. During the six months ended June 30, 2025, we repurchased common stock of $3.6 billion. Refer to the section titled Liquidity and Capital Resources of our 2024 Form 10-K for a discussion of our expected capital expenditures, share repurchases, mergers and acquisitions activity, and dividends for 2025.</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We continually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In the second quarter of 2025, we acquired Sundyne for total consideration of $2.2 billion, net of cash acquired, as well as announced our agreement to acquire Johnson Matthey's Catalyst Technologies business segment for £1.8 billion.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On October 8, 2024, we announced our intention to spin off the Advanced Materials business into Solstice Advanced Materials, an independent, U.S. publicly traded company, which is targeted to be completed during the fourth quarter of 2025. On February 6, 2025, we announced our intention to separate its Automation and Aerospace Technologies businesses into independent, U.S. publicly traded companies, which is intended to be completed in the second half of 2026. On May 21, 2025, we completed the sale of our PPE business for $1.2 billion, net of cash transferred. In addition, on July 8, 2025, we announced we are evaluating strategic alternatives for our Productivity Solutions and Services and Warehouse and Workflow Solutions businesses within the Industrial Automation reportable business segment. See Note 3 </w:t>
      </w:r>
      <w:r>
        <w:rPr>
          <w:rFonts w:ascii="Arial" w:cs="Arial" w:eastAsia="Arial" w:hAnsi="Arial"/>
          <w:sz w:val="16"/>
          <w:szCs w:val="16"/>
          <w:u w:val="single" w:color="auto"/>
          <w:color w:val="0000FF"/>
        </w:rPr>
        <w:t>Acquisitions and Divestitures</w:t>
      </w:r>
      <w:r>
        <w:rPr>
          <w:rFonts w:ascii="Arial" w:cs="Arial" w:eastAsia="Arial" w:hAnsi="Arial"/>
          <w:sz w:val="16"/>
          <w:szCs w:val="16"/>
          <w:color w:val="auto"/>
        </w:rPr>
        <w:t xml:space="preserve"> of Notes to Consolidated Financial Statements for additional discussion.</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continually seek opportunities to improve our liquidity and working capital efficiency, which includes the extension of payment terms with our suppliers and transfer of our trade receivables to unaffiliated financial institutions on a true sale basis. The impact of these programs is not material to our overall liquidity.</w:t>
      </w:r>
    </w:p>
    <w:p>
      <w:pPr>
        <w:spacing w:after="0" w:line="200" w:lineRule="exact"/>
        <w:rPr>
          <w:sz w:val="20"/>
          <w:szCs w:val="20"/>
          <w:color w:val="auto"/>
        </w:rPr>
      </w:pPr>
    </w:p>
    <w:p>
      <w:pPr>
        <w:spacing w:after="0" w:line="388"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leverage a variety of debt instruments to manage our overall borrowing costs. As of June 30, 2025, and December 31, 2024, our total borrowings were $36.5 billion and $31.1 billion,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29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June 30, 2025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rate notes</w:t>
            </w:r>
          </w:p>
        </w:tc>
        <w:tc>
          <w:tcPr>
            <w:tcW w:w="29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25,198</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25,853</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Commercial paper</w:t>
            </w:r>
          </w:p>
        </w:tc>
        <w:tc>
          <w:tcPr>
            <w:tcW w:w="29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6,270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4,271</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Term loans</w:t>
            </w:r>
          </w:p>
        </w:tc>
        <w:tc>
          <w:tcPr>
            <w:tcW w:w="29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Variable rate notes</w:t>
            </w:r>
          </w:p>
        </w:tc>
        <w:tc>
          <w:tcPr>
            <w:tcW w:w="29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w:t>
            </w:r>
          </w:p>
        </w:tc>
        <w:tc>
          <w:tcPr>
            <w:tcW w:w="29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392</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29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9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(303)</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borrowings</w:t>
            </w:r>
          </w:p>
        </w:tc>
        <w:tc>
          <w:tcPr>
            <w:tcW w:w="2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36,512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31,099</w:t>
            </w: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 key source of liquidity is our ability to access the corporate bond markets. Through these markets, we issue a variety of long-term fixed rate notes to manage our overall funding costs.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Another key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have the following loan and revolving credit agreements:</w:t>
      </w:r>
    </w:p>
    <w:p>
      <w:pPr>
        <w:spacing w:after="0" w:line="127" w:lineRule="exact"/>
        <w:rPr>
          <w:sz w:val="20"/>
          <w:szCs w:val="20"/>
          <w:color w:val="auto"/>
        </w:rPr>
      </w:pPr>
    </w:p>
    <w:p>
      <w:pPr>
        <w:jc w:val="both"/>
        <w:ind w:left="200" w:hanging="192"/>
        <w:spacing w:after="0" w:line="260" w:lineRule="auto"/>
        <w:tabs>
          <w:tab w:leader="none" w:pos="197" w:val="left"/>
        </w:tabs>
        <w:numPr>
          <w:ilvl w:val="0"/>
          <w:numId w:val="61"/>
        </w:numPr>
        <w:rPr>
          <w:rFonts w:ascii="Arial" w:cs="Arial" w:eastAsia="Arial" w:hAnsi="Arial"/>
          <w:sz w:val="16"/>
          <w:szCs w:val="16"/>
          <w:color w:val="D7282F"/>
        </w:rPr>
      </w:pPr>
      <w:r>
        <w:rPr>
          <w:rFonts w:ascii="Arial" w:cs="Arial" w:eastAsia="Arial" w:hAnsi="Arial"/>
          <w:sz w:val="16"/>
          <w:szCs w:val="16"/>
          <w:color w:val="auto"/>
        </w:rPr>
        <w:t>A $6.0 billion Delayed Draw Term Loan Agreement (the Term Loan Agreement), dated as of May 7, 2025. The Term Loan Agreement is comprised of two tranches: (i) commitments to provide loans in an aggregate principal amount of up to $4.0 billion, which was fully drawn effective May 30, 2025, and (ii) commitments to provide loans in an aggregate amount of up to $2.0 billion, expiring on December 19, 2025. Amounts borrowed under the Term Loan Agreement are required to be paid no later than May 7, 2027, unless the Term Loan Agreement is terminated earlier pursuant to its terms. As of June 30, 2025, there were $4.0 billion of borrowings outstanding on the Term Loan Agreement.</w:t>
      </w:r>
    </w:p>
    <w:p>
      <w:pPr>
        <w:spacing w:after="0" w:line="42" w:lineRule="exact"/>
        <w:rPr>
          <w:rFonts w:ascii="Arial" w:cs="Arial" w:eastAsia="Arial" w:hAnsi="Arial"/>
          <w:sz w:val="16"/>
          <w:szCs w:val="16"/>
          <w:color w:val="D7282F"/>
        </w:rPr>
      </w:pPr>
    </w:p>
    <w:p>
      <w:pPr>
        <w:jc w:val="both"/>
        <w:ind w:left="200" w:hanging="192"/>
        <w:spacing w:after="0" w:line="265" w:lineRule="auto"/>
        <w:tabs>
          <w:tab w:leader="none" w:pos="197" w:val="left"/>
        </w:tabs>
        <w:numPr>
          <w:ilvl w:val="0"/>
          <w:numId w:val="61"/>
        </w:numPr>
        <w:rPr>
          <w:rFonts w:ascii="Arial" w:cs="Arial" w:eastAsia="Arial" w:hAnsi="Arial"/>
          <w:sz w:val="16"/>
          <w:szCs w:val="16"/>
          <w:color w:val="D7282F"/>
        </w:rPr>
      </w:pPr>
      <w:r>
        <w:rPr>
          <w:rFonts w:ascii="Arial" w:cs="Arial" w:eastAsia="Arial" w:hAnsi="Arial"/>
          <w:sz w:val="16"/>
          <w:szCs w:val="16"/>
          <w:color w:val="auto"/>
        </w:rPr>
        <w:t>A $1.0 billion Fixed Rate Term Loan Credit Agreement (the Fixed Rate Term Loan Credit Agreement), dated as of August 12, 2024. Amounts borrowed under the Fixed Rate Term Loan Credit Agreement are required to be repaid no later than August 12, 2027, unless the Fixed Rate Term Loan Credit Agreement is terminated earlier pursuant to its terms. As of June 30, 2025, there were $1.0 billion of borrowings outstanding under the Fixed Rate Term Loan Credit Agreement.</w:t>
      </w:r>
    </w:p>
    <w:p>
      <w:pPr>
        <w:spacing w:after="0" w:line="37" w:lineRule="exact"/>
        <w:rPr>
          <w:rFonts w:ascii="Arial" w:cs="Arial" w:eastAsia="Arial" w:hAnsi="Arial"/>
          <w:sz w:val="16"/>
          <w:szCs w:val="16"/>
          <w:color w:val="D7282F"/>
        </w:rPr>
      </w:pPr>
    </w:p>
    <w:p>
      <w:pPr>
        <w:jc w:val="both"/>
        <w:ind w:left="200" w:hanging="192"/>
        <w:spacing w:after="0" w:line="261" w:lineRule="auto"/>
        <w:tabs>
          <w:tab w:leader="none" w:pos="197" w:val="left"/>
        </w:tabs>
        <w:numPr>
          <w:ilvl w:val="0"/>
          <w:numId w:val="61"/>
        </w:numPr>
        <w:rPr>
          <w:rFonts w:ascii="Arial" w:cs="Arial" w:eastAsia="Arial" w:hAnsi="Arial"/>
          <w:sz w:val="16"/>
          <w:szCs w:val="16"/>
          <w:color w:val="D7282F"/>
        </w:rPr>
      </w:pPr>
      <w:r>
        <w:rPr>
          <w:rFonts w:ascii="Arial" w:cs="Arial" w:eastAsia="Arial" w:hAnsi="Arial"/>
          <w:sz w:val="16"/>
          <w:szCs w:val="16"/>
          <w:color w:val="auto"/>
        </w:rPr>
        <w:t>A $3.0 billion 364-day credit agreement (the 364-Day Credit Agreement) with a syndicate of banks, dated as of March 17, 2025. Amounts borrowed under the 364-Day Credit Agreement are required to be repaid no later than March 16, 2026, unless (i) we elect to convert all then outstanding amounts into a term loan, upon which such amounts shall be repaid in full on March 16, 2027, or (ii) the 364-Day Credit Agreement is terminated earlier pursuant to its terms. The 364-Day Credit Agreement replaced the previously reported $1.5 billion 364-day credit agreement dated as of March 18, 2024, which was terminated in accordance with its terms effective March 17, 2025. As of June 30, 2025, there were no outstanding borrowings under our 364-Day Credit Agreement.</w:t>
      </w:r>
    </w:p>
    <w:p>
      <w:pPr>
        <w:spacing w:after="0" w:line="41" w:lineRule="exact"/>
        <w:rPr>
          <w:rFonts w:ascii="Arial" w:cs="Arial" w:eastAsia="Arial" w:hAnsi="Arial"/>
          <w:sz w:val="16"/>
          <w:szCs w:val="16"/>
          <w:color w:val="D7282F"/>
        </w:rPr>
      </w:pPr>
    </w:p>
    <w:p>
      <w:pPr>
        <w:jc w:val="both"/>
        <w:ind w:left="200" w:hanging="192"/>
        <w:spacing w:after="0" w:line="266" w:lineRule="auto"/>
        <w:tabs>
          <w:tab w:leader="none" w:pos="197" w:val="left"/>
        </w:tabs>
        <w:numPr>
          <w:ilvl w:val="0"/>
          <w:numId w:val="61"/>
        </w:numPr>
        <w:rPr>
          <w:rFonts w:ascii="Arial" w:cs="Arial" w:eastAsia="Arial" w:hAnsi="Arial"/>
          <w:sz w:val="16"/>
          <w:szCs w:val="16"/>
          <w:color w:val="D7282F"/>
        </w:rPr>
      </w:pPr>
      <w:r>
        <w:rPr>
          <w:rFonts w:ascii="Arial" w:cs="Arial" w:eastAsia="Arial" w:hAnsi="Arial"/>
          <w:sz w:val="16"/>
          <w:szCs w:val="16"/>
          <w:color w:val="auto"/>
        </w:rPr>
        <w:t>A $4.0 billion five-year credit agreement (the Five-Year Credit Agreement) with a syndicate of banks, dated as of March 18, 2024. Commitments under the Five-Year Credit Agreement can be increased pursuant to the terms of the Five-Year Credit Agreement to an aggregate amount not to exceed $4.5 billion. As of June 30, 2025, there were no outstanding borrowings under our Five-Year Credit Agreement.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Debt and Credit Agreements</w:t>
      </w:r>
      <w:r>
        <w:rPr>
          <w:rFonts w:ascii="Arial" w:cs="Arial" w:eastAsia="Arial" w:hAnsi="Arial"/>
          <w:sz w:val="16"/>
          <w:szCs w:val="16"/>
          <w:color w:val="auto"/>
        </w:rPr>
        <w:t xml:space="preserve"> of Notes to Consolidated Financial Statements for additional information regarding our debt instruments.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also maintain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395"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June 30, 2025, S&amp;P Global Inc. (S&amp;P), Fitch Ratings Inc. (Fitch), and Moody’s Investor Service (Moody's) have ratings on our debt set forth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tcBorders>
              <w:bottom w:val="single" w:sz="8" w:color="D7282F"/>
            </w:tcBorders>
          </w:tcPr>
          <w:p>
            <w:pPr>
              <w:spacing w:after="0"/>
              <w:rPr>
                <w:sz w:val="17"/>
                <w:szCs w:val="17"/>
                <w:color w:val="auto"/>
              </w:rPr>
            </w:pPr>
          </w:p>
        </w:tc>
        <w:tc>
          <w:tcPr>
            <w:tcW w:w="4340" w:type="dxa"/>
            <w:vAlign w:val="bottom"/>
            <w:tcBorders>
              <w:bottom w:val="single" w:sz="8" w:color="D7282F"/>
            </w:tcBorders>
          </w:tcPr>
          <w:p>
            <w:pPr>
              <w:jc w:val="center"/>
              <w:ind w:left="2648"/>
              <w:spacing w:after="0"/>
              <w:rPr>
                <w:sz w:val="20"/>
                <w:szCs w:val="20"/>
                <w:color w:val="auto"/>
              </w:rPr>
            </w:pPr>
            <w:r>
              <w:rPr>
                <w:rFonts w:ascii="Arial" w:cs="Arial" w:eastAsia="Arial" w:hAnsi="Arial"/>
                <w:sz w:val="14"/>
                <w:szCs w:val="14"/>
                <w:b w:val="1"/>
                <w:bCs w:val="1"/>
                <w:color w:val="auto"/>
              </w:rPr>
              <w:t>S&amp;P</w:t>
            </w:r>
          </w:p>
        </w:tc>
        <w:tc>
          <w:tcPr>
            <w:tcW w:w="1740" w:type="dxa"/>
            <w:vAlign w:val="bottom"/>
            <w:tcBorders>
              <w:bottom w:val="single" w:sz="8" w:color="D7282F"/>
            </w:tcBorders>
          </w:tcPr>
          <w:p>
            <w:pPr>
              <w:jc w:val="center"/>
              <w:ind w:right="8"/>
              <w:spacing w:after="0"/>
              <w:rPr>
                <w:sz w:val="20"/>
                <w:szCs w:val="20"/>
                <w:color w:val="auto"/>
              </w:rPr>
            </w:pPr>
            <w:r>
              <w:rPr>
                <w:rFonts w:ascii="Arial" w:cs="Arial" w:eastAsia="Arial" w:hAnsi="Arial"/>
                <w:sz w:val="14"/>
                <w:szCs w:val="14"/>
                <w:b w:val="1"/>
                <w:bCs w:val="1"/>
                <w:color w:val="auto"/>
              </w:rPr>
              <w:t>Fitch</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Moody's</w:t>
            </w:r>
          </w:p>
        </w:tc>
      </w:tr>
      <w:tr>
        <w:trPr>
          <w:trHeight w:val="193"/>
        </w:trPr>
        <w:tc>
          <w:tcPr>
            <w:tcW w:w="3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Outlook</w:t>
            </w:r>
          </w:p>
        </w:tc>
        <w:tc>
          <w:tcPr>
            <w:tcW w:w="4340" w:type="dxa"/>
            <w:vAlign w:val="bottom"/>
            <w:tcBorders>
              <w:bottom w:val="single" w:sz="8" w:color="61656A"/>
            </w:tcBorders>
          </w:tcPr>
          <w:p>
            <w:pPr>
              <w:jc w:val="center"/>
              <w:ind w:left="2648"/>
              <w:spacing w:after="0"/>
              <w:rPr>
                <w:sz w:val="20"/>
                <w:szCs w:val="20"/>
                <w:color w:val="auto"/>
              </w:rPr>
            </w:pPr>
            <w:r>
              <w:rPr>
                <w:rFonts w:ascii="Arial" w:cs="Arial" w:eastAsia="Arial" w:hAnsi="Arial"/>
                <w:sz w:val="14"/>
                <w:szCs w:val="14"/>
                <w:color w:val="auto"/>
              </w:rPr>
              <w:t>Watch Negative</w:t>
            </w:r>
          </w:p>
        </w:tc>
        <w:tc>
          <w:tcPr>
            <w:tcW w:w="1740" w:type="dxa"/>
            <w:vAlign w:val="bottom"/>
            <w:tcBorders>
              <w:bottom w:val="single" w:sz="8" w:color="61656A"/>
            </w:tcBorders>
          </w:tcPr>
          <w:p>
            <w:pPr>
              <w:jc w:val="center"/>
              <w:ind w:right="28"/>
              <w:spacing w:after="0"/>
              <w:rPr>
                <w:sz w:val="20"/>
                <w:szCs w:val="20"/>
                <w:color w:val="auto"/>
              </w:rPr>
            </w:pPr>
            <w:r>
              <w:rPr>
                <w:rFonts w:ascii="Arial" w:cs="Arial" w:eastAsia="Arial" w:hAnsi="Arial"/>
                <w:sz w:val="14"/>
                <w:szCs w:val="14"/>
                <w:color w:val="auto"/>
              </w:rPr>
              <w:t>Watch Negative</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Stable</w:t>
            </w:r>
          </w:p>
        </w:tc>
      </w:tr>
      <w:tr>
        <w:trPr>
          <w:trHeight w:val="196"/>
        </w:trPr>
        <w:tc>
          <w:tcPr>
            <w:tcW w:w="3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w:t>
            </w:r>
          </w:p>
        </w:tc>
        <w:tc>
          <w:tcPr>
            <w:tcW w:w="4340" w:type="dxa"/>
            <w:vAlign w:val="bottom"/>
            <w:tcBorders>
              <w:bottom w:val="single" w:sz="8" w:color="61656A"/>
            </w:tcBorders>
          </w:tcPr>
          <w:p>
            <w:pPr>
              <w:jc w:val="center"/>
              <w:ind w:left="2648"/>
              <w:spacing w:after="0"/>
              <w:rPr>
                <w:sz w:val="20"/>
                <w:szCs w:val="20"/>
                <w:color w:val="auto"/>
              </w:rPr>
            </w:pPr>
            <w:r>
              <w:rPr>
                <w:rFonts w:ascii="Arial" w:cs="Arial" w:eastAsia="Arial" w:hAnsi="Arial"/>
                <w:sz w:val="14"/>
                <w:szCs w:val="14"/>
                <w:color w:val="auto"/>
              </w:rPr>
              <w:t>A-1</w:t>
            </w:r>
          </w:p>
        </w:tc>
        <w:tc>
          <w:tcPr>
            <w:tcW w:w="1740" w:type="dxa"/>
            <w:vAlign w:val="bottom"/>
            <w:tcBorders>
              <w:bottom w:val="single" w:sz="8" w:color="61656A"/>
            </w:tcBorders>
          </w:tcPr>
          <w:p>
            <w:pPr>
              <w:jc w:val="center"/>
              <w:ind w:right="28"/>
              <w:spacing w:after="0"/>
              <w:rPr>
                <w:sz w:val="20"/>
                <w:szCs w:val="20"/>
                <w:color w:val="auto"/>
              </w:rPr>
            </w:pPr>
            <w:r>
              <w:rPr>
                <w:rFonts w:ascii="Arial" w:cs="Arial" w:eastAsia="Arial" w:hAnsi="Arial"/>
                <w:sz w:val="14"/>
                <w:szCs w:val="14"/>
                <w:color w:val="auto"/>
                <w:w w:val="97"/>
              </w:rPr>
              <w:t>F1</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3"/>
              </w:rPr>
              <w:t>P1</w:t>
            </w:r>
          </w:p>
        </w:tc>
      </w:tr>
      <w:tr>
        <w:trPr>
          <w:trHeight w:val="196"/>
        </w:trPr>
        <w:tc>
          <w:tcPr>
            <w:tcW w:w="37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340" w:type="dxa"/>
            <w:vAlign w:val="bottom"/>
            <w:tcBorders>
              <w:bottom w:val="single" w:sz="8" w:color="D7282F"/>
            </w:tcBorders>
          </w:tcPr>
          <w:p>
            <w:pPr>
              <w:jc w:val="center"/>
              <w:ind w:left="2648"/>
              <w:spacing w:after="0"/>
              <w:rPr>
                <w:sz w:val="20"/>
                <w:szCs w:val="20"/>
                <w:color w:val="auto"/>
              </w:rPr>
            </w:pPr>
            <w:r>
              <w:rPr>
                <w:rFonts w:ascii="Arial" w:cs="Arial" w:eastAsia="Arial" w:hAnsi="Arial"/>
                <w:sz w:val="14"/>
                <w:szCs w:val="14"/>
                <w:color w:val="auto"/>
              </w:rPr>
              <w:t>A</w:t>
            </w:r>
          </w:p>
        </w:tc>
        <w:tc>
          <w:tcPr>
            <w:tcW w:w="1740" w:type="dxa"/>
            <w:vAlign w:val="bottom"/>
            <w:tcBorders>
              <w:bottom w:val="single" w:sz="8" w:color="D7282F"/>
            </w:tcBorders>
          </w:tcPr>
          <w:p>
            <w:pPr>
              <w:jc w:val="center"/>
              <w:ind w:right="8"/>
              <w:spacing w:after="0"/>
              <w:rPr>
                <w:sz w:val="20"/>
                <w:szCs w:val="20"/>
                <w:color w:val="auto"/>
              </w:rPr>
            </w:pPr>
            <w:r>
              <w:rPr>
                <w:rFonts w:ascii="Arial" w:cs="Arial" w:eastAsia="Arial" w:hAnsi="Arial"/>
                <w:sz w:val="14"/>
                <w:szCs w:val="14"/>
                <w:color w:val="auto"/>
              </w:rPr>
              <w:t>A</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3"/>
              </w:rPr>
              <w:t>A2</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See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further discussion of environmental, asbestos, and other litigation matters.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have been no material changes to our Critical Accounting Estimates presented in our 2024 Annual Report on Form 10-K. For a discussion of the Company’s Critical Accounting Estimates, see the section titled Critical Accounting Estimates in our 2024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See Note 2 </w:t>
      </w:r>
      <w:r>
        <w:rPr>
          <w:rFonts w:ascii="Arial" w:cs="Arial" w:eastAsia="Arial" w:hAnsi="Arial"/>
          <w:sz w:val="16"/>
          <w:szCs w:val="16"/>
          <w:u w:val="single" w:color="auto"/>
          <w:color w:val="0000FF"/>
        </w:rPr>
        <w:t>Summary of Significant Accounting Policies</w:t>
      </w:r>
      <w:r>
        <w:rPr>
          <w:rFonts w:ascii="Arial" w:cs="Arial" w:eastAsia="Arial" w:hAnsi="Arial"/>
          <w:sz w:val="16"/>
          <w:szCs w:val="16"/>
          <w:color w:val="auto"/>
        </w:rPr>
        <w:t xml:space="preserve"> of Notes to Consolidated Financial Statements for a discussion of recent accounting pronouncements.</w:t>
      </w:r>
    </w:p>
    <w:p>
      <w:pPr>
        <w:spacing w:after="0" w:line="200" w:lineRule="exact"/>
        <w:rPr>
          <w:sz w:val="20"/>
          <w:szCs w:val="20"/>
          <w:color w:val="auto"/>
        </w:rPr>
      </w:pPr>
    </w:p>
    <w:p>
      <w:pPr>
        <w:spacing w:after="0" w:line="344" w:lineRule="exact"/>
        <w:rPr>
          <w:sz w:val="20"/>
          <w:szCs w:val="20"/>
          <w:color w:val="auto"/>
        </w:rPr>
      </w:pPr>
    </w:p>
    <w:p>
      <w:pPr>
        <w:ind w:right="1240"/>
        <w:spacing w:after="0" w:line="297"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20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2024 Annual Report on Form 10-K. As of June 30, 2025, there has been no material change in this information.</w:t>
      </w:r>
    </w:p>
    <w:p>
      <w:pPr>
        <w:spacing w:after="0" w:line="373"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Honeywell management, including the Chairman and Chief Executive Officer (CEO) and Chief Financial Officer (CFO),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Chairman and CEO and the CFO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SEC's rules and forms, and that it is accumulated and communicated to our management, including our Chairman and CEO, our CFO,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We are subject to a number of lawsuits, investigations, and claims (some of which involve substantial amounts) arising out of the conduct of our business. See a discussion of environmental, asbestos, and other litigation matters in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8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Other than as noted below, there have been no material changes to our Risk Factors presented in our 2024 Annual Report on Form 10-K under the section titled Risk Factors. For further discussion of our Risk Factors, refer to the section titled Risk Factors in our 2024 Annual Report on Form 10-K and our Quarterly Report on Form 10-Q for the first quarter of 2025.</w:t>
      </w:r>
    </w:p>
    <w:p>
      <w:pPr>
        <w:spacing w:after="0" w:line="310"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21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On April 24, 2023, the Board of Directors authorized the repurchase of up to $10 billion of Honeywell common stock, including approximately $2.1 billion of remaining availability under the previously announced $10 billion share repurchase authorization. The repurchase authorization does not have an expiration date and may be amended or terminated by the Board of Directors at any time without prior notice.</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the three months ended June 30, 2025, Honeywell repurchased 8.2 million shares of its common stock, par value $1 per share. As of June 30, 2025, $1.9 billion remained available under the share repurchase authorization for additional share repurchases. The following table summarizes our purchases of Honeywell's common stock for the three months ended June 30, 2025:</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00" w:type="dxa"/>
            <w:vAlign w:val="bottom"/>
            <w:tcBorders>
              <w:top w:val="single" w:sz="8" w:color="D7282F"/>
            </w:tcBorders>
          </w:tcPr>
          <w:p>
            <w:pPr>
              <w:spacing w:after="0"/>
              <w:rPr>
                <w:sz w:val="12"/>
                <w:szCs w:val="12"/>
                <w:color w:val="auto"/>
              </w:rPr>
            </w:pPr>
          </w:p>
        </w:tc>
        <w:tc>
          <w:tcPr>
            <w:tcW w:w="2500" w:type="dxa"/>
            <w:vAlign w:val="bottom"/>
            <w:tcBorders>
              <w:top w:val="single" w:sz="8" w:color="D7282F"/>
            </w:tcBorders>
          </w:tcPr>
          <w:p>
            <w:pPr>
              <w:spacing w:after="0"/>
              <w:rPr>
                <w:sz w:val="12"/>
                <w:szCs w:val="12"/>
                <w:color w:val="auto"/>
              </w:rPr>
            </w:pPr>
          </w:p>
        </w:tc>
        <w:tc>
          <w:tcPr>
            <w:tcW w:w="1680" w:type="dxa"/>
            <w:vAlign w:val="bottom"/>
            <w:tcBorders>
              <w:top w:val="single" w:sz="8" w:color="D7282F"/>
            </w:tcBorders>
          </w:tcPr>
          <w:p>
            <w:pPr>
              <w:spacing w:after="0"/>
              <w:rPr>
                <w:sz w:val="12"/>
                <w:szCs w:val="12"/>
                <w:color w:val="auto"/>
              </w:rPr>
            </w:pPr>
          </w:p>
        </w:tc>
        <w:tc>
          <w:tcPr>
            <w:tcW w:w="1700" w:type="dxa"/>
            <w:vAlign w:val="bottom"/>
            <w:tcBorders>
              <w:top w:val="single" w:sz="8" w:color="D7282F"/>
            </w:tcBorders>
          </w:tcPr>
          <w:p>
            <w:pPr>
              <w:jc w:val="center"/>
              <w:ind w:left="188"/>
              <w:spacing w:after="0" w:line="144" w:lineRule="exact"/>
              <w:rPr>
                <w:sz w:val="20"/>
                <w:szCs w:val="20"/>
                <w:color w:val="auto"/>
              </w:rPr>
            </w:pPr>
            <w:r>
              <w:rPr>
                <w:rFonts w:ascii="Arial" w:cs="Arial" w:eastAsia="Arial" w:hAnsi="Arial"/>
                <w:sz w:val="14"/>
                <w:szCs w:val="14"/>
                <w:b w:val="1"/>
                <w:bCs w:val="1"/>
                <w:color w:val="auto"/>
              </w:rPr>
              <w:t>Total Number</w:t>
            </w:r>
          </w:p>
        </w:tc>
        <w:tc>
          <w:tcPr>
            <w:tcW w:w="2060" w:type="dxa"/>
            <w:vAlign w:val="bottom"/>
            <w:tcBorders>
              <w:top w:val="single" w:sz="8" w:color="D7282F"/>
            </w:tcBorders>
            <w:vMerge w:val="restart"/>
          </w:tcPr>
          <w:p>
            <w:pPr>
              <w:jc w:val="center"/>
              <w:ind w:left="88"/>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of Shares</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00" w:type="dxa"/>
            <w:vAlign w:val="bottom"/>
          </w:tcPr>
          <w:p>
            <w:pPr>
              <w:spacing w:after="0"/>
              <w:rPr>
                <w:sz w:val="12"/>
                <w:szCs w:val="12"/>
                <w:color w:val="auto"/>
              </w:rPr>
            </w:pPr>
          </w:p>
        </w:tc>
        <w:tc>
          <w:tcPr>
            <w:tcW w:w="2500" w:type="dxa"/>
            <w:vAlign w:val="bottom"/>
            <w:vMerge w:val="restart"/>
          </w:tcPr>
          <w:p>
            <w:pPr>
              <w:jc w:val="center"/>
              <w:ind w:left="648"/>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spacing w:after="0"/>
              <w:rPr>
                <w:sz w:val="12"/>
                <w:szCs w:val="12"/>
                <w:color w:val="auto"/>
              </w:rPr>
            </w:pPr>
          </w:p>
        </w:tc>
        <w:tc>
          <w:tcPr>
            <w:tcW w:w="1700" w:type="dxa"/>
            <w:vAlign w:val="bottom"/>
          </w:tcPr>
          <w:p>
            <w:pPr>
              <w:jc w:val="center"/>
              <w:ind w:left="168"/>
              <w:spacing w:after="0" w:line="139" w:lineRule="exact"/>
              <w:rPr>
                <w:sz w:val="20"/>
                <w:szCs w:val="20"/>
                <w:color w:val="auto"/>
              </w:rPr>
            </w:pPr>
            <w:r>
              <w:rPr>
                <w:rFonts w:ascii="Arial" w:cs="Arial" w:eastAsia="Arial" w:hAnsi="Arial"/>
                <w:sz w:val="14"/>
                <w:szCs w:val="14"/>
                <w:b w:val="1"/>
                <w:bCs w:val="1"/>
                <w:color w:val="auto"/>
              </w:rPr>
              <w:t>Purchased as</w:t>
            </w:r>
          </w:p>
        </w:tc>
        <w:tc>
          <w:tcPr>
            <w:tcW w:w="2060" w:type="dxa"/>
            <w:vAlign w:val="bottom"/>
          </w:tcPr>
          <w:p>
            <w:pPr>
              <w:jc w:val="center"/>
              <w:ind w:left="88"/>
              <w:spacing w:after="0" w:line="13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16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Part of Publicly</w:t>
            </w:r>
          </w:p>
        </w:tc>
        <w:tc>
          <w:tcPr>
            <w:tcW w:w="206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50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rPr>
              <w:t>Number of</w:t>
            </w:r>
          </w:p>
        </w:tc>
        <w:tc>
          <w:tcPr>
            <w:tcW w:w="1680" w:type="dxa"/>
            <w:vAlign w:val="bottom"/>
            <w:vMerge w:val="continue"/>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Announced</w:t>
            </w:r>
          </w:p>
        </w:tc>
        <w:tc>
          <w:tcPr>
            <w:tcW w:w="20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Purchased Under Plans or</w:t>
            </w:r>
          </w:p>
        </w:tc>
        <w:tc>
          <w:tcPr>
            <w:tcW w:w="0" w:type="dxa"/>
            <w:vAlign w:val="bottom"/>
          </w:tcPr>
          <w:p>
            <w:pPr>
              <w:spacing w:after="0"/>
              <w:rPr>
                <w:sz w:val="1"/>
                <w:szCs w:val="1"/>
                <w:color w:val="auto"/>
              </w:rPr>
            </w:pPr>
          </w:p>
        </w:tc>
      </w:tr>
      <w:tr>
        <w:trPr>
          <w:trHeight w:val="137"/>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500" w:type="dxa"/>
            <w:vAlign w:val="bottom"/>
          </w:tcPr>
          <w:p>
            <w:pPr>
              <w:jc w:val="center"/>
              <w:ind w:left="668"/>
              <w:spacing w:after="0" w:line="137" w:lineRule="exact"/>
              <w:rPr>
                <w:sz w:val="20"/>
                <w:szCs w:val="20"/>
                <w:color w:val="auto"/>
              </w:rPr>
            </w:pPr>
            <w:r>
              <w:rPr>
                <w:rFonts w:ascii="Arial" w:cs="Arial" w:eastAsia="Arial" w:hAnsi="Arial"/>
                <w:sz w:val="14"/>
                <w:szCs w:val="14"/>
                <w:b w:val="1"/>
                <w:bCs w:val="1"/>
                <w:color w:val="auto"/>
              </w:rPr>
              <w:t>Shares</w:t>
            </w:r>
          </w:p>
        </w:tc>
        <w:tc>
          <w:tcPr>
            <w:tcW w:w="1680" w:type="dxa"/>
            <w:vAlign w:val="bottom"/>
          </w:tcPr>
          <w:p>
            <w:pPr>
              <w:jc w:val="center"/>
              <w:ind w:left="28"/>
              <w:spacing w:after="0" w:line="137"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ind w:left="168"/>
              <w:spacing w:after="0" w:line="137" w:lineRule="exact"/>
              <w:rPr>
                <w:sz w:val="20"/>
                <w:szCs w:val="20"/>
                <w:color w:val="auto"/>
              </w:rPr>
            </w:pPr>
            <w:r>
              <w:rPr>
                <w:rFonts w:ascii="Arial" w:cs="Arial" w:eastAsia="Arial" w:hAnsi="Arial"/>
                <w:sz w:val="14"/>
                <w:szCs w:val="14"/>
                <w:b w:val="1"/>
                <w:bCs w:val="1"/>
                <w:color w:val="auto"/>
              </w:rPr>
              <w:t>Plans</w:t>
            </w:r>
          </w:p>
        </w:tc>
        <w:tc>
          <w:tcPr>
            <w:tcW w:w="2060" w:type="dxa"/>
            <w:vAlign w:val="bottom"/>
          </w:tcPr>
          <w:p>
            <w:pPr>
              <w:jc w:val="center"/>
              <w:ind w:left="88"/>
              <w:spacing w:after="0" w:line="137"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01"/>
        </w:trPr>
        <w:tc>
          <w:tcPr>
            <w:tcW w:w="3300" w:type="dxa"/>
            <w:vAlign w:val="bottom"/>
            <w:tcBorders>
              <w:bottom w:val="single" w:sz="8" w:color="D7282F"/>
            </w:tcBorders>
            <w:vMerge w:val="continue"/>
          </w:tcPr>
          <w:p>
            <w:pPr>
              <w:spacing w:after="0"/>
              <w:rPr>
                <w:sz w:val="17"/>
                <w:szCs w:val="17"/>
                <w:color w:val="auto"/>
              </w:rPr>
            </w:pPr>
          </w:p>
        </w:tc>
        <w:tc>
          <w:tcPr>
            <w:tcW w:w="25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b w:val="1"/>
                <w:bCs w:val="1"/>
                <w:color w:val="auto"/>
              </w:rPr>
              <w:t>Purchased</w:t>
            </w:r>
          </w:p>
        </w:tc>
        <w:tc>
          <w:tcPr>
            <w:tcW w:w="1680" w:type="dxa"/>
            <w:vAlign w:val="bottom"/>
            <w:tcBorders>
              <w:bottom w:val="single" w:sz="8" w:color="D7282F"/>
            </w:tcBorders>
          </w:tcPr>
          <w:p>
            <w:pPr>
              <w:jc w:val="center"/>
              <w:ind w:left="8"/>
              <w:spacing w:after="0" w:line="201"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1</w:t>
            </w:r>
          </w:p>
        </w:tc>
        <w:tc>
          <w:tcPr>
            <w:tcW w:w="17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or Programs</w:t>
            </w:r>
          </w:p>
        </w:tc>
        <w:tc>
          <w:tcPr>
            <w:tcW w:w="2060" w:type="dxa"/>
            <w:vAlign w:val="bottom"/>
            <w:tcBorders>
              <w:bottom w:val="single" w:sz="8" w:color="D7282F"/>
            </w:tcBorders>
          </w:tcPr>
          <w:p>
            <w:pPr>
              <w:jc w:val="center"/>
              <w:ind w:left="88"/>
              <w:spacing w:after="0" w:line="201" w:lineRule="exact"/>
              <w:rPr>
                <w:sz w:val="20"/>
                <w:szCs w:val="20"/>
                <w:color w:val="auto"/>
              </w:rPr>
            </w:pPr>
            <w:r>
              <w:rPr>
                <w:rFonts w:ascii="Arial" w:cs="Arial" w:eastAsia="Arial" w:hAnsi="Arial"/>
                <w:sz w:val="14"/>
                <w:szCs w:val="14"/>
                <w:b w:val="1"/>
                <w:bCs w:val="1"/>
                <w:color w:val="auto"/>
              </w:rPr>
              <w:t>(Dollars in millions)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March 30, 2025 - April 26, 2025</w:t>
            </w:r>
          </w:p>
        </w:tc>
        <w:tc>
          <w:tcPr>
            <w:tcW w:w="2500" w:type="dxa"/>
            <w:vAlign w:val="bottom"/>
            <w:tcBorders>
              <w:bottom w:val="single" w:sz="8" w:color="61656A"/>
            </w:tcBorders>
          </w:tcPr>
          <w:p>
            <w:pPr>
              <w:jc w:val="center"/>
              <w:ind w:left="668"/>
              <w:spacing w:after="0"/>
              <w:rPr>
                <w:sz w:val="20"/>
                <w:szCs w:val="20"/>
                <w:color w:val="auto"/>
              </w:rPr>
            </w:pPr>
            <w:r>
              <w:rPr>
                <w:rFonts w:ascii="Arial" w:cs="Arial" w:eastAsia="Arial" w:hAnsi="Arial"/>
                <w:sz w:val="14"/>
                <w:szCs w:val="14"/>
                <w:color w:val="auto"/>
              </w:rPr>
              <w:t>5,047,330</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$199.49</w:t>
            </w:r>
          </w:p>
        </w:tc>
        <w:tc>
          <w:tcPr>
            <w:tcW w:w="1700" w:type="dxa"/>
            <w:vAlign w:val="bottom"/>
            <w:tcBorders>
              <w:bottom w:val="single" w:sz="8" w:color="61656A"/>
            </w:tcBorders>
          </w:tcPr>
          <w:p>
            <w:pPr>
              <w:jc w:val="center"/>
              <w:ind w:left="188"/>
              <w:spacing w:after="0"/>
              <w:rPr>
                <w:sz w:val="20"/>
                <w:szCs w:val="20"/>
                <w:color w:val="auto"/>
              </w:rPr>
            </w:pPr>
            <w:r>
              <w:rPr>
                <w:rFonts w:ascii="Arial" w:cs="Arial" w:eastAsia="Arial" w:hAnsi="Arial"/>
                <w:sz w:val="14"/>
                <w:szCs w:val="14"/>
                <w:color w:val="auto"/>
              </w:rPr>
              <w:t>5,047,330</w:t>
            </w:r>
          </w:p>
        </w:tc>
        <w:tc>
          <w:tcPr>
            <w:tcW w:w="20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April 27, 2025 - May 24, 2025</w:t>
            </w:r>
          </w:p>
        </w:tc>
        <w:tc>
          <w:tcPr>
            <w:tcW w:w="2500" w:type="dxa"/>
            <w:vAlign w:val="bottom"/>
            <w:tcBorders>
              <w:bottom w:val="single" w:sz="8" w:color="61656A"/>
            </w:tcBorders>
          </w:tcPr>
          <w:p>
            <w:pPr>
              <w:jc w:val="center"/>
              <w:ind w:left="668"/>
              <w:spacing w:after="0"/>
              <w:rPr>
                <w:sz w:val="20"/>
                <w:szCs w:val="20"/>
                <w:color w:val="auto"/>
              </w:rPr>
            </w:pPr>
            <w:r>
              <w:rPr>
                <w:rFonts w:ascii="Arial" w:cs="Arial" w:eastAsia="Arial" w:hAnsi="Arial"/>
                <w:sz w:val="14"/>
                <w:szCs w:val="14"/>
                <w:color w:val="auto"/>
              </w:rPr>
              <w:t>1,798,837</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$212.34</w:t>
            </w:r>
          </w:p>
        </w:tc>
        <w:tc>
          <w:tcPr>
            <w:tcW w:w="1700" w:type="dxa"/>
            <w:vAlign w:val="bottom"/>
            <w:tcBorders>
              <w:bottom w:val="single" w:sz="8" w:color="61656A"/>
            </w:tcBorders>
          </w:tcPr>
          <w:p>
            <w:pPr>
              <w:jc w:val="center"/>
              <w:ind w:left="188"/>
              <w:spacing w:after="0"/>
              <w:rPr>
                <w:sz w:val="20"/>
                <w:szCs w:val="20"/>
                <w:color w:val="auto"/>
              </w:rPr>
            </w:pPr>
            <w:r>
              <w:rPr>
                <w:rFonts w:ascii="Arial" w:cs="Arial" w:eastAsia="Arial" w:hAnsi="Arial"/>
                <w:sz w:val="14"/>
                <w:szCs w:val="14"/>
                <w:color w:val="auto"/>
              </w:rPr>
              <w:t>1,798,837</w:t>
            </w:r>
          </w:p>
        </w:tc>
        <w:tc>
          <w:tcPr>
            <w:tcW w:w="20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May 25, 2025 - June 28, 2025</w:t>
            </w:r>
          </w:p>
        </w:tc>
        <w:tc>
          <w:tcPr>
            <w:tcW w:w="2500" w:type="dxa"/>
            <w:vAlign w:val="bottom"/>
            <w:tcBorders>
              <w:bottom w:val="single" w:sz="8" w:color="D7282F"/>
            </w:tcBorders>
          </w:tcPr>
          <w:p>
            <w:pPr>
              <w:jc w:val="center"/>
              <w:ind w:left="668"/>
              <w:spacing w:after="0"/>
              <w:rPr>
                <w:sz w:val="20"/>
                <w:szCs w:val="20"/>
                <w:color w:val="auto"/>
              </w:rPr>
            </w:pPr>
            <w:r>
              <w:rPr>
                <w:rFonts w:ascii="Arial" w:cs="Arial" w:eastAsia="Arial" w:hAnsi="Arial"/>
                <w:sz w:val="14"/>
                <w:szCs w:val="14"/>
                <w:color w:val="auto"/>
              </w:rPr>
              <w:t>1,368,449</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$225.78</w:t>
            </w:r>
          </w:p>
        </w:tc>
        <w:tc>
          <w:tcPr>
            <w:tcW w:w="1700" w:type="dxa"/>
            <w:vAlign w:val="bottom"/>
            <w:tcBorders>
              <w:bottom w:val="single" w:sz="8" w:color="D7282F"/>
            </w:tcBorders>
          </w:tcPr>
          <w:p>
            <w:pPr>
              <w:jc w:val="center"/>
              <w:ind w:left="188"/>
              <w:spacing w:after="0"/>
              <w:rPr>
                <w:sz w:val="20"/>
                <w:szCs w:val="20"/>
                <w:color w:val="auto"/>
              </w:rPr>
            </w:pPr>
            <w:r>
              <w:rPr>
                <w:rFonts w:ascii="Arial" w:cs="Arial" w:eastAsia="Arial" w:hAnsi="Arial"/>
                <w:sz w:val="14"/>
                <w:szCs w:val="14"/>
                <w:color w:val="auto"/>
              </w:rPr>
              <w:t>1,368,449</w:t>
            </w:r>
          </w:p>
        </w:tc>
        <w:tc>
          <w:tcPr>
            <w:tcW w:w="20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$1,879</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80" w:hanging="344"/>
        <w:spacing w:after="0"/>
        <w:tabs>
          <w:tab w:leader="none" w:pos="4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Excludes excise tax on net share repurchases.</w:t>
      </w:r>
    </w:p>
    <w:p>
      <w:pPr>
        <w:spacing w:after="0" w:line="200" w:lineRule="exact"/>
        <w:rPr>
          <w:sz w:val="20"/>
          <w:szCs w:val="20"/>
          <w:color w:val="auto"/>
        </w:rPr>
      </w:pPr>
    </w:p>
    <w:p>
      <w:pPr>
        <w:spacing w:after="0" w:line="358"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1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5. OTHER INFORMATION</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D7282F"/>
        </w:rPr>
        <w:t>EQUITY TRADING ARRANGEMENTS ELECTIONS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executive officers and directors of the Company may execute purchases and sales of the Company's common stock through Rule 10b5-1 and non-Rule 10b5-1 equity trading arrangements.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months ended June 30, 2025, none of our executive officers or directors adopted, terminated, or modified a "Rule 10b5-1 trading arrangement," or adopted, terminated, or modified any "non-Rule 10b5-1 trading arrangement" (each as defined in Item 408 of Regulation S-K).</w:t>
      </w:r>
    </w:p>
    <w:p>
      <w:pPr>
        <w:spacing w:after="0" w:line="387" w:lineRule="exact"/>
        <w:rPr>
          <w:sz w:val="20"/>
          <w:szCs w:val="20"/>
          <w:color w:val="auto"/>
        </w:rPr>
      </w:pPr>
    </w:p>
    <w:p>
      <w:pPr>
        <w:ind w:left="400" w:hanging="392"/>
        <w:spacing w:after="0"/>
        <w:tabs>
          <w:tab w:leader="none" w:pos="400" w:val="left"/>
        </w:tabs>
        <w:numPr>
          <w:ilvl w:val="0"/>
          <w:numId w:val="6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120" w:type="dxa"/>
            <w:vAlign w:val="bottom"/>
            <w:tcBorders>
              <w:bottom w:val="single" w:sz="8" w:color="D7282F"/>
            </w:tcBorders>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143"/>
        </w:trPr>
        <w:tc>
          <w:tcPr>
            <w:tcW w:w="1080" w:type="dxa"/>
            <w:vAlign w:val="bottom"/>
          </w:tcPr>
          <w:p>
            <w:pPr>
              <w:ind w:left="20"/>
              <w:spacing w:after="0" w:line="143" w:lineRule="exact"/>
              <w:rPr>
                <w:sz w:val="20"/>
                <w:szCs w:val="20"/>
                <w:color w:val="auto"/>
              </w:rPr>
            </w:pPr>
            <w:r>
              <w:rPr>
                <w:rFonts w:ascii="Arial" w:cs="Arial" w:eastAsia="Arial" w:hAnsi="Arial"/>
                <w:sz w:val="14"/>
                <w:szCs w:val="14"/>
                <w:color w:val="auto"/>
              </w:rPr>
              <w:t>3.1</w:t>
            </w:r>
          </w:p>
        </w:tc>
        <w:tc>
          <w:tcPr>
            <w:tcW w:w="10120" w:type="dxa"/>
            <w:vAlign w:val="bottom"/>
          </w:tcPr>
          <w:p>
            <w:pPr>
              <w:ind w:left="300"/>
              <w:spacing w:after="0" w:line="143" w:lineRule="exact"/>
              <w:rPr>
                <w:rFonts w:ascii="Arial" w:cs="Arial" w:eastAsia="Arial" w:hAnsi="Arial"/>
                <w:sz w:val="14"/>
                <w:szCs w:val="14"/>
                <w:color w:val="auto"/>
              </w:rPr>
            </w:pPr>
            <w:hyperlink r:id="rId81">
              <w:r>
                <w:rPr>
                  <w:rFonts w:ascii="Arial" w:cs="Arial" w:eastAsia="Arial" w:hAnsi="Arial"/>
                  <w:sz w:val="14"/>
                  <w:szCs w:val="14"/>
                  <w:color w:val="auto"/>
                </w:rPr>
                <w:t>Amended and Restated Certificate of Incorporation of Honeywell International Inc., dated June 23, 2025 (incorporated by reference to Exhibit 3.1 to</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1">
              <w:r>
                <w:rPr>
                  <w:rFonts w:ascii="Arial" w:cs="Arial" w:eastAsia="Arial" w:hAnsi="Arial"/>
                  <w:sz w:val="14"/>
                  <w:szCs w:val="14"/>
                  <w:color w:val="auto"/>
                </w:rPr>
                <w:t>Honeywell's Form 8-K filed June 24, 2025)</w:t>
              </w:r>
            </w:hyperlink>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3.2</w:t>
            </w:r>
          </w:p>
        </w:tc>
        <w:tc>
          <w:tcPr>
            <w:tcW w:w="10120" w:type="dxa"/>
            <w:vAlign w:val="bottom"/>
          </w:tcPr>
          <w:p>
            <w:pPr>
              <w:ind w:left="300"/>
              <w:spacing w:after="0" w:line="142" w:lineRule="exact"/>
              <w:rPr>
                <w:rFonts w:ascii="Arial" w:cs="Arial" w:eastAsia="Arial" w:hAnsi="Arial"/>
                <w:sz w:val="14"/>
                <w:szCs w:val="14"/>
                <w:color w:val="auto"/>
              </w:rPr>
            </w:pPr>
            <w:hyperlink r:id="rId82">
              <w:r>
                <w:rPr>
                  <w:rFonts w:ascii="Arial" w:cs="Arial" w:eastAsia="Arial" w:hAnsi="Arial"/>
                  <w:sz w:val="14"/>
                  <w:szCs w:val="14"/>
                  <w:color w:val="auto"/>
                </w:rPr>
                <w:t>Amended and Restated By-laws of Honeywell International Inc., dated June 23, 2025 (incorporated by reference to Exhibit 3.2 to Honeywell's Form 8-K</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2">
              <w:r>
                <w:rPr>
                  <w:rFonts w:ascii="Arial" w:cs="Arial" w:eastAsia="Arial" w:hAnsi="Arial"/>
                  <w:sz w:val="14"/>
                  <w:szCs w:val="14"/>
                  <w:color w:val="auto"/>
                </w:rPr>
                <w:t>filed June 24, 2025)</w:t>
              </w:r>
            </w:hyperlink>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10.1</w:t>
            </w:r>
          </w:p>
        </w:tc>
        <w:tc>
          <w:tcPr>
            <w:tcW w:w="10120" w:type="dxa"/>
            <w:vAlign w:val="bottom"/>
          </w:tcPr>
          <w:p>
            <w:pPr>
              <w:ind w:left="300"/>
              <w:spacing w:after="0" w:line="142" w:lineRule="exact"/>
              <w:rPr>
                <w:rFonts w:ascii="Arial" w:cs="Arial" w:eastAsia="Arial" w:hAnsi="Arial"/>
                <w:sz w:val="14"/>
                <w:szCs w:val="14"/>
                <w:color w:val="auto"/>
              </w:rPr>
            </w:pPr>
            <w:hyperlink r:id="rId83">
              <w:r>
                <w:rPr>
                  <w:rFonts w:ascii="Arial" w:cs="Arial" w:eastAsia="Arial" w:hAnsi="Arial"/>
                  <w:sz w:val="14"/>
                  <w:szCs w:val="14"/>
                  <w:color w:val="auto"/>
                </w:rPr>
                <w:t>Delayed Draw Term Loan Agreement, dated as of May 7, 2025, among Honeywell International Inc., Bank of America, N.A., as administrative agent, and</w:t>
              </w:r>
            </w:hyperlink>
          </w:p>
        </w:tc>
      </w:tr>
      <w:tr>
        <w:trPr>
          <w:trHeight w:val="139"/>
        </w:trPr>
        <w:tc>
          <w:tcPr>
            <w:tcW w:w="1080" w:type="dxa"/>
            <w:vAlign w:val="bottom"/>
          </w:tcPr>
          <w:p>
            <w:pPr>
              <w:spacing w:after="0"/>
              <w:rPr>
                <w:sz w:val="12"/>
                <w:szCs w:val="12"/>
                <w:color w:val="auto"/>
              </w:rPr>
            </w:pPr>
          </w:p>
        </w:tc>
        <w:tc>
          <w:tcPr>
            <w:tcW w:w="10120" w:type="dxa"/>
            <w:vAlign w:val="bottom"/>
          </w:tcPr>
          <w:p>
            <w:pPr>
              <w:ind w:left="300"/>
              <w:spacing w:after="0" w:line="139" w:lineRule="exact"/>
              <w:rPr>
                <w:rFonts w:ascii="Arial" w:cs="Arial" w:eastAsia="Arial" w:hAnsi="Arial"/>
                <w:sz w:val="14"/>
                <w:szCs w:val="14"/>
                <w:color w:val="auto"/>
              </w:rPr>
            </w:pPr>
            <w:hyperlink r:id="rId83">
              <w:r>
                <w:rPr>
                  <w:rFonts w:ascii="Arial" w:cs="Arial" w:eastAsia="Arial" w:hAnsi="Arial"/>
                  <w:sz w:val="14"/>
                  <w:szCs w:val="14"/>
                  <w:color w:val="auto"/>
                </w:rPr>
                <w:t>the syndication agents and documentation agents named therein in such capacity and as the initial lenders (incorporated by reference to Exhibit 10.1 to</w:t>
              </w:r>
            </w:hyperlink>
          </w:p>
        </w:tc>
      </w:tr>
      <w:tr>
        <w:trPr>
          <w:trHeight w:val="194"/>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3">
              <w:r>
                <w:rPr>
                  <w:rFonts w:ascii="Arial" w:cs="Arial" w:eastAsia="Arial" w:hAnsi="Arial"/>
                  <w:sz w:val="14"/>
                  <w:szCs w:val="14"/>
                  <w:color w:val="auto"/>
                </w:rPr>
                <w:t>Honeywell's Form 8-K filed May 8, 2025)</w:t>
              </w:r>
            </w:hyperlink>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10.2</w:t>
            </w:r>
          </w:p>
        </w:tc>
        <w:tc>
          <w:tcPr>
            <w:tcW w:w="10120" w:type="dxa"/>
            <w:vAlign w:val="bottom"/>
          </w:tcPr>
          <w:p>
            <w:pPr>
              <w:ind w:left="300"/>
              <w:spacing w:after="0" w:line="146" w:lineRule="exact"/>
              <w:rPr>
                <w:rFonts w:ascii="Arial" w:cs="Arial" w:eastAsia="Arial" w:hAnsi="Arial"/>
                <w:sz w:val="14"/>
                <w:szCs w:val="14"/>
                <w:color w:val="auto"/>
              </w:rPr>
            </w:pPr>
            <w:hyperlink r:id="rId84">
              <w:r>
                <w:rPr>
                  <w:rFonts w:ascii="Arial" w:cs="Arial" w:eastAsia="Arial" w:hAnsi="Arial"/>
                  <w:sz w:val="14"/>
                  <w:szCs w:val="14"/>
                  <w:color w:val="auto"/>
                </w:rPr>
                <w:t>Cooperation Agreement, by and among Elliott Investment Management L.P., Elliott Associates , L.P., Elliott International, L.P. and Honeywell International</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4">
              <w:r>
                <w:rPr>
                  <w:rFonts w:ascii="Arial" w:cs="Arial" w:eastAsia="Arial" w:hAnsi="Arial"/>
                  <w:sz w:val="14"/>
                  <w:szCs w:val="14"/>
                  <w:color w:val="auto"/>
                </w:rPr>
                <w:t>Inc., dated as of May 28, 2025 (incorporated by reference to Exhibit 10.1 to Honeywell's Form 8-K filed May 28, 2025)</w:t>
              </w:r>
            </w:hyperlink>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10.3*</w:t>
            </w:r>
          </w:p>
        </w:tc>
        <w:tc>
          <w:tcPr>
            <w:tcW w:w="10120" w:type="dxa"/>
            <w:vAlign w:val="bottom"/>
          </w:tcPr>
          <w:p>
            <w:pPr>
              <w:ind w:left="300"/>
              <w:spacing w:after="0" w:line="142" w:lineRule="exact"/>
              <w:rPr>
                <w:rFonts w:ascii="Arial" w:cs="Arial" w:eastAsia="Arial" w:hAnsi="Arial"/>
                <w:sz w:val="14"/>
                <w:szCs w:val="14"/>
                <w:color w:val="auto"/>
              </w:rPr>
            </w:pPr>
            <w:hyperlink r:id="rId85">
              <w:r>
                <w:rPr>
                  <w:rFonts w:ascii="Arial" w:cs="Arial" w:eastAsia="Arial" w:hAnsi="Arial"/>
                  <w:sz w:val="14"/>
                  <w:szCs w:val="14"/>
                  <w:color w:val="auto"/>
                </w:rPr>
                <w:t>Agreement and Plan of Merger, dated April 9, 2025, by and among Honeywell International Inc., Hyperion Holdco Sub LLC, Hyperion Merger Sub 1, Inc.</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5">
              <w:r>
                <w:rPr>
                  <w:rFonts w:ascii="Arial" w:cs="Arial" w:eastAsia="Arial" w:hAnsi="Arial"/>
                  <w:sz w:val="14"/>
                  <w:szCs w:val="14"/>
                  <w:color w:val="auto"/>
                </w:rPr>
                <w:t>and Hyperion Merger Sub 2, Inc. (incorporated by reference to Appendix B to the definitive proxy statement of the Company filed on April 9, 2025)</w:t>
              </w:r>
            </w:hyperlink>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10.4</w:t>
            </w:r>
          </w:p>
        </w:tc>
        <w:tc>
          <w:tcPr>
            <w:tcW w:w="10120" w:type="dxa"/>
            <w:vAlign w:val="bottom"/>
          </w:tcPr>
          <w:p>
            <w:pPr>
              <w:ind w:left="300"/>
              <w:spacing w:after="0" w:line="142" w:lineRule="exact"/>
              <w:rPr>
                <w:rFonts w:ascii="Arial" w:cs="Arial" w:eastAsia="Arial" w:hAnsi="Arial"/>
                <w:sz w:val="14"/>
                <w:szCs w:val="14"/>
                <w:color w:val="auto"/>
              </w:rPr>
            </w:pPr>
            <w:hyperlink r:id="rId86">
              <w:r>
                <w:rPr>
                  <w:rFonts w:ascii="Arial" w:cs="Arial" w:eastAsia="Arial" w:hAnsi="Arial"/>
                  <w:sz w:val="14"/>
                  <w:szCs w:val="14"/>
                  <w:color w:val="auto"/>
                </w:rPr>
                <w:t>Amendment No. 1 to the Agreement and Plan of Merger, dated as of June 23, 2025, by and among Honeywell International Inc., Hyperion Holdco Sub</w:t>
              </w:r>
            </w:hyperlink>
          </w:p>
        </w:tc>
      </w:tr>
      <w:tr>
        <w:trPr>
          <w:trHeight w:val="139"/>
        </w:trPr>
        <w:tc>
          <w:tcPr>
            <w:tcW w:w="1080" w:type="dxa"/>
            <w:vAlign w:val="bottom"/>
          </w:tcPr>
          <w:p>
            <w:pPr>
              <w:spacing w:after="0"/>
              <w:rPr>
                <w:sz w:val="12"/>
                <w:szCs w:val="12"/>
                <w:color w:val="auto"/>
              </w:rPr>
            </w:pPr>
          </w:p>
        </w:tc>
        <w:tc>
          <w:tcPr>
            <w:tcW w:w="10120" w:type="dxa"/>
            <w:vAlign w:val="bottom"/>
          </w:tcPr>
          <w:p>
            <w:pPr>
              <w:ind w:left="300"/>
              <w:spacing w:after="0" w:line="139" w:lineRule="exact"/>
              <w:rPr>
                <w:rFonts w:ascii="Arial" w:cs="Arial" w:eastAsia="Arial" w:hAnsi="Arial"/>
                <w:sz w:val="14"/>
                <w:szCs w:val="14"/>
                <w:color w:val="auto"/>
              </w:rPr>
            </w:pPr>
            <w:hyperlink r:id="rId86">
              <w:r>
                <w:rPr>
                  <w:rFonts w:ascii="Arial" w:cs="Arial" w:eastAsia="Arial" w:hAnsi="Arial"/>
                  <w:sz w:val="14"/>
                  <w:szCs w:val="14"/>
                  <w:color w:val="auto"/>
                </w:rPr>
                <w:t>LLC, Hyperion Merger Sub 1, Inc. and Hyperion Merger Sub 2, Inc. (incorporated by reference to Exhibit 99.2 to Honeywell's Form 8-K filed June 24,</w:t>
              </w:r>
            </w:hyperlink>
          </w:p>
        </w:tc>
      </w:tr>
      <w:tr>
        <w:trPr>
          <w:trHeight w:val="194"/>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6">
              <w:r>
                <w:rPr>
                  <w:rFonts w:ascii="Arial" w:cs="Arial" w:eastAsia="Arial" w:hAnsi="Arial"/>
                  <w:sz w:val="14"/>
                  <w:szCs w:val="14"/>
                  <w:color w:val="auto"/>
                </w:rPr>
                <w:t>2025)</w:t>
              </w:r>
            </w:hyperlink>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10.5**</w:t>
            </w:r>
          </w:p>
        </w:tc>
        <w:tc>
          <w:tcPr>
            <w:tcW w:w="10120" w:type="dxa"/>
            <w:vAlign w:val="bottom"/>
          </w:tcPr>
          <w:p>
            <w:pPr>
              <w:ind w:left="300"/>
              <w:spacing w:after="0" w:line="146" w:lineRule="exact"/>
              <w:rPr>
                <w:rFonts w:ascii="Arial" w:cs="Arial" w:eastAsia="Arial" w:hAnsi="Arial"/>
                <w:sz w:val="14"/>
                <w:szCs w:val="14"/>
                <w:color w:val="auto"/>
              </w:rPr>
            </w:pPr>
            <w:hyperlink r:id="rId87">
              <w:r>
                <w:rPr>
                  <w:rFonts w:ascii="Arial" w:cs="Arial" w:eastAsia="Arial" w:hAnsi="Arial"/>
                  <w:sz w:val="14"/>
                  <w:szCs w:val="14"/>
                  <w:color w:val="auto"/>
                </w:rPr>
                <w:t>Offer Letter dated April 4, 2025 from Honeywell International Inc. to Anne T. Madden (incorporated by reference to Exhibit 99.1 to Honeywell's Form 8-K</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7">
              <w:r>
                <w:rPr>
                  <w:rFonts w:ascii="Arial" w:cs="Arial" w:eastAsia="Arial" w:hAnsi="Arial"/>
                  <w:sz w:val="14"/>
                  <w:szCs w:val="14"/>
                  <w:color w:val="auto"/>
                </w:rPr>
                <w:t>filed April 8, 2025)</w:t>
              </w:r>
            </w:hyperlink>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31.1</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31.2</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32.1</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32.2</w:t>
            </w:r>
          </w:p>
        </w:tc>
        <w:tc>
          <w:tcPr>
            <w:tcW w:w="10120" w:type="dxa"/>
            <w:vAlign w:val="bottom"/>
          </w:tcPr>
          <w:p>
            <w:pPr>
              <w:ind w:left="300"/>
              <w:spacing w:after="0" w:line="142"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95</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Mine Safety Disclosures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101.INS</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document)</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101.SCH</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101.CAL</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101.DEF</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101.LAB</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101.PRE</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Presentation Linkbase (filed herewith)</w:t>
            </w:r>
          </w:p>
        </w:tc>
      </w:tr>
      <w:tr>
        <w:trPr>
          <w:trHeight w:val="196"/>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104</w:t>
            </w:r>
          </w:p>
        </w:tc>
        <w:tc>
          <w:tcPr>
            <w:tcW w:w="10120" w:type="dxa"/>
            <w:vAlign w:val="bottom"/>
            <w:tcBorders>
              <w:bottom w:val="single" w:sz="8" w:color="D7282F"/>
            </w:tcBorders>
          </w:tcPr>
          <w:p>
            <w:pPr>
              <w:ind w:left="30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Certain of the exhibits and schedules to the Exhibits identified above with an asterisk (*) have been omitted in accordance with Regulation S-K Item 601(a)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(5). The Company agrees to furnish a copy of all omitted exhibits and schedules to the SEC upon its request.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Exhibit identified above with two asterisks (**) is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hanging="392"/>
        <w:spacing w:after="0"/>
        <w:tabs>
          <w:tab w:leader="none" w:pos="400" w:val="left"/>
        </w:tabs>
        <w:numPr>
          <w:ilvl w:val="0"/>
          <w:numId w:val="6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July 24,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20955</wp:posOffset>
            </wp:positionV>
            <wp:extent cx="24517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hanging="392"/>
        <w:spacing w:after="0"/>
        <w:tabs>
          <w:tab w:leader="none" w:pos="400" w:val="left"/>
        </w:tabs>
        <w:numPr>
          <w:ilvl w:val="0"/>
          <w:numId w:val="6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Vimal Kapur, certify that:</w:t>
      </w:r>
    </w:p>
    <w:p>
      <w:pPr>
        <w:spacing w:after="0" w:line="266" w:lineRule="exact"/>
        <w:rPr>
          <w:sz w:val="20"/>
          <w:szCs w:val="20"/>
          <w:color w:val="auto"/>
        </w:rPr>
      </w:pPr>
    </w:p>
    <w:p>
      <w:pPr>
        <w:ind w:left="360" w:hanging="334"/>
        <w:spacing w:after="0"/>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July 24,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Vimal Kapur</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Michal Stepniak, certify that:</w:t>
      </w:r>
    </w:p>
    <w:p>
      <w:pPr>
        <w:spacing w:after="0" w:line="266" w:lineRule="exact"/>
        <w:rPr>
          <w:sz w:val="20"/>
          <w:szCs w:val="20"/>
          <w:color w:val="auto"/>
        </w:rPr>
      </w:pPr>
    </w:p>
    <w:p>
      <w:pPr>
        <w:ind w:left="360" w:hanging="334"/>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July 24,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Michal Stepniak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Michal Stepniak</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2025 as filed with the Securities and Exchange Commission on the date hereof (the Report), I, Vimal Kapur, Chairman and Chief Executive Officer of the Company, certify, pursuant to 18 U.S.C. Section 1350, as adopted pursuant to Section 906 of the Sarbanes-Oxley Act of 2002, that:</w:t>
      </w:r>
    </w:p>
    <w:p>
      <w:pPr>
        <w:spacing w:after="0" w:line="171" w:lineRule="exact"/>
        <w:rPr>
          <w:sz w:val="20"/>
          <w:szCs w:val="20"/>
          <w:color w:val="auto"/>
        </w:rPr>
      </w:pPr>
    </w:p>
    <w:p>
      <w:pPr>
        <w:ind w:left="800" w:hanging="306"/>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480" w:type="dxa"/>
            <w:vAlign w:val="bottom"/>
          </w:tcPr>
          <w:p>
            <w:pPr>
              <w:spacing w:after="0"/>
              <w:rPr>
                <w:sz w:val="20"/>
                <w:szCs w:val="20"/>
                <w:color w:val="auto"/>
              </w:rPr>
            </w:pPr>
            <w:r>
              <w:rPr>
                <w:rFonts w:ascii="Arial" w:cs="Arial" w:eastAsia="Arial" w:hAnsi="Arial"/>
                <w:sz w:val="18"/>
                <w:szCs w:val="18"/>
                <w:color w:val="auto"/>
              </w:rPr>
              <w:t>Date: July 24, 2025</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Vimal Kapur</w:t>
            </w:r>
          </w:p>
        </w:tc>
      </w:tr>
      <w:tr>
        <w:trPr>
          <w:trHeight w:val="218"/>
        </w:trPr>
        <w:tc>
          <w:tcPr>
            <w:tcW w:w="3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Vimal Kapur</w:t>
            </w:r>
          </w:p>
        </w:tc>
      </w:tr>
      <w:tr>
        <w:trPr>
          <w:trHeight w:val="239"/>
        </w:trPr>
        <w:tc>
          <w:tcPr>
            <w:tcW w:w="3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9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2025 as filed with the Securities and Exchange Commission on the date hereof (the Report), I, Michal Stepniak,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480" w:type="dxa"/>
            <w:vAlign w:val="bottom"/>
          </w:tcPr>
          <w:p>
            <w:pPr>
              <w:spacing w:after="0"/>
              <w:rPr>
                <w:sz w:val="20"/>
                <w:szCs w:val="20"/>
                <w:color w:val="auto"/>
              </w:rPr>
            </w:pPr>
            <w:r>
              <w:rPr>
                <w:rFonts w:ascii="Arial" w:cs="Arial" w:eastAsia="Arial" w:hAnsi="Arial"/>
                <w:sz w:val="18"/>
                <w:szCs w:val="18"/>
                <w:color w:val="auto"/>
              </w:rPr>
              <w:t>Date: July 24, 2025</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Michal Stepniak</w:t>
            </w:r>
          </w:p>
        </w:tc>
      </w:tr>
      <w:tr>
        <w:trPr>
          <w:trHeight w:val="218"/>
        </w:trPr>
        <w:tc>
          <w:tcPr>
            <w:tcW w:w="3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Michal Stepniak</w:t>
            </w:r>
          </w:p>
        </w:tc>
      </w:tr>
      <w:tr>
        <w:trPr>
          <w:trHeight w:val="239"/>
        </w:trPr>
        <w:tc>
          <w:tcPr>
            <w:tcW w:w="3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3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7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During the quarter ended June 30, 2025,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7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during the quarter ended June 30, 2025,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bullet"/>
      <w:start w:val="1"/>
    </w:lvl>
  </w:abstractNum>
  <w:abstractNum w:abstractNumId="3">
    <w:nsid w:val="2463B9EA"/>
    <w:multiLevelType w:val="hybridMultilevel"/>
    <w:lvl w:ilvl="0">
      <w:lvlJc w:val="left"/>
      <w:lvlText w:val="2"/>
      <w:numFmt w:val="bullet"/>
      <w:start w:val="1"/>
    </w:lvl>
  </w:abstractNum>
  <w:abstractNum w:abstractNumId="4">
    <w:nsid w:val="5E884ADC"/>
    <w:multiLevelType w:val="hybridMultilevel"/>
    <w:lvl w:ilvl="0">
      <w:lvlJc w:val="left"/>
      <w:lvlText w:val="3"/>
      <w:numFmt w:val="bullet"/>
      <w:start w:val="1"/>
    </w:lvl>
  </w:abstractNum>
  <w:abstractNum w:abstractNumId="5">
    <w:nsid w:val="51EAD36B"/>
    <w:multiLevelType w:val="hybridMultilevel"/>
    <w:lvl w:ilvl="0">
      <w:lvlJc w:val="left"/>
      <w:lvlText w:val="4"/>
      <w:numFmt w:val="bullet"/>
      <w:start w:val="1"/>
    </w:lvl>
  </w:abstractNum>
  <w:abstractNum w:abstractNumId="6">
    <w:nsid w:val="2D517796"/>
    <w:multiLevelType w:val="hybridMultilevel"/>
    <w:lvl w:ilvl="0">
      <w:lvlJc w:val="left"/>
      <w:lvlText w:val="5"/>
      <w:numFmt w:val="bullet"/>
      <w:start w:val="1"/>
    </w:lvl>
  </w:abstractNum>
  <w:abstractNum w:abstractNumId="7">
    <w:nsid w:val="580BD78F"/>
    <w:multiLevelType w:val="hybridMultilevel"/>
    <w:lvl w:ilvl="0">
      <w:lvlJc w:val="left"/>
      <w:lvlText w:val="6"/>
      <w:numFmt w:val="bullet"/>
      <w:start w:val="1"/>
    </w:lvl>
  </w:abstractNum>
  <w:abstractNum w:abstractNumId="8">
    <w:nsid w:val="153EA438"/>
    <w:multiLevelType w:val="hybridMultilevel"/>
    <w:lvl w:ilvl="0">
      <w:lvlJc w:val="left"/>
      <w:lvlText w:val="7"/>
      <w:numFmt w:val="bullet"/>
      <w:start w:val="1"/>
    </w:lvl>
  </w:abstractNum>
  <w:abstractNum w:abstractNumId="9">
    <w:nsid w:val="3855585C"/>
    <w:multiLevelType w:val="hybridMultilevel"/>
    <w:lvl w:ilvl="0">
      <w:lvlJc w:val="left"/>
      <w:lvlText w:val="8"/>
      <w:numFmt w:val="bullet"/>
      <w:start w:val="1"/>
    </w:lvl>
  </w:abstractNum>
  <w:abstractNum w:abstractNumId="10">
    <w:nsid w:val="70A64E2A"/>
    <w:multiLevelType w:val="hybridMultilevel"/>
    <w:lvl w:ilvl="0">
      <w:lvlJc w:val="left"/>
      <w:lvlText w:val="9"/>
      <w:numFmt w:val="bullet"/>
      <w:start w:val="1"/>
    </w:lvl>
  </w:abstractNum>
  <w:abstractNum w:abstractNumId="11">
    <w:nsid w:val="6A2342EC"/>
    <w:multiLevelType w:val="hybridMultilevel"/>
    <w:lvl w:ilvl="0">
      <w:lvlJc w:val="left"/>
      <w:lvlText w:val="%1"/>
      <w:numFmt w:val="decimal"/>
      <w:start w:val="10"/>
    </w:lvl>
  </w:abstractNum>
  <w:abstractNum w:abstractNumId="12">
    <w:nsid w:val="2A487CB0"/>
    <w:multiLevelType w:val="hybridMultilevel"/>
    <w:lvl w:ilvl="0">
      <w:lvlJc w:val="left"/>
      <w:lvlText w:val="%1"/>
      <w:numFmt w:val="decimal"/>
      <w:start w:val="11"/>
    </w:lvl>
  </w:abstractNum>
  <w:abstractNum w:abstractNumId="13">
    <w:nsid w:val="1D4ED43B"/>
    <w:multiLevelType w:val="hybridMultilevel"/>
    <w:lvl w:ilvl="0">
      <w:lvlJc w:val="left"/>
      <w:lvlText w:val="%1"/>
      <w:numFmt w:val="decimal"/>
      <w:start w:val="12"/>
    </w:lvl>
  </w:abstractNum>
  <w:abstractNum w:abstractNumId="14">
    <w:nsid w:val="725A06FB"/>
    <w:multiLevelType w:val="hybridMultilevel"/>
    <w:lvl w:ilvl="0">
      <w:lvlJc w:val="left"/>
      <w:lvlText w:val="%1"/>
      <w:numFmt w:val="decimal"/>
      <w:start w:val="13"/>
    </w:lvl>
  </w:abstractNum>
  <w:abstractNum w:abstractNumId="15">
    <w:nsid w:val="2CD89A32"/>
    <w:multiLevelType w:val="hybridMultilevel"/>
    <w:lvl w:ilvl="0">
      <w:lvlJc w:val="left"/>
      <w:lvlText w:val="%1"/>
      <w:numFmt w:val="decimal"/>
      <w:start w:val="14"/>
    </w:lvl>
  </w:abstractNum>
  <w:abstractNum w:abstractNumId="16">
    <w:nsid w:val="57E4CCAF"/>
    <w:multiLevelType w:val="hybridMultilevel"/>
    <w:lvl w:ilvl="0">
      <w:lvlJc w:val="left"/>
      <w:lvlText w:val="%1"/>
      <w:numFmt w:val="decimal"/>
      <w:start w:val="15"/>
    </w:lvl>
  </w:abstractNum>
  <w:abstractNum w:abstractNumId="17">
    <w:nsid w:val="7A6D8D3C"/>
    <w:multiLevelType w:val="hybridMultilevel"/>
    <w:lvl w:ilvl="0">
      <w:lvlJc w:val="left"/>
      <w:lvlText w:val="%1"/>
      <w:numFmt w:val="decimal"/>
      <w:start w:val="16"/>
    </w:lvl>
  </w:abstractNum>
  <w:abstractNum w:abstractNumId="18">
    <w:nsid w:val="4B588F54"/>
    <w:multiLevelType w:val="hybridMultilevel"/>
    <w:lvl w:ilvl="0">
      <w:lvlJc w:val="left"/>
      <w:lvlText w:val="%1"/>
      <w:numFmt w:val="decimal"/>
      <w:start w:val="17"/>
    </w:lvl>
  </w:abstractNum>
  <w:abstractNum w:abstractNumId="19">
    <w:nsid w:val="542289EC"/>
    <w:multiLevelType w:val="hybridMultilevel"/>
    <w:lvl w:ilvl="0">
      <w:lvlJc w:val="left"/>
      <w:lvlText w:val="%1"/>
      <w:numFmt w:val="decimal"/>
      <w:start w:val="20"/>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1"/>
      <w:numFmt w:val="decimal"/>
      <w:start w:val="23"/>
    </w:lvl>
  </w:abstractNum>
  <w:abstractNum w:abstractNumId="22">
    <w:nsid w:val="7644A45C"/>
    <w:multiLevelType w:val="hybridMultilevel"/>
    <w:lvl w:ilvl="0">
      <w:lvlJc w:val="left"/>
      <w:lvlText w:val="%1"/>
      <w:numFmt w:val="decimal"/>
      <w:start w:val="24"/>
    </w:lvl>
  </w:abstractNum>
  <w:abstractNum w:abstractNumId="23">
    <w:nsid w:val="32FFF902"/>
    <w:multiLevelType w:val="hybridMultilevel"/>
    <w:lvl w:ilvl="0">
      <w:lvlJc w:val="left"/>
      <w:lvlText w:val="%1"/>
      <w:numFmt w:val="decimal"/>
      <w:start w:val="27"/>
    </w:lvl>
  </w:abstractNum>
  <w:abstractNum w:abstractNumId="24">
    <w:nsid w:val="684A481A"/>
    <w:multiLevelType w:val="hybridMultilevel"/>
    <w:lvl w:ilvl="0">
      <w:lvlJc w:val="left"/>
      <w:lvlText w:val="%1"/>
      <w:numFmt w:val="decimal"/>
      <w:start w:val="28"/>
    </w:lvl>
  </w:abstractNum>
  <w:abstractNum w:abstractNumId="25">
    <w:nsid w:val="579478FE"/>
    <w:multiLevelType w:val="hybridMultilevel"/>
    <w:lvl w:ilvl="0">
      <w:lvlJc w:val="left"/>
      <w:lvlText w:val="%1"/>
      <w:numFmt w:val="decimal"/>
      <w:start w:val="29"/>
    </w:lvl>
  </w:abstractNum>
  <w:abstractNum w:abstractNumId="26">
    <w:nsid w:val="749ABB43"/>
    <w:multiLevelType w:val="hybridMultilevel"/>
    <w:lvl w:ilvl="0">
      <w:lvlJc w:val="left"/>
      <w:lvlText w:val="1"/>
      <w:numFmt w:val="bullet"/>
      <w:start w:val="1"/>
    </w:lvl>
  </w:abstractNum>
  <w:abstractNum w:abstractNumId="27">
    <w:nsid w:val="3DC240FB"/>
    <w:multiLevelType w:val="hybridMultilevel"/>
    <w:lvl w:ilvl="0">
      <w:lvlJc w:val="left"/>
      <w:lvlText w:val="1"/>
      <w:numFmt w:val="bullet"/>
      <w:start w:val="1"/>
    </w:lvl>
  </w:abstractNum>
  <w:abstractNum w:abstractNumId="28">
    <w:nsid w:val="1BA026FA"/>
    <w:multiLevelType w:val="hybridMultilevel"/>
    <w:lvl w:ilvl="0">
      <w:lvlJc w:val="left"/>
      <w:lvlText w:val="%1"/>
      <w:numFmt w:val="decimal"/>
      <w:start w:val="30"/>
    </w:lvl>
  </w:abstractNum>
  <w:abstractNum w:abstractNumId="29">
    <w:nsid w:val="79A1DEAA"/>
    <w:multiLevelType w:val="hybridMultilevel"/>
    <w:lvl w:ilvl="0">
      <w:lvlJc w:val="left"/>
      <w:lvlText w:val="1"/>
      <w:numFmt w:val="bullet"/>
      <w:start w:val="1"/>
    </w:lvl>
  </w:abstractNum>
  <w:abstractNum w:abstractNumId="30">
    <w:nsid w:val="75C6C33A"/>
    <w:multiLevelType w:val="hybridMultilevel"/>
    <w:lvl w:ilvl="0">
      <w:lvlJc w:val="left"/>
      <w:lvlText w:val="2"/>
      <w:numFmt w:val="bullet"/>
      <w:start w:val="1"/>
    </w:lvl>
  </w:abstractNum>
  <w:abstractNum w:abstractNumId="31">
    <w:nsid w:val="12E685FB"/>
    <w:multiLevelType w:val="hybridMultilevel"/>
    <w:lvl w:ilvl="0">
      <w:lvlJc w:val="left"/>
      <w:lvlText w:val="3"/>
      <w:numFmt w:val="bullet"/>
      <w:start w:val="1"/>
    </w:lvl>
  </w:abstractNum>
  <w:abstractNum w:abstractNumId="32">
    <w:nsid w:val="70C6A529"/>
    <w:multiLevelType w:val="hybridMultilevel"/>
    <w:lvl w:ilvl="0">
      <w:lvlJc w:val="left"/>
      <w:lvlText w:val="4"/>
      <w:numFmt w:val="bullet"/>
      <w:start w:val="1"/>
    </w:lvl>
  </w:abstractNum>
  <w:abstractNum w:abstractNumId="33">
    <w:nsid w:val="520EEDD1"/>
    <w:multiLevelType w:val="hybridMultilevel"/>
    <w:lvl w:ilvl="0">
      <w:lvlJc w:val="left"/>
      <w:lvlText w:val="5"/>
      <w:numFmt w:val="bullet"/>
      <w:start w:val="1"/>
    </w:lvl>
  </w:abstractNum>
  <w:abstractNum w:abstractNumId="34">
    <w:nsid w:val="374A3FE6"/>
    <w:multiLevelType w:val="hybridMultilevel"/>
    <w:lvl w:ilvl="0">
      <w:lvlJc w:val="left"/>
      <w:lvlText w:val="6"/>
      <w:numFmt w:val="bullet"/>
      <w:start w:val="1"/>
    </w:lvl>
  </w:abstractNum>
  <w:abstractNum w:abstractNumId="35">
    <w:nsid w:val="4F4EF005"/>
    <w:multiLevelType w:val="hybridMultilevel"/>
    <w:lvl w:ilvl="0">
      <w:lvlJc w:val="left"/>
      <w:lvlText w:val="%1"/>
      <w:numFmt w:val="decimal"/>
      <w:start w:val="32"/>
    </w:lvl>
  </w:abstractNum>
  <w:abstractNum w:abstractNumId="36">
    <w:nsid w:val="23F9C13C"/>
    <w:multiLevelType w:val="hybridMultilevel"/>
    <w:lvl w:ilvl="0">
      <w:lvlJc w:val="left"/>
      <w:lvlText w:val="%1"/>
      <w:numFmt w:val="decimal"/>
      <w:start w:val="33"/>
    </w:lvl>
  </w:abstractNum>
  <w:abstractNum w:abstractNumId="37">
    <w:nsid w:val="649BB77C"/>
    <w:multiLevelType w:val="hybridMultilevel"/>
    <w:lvl w:ilvl="0">
      <w:lvlJc w:val="left"/>
      <w:lvlText w:val="%1"/>
      <w:numFmt w:val="decimal"/>
      <w:start w:val="34"/>
    </w:lvl>
  </w:abstractNum>
  <w:abstractNum w:abstractNumId="38">
    <w:nsid w:val="275AC794"/>
    <w:multiLevelType w:val="hybridMultilevel"/>
    <w:lvl w:ilvl="0">
      <w:lvlJc w:val="left"/>
      <w:lvlText w:val="%1"/>
      <w:numFmt w:val="decimal"/>
      <w:start w:val="35"/>
    </w:lvl>
  </w:abstractNum>
  <w:abstractNum w:abstractNumId="39">
    <w:nsid w:val="39386575"/>
    <w:multiLevelType w:val="hybridMultilevel"/>
    <w:lvl w:ilvl="0">
      <w:lvlJc w:val="left"/>
      <w:lvlText w:val="%1"/>
      <w:numFmt w:val="decimal"/>
      <w:start w:val="36"/>
    </w:lvl>
  </w:abstractNum>
  <w:abstractNum w:abstractNumId="40">
    <w:nsid w:val="1CF10FD8"/>
    <w:multiLevelType w:val="hybridMultilevel"/>
    <w:lvl w:ilvl="0">
      <w:lvlJc w:val="left"/>
      <w:lvlText w:val="%1"/>
      <w:numFmt w:val="decimal"/>
      <w:start w:val="37"/>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1"/>
      <w:numFmt w:val="decimal"/>
      <w:start w:val="38"/>
    </w:lvl>
  </w:abstractNum>
  <w:abstractNum w:abstractNumId="44">
    <w:nsid w:val="354FE9F9"/>
    <w:multiLevelType w:val="hybridMultilevel"/>
    <w:lvl w:ilvl="0">
      <w:lvlJc w:val="left"/>
      <w:lvlText w:val="1"/>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decimal"/>
      <w:start w:val="39"/>
    </w:lvl>
  </w:abstractNum>
  <w:abstractNum w:abstractNumId="48">
    <w:nsid w:val="10233C99"/>
    <w:multiLevelType w:val="hybridMultilevel"/>
    <w:lvl w:ilvl="0">
      <w:lvlJc w:val="left"/>
      <w:lvlText w:val="%1"/>
      <w:numFmt w:val="decimal"/>
      <w:start w:val="40"/>
    </w:lvl>
  </w:abstractNum>
  <w:abstractNum w:abstractNumId="49">
    <w:nsid w:val="3F6AB60F"/>
    <w:multiLevelType w:val="hybridMultilevel"/>
    <w:lvl w:ilvl="0">
      <w:lvlJc w:val="left"/>
      <w:lvlText w:val="1"/>
      <w:numFmt w:val="bullet"/>
      <w:start w:val="1"/>
    </w:lvl>
  </w:abstractNum>
  <w:abstractNum w:abstractNumId="50">
    <w:nsid w:val="61574095"/>
    <w:multiLevelType w:val="hybridMultilevel"/>
    <w:lvl w:ilvl="0">
      <w:lvlJc w:val="left"/>
      <w:lvlText w:val="%1"/>
      <w:numFmt w:val="decimal"/>
      <w:start w:val="41"/>
    </w:lvl>
  </w:abstractNum>
  <w:abstractNum w:abstractNumId="51">
    <w:nsid w:val="7E0C57B1"/>
    <w:multiLevelType w:val="hybridMultilevel"/>
    <w:lvl w:ilvl="0">
      <w:lvlJc w:val="left"/>
      <w:lvlText w:val="%1"/>
      <w:numFmt w:val="decimal"/>
      <w:start w:val="42"/>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1"/>
      <w:numFmt w:val="decimal"/>
      <w:start w:val="43"/>
    </w:lvl>
  </w:abstractNum>
  <w:abstractNum w:abstractNumId="55">
    <w:nsid w:val="5FF87E05"/>
    <w:multiLevelType w:val="hybridMultilevel"/>
    <w:lvl w:ilvl="0">
      <w:lvlJc w:val="left"/>
      <w:lvlText w:val="1"/>
      <w:numFmt w:val="bullet"/>
      <w:start w:val="1"/>
    </w:lvl>
  </w:abstractNum>
  <w:abstractNum w:abstractNumId="56">
    <w:nsid w:val="2F305DEF"/>
    <w:multiLevelType w:val="hybridMultilevel"/>
    <w:lvl w:ilvl="0">
      <w:lvlJc w:val="left"/>
      <w:lvlText w:val="%1"/>
      <w:numFmt w:val="decimal"/>
      <w:start w:val="44"/>
    </w:lvl>
  </w:abstractNum>
  <w:abstractNum w:abstractNumId="57">
    <w:nsid w:val="25A70BF7"/>
    <w:multiLevelType w:val="hybridMultilevel"/>
    <w:lvl w:ilvl="0">
      <w:lvlJc w:val="left"/>
      <w:lvlText w:val="%1"/>
      <w:numFmt w:val="decimal"/>
      <w:start w:val="48"/>
    </w:lvl>
  </w:abstractNum>
  <w:abstractNum w:abstractNumId="58">
    <w:nsid w:val="1DBABF00"/>
    <w:multiLevelType w:val="hybridMultilevel"/>
    <w:lvl w:ilvl="0">
      <w:lvlJc w:val="left"/>
      <w:lvlText w:val="%1"/>
      <w:numFmt w:val="decimal"/>
      <w:start w:val="49"/>
    </w:lvl>
  </w:abstractNum>
  <w:abstractNum w:abstractNumId="59">
    <w:nsid w:val="4AD084E9"/>
    <w:multiLevelType w:val="hybridMultilevel"/>
    <w:lvl w:ilvl="0">
      <w:lvlJc w:val="left"/>
      <w:lvlText w:val="%1"/>
      <w:numFmt w:val="decimal"/>
      <w:start w:val="50"/>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decimal"/>
      <w:start w:val="51"/>
    </w:lvl>
  </w:abstractNum>
  <w:abstractNum w:abstractNumId="62">
    <w:nsid w:val="5DB70AE5"/>
    <w:multiLevelType w:val="hybridMultilevel"/>
    <w:lvl w:ilvl="0">
      <w:lvlJc w:val="left"/>
      <w:lvlText w:val="%1"/>
      <w:numFmt w:val="decimal"/>
      <w:start w:val="52"/>
    </w:lvl>
  </w:abstractNum>
  <w:abstractNum w:abstractNumId="63">
    <w:nsid w:val="100F8FCA"/>
    <w:multiLevelType w:val="hybridMultilevel"/>
    <w:lvl w:ilvl="0">
      <w:lvlJc w:val="left"/>
      <w:lvlText w:val="%1"/>
      <w:numFmt w:val="decimal"/>
      <w:start w:val="53"/>
    </w:lvl>
  </w:abstractNum>
  <w:abstractNum w:abstractNumId="64">
    <w:nsid w:val="6590700B"/>
    <w:multiLevelType w:val="hybridMultilevel"/>
    <w:lvl w:ilvl="0">
      <w:lvlJc w:val="left"/>
      <w:lvlText w:val="1"/>
      <w:numFmt w:val="bullet"/>
      <w:start w:val="1"/>
    </w:lvl>
  </w:abstractNum>
  <w:abstractNum w:abstractNumId="65">
    <w:nsid w:val="15014ACB"/>
    <w:multiLevelType w:val="hybridMultilevel"/>
    <w:lvl w:ilvl="0">
      <w:lvlJc w:val="left"/>
      <w:lvlText w:val="%1"/>
      <w:numFmt w:val="decimal"/>
      <w:start w:val="54"/>
    </w:lvl>
  </w:abstractNum>
  <w:abstractNum w:abstractNumId="66">
    <w:nsid w:val="5F5E7FD0"/>
    <w:multiLevelType w:val="hybridMultilevel"/>
    <w:lvl w:ilvl="0">
      <w:lvlJc w:val="left"/>
      <w:lvlText w:val="%1"/>
      <w:numFmt w:val="decimal"/>
      <w:start w:val="55"/>
    </w:lvl>
  </w:abstractNum>
  <w:abstractNum w:abstractNumId="67">
    <w:nsid w:val="98A3148"/>
    <w:multiLevelType w:val="hybridMultilevel"/>
    <w:lvl w:ilvl="0">
      <w:lvlJc w:val="left"/>
      <w:lvlText w:val="%1"/>
      <w:numFmt w:val="decimal"/>
      <w:start w:val="56"/>
    </w:lvl>
  </w:abstractNum>
  <w:abstractNum w:abstractNumId="68">
    <w:nsid w:val="799D0247"/>
    <w:multiLevelType w:val="hybridMultilevel"/>
    <w:lvl w:ilvl="0">
      <w:lvlJc w:val="left"/>
      <w:lvlText w:val="%1"/>
      <w:numFmt w:val="decimal"/>
      <w:start w:val="57"/>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81" Type="http://schemas.openxmlformats.org/officeDocument/2006/relationships/hyperlink" Target="https://www.sec.gov/Archives/edgar/data/773840/000077384025000054/exhibit31-amendedandrestat.htm" TargetMode="External"/><Relationship Id="rId82" Type="http://schemas.openxmlformats.org/officeDocument/2006/relationships/hyperlink" Target="https://www.sec.gov/Archives/edgar/data/773840/000077384025000054/exhibit32-amendedandrestat.htm" TargetMode="External"/><Relationship Id="rId83" Type="http://schemas.openxmlformats.org/officeDocument/2006/relationships/hyperlink" Target="https://www.sec.gov/Archives/edgar/data/773840/000119312525115181/d901112dex101.htm" TargetMode="External"/><Relationship Id="rId84" Type="http://schemas.openxmlformats.org/officeDocument/2006/relationships/hyperlink" Target="https://www.sec.gov/Archives/edgar/data/773840/000119312525128673/d923884dex101.htm" TargetMode="External"/><Relationship Id="rId85" Type="http://schemas.openxmlformats.org/officeDocument/2006/relationships/hyperlink" Target="https://www.sec.gov/ix?doc=/Archives/edgar/data/773840/000077384025000030/hon-20250409.htm#id984d151a1594b5f97fcc48ba99a62b4_1669" TargetMode="External"/><Relationship Id="rId86" Type="http://schemas.openxmlformats.org/officeDocument/2006/relationships/hyperlink" Target="https://www.sec.gov/Archives/edgar/data/773840/000077384025000054/exhibit992-amendmentno1tot.htm" TargetMode="External"/><Relationship Id="rId87" Type="http://schemas.openxmlformats.org/officeDocument/2006/relationships/hyperlink" Target="https://www.sec.gov/Archives/edgar/data/773840/000077384025000025/exhibit991annemaddenoffer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2025-07-24T08:47:46Z</dcterms:created>
  <dcterms:modified xsi:type="dcterms:W3CDTF">2025-07-24T08:47:46Z</dcterms:modified>
</cp:coreProperties>
</file>