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-610235</wp:posOffset>
            </wp:positionV>
            <wp:extent cx="57150" cy="62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641985</wp:posOffset>
            </wp:positionV>
            <wp:extent cx="7048500" cy="5297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5297805"/>
                    </a:xfrm>
                    <a:prstGeom prst="rect">
                      <a:avLst/>
                    </a:prstGeom>
                    <a:noFill/>
                  </pic:spPr>
                </pic:pic>
              </a:graphicData>
            </a:graphic>
          </wp:anchor>
        </w:drawing>
      </w:r>
    </w:p>
    <w:p>
      <w:pPr>
        <w:spacing w:after="0" w:line="1027" w:lineRule="exact"/>
        <w:rPr>
          <w:sz w:val="24"/>
          <w:szCs w:val="24"/>
          <w:color w:val="auto"/>
        </w:rPr>
      </w:pPr>
    </w:p>
    <w:p>
      <w:pPr>
        <w:sectPr>
          <w:pgSz w:w="11900" w:h="16838" w:orient="portrait"/>
          <w:cols w:equalWidth="0" w:num="2">
            <w:col w:w="2340" w:space="320"/>
            <w:col w:w="8420"/>
          </w:cols>
          <w:pgMar w:left="460" w:top="215"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0" w:type="dxa"/>
            <w:vAlign w:val="bottom"/>
            <w:gridSpan w:val="6"/>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spacing w:after="0"/>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Lu Su Ping</w:t>
              </w:r>
            </w:hyperlink>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80" w:type="dxa"/>
            <w:vAlign w:val="bottom"/>
            <w:gridSpan w:val="7"/>
          </w:tcPr>
          <w:p>
            <w:pPr>
              <w:spacing w:after="0" w:line="164"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HONEYWELL INTERNATIONAL INC </w:t>
              </w:r>
            </w:hyperlink>
            <w:r>
              <w:rPr>
                <w:rFonts w:ascii="Times New Roman" w:cs="Times New Roman" w:eastAsia="Times New Roman" w:hAnsi="Times New Roman"/>
                <w:sz w:val="18"/>
                <w:szCs w:val="18"/>
                <w:color w:val="000000"/>
              </w:rPr>
              <w:t>[</w:t>
            </w:r>
          </w:p>
        </w:tc>
        <w:tc>
          <w:tcPr>
            <w:tcW w:w="300" w:type="dxa"/>
            <w:vAlign w:val="bottom"/>
          </w:tcPr>
          <w:p>
            <w:pPr>
              <w:spacing w:after="0"/>
              <w:rPr>
                <w:sz w:val="14"/>
                <w:szCs w:val="14"/>
                <w:color w:val="auto"/>
              </w:rPr>
            </w:pPr>
          </w:p>
        </w:tc>
        <w:tc>
          <w:tcPr>
            <w:tcW w:w="166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Borders>
              <w:bottom w:val="single" w:sz="8" w:color="0000EE"/>
            </w:tcBorders>
            <w:gridSpan w:val="2"/>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320" w:type="dxa"/>
            <w:vAlign w:val="bottom"/>
            <w:tcBorders>
              <w:top w:val="single" w:sz="8" w:color="0000EE"/>
              <w:bottom w:val="single" w:sz="8" w:color="0000EE"/>
            </w:tcBorders>
            <w:gridSpan w:val="2"/>
            <w:vMerge w:val="restart"/>
          </w:tcPr>
          <w:p>
            <w:pPr>
              <w:spacing w:after="0"/>
              <w:rPr>
                <w:sz w:val="20"/>
                <w:szCs w:val="20"/>
                <w:color w:val="auto"/>
              </w:rPr>
            </w:pPr>
            <w:r>
              <w:rPr>
                <w:rFonts w:ascii="Times New Roman" w:cs="Times New Roman" w:eastAsia="Times New Roman" w:hAnsi="Times New Roman"/>
                <w:sz w:val="16"/>
                <w:szCs w:val="16"/>
                <w:color w:val="0000FF"/>
              </w:rPr>
              <w:t xml:space="preserve">HON </w:t>
            </w:r>
            <w:r>
              <w:rPr>
                <w:rFonts w:ascii="Times New Roman" w:cs="Times New Roman" w:eastAsia="Times New Roman" w:hAnsi="Times New Roman"/>
                <w:sz w:val="20"/>
                <w:szCs w:val="20"/>
                <w:color w:val="000000"/>
              </w:rPr>
              <w:t>]</w:t>
            </w:r>
          </w:p>
        </w:tc>
        <w:tc>
          <w:tcPr>
            <w:tcW w:w="4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ind w:left="100"/>
              <w:spacing w:after="0" w:line="141" w:lineRule="exact"/>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gridSpan w:val="4"/>
            <w:vMerge w:val="restart"/>
          </w:tcPr>
          <w:p>
            <w:pPr>
              <w:ind w:left="22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tcPr>
          <w:p>
            <w:pPr>
              <w:spacing w:after="0"/>
              <w:rPr>
                <w:sz w:val="5"/>
                <w:szCs w:val="5"/>
                <w:color w:val="auto"/>
              </w:rPr>
            </w:pPr>
          </w:p>
        </w:tc>
        <w:tc>
          <w:tcPr>
            <w:tcW w:w="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100"/>
              <w:spacing w:after="0" w:line="118"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0"/>
                <w:szCs w:val="10"/>
                <w:color w:val="auto"/>
              </w:rPr>
            </w:pPr>
          </w:p>
        </w:tc>
        <w:tc>
          <w:tcPr>
            <w:tcW w:w="1460" w:type="dxa"/>
            <w:vAlign w:val="bottom"/>
            <w:gridSpan w:val="4"/>
          </w:tcPr>
          <w:p>
            <w:pPr>
              <w:ind w:left="220"/>
              <w:spacing w:after="0" w:line="11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340" w:type="dxa"/>
            <w:vAlign w:val="bottom"/>
            <w:tcBorders>
              <w:top w:val="single" w:sz="8" w:color="EEEEEE"/>
            </w:tcBorders>
          </w:tcPr>
          <w:p>
            <w:pPr>
              <w:spacing w:after="0"/>
              <w:rPr>
                <w:sz w:val="10"/>
                <w:szCs w:val="10"/>
                <w:color w:val="auto"/>
              </w:rPr>
            </w:pPr>
          </w:p>
        </w:tc>
        <w:tc>
          <w:tcPr>
            <w:tcW w:w="320" w:type="dxa"/>
            <w:vAlign w:val="bottom"/>
            <w:tcBorders>
              <w:top w:val="single" w:sz="8" w:color="EEEEEE"/>
            </w:tcBorders>
          </w:tcPr>
          <w:p>
            <w:pPr>
              <w:spacing w:after="0"/>
              <w:rPr>
                <w:sz w:val="10"/>
                <w:szCs w:val="10"/>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(First)</w:t>
            </w:r>
          </w:p>
        </w:tc>
        <w:tc>
          <w:tcPr>
            <w:tcW w:w="10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20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2220" w:type="dxa"/>
            <w:vAlign w:val="bottom"/>
            <w:gridSpan w:val="5"/>
          </w:tcPr>
          <w:p>
            <w:pPr>
              <w:ind w:left="60"/>
              <w:spacing w:after="0" w:line="126" w:lineRule="exact"/>
              <w:rPr>
                <w:sz w:val="20"/>
                <w:szCs w:val="20"/>
                <w:color w:val="auto"/>
              </w:rPr>
            </w:pPr>
            <w:r>
              <w:rPr>
                <w:rFonts w:ascii="Arial" w:cs="Arial" w:eastAsia="Arial" w:hAnsi="Arial"/>
                <w:sz w:val="13"/>
                <w:szCs w:val="13"/>
                <w:color w:val="auto"/>
              </w:rPr>
              <w:t>Foreign Trading Symbol</w:t>
            </w: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EEEEEE"/>
            </w:tcBorders>
            <w:vMerge w:val="continue"/>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Borders>
              <w:bottom w:val="single" w:sz="8" w:color="EEEEEE"/>
            </w:tcBorders>
            <w:gridSpan w:val="2"/>
            <w:vMerge w:val="continue"/>
          </w:tcPr>
          <w:p>
            <w:pPr>
              <w:spacing w:after="0"/>
              <w:rPr>
                <w:sz w:val="3"/>
                <w:szCs w:val="3"/>
                <w:color w:val="auto"/>
              </w:rPr>
            </w:pPr>
          </w:p>
        </w:tc>
        <w:tc>
          <w:tcPr>
            <w:tcW w:w="1040" w:type="dxa"/>
            <w:vAlign w:val="bottom"/>
            <w:tcBorders>
              <w:bottom w:val="single" w:sz="8" w:color="EEEEEE"/>
            </w:tcBorders>
            <w:vMerge w:val="continue"/>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920" w:type="dxa"/>
            <w:vAlign w:val="bottom"/>
            <w:gridSpan w:val="7"/>
            <w:vMerge w:val="restart"/>
          </w:tcPr>
          <w:p>
            <w:pPr>
              <w:ind w:left="80"/>
              <w:spacing w:after="0"/>
              <w:rPr>
                <w:sz w:val="20"/>
                <w:szCs w:val="20"/>
                <w:color w:val="auto"/>
              </w:rPr>
            </w:pPr>
            <w:r>
              <w:rPr>
                <w:rFonts w:ascii="Times New Roman" w:cs="Times New Roman" w:eastAsia="Times New Roman" w:hAnsi="Times New Roman"/>
                <w:sz w:val="16"/>
                <w:szCs w:val="16"/>
                <w:color w:val="0000FF"/>
              </w:rPr>
              <w:t>SrVP, General Counsel, CorpSec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855 S. MINT STREET</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gridSpan w:val="6"/>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2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040" w:type="dxa"/>
            <w:vAlign w:val="bottom"/>
          </w:tcPr>
          <w:p>
            <w:pPr>
              <w:spacing w:after="0"/>
              <w:rPr>
                <w:sz w:val="10"/>
                <w:szCs w:val="10"/>
                <w:color w:val="auto"/>
              </w:rPr>
            </w:pPr>
          </w:p>
        </w:tc>
        <w:tc>
          <w:tcPr>
            <w:tcW w:w="1660" w:type="dxa"/>
            <w:vAlign w:val="bottom"/>
            <w:gridSpan w:val="5"/>
            <w:vMerge w:val="restart"/>
          </w:tcPr>
          <w:p>
            <w:pPr>
              <w:ind w:left="340"/>
              <w:spacing w:after="0"/>
              <w:rPr>
                <w:sz w:val="20"/>
                <w:szCs w:val="20"/>
                <w:color w:val="auto"/>
              </w:rPr>
            </w:pPr>
            <w:r>
              <w:rPr>
                <w:rFonts w:ascii="Times New Roman" w:cs="Times New Roman" w:eastAsia="Times New Roman" w:hAnsi="Times New Roman"/>
                <w:sz w:val="16"/>
                <w:szCs w:val="16"/>
                <w:color w:val="0000FF"/>
              </w:rPr>
              <w:t>10/26/2026</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6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1960" w:type="dxa"/>
            <w:vAlign w:val="bottom"/>
            <w:tcBorders>
              <w:bottom w:val="single" w:sz="8" w:color="2C2C2C"/>
            </w:tcBorders>
            <w:gridSpan w:val="3"/>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2800" w:type="dxa"/>
            <w:vAlign w:val="bottom"/>
            <w:tcBorders>
              <w:bottom w:val="single" w:sz="8" w:color="2C2C2C"/>
            </w:tcBorders>
            <w:gridSpan w:val="5"/>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right w:val="single" w:sz="8" w:color="EEEEEE"/>
            </w:tcBorders>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04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40" w:type="dxa"/>
            <w:vAlign w:val="bottom"/>
            <w:gridSpan w:val="8"/>
            <w:vMerge w:val="restart"/>
          </w:tcPr>
          <w:p>
            <w:pPr>
              <w:ind w:left="60"/>
              <w:spacing w:after="0" w:line="136" w:lineRule="exact"/>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line="20" w:lineRule="exact"/>
              <w:rPr>
                <w:sz w:val="1"/>
                <w:szCs w:val="1"/>
                <w:color w:val="auto"/>
              </w:rPr>
            </w:pPr>
          </w:p>
        </w:tc>
        <w:tc>
          <w:tcPr>
            <w:tcW w:w="3400" w:type="dxa"/>
            <w:vAlign w:val="bottom"/>
            <w:gridSpan w:val="10"/>
            <w:vMerge w:val="restart"/>
          </w:tcPr>
          <w:p>
            <w:pPr>
              <w:ind w:left="60"/>
              <w:spacing w:after="0" w:line="13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40" w:type="dxa"/>
            <w:vAlign w:val="bottom"/>
            <w:gridSpan w:val="8"/>
            <w:vMerge w:val="continue"/>
          </w:tcPr>
          <w:p>
            <w:pPr>
              <w:spacing w:after="0"/>
              <w:rPr>
                <w:sz w:val="10"/>
                <w:szCs w:val="10"/>
                <w:color w:val="auto"/>
              </w:rPr>
            </w:pPr>
          </w:p>
        </w:tc>
        <w:tc>
          <w:tcPr>
            <w:tcW w:w="300" w:type="dxa"/>
            <w:vAlign w:val="bottom"/>
          </w:tcPr>
          <w:p>
            <w:pPr>
              <w:spacing w:after="0"/>
              <w:rPr>
                <w:sz w:val="10"/>
                <w:szCs w:val="10"/>
                <w:color w:val="auto"/>
              </w:rPr>
            </w:pPr>
          </w:p>
        </w:tc>
        <w:tc>
          <w:tcPr>
            <w:tcW w:w="340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CHARLOTTE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NC</w:t>
            </w: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28202</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92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vMerge w:val="restart"/>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292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0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1960" w:type="dxa"/>
            <w:vAlign w:val="bottom"/>
            <w:tcBorders>
              <w:bottom w:val="single" w:sz="8" w:color="2C2C2C"/>
            </w:tcBorders>
            <w:gridSpan w:val="3"/>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340" w:type="dxa"/>
            <w:vAlign w:val="bottom"/>
            <w:tcBorders>
              <w:top w:val="single" w:sz="8" w:color="2C2C2C"/>
            </w:tcBorders>
            <w:gridSpan w:val="17"/>
          </w:tcPr>
          <w:p>
            <w:pPr>
              <w:jc w:val="center"/>
              <w:ind w:left="69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70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6"/>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40" w:type="dxa"/>
            <w:vAlign w:val="bottom"/>
            <w:gridSpan w:val="6"/>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740" w:type="dxa"/>
            <w:vAlign w:val="bottom"/>
            <w:gridSpan w:val="5"/>
          </w:tcPr>
          <w:p>
            <w:pPr>
              <w:ind w:left="70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40" w:type="dxa"/>
            <w:vAlign w:val="bottom"/>
            <w:gridSpan w:val="2"/>
          </w:tcPr>
          <w:p>
            <w:pPr>
              <w:ind w:left="60"/>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ind w:left="780"/>
              <w:spacing w:after="0"/>
              <w:rPr>
                <w:sz w:val="20"/>
                <w:szCs w:val="20"/>
                <w:color w:val="auto"/>
              </w:rPr>
            </w:pPr>
            <w:r>
              <w:rPr>
                <w:rFonts w:ascii="Times New Roman" w:cs="Times New Roman" w:eastAsia="Times New Roman" w:hAnsi="Times New Roman"/>
                <w:sz w:val="16"/>
                <w:szCs w:val="16"/>
                <w:color w:val="0000FF"/>
              </w:rPr>
              <w:t>10/26/2026</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4,033</w:t>
            </w:r>
            <w:r>
              <w:rPr>
                <w:rFonts w:ascii="Times New Roman" w:cs="Times New Roman" w:eastAsia="Times New Roman" w:hAnsi="Times New Roman"/>
                <w:sz w:val="20"/>
                <w:szCs w:val="20"/>
                <w:color w:val="008000"/>
                <w:vertAlign w:val="superscript"/>
              </w:rPr>
              <w:t>(1)</w:t>
            </w:r>
          </w:p>
        </w:tc>
        <w:tc>
          <w:tcPr>
            <w:tcW w:w="5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114.44</w:t>
            </w:r>
            <w:r>
              <w:rPr>
                <w:rFonts w:ascii="Times New Roman" w:cs="Times New Roman" w:eastAsia="Times New Roman" w:hAnsi="Times New Roman"/>
                <w:sz w:val="20"/>
                <w:szCs w:val="20"/>
                <w:color w:val="008000"/>
                <w:w w:val="96"/>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9,574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ind w:left="780"/>
              <w:spacing w:after="0"/>
              <w:rPr>
                <w:sz w:val="20"/>
                <w:szCs w:val="20"/>
                <w:color w:val="auto"/>
              </w:rPr>
            </w:pPr>
            <w:r>
              <w:rPr>
                <w:rFonts w:ascii="Times New Roman" w:cs="Times New Roman" w:eastAsia="Times New Roman" w:hAnsi="Times New Roman"/>
                <w:sz w:val="16"/>
                <w:szCs w:val="16"/>
                <w:color w:val="0000FF"/>
              </w:rPr>
              <w:t>10/26/2026</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2,943</w:t>
            </w:r>
            <w:r>
              <w:rPr>
                <w:rFonts w:ascii="Times New Roman" w:cs="Times New Roman" w:eastAsia="Times New Roman" w:hAnsi="Times New Roman"/>
                <w:sz w:val="20"/>
                <w:szCs w:val="20"/>
                <w:color w:val="008000"/>
                <w:vertAlign w:val="superscript"/>
              </w:rPr>
              <w:t>(2)</w:t>
            </w:r>
          </w:p>
        </w:tc>
        <w:tc>
          <w:tcPr>
            <w:tcW w:w="5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221.1804</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6,631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Held in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617.937</w:t>
            </w:r>
          </w:p>
        </w:tc>
        <w:tc>
          <w:tcPr>
            <w:tcW w:w="2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401(k)</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Plan</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960" w:type="dxa"/>
            <w:vAlign w:val="bottom"/>
            <w:tcBorders>
              <w:bottom w:val="single" w:sz="8" w:color="2C2C2C"/>
            </w:tcBorders>
            <w:gridSpan w:val="3"/>
          </w:tcPr>
          <w:p>
            <w:pPr>
              <w:spacing w:after="0"/>
              <w:rPr>
                <w:sz w:val="8"/>
                <w:szCs w:val="8"/>
                <w:color w:val="auto"/>
              </w:rPr>
            </w:pPr>
          </w:p>
        </w:tc>
        <w:tc>
          <w:tcPr>
            <w:tcW w:w="84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6"/>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80" w:type="dxa"/>
            <w:vAlign w:val="bottom"/>
            <w:gridSpan w:val="14"/>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6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4"/>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w w:val="99"/>
              </w:rPr>
              <w:t>Expiration Date</w:t>
            </w:r>
          </w:p>
        </w:tc>
        <w:tc>
          <w:tcPr>
            <w:tcW w:w="780" w:type="dxa"/>
            <w:vAlign w:val="bottom"/>
          </w:tcPr>
          <w:p>
            <w:pPr>
              <w:spacing w:after="0"/>
              <w:rPr>
                <w:sz w:val="10"/>
                <w:szCs w:val="10"/>
                <w:color w:val="auto"/>
              </w:rPr>
            </w:pPr>
          </w:p>
        </w:tc>
        <w:tc>
          <w:tcPr>
            <w:tcW w:w="1260" w:type="dxa"/>
            <w:vAlign w:val="bottom"/>
            <w:gridSpan w:val="5"/>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6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260" w:type="dxa"/>
            <w:vAlign w:val="bottom"/>
            <w:gridSpan w:val="5"/>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Price of</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60" w:type="dxa"/>
            <w:vAlign w:val="bottom"/>
            <w:gridSpan w:val="5"/>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60" w:type="dxa"/>
            <w:vAlign w:val="bottom"/>
            <w:gridSpan w:val="5"/>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tcPr>
          <w:p>
            <w:pPr>
              <w:ind w:left="12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54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gridSpan w:val="2"/>
            <w:vMerge w:val="restart"/>
          </w:tcPr>
          <w:p>
            <w:pPr>
              <w:ind w:left="120"/>
              <w:spacing w:after="0"/>
              <w:rPr>
                <w:sz w:val="20"/>
                <w:szCs w:val="20"/>
                <w:color w:val="auto"/>
              </w:rPr>
            </w:pPr>
            <w:r>
              <w:rPr>
                <w:rFonts w:ascii="Arial" w:cs="Arial" w:eastAsia="Arial" w:hAnsi="Arial"/>
                <w:sz w:val="11"/>
                <w:szCs w:val="11"/>
                <w:color w:val="auto"/>
                <w:w w:val="95"/>
              </w:rPr>
              <w:t>$</w:t>
            </w:r>
            <w:r>
              <w:rPr>
                <w:rFonts w:ascii="Times New Roman" w:cs="Times New Roman" w:eastAsia="Times New Roman" w:hAnsi="Times New Roman"/>
                <w:sz w:val="12"/>
                <w:szCs w:val="12"/>
                <w:color w:val="0000FF"/>
                <w:w w:val="95"/>
              </w:rPr>
              <w:t>114.44</w:t>
            </w:r>
            <w:r>
              <w:rPr>
                <w:rFonts w:ascii="Times New Roman" w:cs="Times New Roman" w:eastAsia="Times New Roman" w:hAnsi="Times New Roman"/>
                <w:sz w:val="20"/>
                <w:szCs w:val="20"/>
                <w:color w:val="008000"/>
                <w:w w:val="95"/>
                <w:vertAlign w:val="superscript"/>
              </w:rPr>
              <w:t>(1)</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4,033</w:t>
            </w:r>
            <w:r>
              <w:rPr>
                <w:rFonts w:ascii="Times New Roman" w:cs="Times New Roman" w:eastAsia="Times New Roman" w:hAnsi="Times New Roman"/>
                <w:sz w:val="20"/>
                <w:szCs w:val="20"/>
                <w:color w:val="008000"/>
                <w:vertAlign w:val="superscript"/>
              </w:rPr>
              <w:t>(1)</w:t>
            </w: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02/28/2021</w:t>
            </w:r>
            <w:r>
              <w:rPr>
                <w:rFonts w:ascii="Times New Roman" w:cs="Times New Roman" w:eastAsia="Times New Roman" w:hAnsi="Times New Roman"/>
                <w:sz w:val="20"/>
                <w:szCs w:val="20"/>
                <w:color w:val="008000"/>
                <w:vertAlign w:val="superscript"/>
              </w:rPr>
              <w:t>(3)</w:t>
            </w: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w w:val="98"/>
              </w:rPr>
              <w:t>02/27/2027</w:t>
            </w:r>
            <w:r>
              <w:rPr>
                <w:rFonts w:ascii="Times New Roman" w:cs="Times New Roman" w:eastAsia="Times New Roman" w:hAnsi="Times New Roman"/>
                <w:sz w:val="20"/>
                <w:szCs w:val="20"/>
                <w:color w:val="008000"/>
                <w:w w:val="98"/>
                <w:vertAlign w:val="superscript"/>
              </w:rPr>
              <w:t>(3)</w:t>
            </w:r>
          </w:p>
        </w:tc>
        <w:tc>
          <w:tcPr>
            <w:tcW w:w="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w w:val="94"/>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4,033</w:t>
            </w:r>
            <w:r>
              <w:rPr>
                <w:rFonts w:ascii="Times New Roman" w:cs="Times New Roman" w:eastAsia="Times New Roman" w:hAnsi="Times New Roman"/>
                <w:sz w:val="20"/>
                <w:szCs w:val="20"/>
                <w:color w:val="008000"/>
                <w:vertAlign w:val="superscript"/>
              </w:rPr>
              <w:t>(1)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Options</w:t>
            </w: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197"/>
              <w:spacing w:after="0" w:line="139" w:lineRule="exact"/>
              <w:rPr>
                <w:sz w:val="20"/>
                <w:szCs w:val="20"/>
                <w:color w:val="auto"/>
              </w:rPr>
            </w:pPr>
            <w:r>
              <w:rPr>
                <w:rFonts w:ascii="Times New Roman" w:cs="Times New Roman" w:eastAsia="Times New Roman" w:hAnsi="Times New Roman"/>
                <w:sz w:val="13"/>
                <w:szCs w:val="13"/>
                <w:color w:val="0000FF"/>
              </w:rPr>
              <w:t>10/26/2026</w:t>
            </w:r>
          </w:p>
        </w:tc>
        <w:tc>
          <w:tcPr>
            <w:tcW w:w="1040" w:type="dxa"/>
            <w:vAlign w:val="bottom"/>
          </w:tcPr>
          <w:p>
            <w:pPr>
              <w:spacing w:after="0"/>
              <w:rPr>
                <w:sz w:val="12"/>
                <w:szCs w:val="12"/>
                <w:color w:val="auto"/>
              </w:rPr>
            </w:pPr>
          </w:p>
        </w:tc>
        <w:tc>
          <w:tcPr>
            <w:tcW w:w="700" w:type="dxa"/>
            <w:vAlign w:val="bottom"/>
            <w:gridSpan w:val="4"/>
          </w:tcPr>
          <w:p>
            <w:pPr>
              <w:ind w:left="14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80"/>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gridSpan w:val="2"/>
          </w:tcPr>
          <w:p>
            <w:pPr>
              <w:ind w:left="1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40" w:right="360" w:hanging="2"/>
        <w:spacing w:after="0" w:line="232"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held by the Reporting Person were granted under the 2016 Stock Incentive Plan of Honeywell International Inc. and its Affiliates (the "Plan"), with the number of options and the exercise price each adjusted to reflect the Garrett Motion Inc. spin-off from Honeywell International Inc. ("Honeywell Technologies") which occurred on October 1, 2018 and the Resideo Technologies, Inc. spin-off from Honeywell Technologies which occurred on October 29, 2018, and further adjusted to reflect the spin-off of Solstice Advanced Materials Inc. from Honeywell Technologies on October 30, 2025, the spin-off of Honeywell Aerospace Inc. from Honeywell Technologies on June 29, 2026 and the reverse stock split of Honeywell Technologies.</w:t>
      </w:r>
    </w:p>
    <w:p>
      <w:pPr>
        <w:spacing w:after="0" w:line="24"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disposition represents the sale of shares to cover the cost of exercise and withholding tax obligations arising from the stock option exercise reported above.</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Employee Stock Options were granted under the Plan and vested in four equal annual installments on each of February 28, 2018, February 28, 2019, February 28, 2020 and February 28, 2021.</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rPr>
              <w:t>Richard Kent for Su Ping Lu</w:t>
            </w:r>
          </w:p>
        </w:tc>
        <w:tc>
          <w:tcPr>
            <w:tcW w:w="32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10/27/2026</w:t>
            </w: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800" w:hanging="2"/>
        <w:spacing w:after="0" w:line="327"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48614" TargetMode="External"/><Relationship Id="rId14" Type="http://schemas.openxmlformats.org/officeDocument/2006/relationships/hyperlink" Target="http://www.sec.gov/cgi-bin/browse-edgar?action=getcompany&amp;CIK=0000773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2026-10-27T15:38:31Z</dcterms:created>
  <dcterms:modified xsi:type="dcterms:W3CDTF">2026-10-27T15:38:31Z</dcterms:modified>
</cp:coreProperties>
</file>