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Arial" w:cs="Arial" w:eastAsia="Arial" w:hAnsi="Arial"/>
          <w:sz w:val="14"/>
          <w:szCs w:val="14"/>
          <w:color w:val="auto"/>
        </w:rPr>
        <w:t>UNITED STATES</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0"/>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jc w:val="center"/>
        <w:ind w:left="4180" w:right="4020" w:hanging="153"/>
        <w:spacing w:after="0" w:line="274" w:lineRule="auto"/>
        <w:rPr>
          <w:rFonts w:ascii="MS PGothic" w:cs="MS PGothic" w:eastAsia="MS PGothic" w:hAnsi="MS PGothic"/>
          <w:sz w:val="14"/>
          <w:szCs w:val="14"/>
          <w:color w:val="auto"/>
        </w:rPr>
      </w:pPr>
      <w:r>
        <w:rPr>
          <w:rFonts w:ascii="Arial" w:cs="Arial" w:eastAsia="Arial" w:hAnsi="Arial"/>
          <w:sz w:val="14"/>
          <w:szCs w:val="14"/>
          <w:color w:val="auto"/>
        </w:rPr>
        <w:t xml:space="preserve">OF THE SECURITIES EXCHANGE ACT OF 1934 For the quarterly period ended </w:t>
      </w:r>
      <w:r>
        <w:rPr>
          <w:rFonts w:ascii="Arial" w:cs="Arial" w:eastAsia="Arial" w:hAnsi="Arial"/>
          <w:sz w:val="14"/>
          <w:szCs w:val="14"/>
          <w:u w:val="single" w:color="auto"/>
          <w:color w:val="auto"/>
        </w:rPr>
        <w:t>June 30, 2023</w:t>
      </w:r>
    </w:p>
    <w:p>
      <w:pPr>
        <w:jc w:val="center"/>
        <w:spacing w:after="0"/>
        <w:rPr>
          <w:sz w:val="20"/>
          <w:szCs w:val="20"/>
          <w:color w:val="auto"/>
        </w:rPr>
      </w:pPr>
      <w:r>
        <w:rPr>
          <w:rFonts w:ascii="Arial" w:cs="Arial" w:eastAsia="Arial" w:hAnsi="Arial"/>
          <w:sz w:val="14"/>
          <w:szCs w:val="14"/>
          <w:color w:val="auto"/>
        </w:rPr>
        <w:t>OR</w:t>
      </w:r>
    </w:p>
    <w:p>
      <w:pPr>
        <w:spacing w:after="0" w:line="21" w:lineRule="exact"/>
        <w:rPr>
          <w:sz w:val="24"/>
          <w:szCs w:val="24"/>
          <w:color w:val="auto"/>
        </w:rPr>
      </w:pPr>
    </w:p>
    <w:p>
      <w:pPr>
        <w:ind w:left="3680" w:hanging="182"/>
        <w:spacing w:after="0"/>
        <w:tabs>
          <w:tab w:leader="none" w:pos="36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3"/>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Honeywell International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0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6"/>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60" w:type="dxa"/>
            <w:vAlign w:val="bottom"/>
            <w:gridSpan w:val="2"/>
          </w:tcPr>
          <w:p>
            <w:pPr>
              <w:jc w:val="center"/>
              <w:ind w:left="628"/>
              <w:spacing w:after="0" w:line="156"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20" w:type="dxa"/>
            <w:vAlign w:val="bottom"/>
            <w:gridSpan w:val="2"/>
          </w:tcPr>
          <w:p>
            <w:pPr>
              <w:jc w:val="center"/>
              <w:ind w:right="180"/>
              <w:spacing w:after="0" w:line="156"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82"/>
        </w:trPr>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20" w:type="dxa"/>
            <w:vAlign w:val="bottom"/>
            <w:gridSpan w:val="2"/>
          </w:tcPr>
          <w:p>
            <w:pPr>
              <w:jc w:val="center"/>
              <w:ind w:right="16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5"/>
                <w:szCs w:val="15"/>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9"/>
        </w:trPr>
        <w:tc>
          <w:tcPr>
            <w:tcW w:w="1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color w:val="auto"/>
              </w:rPr>
              <w:t>Charlotte, North Carolina</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00" w:type="dxa"/>
            <w:vAlign w:val="bottom"/>
            <w:tcBorders>
              <w:bottom w:val="single" w:sz="8" w:color="auto"/>
            </w:tcBorders>
          </w:tcPr>
          <w:p>
            <w:pPr>
              <w:spacing w:after="0"/>
              <w:rPr>
                <w:sz w:val="21"/>
                <w:szCs w:val="21"/>
                <w:color w:val="auto"/>
              </w:rPr>
            </w:pPr>
          </w:p>
        </w:tc>
        <w:tc>
          <w:tcPr>
            <w:tcW w:w="1040" w:type="dxa"/>
            <w:vAlign w:val="bottom"/>
          </w:tcPr>
          <w:p>
            <w:pPr>
              <w:spacing w:after="0"/>
              <w:rPr>
                <w:sz w:val="21"/>
                <w:szCs w:val="21"/>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20" w:type="dxa"/>
            <w:vAlign w:val="bottom"/>
            <w:gridSpan w:val="6"/>
          </w:tcPr>
          <w:p>
            <w:pPr>
              <w:jc w:val="center"/>
              <w:ind w:right="740"/>
              <w:spacing w:after="0"/>
              <w:rPr>
                <w:sz w:val="20"/>
                <w:szCs w:val="20"/>
                <w:color w:val="auto"/>
              </w:rPr>
            </w:pPr>
            <w:r>
              <w:rPr>
                <w:rFonts w:ascii="Arial" w:cs="Arial" w:eastAsia="Arial" w:hAnsi="Arial"/>
                <w:sz w:val="14"/>
                <w:szCs w:val="14"/>
                <w:color w:val="auto"/>
              </w:rPr>
              <w:t>(Address of principal executive offices)</w:t>
            </w:r>
          </w:p>
        </w:tc>
        <w:tc>
          <w:tcPr>
            <w:tcW w:w="4120" w:type="dxa"/>
            <w:vAlign w:val="bottom"/>
            <w:gridSpan w:val="2"/>
          </w:tcPr>
          <w:p>
            <w:pPr>
              <w:jc w:val="center"/>
              <w:ind w:right="16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1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10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70"/>
        </w:trPr>
        <w:tc>
          <w:tcPr>
            <w:tcW w:w="440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2"/>
        </w:trPr>
        <w:tc>
          <w:tcPr>
            <w:tcW w:w="12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2"/>
          </w:tcPr>
          <w:p>
            <w:pPr>
              <w:jc w:val="center"/>
              <w:ind w:right="1188"/>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19"/>
                <w:szCs w:val="19"/>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19"/>
                <w:szCs w:val="19"/>
                <w:color w:val="auto"/>
              </w:rPr>
            </w:pPr>
          </w:p>
        </w:tc>
        <w:tc>
          <w:tcPr>
            <w:tcW w:w="412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9"/>
                <w:szCs w:val="19"/>
                <w:color w:val="auto"/>
              </w:rPr>
            </w:pPr>
          </w:p>
        </w:tc>
      </w:tr>
      <w:tr>
        <w:trPr>
          <w:trHeight w:val="190"/>
        </w:trPr>
        <w:tc>
          <w:tcPr>
            <w:tcW w:w="440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2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189"/>
        </w:trPr>
        <w:tc>
          <w:tcPr>
            <w:tcW w:w="4400" w:type="dxa"/>
            <w:vAlign w:val="bottom"/>
            <w:gridSpan w:val="4"/>
          </w:tcPr>
          <w:p>
            <w:pPr>
              <w:jc w:val="center"/>
              <w:ind w:right="120"/>
              <w:spacing w:after="0"/>
              <w:rPr>
                <w:sz w:val="20"/>
                <w:szCs w:val="20"/>
                <w:color w:val="auto"/>
              </w:rPr>
            </w:pPr>
            <w:r>
              <w:rPr>
                <w:rFonts w:ascii="Arial" w:cs="Arial" w:eastAsia="Arial" w:hAnsi="Arial"/>
                <w:sz w:val="14"/>
                <w:szCs w:val="14"/>
                <w:color w:val="auto"/>
              </w:rPr>
              <w:t>0.000% Senior Notes due 2024</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24A</w:t>
            </w:r>
          </w:p>
        </w:tc>
        <w:tc>
          <w:tcPr>
            <w:tcW w:w="412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400" w:type="dxa"/>
            <w:vAlign w:val="bottom"/>
            <w:gridSpan w:val="4"/>
          </w:tcPr>
          <w:p>
            <w:pPr>
              <w:jc w:val="center"/>
              <w:ind w:right="120"/>
              <w:spacing w:after="0"/>
              <w:rPr>
                <w:sz w:val="20"/>
                <w:szCs w:val="20"/>
                <w:color w:val="auto"/>
              </w:rPr>
            </w:pPr>
            <w:r>
              <w:rPr>
                <w:rFonts w:ascii="Arial" w:cs="Arial" w:eastAsia="Arial" w:hAnsi="Arial"/>
                <w:sz w:val="14"/>
                <w:szCs w:val="14"/>
                <w:color w:val="auto"/>
              </w:rPr>
              <w:t>3.500% Senior Notes due 2027</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27</w:t>
            </w:r>
          </w:p>
        </w:tc>
        <w:tc>
          <w:tcPr>
            <w:tcW w:w="412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400" w:type="dxa"/>
            <w:vAlign w:val="bottom"/>
            <w:gridSpan w:val="4"/>
          </w:tcPr>
          <w:p>
            <w:pPr>
              <w:jc w:val="center"/>
              <w:ind w:right="120"/>
              <w:spacing w:after="0"/>
              <w:rPr>
                <w:sz w:val="20"/>
                <w:szCs w:val="20"/>
                <w:color w:val="auto"/>
              </w:rPr>
            </w:pPr>
            <w:r>
              <w:rPr>
                <w:rFonts w:ascii="Arial" w:cs="Arial" w:eastAsia="Arial" w:hAnsi="Arial"/>
                <w:sz w:val="14"/>
                <w:szCs w:val="14"/>
                <w:color w:val="auto"/>
              </w:rPr>
              <w:t>2.250% Senior Notes due 2028</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28A</w:t>
            </w:r>
          </w:p>
        </w:tc>
        <w:tc>
          <w:tcPr>
            <w:tcW w:w="412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189"/>
        </w:trPr>
        <w:tc>
          <w:tcPr>
            <w:tcW w:w="4400" w:type="dxa"/>
            <w:vAlign w:val="bottom"/>
            <w:gridSpan w:val="4"/>
          </w:tcPr>
          <w:p>
            <w:pPr>
              <w:jc w:val="center"/>
              <w:ind w:right="12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2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400" w:type="dxa"/>
            <w:vAlign w:val="bottom"/>
            <w:gridSpan w:val="4"/>
          </w:tcPr>
          <w:p>
            <w:pPr>
              <w:jc w:val="center"/>
              <w:ind w:right="120"/>
              <w:spacing w:after="0"/>
              <w:rPr>
                <w:sz w:val="20"/>
                <w:szCs w:val="20"/>
                <w:color w:val="auto"/>
              </w:rPr>
            </w:pPr>
            <w:r>
              <w:rPr>
                <w:rFonts w:ascii="Arial" w:cs="Arial" w:eastAsia="Arial" w:hAnsi="Arial"/>
                <w:sz w:val="14"/>
                <w:szCs w:val="14"/>
                <w:color w:val="auto"/>
              </w:rPr>
              <w:t>3.750% Senior Notes due 2032</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32A</w:t>
            </w:r>
          </w:p>
        </w:tc>
        <w:tc>
          <w:tcPr>
            <w:tcW w:w="412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400" w:type="dxa"/>
            <w:vAlign w:val="bottom"/>
            <w:gridSpan w:val="4"/>
          </w:tcPr>
          <w:p>
            <w:pPr>
              <w:jc w:val="center"/>
              <w:ind w:right="120"/>
              <w:spacing w:after="0"/>
              <w:rPr>
                <w:sz w:val="20"/>
                <w:szCs w:val="20"/>
                <w:color w:val="auto"/>
              </w:rPr>
            </w:pPr>
            <w:r>
              <w:rPr>
                <w:rFonts w:ascii="Arial" w:cs="Arial" w:eastAsia="Arial" w:hAnsi="Arial"/>
                <w:sz w:val="14"/>
                <w:szCs w:val="14"/>
                <w:color w:val="auto"/>
              </w:rPr>
              <w:t>4.125% Senior Notes due 2034</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34</w:t>
            </w:r>
          </w:p>
        </w:tc>
        <w:tc>
          <w:tcPr>
            <w:tcW w:w="412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42" w:lineRule="exact"/>
        <w:rPr>
          <w:sz w:val="24"/>
          <w:szCs w:val="24"/>
          <w:color w:val="auto"/>
        </w:rPr>
      </w:pPr>
    </w:p>
    <w:p>
      <w:pPr>
        <w:ind w:right="60"/>
        <w:spacing w:after="0" w:line="19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00" w:type="dxa"/>
            <w:vAlign w:val="bottom"/>
          </w:tcPr>
          <w:p>
            <w:pPr>
              <w:ind w:left="460"/>
              <w:spacing w:after="0"/>
              <w:rPr>
                <w:sz w:val="20"/>
                <w:szCs w:val="20"/>
                <w:color w:val="auto"/>
              </w:rPr>
            </w:pPr>
            <w:r>
              <w:rPr>
                <w:rFonts w:ascii="Arial" w:cs="Arial" w:eastAsia="Arial" w:hAnsi="Arial"/>
                <w:sz w:val="14"/>
                <w:szCs w:val="14"/>
                <w:color w:val="auto"/>
              </w:rPr>
              <w:t>x</w:t>
            </w:r>
          </w:p>
        </w:tc>
        <w:tc>
          <w:tcPr>
            <w:tcW w:w="3640" w:type="dxa"/>
            <w:vAlign w:val="bottom"/>
          </w:tcPr>
          <w:p>
            <w:pPr>
              <w:ind w:left="144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20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4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40" w:type="dxa"/>
            <w:vAlign w:val="bottom"/>
          </w:tcPr>
          <w:p>
            <w:pPr>
              <w:ind w:left="144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45"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 w:lineRule="exact"/>
        <w:rPr>
          <w:sz w:val="24"/>
          <w:szCs w:val="24"/>
          <w:color w:val="auto"/>
        </w:rPr>
      </w:pPr>
    </w:p>
    <w:p>
      <w:pPr>
        <w:ind w:right="3200"/>
        <w:spacing w:after="0" w:line="25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Arial" w:cs="Arial" w:eastAsia="Arial" w:hAnsi="Arial"/>
          <w:sz w:val="16"/>
          <w:szCs w:val="16"/>
          <w:color w:val="auto"/>
        </w:rPr>
        <w:t>x</w:t>
      </w:r>
      <w:r>
        <w:rPr>
          <w:rFonts w:ascii="Arial" w:cs="Arial" w:eastAsia="Arial" w:hAnsi="Arial"/>
          <w:sz w:val="14"/>
          <w:szCs w:val="14"/>
          <w:color w:val="auto"/>
        </w:rPr>
        <w:t xml:space="preserve"> There were 663,961,433 shares of Common Stock outstanding at June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Borders>
              <w:top w:val="single" w:sz="8" w:color="61656A"/>
              <w:bottom w:val="single" w:sz="8" w:color="61656A"/>
            </w:tcBorders>
          </w:tcPr>
          <w:p>
            <w:pPr>
              <w:spacing w:after="0"/>
              <w:rPr>
                <w:sz w:val="19"/>
                <w:szCs w:val="19"/>
                <w:color w:val="auto"/>
              </w:rPr>
            </w:pPr>
          </w:p>
        </w:tc>
        <w:tc>
          <w:tcPr>
            <w:tcW w:w="9520" w:type="dxa"/>
            <w:vAlign w:val="bottom"/>
            <w:tcBorders>
              <w:top w:val="single" w:sz="8" w:color="61656A"/>
              <w:bottom w:val="single" w:sz="8" w:color="61656A"/>
            </w:tcBorders>
          </w:tcPr>
          <w:p>
            <w:pPr>
              <w:ind w:left="100"/>
              <w:spacing w:after="0"/>
              <w:rPr>
                <w:sz w:val="20"/>
                <w:szCs w:val="20"/>
                <w:color w:val="auto"/>
              </w:rPr>
            </w:pPr>
            <w:r>
              <w:rPr>
                <w:rFonts w:ascii="Arial" w:cs="Arial" w:eastAsia="Arial" w:hAnsi="Arial"/>
                <w:sz w:val="16"/>
                <w:szCs w:val="16"/>
                <w:color w:val="auto"/>
              </w:rPr>
              <w:t>Cautionary Statement about Forward-Looking Statements</w:t>
            </w:r>
          </w:p>
        </w:tc>
        <w:tc>
          <w:tcPr>
            <w:tcW w:w="9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w:t>
            </w:r>
          </w:p>
        </w:tc>
      </w:tr>
      <w:tr>
        <w:trPr>
          <w:trHeight w:val="209"/>
        </w:trPr>
        <w:tc>
          <w:tcPr>
            <w:tcW w:w="760" w:type="dxa"/>
            <w:vAlign w:val="bottom"/>
            <w:tcBorders>
              <w:bottom w:val="single" w:sz="8" w:color="D7282F"/>
            </w:tcBorders>
          </w:tcPr>
          <w:p>
            <w:pPr>
              <w:spacing w:after="0"/>
              <w:rPr>
                <w:sz w:val="18"/>
                <w:szCs w:val="18"/>
                <w:color w:val="auto"/>
              </w:rPr>
            </w:pPr>
          </w:p>
        </w:tc>
        <w:tc>
          <w:tcPr>
            <w:tcW w:w="9520" w:type="dxa"/>
            <w:vAlign w:val="bottom"/>
            <w:tcBorders>
              <w:bottom w:val="single" w:sz="8" w:color="D7282F"/>
            </w:tcBorders>
          </w:tcPr>
          <w:p>
            <w:pPr>
              <w:ind w:left="100"/>
              <w:spacing w:after="0"/>
              <w:rPr>
                <w:sz w:val="20"/>
                <w:szCs w:val="20"/>
                <w:color w:val="auto"/>
              </w:rPr>
            </w:pPr>
            <w:r>
              <w:rPr>
                <w:rFonts w:ascii="Arial" w:cs="Arial" w:eastAsia="Arial" w:hAnsi="Arial"/>
                <w:sz w:val="16"/>
                <w:szCs w:val="16"/>
                <w:color w:val="auto"/>
              </w:rPr>
              <w:t>About Honeywell</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2</w:t>
            </w:r>
          </w:p>
        </w:tc>
      </w:tr>
      <w:tr>
        <w:trPr>
          <w:trHeight w:val="209"/>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w:t>
            </w:r>
          </w:p>
        </w:tc>
        <w:tc>
          <w:tcPr>
            <w:tcW w:w="9520" w:type="dxa"/>
            <w:vAlign w:val="bottom"/>
            <w:tcBorders>
              <w:bottom w:val="single" w:sz="8" w:color="D7282F"/>
            </w:tcBorders>
          </w:tcPr>
          <w:p>
            <w:pPr>
              <w:ind w:left="100"/>
              <w:spacing w:after="0"/>
              <w:rPr>
                <w:sz w:val="20"/>
                <w:szCs w:val="20"/>
                <w:color w:val="auto"/>
              </w:rPr>
            </w:pPr>
            <w:r>
              <w:rPr>
                <w:rFonts w:ascii="Arial" w:cs="Arial" w:eastAsia="Arial" w:hAnsi="Arial"/>
                <w:sz w:val="16"/>
                <w:szCs w:val="16"/>
                <w:b w:val="1"/>
                <w:bCs w:val="1"/>
                <w:color w:val="D7282F"/>
              </w:rPr>
              <w:t>Financial Information</w:t>
            </w:r>
          </w:p>
        </w:tc>
        <w:tc>
          <w:tcPr>
            <w:tcW w:w="960" w:type="dxa"/>
            <w:vAlign w:val="bottom"/>
            <w:tcBorders>
              <w:bottom w:val="single" w:sz="8" w:color="D7282F"/>
            </w:tcBorders>
          </w:tcPr>
          <w:p>
            <w:pPr>
              <w:spacing w:after="0"/>
              <w:rPr>
                <w:sz w:val="18"/>
                <w:szCs w:val="18"/>
                <w:color w:val="auto"/>
              </w:rPr>
            </w:pP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w:t>
            </w: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Financial Statements and Supplementary Data (unaudited):</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r>
      <w:tr>
        <w:trPr>
          <w:trHeight w:val="209"/>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Consolidated Statement of Operations (unaudited) – Three and Six Months Ended June 30, 2023, and 2022</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r>
      <w:tr>
        <w:trPr>
          <w:trHeight w:val="210"/>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Consolidated Statement of Comprehensive Income (unaudited) – Three and Six Months Ended June 30, 2023, and 2022</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w:t>
            </w:r>
          </w:p>
        </w:tc>
      </w:tr>
      <w:tr>
        <w:trPr>
          <w:trHeight w:val="209"/>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Consolidated Balance Sheet (unaudited) – June 30, 2023, and December 31, 2022</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w:t>
            </w:r>
          </w:p>
        </w:tc>
      </w:tr>
      <w:tr>
        <w:trPr>
          <w:trHeight w:val="209"/>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Consolidated Statement of Cash Flows (unaudited) – Six Months Ended June 30, 2023, and 2022</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6</w:t>
            </w:r>
          </w:p>
        </w:tc>
      </w:tr>
      <w:tr>
        <w:trPr>
          <w:trHeight w:val="196"/>
        </w:trPr>
        <w:tc>
          <w:tcPr>
            <w:tcW w:w="760" w:type="dxa"/>
            <w:vAlign w:val="bottom"/>
            <w:tcBorders>
              <w:bottom w:val="single" w:sz="8" w:color="61656A"/>
            </w:tcBorders>
          </w:tcPr>
          <w:p>
            <w:pPr>
              <w:spacing w:after="0"/>
              <w:rPr>
                <w:sz w:val="17"/>
                <w:szCs w:val="17"/>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Consolidated Statement of Shareowners' Equity (unaudited) – Three and Six Months Ended June 30, 2023, and 2022</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7</w:t>
            </w:r>
          </w:p>
        </w:tc>
      </w:tr>
      <w:tr>
        <w:trPr>
          <w:trHeight w:val="209"/>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1 – Basis of Presentation</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r>
      <w:tr>
        <w:trPr>
          <w:trHeight w:val="209"/>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2 – Summary of Significant Accounting Policies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r>
      <w:tr>
        <w:trPr>
          <w:trHeight w:val="210"/>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3 – Acquisitions and Divestitures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9</w:t>
            </w:r>
          </w:p>
        </w:tc>
      </w:tr>
      <w:tr>
        <w:trPr>
          <w:trHeight w:val="209"/>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4 – Revenue Recognition and Contracts with Customers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10</w:t>
            </w:r>
          </w:p>
        </w:tc>
      </w:tr>
      <w:tr>
        <w:trPr>
          <w:trHeight w:val="210"/>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5 – Repositioning and Other Charges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13</w:t>
            </w:r>
          </w:p>
        </w:tc>
      </w:tr>
      <w:tr>
        <w:trPr>
          <w:trHeight w:val="209"/>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6 – Income Taxes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15</w:t>
            </w:r>
          </w:p>
        </w:tc>
      </w:tr>
      <w:tr>
        <w:trPr>
          <w:trHeight w:val="209"/>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7 – Inventories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16</w:t>
            </w:r>
          </w:p>
        </w:tc>
      </w:tr>
      <w:tr>
        <w:trPr>
          <w:trHeight w:val="210"/>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8 – Long-term Debt and Credit Agreements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16</w:t>
            </w:r>
          </w:p>
        </w:tc>
      </w:tr>
      <w:tr>
        <w:trPr>
          <w:trHeight w:val="209"/>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9 – Leases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r>
      <w:tr>
        <w:trPr>
          <w:trHeight w:val="210"/>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10 – Derivative Instruments and Hedging Transactions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18</w:t>
            </w:r>
          </w:p>
        </w:tc>
      </w:tr>
      <w:tr>
        <w:trPr>
          <w:trHeight w:val="209"/>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11 – Fair Value Measurements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21</w:t>
            </w:r>
          </w:p>
        </w:tc>
      </w:tr>
      <w:tr>
        <w:trPr>
          <w:trHeight w:val="210"/>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12 – Earnings Per Share</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22</w:t>
            </w:r>
          </w:p>
        </w:tc>
      </w:tr>
      <w:tr>
        <w:trPr>
          <w:trHeight w:val="209"/>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13 – Accumulated Other Comprehensive Income (Loss)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23</w:t>
            </w:r>
          </w:p>
        </w:tc>
      </w:tr>
      <w:tr>
        <w:trPr>
          <w:trHeight w:val="210"/>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14 – Commitments and Contingencies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23</w:t>
            </w:r>
          </w:p>
        </w:tc>
      </w:tr>
      <w:tr>
        <w:trPr>
          <w:trHeight w:val="210"/>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15 – Pension Benefits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27</w:t>
            </w:r>
          </w:p>
        </w:tc>
      </w:tr>
      <w:tr>
        <w:trPr>
          <w:trHeight w:val="210"/>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16 – Other (Income) Expense</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28</w:t>
            </w:r>
          </w:p>
        </w:tc>
      </w:tr>
      <w:tr>
        <w:trPr>
          <w:trHeight w:val="210"/>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Note 17 – Segment Financial Data</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28</w:t>
            </w:r>
          </w:p>
        </w:tc>
      </w:tr>
      <w:tr>
        <w:trPr>
          <w:trHeight w:val="209"/>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2</w:t>
            </w: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30</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3</w:t>
            </w: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Quantitative and Qualitative Disclosures about Market Risks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47</w:t>
            </w:r>
          </w:p>
        </w:tc>
      </w:tr>
      <w:tr>
        <w:trPr>
          <w:trHeight w:val="210"/>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auto"/>
              </w:rPr>
              <w:t>ITEM 4</w:t>
            </w:r>
          </w:p>
        </w:tc>
        <w:tc>
          <w:tcPr>
            <w:tcW w:w="9520" w:type="dxa"/>
            <w:vAlign w:val="bottom"/>
            <w:tcBorders>
              <w:bottom w:val="single" w:sz="8" w:color="D7282F"/>
            </w:tcBorders>
          </w:tcPr>
          <w:p>
            <w:pPr>
              <w:ind w:left="100"/>
              <w:spacing w:after="0"/>
              <w:rPr>
                <w:sz w:val="20"/>
                <w:szCs w:val="20"/>
                <w:color w:val="auto"/>
              </w:rPr>
            </w:pPr>
            <w:r>
              <w:rPr>
                <w:rFonts w:ascii="Arial" w:cs="Arial" w:eastAsia="Arial" w:hAnsi="Arial"/>
                <w:sz w:val="16"/>
                <w:szCs w:val="16"/>
                <w:color w:val="auto"/>
              </w:rPr>
              <w:t>Controls and Procedures</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47</w:t>
            </w:r>
          </w:p>
        </w:tc>
      </w:tr>
      <w:tr>
        <w:trPr>
          <w:trHeight w:val="210"/>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II</w:t>
            </w:r>
          </w:p>
        </w:tc>
        <w:tc>
          <w:tcPr>
            <w:tcW w:w="9520" w:type="dxa"/>
            <w:vAlign w:val="bottom"/>
            <w:tcBorders>
              <w:bottom w:val="single" w:sz="8" w:color="D7282F"/>
            </w:tcBorders>
          </w:tcPr>
          <w:p>
            <w:pPr>
              <w:ind w:left="100"/>
              <w:spacing w:after="0"/>
              <w:rPr>
                <w:sz w:val="20"/>
                <w:szCs w:val="20"/>
                <w:color w:val="auto"/>
              </w:rPr>
            </w:pPr>
            <w:r>
              <w:rPr>
                <w:rFonts w:ascii="Arial" w:cs="Arial" w:eastAsia="Arial" w:hAnsi="Arial"/>
                <w:sz w:val="16"/>
                <w:szCs w:val="16"/>
                <w:b w:val="1"/>
                <w:bCs w:val="1"/>
                <w:color w:val="D7282F"/>
              </w:rPr>
              <w:t>Other Information</w:t>
            </w:r>
          </w:p>
        </w:tc>
        <w:tc>
          <w:tcPr>
            <w:tcW w:w="960" w:type="dxa"/>
            <w:vAlign w:val="bottom"/>
            <w:tcBorders>
              <w:bottom w:val="single" w:sz="8" w:color="D7282F"/>
            </w:tcBorders>
          </w:tcPr>
          <w:p>
            <w:pPr>
              <w:spacing w:after="0"/>
              <w:rPr>
                <w:sz w:val="18"/>
                <w:szCs w:val="18"/>
                <w:color w:val="auto"/>
              </w:rPr>
            </w:pP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w:t>
            </w: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Legal Proceedings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48</w:t>
            </w:r>
          </w:p>
        </w:tc>
      </w:tr>
      <w:tr>
        <w:trPr>
          <w:trHeight w:val="209"/>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1A</w:t>
            </w: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Risk Factors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48</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2</w:t>
            </w: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Unregistered Sales of Equity Securities and Use of Proceeds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48</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4</w:t>
            </w: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Mine Safety Disclosures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49</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5</w:t>
            </w: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Other Information</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49</w:t>
            </w:r>
          </w:p>
        </w:tc>
      </w:tr>
      <w:tr>
        <w:trPr>
          <w:trHeight w:val="209"/>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6</w:t>
            </w: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Exhibits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50</w:t>
            </w:r>
          </w:p>
        </w:tc>
      </w:tr>
      <w:tr>
        <w:trPr>
          <w:trHeight w:val="210"/>
        </w:trPr>
        <w:tc>
          <w:tcPr>
            <w:tcW w:w="760" w:type="dxa"/>
            <w:vAlign w:val="bottom"/>
            <w:tcBorders>
              <w:bottom w:val="single" w:sz="8" w:color="61656A"/>
            </w:tcBorders>
          </w:tcPr>
          <w:p>
            <w:pPr>
              <w:spacing w:after="0"/>
              <w:rPr>
                <w:sz w:val="18"/>
                <w:szCs w:val="18"/>
                <w:color w:val="auto"/>
              </w:rPr>
            </w:pPr>
          </w:p>
        </w:tc>
        <w:tc>
          <w:tcPr>
            <w:tcW w:w="9520" w:type="dxa"/>
            <w:vAlign w:val="bottom"/>
            <w:tcBorders>
              <w:bottom w:val="single" w:sz="8" w:color="61656A"/>
            </w:tcBorders>
          </w:tcPr>
          <w:p>
            <w:pPr>
              <w:ind w:left="100"/>
              <w:spacing w:after="0"/>
              <w:rPr>
                <w:sz w:val="20"/>
                <w:szCs w:val="20"/>
                <w:color w:val="auto"/>
              </w:rPr>
            </w:pPr>
            <w:r>
              <w:rPr>
                <w:rFonts w:ascii="Arial" w:cs="Arial" w:eastAsia="Arial" w:hAnsi="Arial"/>
                <w:sz w:val="16"/>
                <w:szCs w:val="16"/>
                <w:color w:val="auto"/>
              </w:rPr>
              <w:t>Signatures</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51</w:t>
            </w:r>
          </w:p>
        </w:tc>
      </w:tr>
      <w:tr>
        <w:trPr>
          <w:trHeight w:val="1850"/>
        </w:trPr>
        <w:tc>
          <w:tcPr>
            <w:tcW w:w="760" w:type="dxa"/>
            <w:vAlign w:val="bottom"/>
            <w:tcBorders>
              <w:bottom w:val="single" w:sz="8" w:color="9A9A9A"/>
            </w:tcBorders>
          </w:tcPr>
          <w:p>
            <w:pPr>
              <w:spacing w:after="0"/>
              <w:rPr>
                <w:sz w:val="24"/>
                <w:szCs w:val="24"/>
                <w:color w:val="auto"/>
              </w:rPr>
            </w:pPr>
          </w:p>
        </w:tc>
        <w:tc>
          <w:tcPr>
            <w:tcW w:w="9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80"/>
        <w:spacing w:after="0" w:line="303"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describe many of the trends and other factors that drive our business and future results in the section titled Management’s Discussion and Analysis of Financial Condition and Results of Operations and in other parts of this report (including Part II, Item 1A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that can affect our performance in both the near- and long-term. In addition, no assurance can be given that any plan, initiative, projection, goal, commitment, expectation, or prospect set forth in this Form 10-Q can or will be achieved. These forward-looking statements should be considered in light of the information included in this report and our other filings with the Securities and Exchange Commission (SEC), including, without limitation, the Risk Factors, as well as the description of trends and other factors in Management’s Discussion and Analysis of Financial Condition and Results of Operations, set forth in this report and our 2022 Annual Report on Form 10-K. Any forward-looking plans described herein are not final and may be modified or abandoned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200" w:lineRule="exact"/>
        <w:rPr>
          <w:sz w:val="20"/>
          <w:szCs w:val="20"/>
          <w:color w:val="auto"/>
        </w:rPr>
      </w:pP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Honeywell International Inc. (Honeywell, we, us, our, or the Company) invents and commercializes technologies that address some of the world’s most critical challenges around energy, safety, security, air travel, productivity, and global urbanization. We are a leading software-industrial company committed to introducing state of the art technology solutions to improve efficiency, productivity, sustainability, and safety in high growth businesses in broad-based, attractive industrial end markets. As a diversified technology and manufacturing company, we are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 Honeywell uses our Investor Relations website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0" w:lineRule="exact"/>
        <w:rPr>
          <w:sz w:val="20"/>
          <w:szCs w:val="20"/>
          <w:color w:val="auto"/>
        </w:rPr>
      </w:pPr>
    </w:p>
    <w:p>
      <w:pPr>
        <w:spacing w:after="0" w:line="224"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200" w:lineRule="exact"/>
        <w:rPr>
          <w:sz w:val="20"/>
          <w:szCs w:val="20"/>
          <w:color w:val="auto"/>
        </w:rPr>
      </w:pPr>
    </w:p>
    <w:p>
      <w:pPr>
        <w:spacing w:after="0" w:line="20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financial statements and related notes as of June 30, 2023, should be read in conjunction with the financial statements for the year ended December 31, 2022, contained in the Company's 2022 Annual Report on Form 10-K.</w:t>
      </w:r>
    </w:p>
    <w:p>
      <w:pPr>
        <w:spacing w:after="0" w:line="29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8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Six Months Ended June</w:t>
            </w:r>
          </w:p>
        </w:tc>
      </w:tr>
      <w:tr>
        <w:trPr>
          <w:trHeight w:val="189"/>
        </w:trPr>
        <w:tc>
          <w:tcPr>
            <w:tcW w:w="7400" w:type="dxa"/>
            <w:vAlign w:val="bottom"/>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D7282F"/>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w:t>
            </w:r>
          </w:p>
        </w:tc>
        <w:tc>
          <w:tcPr>
            <w:tcW w:w="620" w:type="dxa"/>
            <w:vAlign w:val="bottom"/>
            <w:tcBorders>
              <w:bottom w:val="single" w:sz="8" w:color="D7282F"/>
            </w:tcBorders>
          </w:tcPr>
          <w:p>
            <w:pPr>
              <w:spacing w:after="0"/>
              <w:rPr>
                <w:sz w:val="16"/>
                <w:szCs w:val="16"/>
                <w:color w:val="auto"/>
              </w:rPr>
            </w:pPr>
          </w:p>
        </w:tc>
      </w:tr>
      <w:tr>
        <w:trPr>
          <w:trHeight w:val="236"/>
        </w:trPr>
        <w:tc>
          <w:tcPr>
            <w:tcW w:w="7400" w:type="dxa"/>
            <w:vAlign w:val="bottom"/>
          </w:tcPr>
          <w:p>
            <w:pPr>
              <w:spacing w:after="0"/>
              <w:rPr>
                <w:sz w:val="20"/>
                <w:szCs w:val="20"/>
                <w:color w:val="auto"/>
              </w:rPr>
            </w:pPr>
          </w:p>
        </w:tc>
        <w:tc>
          <w:tcPr>
            <w:tcW w:w="14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D7282F"/>
            </w:tcBorders>
          </w:tcPr>
          <w:p>
            <w:pPr>
              <w:spacing w:after="0"/>
              <w:rPr>
                <w:sz w:val="20"/>
                <w:szCs w:val="20"/>
                <w:color w:val="auto"/>
              </w:rPr>
            </w:pPr>
          </w:p>
        </w:tc>
        <w:tc>
          <w:tcPr>
            <w:tcW w:w="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D7282F"/>
            </w:tcBorders>
          </w:tcPr>
          <w:p>
            <w:pPr>
              <w:spacing w:after="0"/>
              <w:rPr>
                <w:sz w:val="20"/>
                <w:szCs w:val="20"/>
                <w:color w:val="auto"/>
              </w:rPr>
            </w:pPr>
          </w:p>
        </w:tc>
        <w:tc>
          <w:tcPr>
            <w:tcW w:w="6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2022</w:t>
            </w:r>
          </w:p>
        </w:tc>
      </w:tr>
      <w:tr>
        <w:trPr>
          <w:trHeight w:val="196"/>
        </w:trPr>
        <w:tc>
          <w:tcPr>
            <w:tcW w:w="740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3700" w:type="dxa"/>
            <w:vAlign w:val="bottom"/>
            <w:tcBorders>
              <w:bottom w:val="single" w:sz="8" w:color="D7282F"/>
            </w:tcBorders>
            <w:gridSpan w:val="8"/>
          </w:tcPr>
          <w:p>
            <w:pPr>
              <w:jc w:val="right"/>
              <w:ind w:right="248"/>
              <w:spacing w:after="0"/>
              <w:rPr>
                <w:sz w:val="20"/>
                <w:szCs w:val="20"/>
                <w:color w:val="auto"/>
              </w:rPr>
            </w:pPr>
            <w:r>
              <w:rPr>
                <w:rFonts w:ascii="Arial" w:cs="Arial" w:eastAsia="Arial" w:hAnsi="Arial"/>
                <w:sz w:val="14"/>
                <w:szCs w:val="14"/>
                <w:b w:val="1"/>
                <w:bCs w:val="1"/>
                <w:color w:val="auto"/>
              </w:rPr>
              <w:t>(Dollars in millions, except per share amounts)</w:t>
            </w:r>
          </w:p>
        </w:tc>
      </w:tr>
      <w:tr>
        <w:trPr>
          <w:trHeight w:val="184"/>
        </w:trPr>
        <w:tc>
          <w:tcPr>
            <w:tcW w:w="74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6,441</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6,684</w:t>
            </w:r>
          </w:p>
        </w:tc>
        <w:tc>
          <w:tcPr>
            <w:tcW w:w="420" w:type="dxa"/>
            <w:vAlign w:val="bottom"/>
            <w:tcBorders>
              <w:bottom w:val="single" w:sz="8" w:color="61656A"/>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12,751</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12,816</w:t>
            </w:r>
          </w:p>
        </w:tc>
      </w:tr>
      <w:tr>
        <w:trPr>
          <w:trHeight w:val="190"/>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2,705</w:t>
            </w:r>
          </w:p>
        </w:tc>
        <w:tc>
          <w:tcPr>
            <w:tcW w:w="32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2,269</w:t>
            </w:r>
          </w:p>
        </w:tc>
        <w:tc>
          <w:tcPr>
            <w:tcW w:w="2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5,259</w:t>
            </w:r>
          </w:p>
        </w:tc>
        <w:tc>
          <w:tcPr>
            <w:tcW w:w="4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4,513</w:t>
            </w:r>
          </w:p>
        </w:tc>
      </w:tr>
      <w:tr>
        <w:trPr>
          <w:trHeight w:val="201"/>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9,146</w:t>
            </w:r>
          </w:p>
        </w:tc>
        <w:tc>
          <w:tcPr>
            <w:tcW w:w="3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8,953</w:t>
            </w:r>
          </w:p>
        </w:tc>
        <w:tc>
          <w:tcPr>
            <w:tcW w:w="26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18,010</w:t>
            </w:r>
          </w:p>
        </w:tc>
        <w:tc>
          <w:tcPr>
            <w:tcW w:w="4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17,329</w:t>
            </w:r>
          </w:p>
        </w:tc>
      </w:tr>
      <w:tr>
        <w:trPr>
          <w:trHeight w:val="183"/>
        </w:trPr>
        <w:tc>
          <w:tcPr>
            <w:tcW w:w="74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40" w:type="dxa"/>
            <w:vAlign w:val="bottom"/>
            <w:tcBorders>
              <w:bottom w:val="single" w:sz="8" w:color="61656A"/>
            </w:tcBorders>
          </w:tcPr>
          <w:p>
            <w:pPr>
              <w:spacing w:after="0"/>
              <w:rPr>
                <w:sz w:val="15"/>
                <w:szCs w:val="15"/>
                <w:color w:val="auto"/>
              </w:rPr>
            </w:pPr>
          </w:p>
        </w:tc>
        <w:tc>
          <w:tcPr>
            <w:tcW w:w="7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580" w:type="dxa"/>
            <w:vAlign w:val="bottom"/>
            <w:tcBorders>
              <w:bottom w:val="single" w:sz="8" w:color="61656A"/>
            </w:tcBorders>
          </w:tcPr>
          <w:p>
            <w:pPr>
              <w:spacing w:after="0"/>
              <w:rPr>
                <w:sz w:val="15"/>
                <w:szCs w:val="15"/>
                <w:color w:val="auto"/>
              </w:rPr>
            </w:pPr>
          </w:p>
        </w:tc>
        <w:tc>
          <w:tcPr>
            <w:tcW w:w="260" w:type="dxa"/>
            <w:vAlign w:val="bottom"/>
            <w:tcBorders>
              <w:bottom w:val="single" w:sz="8" w:color="61656A"/>
            </w:tcBorders>
          </w:tcPr>
          <w:p>
            <w:pPr>
              <w:spacing w:after="0"/>
              <w:rPr>
                <w:sz w:val="15"/>
                <w:szCs w:val="15"/>
                <w:color w:val="auto"/>
              </w:rPr>
            </w:pPr>
          </w:p>
        </w:tc>
        <w:tc>
          <w:tcPr>
            <w:tcW w:w="16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spacing w:after="0"/>
              <w:rPr>
                <w:sz w:val="15"/>
                <w:szCs w:val="15"/>
                <w:color w:val="auto"/>
              </w:rPr>
            </w:pPr>
          </w:p>
        </w:tc>
        <w:tc>
          <w:tcPr>
            <w:tcW w:w="4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spacing w:after="0"/>
              <w:rPr>
                <w:sz w:val="15"/>
                <w:szCs w:val="15"/>
                <w:color w:val="auto"/>
              </w:rPr>
            </w:pPr>
          </w:p>
        </w:tc>
      </w:tr>
      <w:tr>
        <w:trPr>
          <w:trHeight w:val="190"/>
        </w:trPr>
        <w:tc>
          <w:tcPr>
            <w:tcW w:w="7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4,133</w:t>
            </w:r>
          </w:p>
        </w:tc>
        <w:tc>
          <w:tcPr>
            <w:tcW w:w="32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4,329</w:t>
            </w:r>
          </w:p>
        </w:tc>
        <w:tc>
          <w:tcPr>
            <w:tcW w:w="26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8,201</w:t>
            </w:r>
          </w:p>
        </w:tc>
        <w:tc>
          <w:tcPr>
            <w:tcW w:w="4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8,388</w:t>
            </w:r>
          </w:p>
        </w:tc>
      </w:tr>
      <w:tr>
        <w:trPr>
          <w:trHeight w:val="196"/>
        </w:trPr>
        <w:tc>
          <w:tcPr>
            <w:tcW w:w="7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1,493</w:t>
            </w:r>
          </w:p>
        </w:tc>
        <w:tc>
          <w:tcPr>
            <w:tcW w:w="3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1,331</w:t>
            </w:r>
          </w:p>
        </w:tc>
        <w:tc>
          <w:tcPr>
            <w:tcW w:w="26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2,923</w:t>
            </w:r>
          </w:p>
        </w:tc>
        <w:tc>
          <w:tcPr>
            <w:tcW w:w="4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2,596</w:t>
            </w:r>
          </w:p>
        </w:tc>
      </w:tr>
      <w:tr>
        <w:trPr>
          <w:trHeight w:val="188"/>
        </w:trPr>
        <w:tc>
          <w:tcPr>
            <w:tcW w:w="7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5,626</w:t>
            </w:r>
          </w:p>
        </w:tc>
        <w:tc>
          <w:tcPr>
            <w:tcW w:w="32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5,660</w:t>
            </w:r>
          </w:p>
        </w:tc>
        <w:tc>
          <w:tcPr>
            <w:tcW w:w="2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11,124</w:t>
            </w:r>
          </w:p>
        </w:tc>
        <w:tc>
          <w:tcPr>
            <w:tcW w:w="4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10,984</w:t>
            </w:r>
          </w:p>
        </w:tc>
      </w:tr>
      <w:tr>
        <w:trPr>
          <w:trHeight w:val="190"/>
        </w:trPr>
        <w:tc>
          <w:tcPr>
            <w:tcW w:w="7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375</w:t>
            </w:r>
          </w:p>
        </w:tc>
        <w:tc>
          <w:tcPr>
            <w:tcW w:w="32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386</w:t>
            </w:r>
          </w:p>
        </w:tc>
        <w:tc>
          <w:tcPr>
            <w:tcW w:w="26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732</w:t>
            </w:r>
          </w:p>
        </w:tc>
        <w:tc>
          <w:tcPr>
            <w:tcW w:w="4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736</w:t>
            </w:r>
          </w:p>
        </w:tc>
      </w:tr>
      <w:tr>
        <w:trPr>
          <w:trHeight w:val="196"/>
        </w:trPr>
        <w:tc>
          <w:tcPr>
            <w:tcW w:w="7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1,262</w:t>
            </w:r>
          </w:p>
        </w:tc>
        <w:tc>
          <w:tcPr>
            <w:tcW w:w="32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1,306</w:t>
            </w:r>
          </w:p>
        </w:tc>
        <w:tc>
          <w:tcPr>
            <w:tcW w:w="26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2,579</w:t>
            </w:r>
          </w:p>
        </w:tc>
        <w:tc>
          <w:tcPr>
            <w:tcW w:w="4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2,737</w:t>
            </w:r>
          </w:p>
        </w:tc>
      </w:tr>
      <w:tr>
        <w:trPr>
          <w:trHeight w:val="189"/>
        </w:trPr>
        <w:tc>
          <w:tcPr>
            <w:tcW w:w="7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(income) expense</w:t>
            </w:r>
          </w:p>
        </w:tc>
        <w:tc>
          <w:tcPr>
            <w:tcW w:w="1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(208)</w:t>
            </w:r>
          </w:p>
        </w:tc>
        <w:tc>
          <w:tcPr>
            <w:tcW w:w="32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(190)</w:t>
            </w:r>
          </w:p>
        </w:tc>
        <w:tc>
          <w:tcPr>
            <w:tcW w:w="26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(468)</w:t>
            </w:r>
          </w:p>
        </w:tc>
        <w:tc>
          <w:tcPr>
            <w:tcW w:w="4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(509)</w:t>
            </w:r>
          </w:p>
        </w:tc>
      </w:tr>
      <w:tr>
        <w:trPr>
          <w:trHeight w:val="190"/>
        </w:trPr>
        <w:tc>
          <w:tcPr>
            <w:tcW w:w="7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187</w:t>
            </w:r>
          </w:p>
        </w:tc>
        <w:tc>
          <w:tcPr>
            <w:tcW w:w="32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357</w:t>
            </w:r>
          </w:p>
        </w:tc>
        <w:tc>
          <w:tcPr>
            <w:tcW w:w="4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172</w:t>
            </w:r>
          </w:p>
        </w:tc>
      </w:tr>
      <w:tr>
        <w:trPr>
          <w:trHeight w:val="201"/>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7,242</w:t>
            </w:r>
          </w:p>
        </w:tc>
        <w:tc>
          <w:tcPr>
            <w:tcW w:w="3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7,249</w:t>
            </w:r>
          </w:p>
        </w:tc>
        <w:tc>
          <w:tcPr>
            <w:tcW w:w="26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14,324</w:t>
            </w:r>
          </w:p>
        </w:tc>
        <w:tc>
          <w:tcPr>
            <w:tcW w:w="4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14,120</w:t>
            </w:r>
          </w:p>
        </w:tc>
      </w:tr>
      <w:tr>
        <w:trPr>
          <w:trHeight w:val="183"/>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140" w:type="dxa"/>
            <w:vAlign w:val="bottom"/>
            <w:tcBorders>
              <w:bottom w:val="single" w:sz="8" w:color="D7282F"/>
            </w:tcBorders>
          </w:tcPr>
          <w:p>
            <w:pPr>
              <w:spacing w:after="0"/>
              <w:rPr>
                <w:sz w:val="15"/>
                <w:szCs w:val="15"/>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1,904</w:t>
            </w:r>
          </w:p>
        </w:tc>
        <w:tc>
          <w:tcPr>
            <w:tcW w:w="320" w:type="dxa"/>
            <w:vAlign w:val="bottom"/>
            <w:tcBorders>
              <w:bottom w:val="single" w:sz="8" w:color="D7282F"/>
            </w:tcBorders>
          </w:tcPr>
          <w:p>
            <w:pPr>
              <w:spacing w:after="0"/>
              <w:rPr>
                <w:sz w:val="15"/>
                <w:szCs w:val="15"/>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1,704</w:t>
            </w:r>
          </w:p>
        </w:tc>
        <w:tc>
          <w:tcPr>
            <w:tcW w:w="260" w:type="dxa"/>
            <w:vAlign w:val="bottom"/>
            <w:tcBorders>
              <w:bottom w:val="single" w:sz="8" w:color="D7282F"/>
            </w:tcBorders>
          </w:tcPr>
          <w:p>
            <w:pPr>
              <w:spacing w:after="0"/>
              <w:rPr>
                <w:sz w:val="15"/>
                <w:szCs w:val="15"/>
                <w:color w:val="auto"/>
              </w:rPr>
            </w:pPr>
          </w:p>
        </w:tc>
        <w:tc>
          <w:tcPr>
            <w:tcW w:w="160" w:type="dxa"/>
            <w:vAlign w:val="bottom"/>
            <w:tcBorders>
              <w:bottom w:val="single" w:sz="8" w:color="D7282F"/>
            </w:tcBorders>
          </w:tcPr>
          <w:p>
            <w:pPr>
              <w:spacing w:after="0"/>
              <w:rPr>
                <w:sz w:val="15"/>
                <w:szCs w:val="15"/>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3,686</w:t>
            </w:r>
          </w:p>
        </w:tc>
        <w:tc>
          <w:tcPr>
            <w:tcW w:w="400" w:type="dxa"/>
            <w:vAlign w:val="bottom"/>
            <w:tcBorders>
              <w:bottom w:val="single" w:sz="8" w:color="D7282F"/>
            </w:tcBorders>
          </w:tcPr>
          <w:p>
            <w:pPr>
              <w:spacing w:after="0"/>
              <w:rPr>
                <w:sz w:val="15"/>
                <w:szCs w:val="15"/>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3,209</w:t>
            </w:r>
          </w:p>
        </w:tc>
      </w:tr>
      <w:tr>
        <w:trPr>
          <w:trHeight w:val="190"/>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403</w:t>
            </w:r>
          </w:p>
        </w:tc>
        <w:tc>
          <w:tcPr>
            <w:tcW w:w="32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441</w:t>
            </w:r>
          </w:p>
        </w:tc>
        <w:tc>
          <w:tcPr>
            <w:tcW w:w="2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777</w:t>
            </w:r>
          </w:p>
        </w:tc>
        <w:tc>
          <w:tcPr>
            <w:tcW w:w="4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812</w:t>
            </w:r>
          </w:p>
        </w:tc>
      </w:tr>
      <w:tr>
        <w:trPr>
          <w:trHeight w:val="201"/>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1,501</w:t>
            </w:r>
          </w:p>
        </w:tc>
        <w:tc>
          <w:tcPr>
            <w:tcW w:w="3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1,263</w:t>
            </w:r>
          </w:p>
        </w:tc>
        <w:tc>
          <w:tcPr>
            <w:tcW w:w="26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2,909</w:t>
            </w:r>
          </w:p>
        </w:tc>
        <w:tc>
          <w:tcPr>
            <w:tcW w:w="4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2,397</w:t>
            </w:r>
          </w:p>
        </w:tc>
      </w:tr>
      <w:tr>
        <w:trPr>
          <w:trHeight w:val="183"/>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140" w:type="dxa"/>
            <w:vAlign w:val="bottom"/>
            <w:tcBorders>
              <w:bottom w:val="single" w:sz="8" w:color="D7282F"/>
            </w:tcBorders>
          </w:tcPr>
          <w:p>
            <w:pPr>
              <w:spacing w:after="0"/>
              <w:rPr>
                <w:sz w:val="15"/>
                <w:szCs w:val="15"/>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c>
          <w:tcPr>
            <w:tcW w:w="320" w:type="dxa"/>
            <w:vAlign w:val="bottom"/>
            <w:tcBorders>
              <w:bottom w:val="single" w:sz="8" w:color="D7282F"/>
            </w:tcBorders>
          </w:tcPr>
          <w:p>
            <w:pPr>
              <w:spacing w:after="0"/>
              <w:rPr>
                <w:sz w:val="15"/>
                <w:szCs w:val="15"/>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D7282F"/>
            </w:tcBorders>
          </w:tcPr>
          <w:p>
            <w:pPr>
              <w:spacing w:after="0"/>
              <w:rPr>
                <w:sz w:val="15"/>
                <w:szCs w:val="15"/>
                <w:color w:val="auto"/>
              </w:rPr>
            </w:pPr>
          </w:p>
        </w:tc>
        <w:tc>
          <w:tcPr>
            <w:tcW w:w="160" w:type="dxa"/>
            <w:vAlign w:val="bottom"/>
            <w:tcBorders>
              <w:bottom w:val="single" w:sz="8" w:color="D7282F"/>
            </w:tcBorders>
          </w:tcPr>
          <w:p>
            <w:pPr>
              <w:spacing w:after="0"/>
              <w:rPr>
                <w:sz w:val="15"/>
                <w:szCs w:val="15"/>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28</w:t>
            </w:r>
          </w:p>
        </w:tc>
        <w:tc>
          <w:tcPr>
            <w:tcW w:w="400" w:type="dxa"/>
            <w:vAlign w:val="bottom"/>
            <w:tcBorders>
              <w:bottom w:val="single" w:sz="8" w:color="D7282F"/>
            </w:tcBorders>
          </w:tcPr>
          <w:p>
            <w:pPr>
              <w:spacing w:after="0"/>
              <w:rPr>
                <w:sz w:val="15"/>
                <w:szCs w:val="15"/>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5"/>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1,487</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1,261</w:t>
            </w:r>
          </w:p>
        </w:tc>
        <w:tc>
          <w:tcPr>
            <w:tcW w:w="42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2,881</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2,395</w:t>
            </w:r>
          </w:p>
        </w:tc>
      </w:tr>
      <w:tr>
        <w:trPr>
          <w:trHeight w:val="196"/>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stock—basic</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2.24</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w:t>
            </w:r>
          </w:p>
        </w:tc>
        <w:tc>
          <w:tcPr>
            <w:tcW w:w="42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4.32</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3.51</w:t>
            </w:r>
          </w:p>
        </w:tc>
      </w:tr>
      <w:tr>
        <w:trPr>
          <w:trHeight w:val="184"/>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2.22</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1.84</w:t>
            </w:r>
          </w:p>
        </w:tc>
        <w:tc>
          <w:tcPr>
            <w:tcW w:w="42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4.29</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3.48</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71"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Six Months Ended June</w:t>
            </w:r>
          </w:p>
        </w:tc>
      </w:tr>
      <w:tr>
        <w:trPr>
          <w:trHeight w:val="201"/>
        </w:trPr>
        <w:tc>
          <w:tcPr>
            <w:tcW w:w="74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w:t>
            </w:r>
          </w:p>
        </w:tc>
        <w:tc>
          <w:tcPr>
            <w:tcW w:w="620" w:type="dxa"/>
            <w:vAlign w:val="bottom"/>
            <w:tcBorders>
              <w:bottom w:val="single" w:sz="8" w:color="D7282F"/>
            </w:tcBorders>
          </w:tcPr>
          <w:p>
            <w:pPr>
              <w:spacing w:after="0"/>
              <w:rPr>
                <w:sz w:val="17"/>
                <w:szCs w:val="17"/>
                <w:color w:val="auto"/>
              </w:rPr>
            </w:pPr>
          </w:p>
        </w:tc>
      </w:tr>
      <w:tr>
        <w:trPr>
          <w:trHeight w:val="224"/>
        </w:trPr>
        <w:tc>
          <w:tcPr>
            <w:tcW w:w="7400" w:type="dxa"/>
            <w:vAlign w:val="bottom"/>
          </w:tcPr>
          <w:p>
            <w:pPr>
              <w:spacing w:after="0"/>
              <w:rPr>
                <w:sz w:val="19"/>
                <w:szCs w:val="19"/>
                <w:color w:val="auto"/>
              </w:rPr>
            </w:pPr>
          </w:p>
        </w:tc>
        <w:tc>
          <w:tcPr>
            <w:tcW w:w="140" w:type="dxa"/>
            <w:vAlign w:val="bottom"/>
            <w:tcBorders>
              <w:bottom w:val="single" w:sz="8" w:color="D7282F"/>
            </w:tcBorders>
          </w:tcPr>
          <w:p>
            <w:pPr>
              <w:spacing w:after="0"/>
              <w:rPr>
                <w:sz w:val="19"/>
                <w:szCs w:val="19"/>
                <w:color w:val="auto"/>
              </w:rPr>
            </w:pPr>
          </w:p>
        </w:tc>
        <w:tc>
          <w:tcPr>
            <w:tcW w:w="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D7282F"/>
            </w:tcBorders>
          </w:tcPr>
          <w:p>
            <w:pPr>
              <w:spacing w:after="0"/>
              <w:rPr>
                <w:sz w:val="19"/>
                <w:szCs w:val="19"/>
                <w:color w:val="auto"/>
              </w:rPr>
            </w:pPr>
          </w:p>
        </w:tc>
        <w:tc>
          <w:tcPr>
            <w:tcW w:w="5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9"/>
                <w:szCs w:val="19"/>
                <w:color w:val="auto"/>
              </w:rPr>
            </w:pPr>
          </w:p>
        </w:tc>
        <w:tc>
          <w:tcPr>
            <w:tcW w:w="160" w:type="dxa"/>
            <w:vAlign w:val="bottom"/>
            <w:tcBorders>
              <w:bottom w:val="single" w:sz="8" w:color="D7282F"/>
            </w:tcBorders>
          </w:tcPr>
          <w:p>
            <w:pPr>
              <w:spacing w:after="0"/>
              <w:rPr>
                <w:sz w:val="19"/>
                <w:szCs w:val="19"/>
                <w:color w:val="auto"/>
              </w:rPr>
            </w:pPr>
          </w:p>
        </w:tc>
        <w:tc>
          <w:tcPr>
            <w:tcW w:w="6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D7282F"/>
            </w:tcBorders>
          </w:tcPr>
          <w:p>
            <w:pPr>
              <w:spacing w:after="0"/>
              <w:rPr>
                <w:sz w:val="19"/>
                <w:szCs w:val="19"/>
                <w:color w:val="auto"/>
              </w:rPr>
            </w:pPr>
          </w:p>
        </w:tc>
        <w:tc>
          <w:tcPr>
            <w:tcW w:w="6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2022</w:t>
            </w:r>
          </w:p>
        </w:tc>
      </w:tr>
      <w:tr>
        <w:trPr>
          <w:trHeight w:val="195"/>
        </w:trPr>
        <w:tc>
          <w:tcPr>
            <w:tcW w:w="74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gridSpan w:val="4"/>
          </w:tcPr>
          <w:p>
            <w:pPr>
              <w:jc w:val="right"/>
              <w:ind w:right="168"/>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spacing w:after="0"/>
              <w:rPr>
                <w:sz w:val="16"/>
                <w:szCs w:val="16"/>
                <w:color w:val="auto"/>
              </w:rPr>
            </w:pPr>
          </w:p>
        </w:tc>
      </w:tr>
      <w:tr>
        <w:trPr>
          <w:trHeight w:val="191"/>
        </w:trPr>
        <w:tc>
          <w:tcPr>
            <w:tcW w:w="74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1,501</w:t>
            </w:r>
          </w:p>
        </w:tc>
        <w:tc>
          <w:tcPr>
            <w:tcW w:w="3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1,263</w:t>
            </w:r>
          </w:p>
        </w:tc>
        <w:tc>
          <w:tcPr>
            <w:tcW w:w="40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2,909</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2,397</w:t>
            </w:r>
          </w:p>
        </w:tc>
      </w:tr>
      <w:tr>
        <w:trPr>
          <w:trHeight w:val="188"/>
        </w:trPr>
        <w:tc>
          <w:tcPr>
            <w:tcW w:w="7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spacing w:after="0"/>
              <w:rPr>
                <w:sz w:val="16"/>
                <w:szCs w:val="16"/>
                <w:color w:val="auto"/>
              </w:rPr>
            </w:pPr>
          </w:p>
        </w:tc>
      </w:tr>
      <w:tr>
        <w:trPr>
          <w:trHeight w:val="183"/>
        </w:trPr>
        <w:tc>
          <w:tcPr>
            <w:tcW w:w="74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Foreign exchange translation adjustment</w:t>
            </w:r>
          </w:p>
        </w:tc>
        <w:tc>
          <w:tcPr>
            <w:tcW w:w="140" w:type="dxa"/>
            <w:vAlign w:val="bottom"/>
            <w:tcBorders>
              <w:bottom w:val="single" w:sz="8" w:color="D7282F"/>
            </w:tcBorders>
          </w:tcPr>
          <w:p>
            <w:pPr>
              <w:spacing w:after="0"/>
              <w:rPr>
                <w:sz w:val="15"/>
                <w:szCs w:val="15"/>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(77)</w:t>
            </w:r>
          </w:p>
        </w:tc>
        <w:tc>
          <w:tcPr>
            <w:tcW w:w="340" w:type="dxa"/>
            <w:vAlign w:val="bottom"/>
            <w:tcBorders>
              <w:bottom w:val="single" w:sz="8" w:color="D7282F"/>
            </w:tcBorders>
          </w:tcPr>
          <w:p>
            <w:pPr>
              <w:spacing w:after="0"/>
              <w:rPr>
                <w:sz w:val="15"/>
                <w:szCs w:val="15"/>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(102)</w:t>
            </w:r>
          </w:p>
        </w:tc>
        <w:tc>
          <w:tcPr>
            <w:tcW w:w="240" w:type="dxa"/>
            <w:vAlign w:val="bottom"/>
            <w:tcBorders>
              <w:bottom w:val="single" w:sz="8" w:color="D7282F"/>
            </w:tcBorders>
          </w:tcPr>
          <w:p>
            <w:pPr>
              <w:spacing w:after="0"/>
              <w:rPr>
                <w:sz w:val="15"/>
                <w:szCs w:val="15"/>
                <w:color w:val="auto"/>
              </w:rPr>
            </w:pPr>
          </w:p>
        </w:tc>
        <w:tc>
          <w:tcPr>
            <w:tcW w:w="160" w:type="dxa"/>
            <w:vAlign w:val="bottom"/>
            <w:tcBorders>
              <w:bottom w:val="single" w:sz="8" w:color="D7282F"/>
            </w:tcBorders>
          </w:tcPr>
          <w:p>
            <w:pPr>
              <w:spacing w:after="0"/>
              <w:rPr>
                <w:sz w:val="15"/>
                <w:szCs w:val="15"/>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(135)</w:t>
            </w:r>
          </w:p>
        </w:tc>
        <w:tc>
          <w:tcPr>
            <w:tcW w:w="400" w:type="dxa"/>
            <w:vAlign w:val="bottom"/>
            <w:tcBorders>
              <w:bottom w:val="single" w:sz="8" w:color="D7282F"/>
            </w:tcBorders>
          </w:tcPr>
          <w:p>
            <w:pPr>
              <w:spacing w:after="0"/>
              <w:rPr>
                <w:sz w:val="15"/>
                <w:szCs w:val="15"/>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w:t>
            </w:r>
          </w:p>
        </w:tc>
      </w:tr>
      <w:tr>
        <w:trPr>
          <w:trHeight w:val="195"/>
        </w:trPr>
        <w:tc>
          <w:tcPr>
            <w:tcW w:w="74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Pension and other postretirement benefit adjustments</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34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w:t>
            </w:r>
          </w:p>
        </w:tc>
        <w:tc>
          <w:tcPr>
            <w:tcW w:w="4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w:t>
            </w:r>
          </w:p>
        </w:tc>
      </w:tr>
      <w:tr>
        <w:trPr>
          <w:trHeight w:val="196"/>
        </w:trPr>
        <w:tc>
          <w:tcPr>
            <w:tcW w:w="74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available for sale investments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w:t>
            </w:r>
          </w:p>
        </w:tc>
        <w:tc>
          <w:tcPr>
            <w:tcW w:w="3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w:t>
            </w:r>
          </w:p>
        </w:tc>
        <w:tc>
          <w:tcPr>
            <w:tcW w:w="4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r>
      <w:tr>
        <w:trPr>
          <w:trHeight w:val="184"/>
        </w:trPr>
        <w:tc>
          <w:tcPr>
            <w:tcW w:w="74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Cash flow hedges recognized in other comprehensive income (loss)</w:t>
            </w:r>
          </w:p>
        </w:tc>
        <w:tc>
          <w:tcPr>
            <w:tcW w:w="140" w:type="dxa"/>
            <w:vAlign w:val="bottom"/>
            <w:tcBorders>
              <w:bottom w:val="single" w:sz="8" w:color="61656A"/>
            </w:tcBorders>
          </w:tcPr>
          <w:p>
            <w:pPr>
              <w:spacing w:after="0"/>
              <w:rPr>
                <w:sz w:val="15"/>
                <w:szCs w:val="15"/>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w:t>
            </w:r>
          </w:p>
        </w:tc>
        <w:tc>
          <w:tcPr>
            <w:tcW w:w="340" w:type="dxa"/>
            <w:vAlign w:val="bottom"/>
            <w:tcBorders>
              <w:bottom w:val="single" w:sz="8" w:color="61656A"/>
            </w:tcBorders>
          </w:tcPr>
          <w:p>
            <w:pPr>
              <w:spacing w:after="0"/>
              <w:rPr>
                <w:sz w:val="15"/>
                <w:szCs w:val="15"/>
                <w:color w:val="auto"/>
              </w:rPr>
            </w:pPr>
          </w:p>
        </w:tc>
        <w:tc>
          <w:tcPr>
            <w:tcW w:w="5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61656A"/>
            </w:tcBorders>
          </w:tcPr>
          <w:p>
            <w:pPr>
              <w:spacing w:after="0"/>
              <w:rPr>
                <w:sz w:val="15"/>
                <w:szCs w:val="15"/>
                <w:color w:val="auto"/>
              </w:rPr>
            </w:pPr>
          </w:p>
        </w:tc>
        <w:tc>
          <w:tcPr>
            <w:tcW w:w="16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30</w:t>
            </w:r>
          </w:p>
        </w:tc>
        <w:tc>
          <w:tcPr>
            <w:tcW w:w="4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w:t>
            </w:r>
          </w:p>
        </w:tc>
      </w:tr>
      <w:tr>
        <w:trPr>
          <w:trHeight w:val="190"/>
        </w:trPr>
        <w:tc>
          <w:tcPr>
            <w:tcW w:w="740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Less: Reclassification adjustment for gains (losses) included in net income</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w:t>
            </w:r>
          </w:p>
        </w:tc>
        <w:tc>
          <w:tcPr>
            <w:tcW w:w="34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13</w:t>
            </w:r>
          </w:p>
        </w:tc>
        <w:tc>
          <w:tcPr>
            <w:tcW w:w="4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w:t>
            </w:r>
          </w:p>
        </w:tc>
      </w:tr>
      <w:tr>
        <w:trPr>
          <w:trHeight w:val="201"/>
        </w:trPr>
        <w:tc>
          <w:tcPr>
            <w:tcW w:w="74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cash flow hedges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w:t>
            </w:r>
          </w:p>
        </w:tc>
        <w:tc>
          <w:tcPr>
            <w:tcW w:w="3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17</w:t>
            </w:r>
          </w:p>
        </w:tc>
        <w:tc>
          <w:tcPr>
            <w:tcW w:w="4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w:t>
            </w:r>
          </w:p>
        </w:tc>
      </w:tr>
      <w:tr>
        <w:trPr>
          <w:trHeight w:val="184"/>
        </w:trPr>
        <w:tc>
          <w:tcPr>
            <w:tcW w:w="7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Other comprehensive income (loss), net of tax</w:t>
            </w:r>
          </w:p>
        </w:tc>
        <w:tc>
          <w:tcPr>
            <w:tcW w:w="140" w:type="dxa"/>
            <w:vAlign w:val="bottom"/>
            <w:tcBorders>
              <w:bottom w:val="single" w:sz="8" w:color="D7282F"/>
            </w:tcBorders>
          </w:tcPr>
          <w:p>
            <w:pPr>
              <w:spacing w:after="0"/>
              <w:rPr>
                <w:sz w:val="15"/>
                <w:szCs w:val="15"/>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(77)</w:t>
            </w:r>
          </w:p>
        </w:tc>
        <w:tc>
          <w:tcPr>
            <w:tcW w:w="340" w:type="dxa"/>
            <w:vAlign w:val="bottom"/>
            <w:tcBorders>
              <w:bottom w:val="single" w:sz="8" w:color="D7282F"/>
            </w:tcBorders>
          </w:tcPr>
          <w:p>
            <w:pPr>
              <w:spacing w:after="0"/>
              <w:rPr>
                <w:sz w:val="15"/>
                <w:szCs w:val="15"/>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(103)</w:t>
            </w:r>
          </w:p>
        </w:tc>
        <w:tc>
          <w:tcPr>
            <w:tcW w:w="240" w:type="dxa"/>
            <w:vAlign w:val="bottom"/>
            <w:tcBorders>
              <w:bottom w:val="single" w:sz="8" w:color="D7282F"/>
            </w:tcBorders>
          </w:tcPr>
          <w:p>
            <w:pPr>
              <w:spacing w:after="0"/>
              <w:rPr>
                <w:sz w:val="15"/>
                <w:szCs w:val="15"/>
                <w:color w:val="auto"/>
              </w:rPr>
            </w:pPr>
          </w:p>
        </w:tc>
        <w:tc>
          <w:tcPr>
            <w:tcW w:w="160" w:type="dxa"/>
            <w:vAlign w:val="bottom"/>
            <w:tcBorders>
              <w:bottom w:val="single" w:sz="8" w:color="D7282F"/>
            </w:tcBorders>
          </w:tcPr>
          <w:p>
            <w:pPr>
              <w:spacing w:after="0"/>
              <w:rPr>
                <w:sz w:val="15"/>
                <w:szCs w:val="15"/>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(139)</w:t>
            </w:r>
          </w:p>
        </w:tc>
        <w:tc>
          <w:tcPr>
            <w:tcW w:w="400" w:type="dxa"/>
            <w:vAlign w:val="bottom"/>
            <w:tcBorders>
              <w:bottom w:val="single" w:sz="8" w:color="D7282F"/>
            </w:tcBorders>
          </w:tcPr>
          <w:p>
            <w:pPr>
              <w:spacing w:after="0"/>
              <w:rPr>
                <w:sz w:val="15"/>
                <w:szCs w:val="15"/>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w:t>
            </w:r>
          </w:p>
        </w:tc>
      </w:tr>
      <w:tr>
        <w:trPr>
          <w:trHeight w:val="195"/>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1,424</w:t>
            </w:r>
          </w:p>
        </w:tc>
        <w:tc>
          <w:tcPr>
            <w:tcW w:w="34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1,160</w:t>
            </w: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2,770</w:t>
            </w:r>
          </w:p>
        </w:tc>
        <w:tc>
          <w:tcPr>
            <w:tcW w:w="4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2,402</w:t>
            </w:r>
          </w:p>
        </w:tc>
      </w:tr>
      <w:tr>
        <w:trPr>
          <w:trHeight w:val="191"/>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Comprehensive income (loss) attributable to the noncontrolling interest</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w:t>
            </w:r>
          </w:p>
        </w:tc>
        <w:tc>
          <w:tcPr>
            <w:tcW w:w="34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25</w:t>
            </w:r>
          </w:p>
        </w:tc>
        <w:tc>
          <w:tcPr>
            <w:tcW w:w="4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1,414</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1,165</w:t>
            </w:r>
          </w:p>
        </w:tc>
        <w:tc>
          <w:tcPr>
            <w:tcW w:w="40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2,745</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2,407</w:t>
            </w: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71"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4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December 31, 2022</w:t>
            </w:r>
          </w:p>
        </w:tc>
      </w:tr>
      <w:tr>
        <w:trPr>
          <w:trHeight w:val="184"/>
        </w:trPr>
        <w:tc>
          <w:tcPr>
            <w:tcW w:w="7540" w:type="dxa"/>
            <w:vAlign w:val="bottom"/>
            <w:tcBorders>
              <w:bottom w:val="single" w:sz="8" w:color="D7282F"/>
            </w:tcBorders>
          </w:tcPr>
          <w:p>
            <w:pPr>
              <w:spacing w:after="0"/>
              <w:rPr>
                <w:sz w:val="15"/>
                <w:szCs w:val="15"/>
                <w:color w:val="auto"/>
              </w:rPr>
            </w:pPr>
          </w:p>
        </w:tc>
        <w:tc>
          <w:tcPr>
            <w:tcW w:w="240" w:type="dxa"/>
            <w:vAlign w:val="bottom"/>
            <w:tcBorders>
              <w:bottom w:val="single" w:sz="8" w:color="D7282F"/>
            </w:tcBorders>
          </w:tcPr>
          <w:p>
            <w:pPr>
              <w:spacing w:after="0"/>
              <w:rPr>
                <w:sz w:val="15"/>
                <w:szCs w:val="15"/>
                <w:color w:val="auto"/>
              </w:rPr>
            </w:pPr>
          </w:p>
        </w:tc>
        <w:tc>
          <w:tcPr>
            <w:tcW w:w="3460" w:type="dxa"/>
            <w:vAlign w:val="bottom"/>
            <w:tcBorders>
              <w:bottom w:val="single" w:sz="8" w:color="D7282F"/>
            </w:tcBorders>
            <w:gridSpan w:val="3"/>
          </w:tcPr>
          <w:p>
            <w:pPr>
              <w:jc w:val="right"/>
              <w:ind w:right="1108"/>
              <w:spacing w:after="0"/>
              <w:rPr>
                <w:sz w:val="20"/>
                <w:szCs w:val="20"/>
                <w:color w:val="auto"/>
              </w:rPr>
            </w:pPr>
            <w:r>
              <w:rPr>
                <w:rFonts w:ascii="Arial" w:cs="Arial" w:eastAsia="Arial" w:hAnsi="Arial"/>
                <w:sz w:val="14"/>
                <w:szCs w:val="14"/>
                <w:b w:val="1"/>
                <w:bCs w:val="1"/>
                <w:color w:val="auto"/>
              </w:rPr>
              <w:t>(Dollars in millions)</w:t>
            </w:r>
          </w:p>
        </w:tc>
      </w:tr>
      <w:tr>
        <w:trPr>
          <w:trHeight w:val="195"/>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spacing w:after="0"/>
              <w:rPr>
                <w:sz w:val="16"/>
                <w:szCs w:val="16"/>
                <w:color w:val="auto"/>
              </w:rPr>
            </w:pP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24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84"/>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8,626</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9,627</w:t>
            </w:r>
          </w:p>
        </w:tc>
      </w:tr>
      <w:tr>
        <w:trPr>
          <w:trHeight w:val="190"/>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143</w:t>
            </w: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483</w:t>
            </w:r>
          </w:p>
        </w:tc>
      </w:tr>
      <w:tr>
        <w:trPr>
          <w:trHeight w:val="196"/>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 less allowances of $350 and $326, respectively</w:t>
            </w:r>
          </w:p>
        </w:tc>
        <w:tc>
          <w:tcPr>
            <w:tcW w:w="24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7,994</w:t>
            </w:r>
          </w:p>
        </w:tc>
        <w:tc>
          <w:tcPr>
            <w:tcW w:w="2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7,440</w:t>
            </w:r>
          </w:p>
        </w:tc>
      </w:tr>
      <w:tr>
        <w:trPr>
          <w:trHeight w:val="188"/>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5,890</w:t>
            </w: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5,538</w:t>
            </w:r>
          </w:p>
        </w:tc>
      </w:tr>
      <w:tr>
        <w:trPr>
          <w:trHeight w:val="190"/>
        </w:trPr>
        <w:tc>
          <w:tcPr>
            <w:tcW w:w="7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1,530</w:t>
            </w:r>
          </w:p>
        </w:tc>
        <w:tc>
          <w:tcPr>
            <w:tcW w:w="28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1,894</w:t>
            </w:r>
          </w:p>
        </w:tc>
      </w:tr>
      <w:tr>
        <w:trPr>
          <w:trHeight w:val="201"/>
        </w:trPr>
        <w:tc>
          <w:tcPr>
            <w:tcW w:w="7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24,183</w:t>
            </w:r>
          </w:p>
        </w:tc>
        <w:tc>
          <w:tcPr>
            <w:tcW w:w="28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24,982</w:t>
            </w:r>
          </w:p>
        </w:tc>
      </w:tr>
      <w:tr>
        <w:trPr>
          <w:trHeight w:val="183"/>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240" w:type="dxa"/>
            <w:vAlign w:val="bottom"/>
            <w:tcBorders>
              <w:bottom w:val="single" w:sz="8" w:color="61656A"/>
            </w:tcBorders>
          </w:tcPr>
          <w:p>
            <w:pPr>
              <w:spacing w:after="0"/>
              <w:rPr>
                <w:sz w:val="15"/>
                <w:szCs w:val="15"/>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911</w:t>
            </w:r>
          </w:p>
        </w:tc>
        <w:tc>
          <w:tcPr>
            <w:tcW w:w="280" w:type="dxa"/>
            <w:vAlign w:val="bottom"/>
            <w:tcBorders>
              <w:bottom w:val="single" w:sz="8" w:color="61656A"/>
            </w:tcBorders>
          </w:tcPr>
          <w:p>
            <w:pPr>
              <w:spacing w:after="0"/>
              <w:rPr>
                <w:sz w:val="15"/>
                <w:szCs w:val="15"/>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945</w:t>
            </w:r>
          </w:p>
        </w:tc>
      </w:tr>
      <w:tr>
        <w:trPr>
          <w:trHeight w:val="190"/>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5,486</w:t>
            </w: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5,471</w:t>
            </w: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17,954</w:t>
            </w:r>
          </w:p>
        </w:tc>
        <w:tc>
          <w:tcPr>
            <w:tcW w:w="2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17,497</w:t>
            </w:r>
          </w:p>
        </w:tc>
      </w:tr>
      <w:tr>
        <w:trPr>
          <w:trHeight w:val="188"/>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3,415</w:t>
            </w: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3,222</w:t>
            </w:r>
          </w:p>
        </w:tc>
      </w:tr>
      <w:tr>
        <w:trPr>
          <w:trHeight w:val="190"/>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203</w:t>
            </w: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224</w:t>
            </w: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24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383</w:t>
            </w:r>
          </w:p>
        </w:tc>
        <w:tc>
          <w:tcPr>
            <w:tcW w:w="2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421</w:t>
            </w:r>
          </w:p>
        </w:tc>
      </w:tr>
      <w:tr>
        <w:trPr>
          <w:trHeight w:val="188"/>
        </w:trPr>
        <w:tc>
          <w:tcPr>
            <w:tcW w:w="75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9,802</w:t>
            </w:r>
          </w:p>
        </w:tc>
        <w:tc>
          <w:tcPr>
            <w:tcW w:w="28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9,513</w:t>
            </w:r>
          </w:p>
        </w:tc>
      </w:tr>
      <w:tr>
        <w:trPr>
          <w:trHeight w:val="195"/>
        </w:trPr>
        <w:tc>
          <w:tcPr>
            <w:tcW w:w="7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62,337</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62,275</w:t>
            </w: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84"/>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40" w:type="dxa"/>
            <w:vAlign w:val="bottom"/>
            <w:tcBorders>
              <w:bottom w:val="single" w:sz="8" w:color="61656A"/>
            </w:tcBorders>
          </w:tcPr>
          <w:p>
            <w:pPr>
              <w:spacing w:after="0"/>
              <w:rPr>
                <w:sz w:val="15"/>
                <w:szCs w:val="15"/>
                <w:color w:val="auto"/>
              </w:rPr>
            </w:pPr>
          </w:p>
        </w:tc>
        <w:tc>
          <w:tcPr>
            <w:tcW w:w="1600" w:type="dxa"/>
            <w:vAlign w:val="bottom"/>
            <w:tcBorders>
              <w:bottom w:val="single" w:sz="8" w:color="61656A"/>
            </w:tcBorders>
          </w:tcPr>
          <w:p>
            <w:pPr>
              <w:spacing w:after="0"/>
              <w:rPr>
                <w:sz w:val="15"/>
                <w:szCs w:val="15"/>
                <w:color w:val="auto"/>
              </w:rPr>
            </w:pPr>
          </w:p>
        </w:tc>
        <w:tc>
          <w:tcPr>
            <w:tcW w:w="280" w:type="dxa"/>
            <w:vAlign w:val="bottom"/>
            <w:tcBorders>
              <w:bottom w:val="single" w:sz="8" w:color="61656A"/>
            </w:tcBorders>
          </w:tcPr>
          <w:p>
            <w:pPr>
              <w:spacing w:after="0"/>
              <w:rPr>
                <w:sz w:val="15"/>
                <w:szCs w:val="15"/>
                <w:color w:val="auto"/>
              </w:rPr>
            </w:pPr>
          </w:p>
        </w:tc>
        <w:tc>
          <w:tcPr>
            <w:tcW w:w="1580" w:type="dxa"/>
            <w:vAlign w:val="bottom"/>
            <w:tcBorders>
              <w:bottom w:val="single" w:sz="8" w:color="61656A"/>
            </w:tcBorders>
          </w:tcPr>
          <w:p>
            <w:pPr>
              <w:spacing w:after="0"/>
              <w:rPr>
                <w:sz w:val="15"/>
                <w:szCs w:val="15"/>
                <w:color w:val="auto"/>
              </w:rPr>
            </w:pPr>
          </w:p>
        </w:tc>
      </w:tr>
      <w:tr>
        <w:trPr>
          <w:trHeight w:val="190"/>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6,445</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6,329</w:t>
            </w:r>
          </w:p>
        </w:tc>
      </w:tr>
      <w:tr>
        <w:trPr>
          <w:trHeight w:val="196"/>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24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2,828</w:t>
            </w:r>
          </w:p>
        </w:tc>
        <w:tc>
          <w:tcPr>
            <w:tcW w:w="2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2,717</w:t>
            </w:r>
          </w:p>
        </w:tc>
      </w:tr>
      <w:tr>
        <w:trPr>
          <w:trHeight w:val="189"/>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945</w:t>
            </w: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1,730</w:t>
            </w:r>
          </w:p>
        </w:tc>
      </w:tr>
      <w:tr>
        <w:trPr>
          <w:trHeight w:val="190"/>
        </w:trPr>
        <w:tc>
          <w:tcPr>
            <w:tcW w:w="7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Accrued liabilities</w:t>
            </w:r>
          </w:p>
        </w:tc>
        <w:tc>
          <w:tcPr>
            <w:tcW w:w="24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6,956</w:t>
            </w:r>
          </w:p>
        </w:tc>
        <w:tc>
          <w:tcPr>
            <w:tcW w:w="28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9,162</w:t>
            </w:r>
          </w:p>
        </w:tc>
      </w:tr>
      <w:tr>
        <w:trPr>
          <w:trHeight w:val="201"/>
        </w:trPr>
        <w:tc>
          <w:tcPr>
            <w:tcW w:w="7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24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17,174</w:t>
            </w:r>
          </w:p>
        </w:tc>
        <w:tc>
          <w:tcPr>
            <w:tcW w:w="28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19,938</w:t>
            </w:r>
          </w:p>
        </w:tc>
      </w:tr>
      <w:tr>
        <w:trPr>
          <w:trHeight w:val="183"/>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240" w:type="dxa"/>
            <w:vAlign w:val="bottom"/>
            <w:tcBorders>
              <w:bottom w:val="single" w:sz="8" w:color="61656A"/>
            </w:tcBorders>
          </w:tcPr>
          <w:p>
            <w:pPr>
              <w:spacing w:after="0"/>
              <w:rPr>
                <w:sz w:val="15"/>
                <w:szCs w:val="15"/>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17,600</w:t>
            </w:r>
          </w:p>
        </w:tc>
        <w:tc>
          <w:tcPr>
            <w:tcW w:w="280" w:type="dxa"/>
            <w:vAlign w:val="bottom"/>
            <w:tcBorders>
              <w:bottom w:val="single" w:sz="8" w:color="61656A"/>
            </w:tcBorders>
          </w:tcPr>
          <w:p>
            <w:pPr>
              <w:spacing w:after="0"/>
              <w:rPr>
                <w:sz w:val="15"/>
                <w:szCs w:val="15"/>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15,123</w:t>
            </w:r>
          </w:p>
        </w:tc>
      </w:tr>
      <w:tr>
        <w:trPr>
          <w:trHeight w:val="190"/>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2,262</w:t>
            </w: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2,093</w:t>
            </w: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24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133</w:t>
            </w:r>
          </w:p>
        </w:tc>
        <w:tc>
          <w:tcPr>
            <w:tcW w:w="2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w:t>
            </w:r>
          </w:p>
        </w:tc>
      </w:tr>
      <w:tr>
        <w:trPr>
          <w:trHeight w:val="188"/>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1,128</w:t>
            </w: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1,180</w:t>
            </w:r>
          </w:p>
        </w:tc>
      </w:tr>
      <w:tr>
        <w:trPr>
          <w:trHeight w:val="190"/>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6,139</w:t>
            </w: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6,469</w:t>
            </w: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24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spacing w:after="0"/>
              <w:rPr>
                <w:sz w:val="16"/>
                <w:szCs w:val="16"/>
                <w:color w:val="auto"/>
              </w:rPr>
            </w:pPr>
          </w:p>
        </w:tc>
      </w:tr>
      <w:tr>
        <w:trPr>
          <w:trHeight w:val="190"/>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Capital—common stock issued</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958</w:t>
            </w: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89"/>
        </w:trPr>
        <w:tc>
          <w:tcPr>
            <w:tcW w:w="754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—additional paid-in capital</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8,866</w:t>
            </w: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8,564</w:t>
            </w:r>
          </w:p>
        </w:tc>
      </w:tr>
      <w:tr>
        <w:trPr>
          <w:trHeight w:val="190"/>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24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(35,510)</w:t>
            </w:r>
          </w:p>
        </w:tc>
        <w:tc>
          <w:tcPr>
            <w:tcW w:w="28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(34,443)</w:t>
            </w: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(3,611)</w:t>
            </w:r>
          </w:p>
        </w:tc>
        <w:tc>
          <w:tcPr>
            <w:tcW w:w="2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(3,475)</w:t>
            </w:r>
          </w:p>
        </w:tc>
      </w:tr>
      <w:tr>
        <w:trPr>
          <w:trHeight w:val="188"/>
        </w:trPr>
        <w:tc>
          <w:tcPr>
            <w:tcW w:w="75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24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46,596</w:t>
            </w:r>
          </w:p>
        </w:tc>
        <w:tc>
          <w:tcPr>
            <w:tcW w:w="28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45,093</w:t>
            </w:r>
          </w:p>
        </w:tc>
      </w:tr>
      <w:tr>
        <w:trPr>
          <w:trHeight w:val="195"/>
        </w:trPr>
        <w:tc>
          <w:tcPr>
            <w:tcW w:w="7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24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17,299</w:t>
            </w:r>
          </w:p>
        </w:tc>
        <w:tc>
          <w:tcPr>
            <w:tcW w:w="28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16,697</w:t>
            </w:r>
          </w:p>
        </w:tc>
      </w:tr>
      <w:tr>
        <w:trPr>
          <w:trHeight w:val="191"/>
        </w:trPr>
        <w:tc>
          <w:tcPr>
            <w:tcW w:w="75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595</w:t>
            </w:r>
          </w:p>
        </w:tc>
        <w:tc>
          <w:tcPr>
            <w:tcW w:w="28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622</w:t>
            </w:r>
          </w:p>
        </w:tc>
      </w:tr>
      <w:tr>
        <w:trPr>
          <w:trHeight w:val="189"/>
        </w:trPr>
        <w:tc>
          <w:tcPr>
            <w:tcW w:w="7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24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17,894</w:t>
            </w:r>
          </w:p>
        </w:tc>
        <w:tc>
          <w:tcPr>
            <w:tcW w:w="28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17,319</w:t>
            </w:r>
          </w:p>
        </w:tc>
      </w:tr>
      <w:tr>
        <w:trPr>
          <w:trHeight w:val="195"/>
        </w:trPr>
        <w:tc>
          <w:tcPr>
            <w:tcW w:w="7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62,337</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62,275</w:t>
            </w: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85"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320" w:type="dxa"/>
            <w:vAlign w:val="bottom"/>
          </w:tcPr>
          <w:p>
            <w:pPr>
              <w:spacing w:after="0"/>
              <w:rPr>
                <w:sz w:val="17"/>
                <w:szCs w:val="17"/>
                <w:color w:val="auto"/>
              </w:rPr>
            </w:pPr>
          </w:p>
        </w:tc>
        <w:tc>
          <w:tcPr>
            <w:tcW w:w="240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D7282F"/>
            </w:tcBorders>
          </w:tcPr>
          <w:p>
            <w:pPr>
              <w:spacing w:after="0"/>
              <w:rPr>
                <w:sz w:val="17"/>
                <w:szCs w:val="17"/>
                <w:color w:val="auto"/>
              </w:rPr>
            </w:pPr>
          </w:p>
        </w:tc>
      </w:tr>
      <w:tr>
        <w:trPr>
          <w:trHeight w:val="184"/>
        </w:trPr>
        <w:tc>
          <w:tcPr>
            <w:tcW w:w="8320" w:type="dxa"/>
            <w:vAlign w:val="bottom"/>
          </w:tcPr>
          <w:p>
            <w:pPr>
              <w:spacing w:after="0"/>
              <w:rPr>
                <w:sz w:val="15"/>
                <w:szCs w:val="15"/>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D7282F"/>
            </w:tcBorders>
          </w:tcPr>
          <w:p>
            <w:pPr>
              <w:spacing w:after="0"/>
              <w:rPr>
                <w:sz w:val="15"/>
                <w:szCs w:val="15"/>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D7282F"/>
            </w:tcBorders>
          </w:tcPr>
          <w:p>
            <w:pPr>
              <w:spacing w:after="0"/>
              <w:rPr>
                <w:sz w:val="15"/>
                <w:szCs w:val="15"/>
                <w:color w:val="auto"/>
              </w:rPr>
            </w:pPr>
          </w:p>
        </w:tc>
      </w:tr>
      <w:tr>
        <w:trPr>
          <w:trHeight w:val="195"/>
        </w:trPr>
        <w:tc>
          <w:tcPr>
            <w:tcW w:w="8320" w:type="dxa"/>
            <w:vAlign w:val="bottom"/>
            <w:tcBorders>
              <w:bottom w:val="single" w:sz="8" w:color="D7282F"/>
            </w:tcBorders>
          </w:tcPr>
          <w:p>
            <w:pPr>
              <w:spacing w:after="0"/>
              <w:rPr>
                <w:sz w:val="16"/>
                <w:szCs w:val="16"/>
                <w:color w:val="auto"/>
              </w:rPr>
            </w:pPr>
          </w:p>
        </w:tc>
        <w:tc>
          <w:tcPr>
            <w:tcW w:w="2400" w:type="dxa"/>
            <w:vAlign w:val="bottom"/>
            <w:tcBorders>
              <w:bottom w:val="single" w:sz="8" w:color="D7282F"/>
            </w:tcBorders>
            <w:gridSpan w:val="3"/>
          </w:tcPr>
          <w:p>
            <w:pPr>
              <w:jc w:val="right"/>
              <w:ind w:right="208"/>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Borders>
              <w:bottom w:val="single" w:sz="8" w:color="D7282F"/>
            </w:tcBorders>
          </w:tcPr>
          <w:p>
            <w:pPr>
              <w:spacing w:after="0"/>
              <w:rPr>
                <w:sz w:val="16"/>
                <w:szCs w:val="16"/>
                <w:color w:val="auto"/>
              </w:rPr>
            </w:pP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84"/>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tcBorders>
              <w:bottom w:val="single" w:sz="8" w:color="61656A"/>
            </w:tcBorders>
          </w:tcPr>
          <w:p>
            <w:pPr>
              <w:jc w:val="right"/>
              <w:ind w:right="6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2,909</w:t>
            </w:r>
          </w:p>
        </w:tc>
        <w:tc>
          <w:tcPr>
            <w:tcW w:w="960" w:type="dxa"/>
            <w:vAlign w:val="bottom"/>
            <w:tcBorders>
              <w:bottom w:val="single" w:sz="8" w:color="61656A"/>
            </w:tcBorders>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2,397</w:t>
            </w:r>
          </w:p>
        </w:tc>
      </w:tr>
      <w:tr>
        <w:trPr>
          <w:trHeight w:val="190"/>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84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28</w:t>
            </w:r>
          </w:p>
        </w:tc>
        <w:tc>
          <w:tcPr>
            <w:tcW w:w="9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201"/>
        </w:trPr>
        <w:tc>
          <w:tcPr>
            <w:tcW w:w="832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income attributable to Honeywell</w:t>
            </w:r>
          </w:p>
        </w:tc>
        <w:tc>
          <w:tcPr>
            <w:tcW w:w="84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2,881</w:t>
            </w:r>
          </w:p>
        </w:tc>
        <w:tc>
          <w:tcPr>
            <w:tcW w:w="9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2,395</w:t>
            </w:r>
          </w:p>
        </w:tc>
      </w:tr>
      <w:tr>
        <w:trPr>
          <w:trHeight w:val="183"/>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 to reconcile net income attributable to Honeywell to net cash provided by (used for) operating activities</w:t>
            </w:r>
          </w:p>
        </w:tc>
        <w:tc>
          <w:tcPr>
            <w:tcW w:w="840" w:type="dxa"/>
            <w:vAlign w:val="bottom"/>
            <w:tcBorders>
              <w:bottom w:val="single" w:sz="8" w:color="61656A"/>
            </w:tcBorders>
          </w:tcPr>
          <w:p>
            <w:pPr>
              <w:spacing w:after="0"/>
              <w:rPr>
                <w:sz w:val="15"/>
                <w:szCs w:val="15"/>
                <w:color w:val="auto"/>
              </w:rPr>
            </w:pPr>
          </w:p>
        </w:tc>
        <w:tc>
          <w:tcPr>
            <w:tcW w:w="600" w:type="dxa"/>
            <w:vAlign w:val="bottom"/>
            <w:tcBorders>
              <w:bottom w:val="single" w:sz="8" w:color="61656A"/>
            </w:tcBorders>
          </w:tcPr>
          <w:p>
            <w:pPr>
              <w:spacing w:after="0"/>
              <w:rPr>
                <w:sz w:val="15"/>
                <w:szCs w:val="15"/>
                <w:color w:val="auto"/>
              </w:rPr>
            </w:pPr>
          </w:p>
        </w:tc>
        <w:tc>
          <w:tcPr>
            <w:tcW w:w="960" w:type="dxa"/>
            <w:vAlign w:val="bottom"/>
            <w:tcBorders>
              <w:bottom w:val="single" w:sz="8" w:color="61656A"/>
            </w:tcBorders>
          </w:tcPr>
          <w:p>
            <w:pPr>
              <w:spacing w:after="0"/>
              <w:rPr>
                <w:sz w:val="15"/>
                <w:szCs w:val="15"/>
                <w:color w:val="auto"/>
              </w:rPr>
            </w:pPr>
          </w:p>
        </w:tc>
        <w:tc>
          <w:tcPr>
            <w:tcW w:w="520" w:type="dxa"/>
            <w:vAlign w:val="bottom"/>
            <w:tcBorders>
              <w:bottom w:val="single" w:sz="8" w:color="61656A"/>
            </w:tcBorders>
          </w:tcPr>
          <w:p>
            <w:pPr>
              <w:spacing w:after="0"/>
              <w:rPr>
                <w:sz w:val="15"/>
                <w:szCs w:val="15"/>
                <w:color w:val="auto"/>
              </w:rPr>
            </w:pPr>
          </w:p>
        </w:tc>
      </w:tr>
      <w:tr>
        <w:trPr>
          <w:trHeight w:val="190"/>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Depreciation</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327</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328</w:t>
            </w:r>
          </w:p>
        </w:tc>
      </w:tr>
      <w:tr>
        <w:trPr>
          <w:trHeight w:val="189"/>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Amortization</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240</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277</w:t>
            </w:r>
          </w:p>
        </w:tc>
      </w:tr>
      <w:tr>
        <w:trPr>
          <w:trHeight w:val="190"/>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Repositioning and other charges</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243</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614</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payments for repositioning and other charges</w:t>
            </w:r>
          </w:p>
        </w:tc>
        <w:tc>
          <w:tcPr>
            <w:tcW w:w="8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(195)</w:t>
            </w:r>
          </w:p>
        </w:tc>
        <w:tc>
          <w:tcPr>
            <w:tcW w:w="9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(220)</w:t>
            </w:r>
          </w:p>
        </w:tc>
      </w:tr>
      <w:tr>
        <w:trPr>
          <w:trHeight w:val="189"/>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NARCO Buyout payment</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w w:val="99"/>
              </w:rPr>
              <w:t>(1,325)</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income</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(273)</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(521)</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payments</w:t>
            </w:r>
          </w:p>
        </w:tc>
        <w:tc>
          <w:tcPr>
            <w:tcW w:w="8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w:t>
            </w:r>
          </w:p>
        </w:tc>
        <w:tc>
          <w:tcPr>
            <w:tcW w:w="9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Stock compensation expense</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109</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w:t>
            </w:r>
          </w:p>
        </w:tc>
      </w:tr>
      <w:tr>
        <w:trPr>
          <w:trHeight w:val="183"/>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Deferred income taxes</w:t>
            </w:r>
          </w:p>
        </w:tc>
        <w:tc>
          <w:tcPr>
            <w:tcW w:w="840" w:type="dxa"/>
            <w:vAlign w:val="bottom"/>
            <w:tcBorders>
              <w:bottom w:val="single" w:sz="8" w:color="61656A"/>
            </w:tcBorders>
          </w:tcPr>
          <w:p>
            <w:pPr>
              <w:spacing w:after="0"/>
              <w:rPr>
                <w:sz w:val="15"/>
                <w:szCs w:val="15"/>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196</w:t>
            </w:r>
          </w:p>
        </w:tc>
        <w:tc>
          <w:tcPr>
            <w:tcW w:w="960" w:type="dxa"/>
            <w:vAlign w:val="bottom"/>
            <w:tcBorders>
              <w:bottom w:val="single" w:sz="8" w:color="61656A"/>
            </w:tcBorders>
          </w:tcPr>
          <w:p>
            <w:pPr>
              <w:spacing w:after="0"/>
              <w:rPr>
                <w:sz w:val="15"/>
                <w:szCs w:val="15"/>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w:t>
            </w:r>
          </w:p>
        </w:tc>
      </w:tr>
      <w:tr>
        <w:trPr>
          <w:trHeight w:val="190"/>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(643)</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81</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8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88"/>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receivable</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(505)</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(904)</w:t>
            </w:r>
          </w:p>
        </w:tc>
      </w:tr>
      <w:tr>
        <w:trPr>
          <w:trHeight w:val="190"/>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Inventories</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(338)</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(434)</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Other current assets</w:t>
            </w:r>
          </w:p>
        </w:tc>
        <w:tc>
          <w:tcPr>
            <w:tcW w:w="8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208</w:t>
            </w:r>
          </w:p>
        </w:tc>
        <w:tc>
          <w:tcPr>
            <w:tcW w:w="9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w:t>
            </w:r>
          </w:p>
        </w:tc>
      </w:tr>
      <w:tr>
        <w:trPr>
          <w:trHeight w:val="188"/>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payable</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114</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(240)</w:t>
            </w:r>
          </w:p>
        </w:tc>
      </w:tr>
      <w:tr>
        <w:trPr>
          <w:trHeight w:val="190"/>
        </w:trPr>
        <w:tc>
          <w:tcPr>
            <w:tcW w:w="83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Accrued liabilities</w:t>
            </w:r>
          </w:p>
        </w:tc>
        <w:tc>
          <w:tcPr>
            <w:tcW w:w="84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(440)</w:t>
            </w:r>
          </w:p>
        </w:tc>
        <w:tc>
          <w:tcPr>
            <w:tcW w:w="9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(741)</w:t>
            </w:r>
          </w:p>
        </w:tc>
      </w:tr>
      <w:tr>
        <w:trPr>
          <w:trHeight w:val="201"/>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operating activities</w:t>
            </w:r>
          </w:p>
        </w:tc>
        <w:tc>
          <w:tcPr>
            <w:tcW w:w="84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576</w:t>
            </w:r>
          </w:p>
        </w:tc>
        <w:tc>
          <w:tcPr>
            <w:tcW w:w="9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825</w:t>
            </w:r>
          </w:p>
        </w:tc>
      </w:tr>
      <w:tr>
        <w:trPr>
          <w:trHeight w:val="184"/>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Borders>
              <w:bottom w:val="single" w:sz="8" w:color="61656A"/>
            </w:tcBorders>
          </w:tcPr>
          <w:p>
            <w:pPr>
              <w:spacing w:after="0"/>
              <w:rPr>
                <w:sz w:val="15"/>
                <w:szCs w:val="15"/>
                <w:color w:val="auto"/>
              </w:rPr>
            </w:pPr>
          </w:p>
        </w:tc>
        <w:tc>
          <w:tcPr>
            <w:tcW w:w="600" w:type="dxa"/>
            <w:vAlign w:val="bottom"/>
            <w:tcBorders>
              <w:bottom w:val="single" w:sz="8" w:color="61656A"/>
            </w:tcBorders>
          </w:tcPr>
          <w:p>
            <w:pPr>
              <w:spacing w:after="0"/>
              <w:rPr>
                <w:sz w:val="15"/>
                <w:szCs w:val="15"/>
                <w:color w:val="auto"/>
              </w:rPr>
            </w:pPr>
          </w:p>
        </w:tc>
        <w:tc>
          <w:tcPr>
            <w:tcW w:w="960" w:type="dxa"/>
            <w:vAlign w:val="bottom"/>
            <w:tcBorders>
              <w:bottom w:val="single" w:sz="8" w:color="61656A"/>
            </w:tcBorders>
          </w:tcPr>
          <w:p>
            <w:pPr>
              <w:spacing w:after="0"/>
              <w:rPr>
                <w:sz w:val="15"/>
                <w:szCs w:val="15"/>
                <w:color w:val="auto"/>
              </w:rPr>
            </w:pPr>
          </w:p>
        </w:tc>
        <w:tc>
          <w:tcPr>
            <w:tcW w:w="520" w:type="dxa"/>
            <w:vAlign w:val="bottom"/>
            <w:tcBorders>
              <w:bottom w:val="single" w:sz="8" w:color="61656A"/>
            </w:tcBorders>
          </w:tcPr>
          <w:p>
            <w:pPr>
              <w:spacing w:after="0"/>
              <w:rPr>
                <w:sz w:val="15"/>
                <w:szCs w:val="15"/>
                <w:color w:val="auto"/>
              </w:rPr>
            </w:pPr>
          </w:p>
        </w:tc>
      </w:tr>
      <w:tr>
        <w:trPr>
          <w:trHeight w:val="190"/>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Capital expenditures</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(426)</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(341)</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Proceeds from disposals of property, plant and equipment</w:t>
            </w:r>
          </w:p>
        </w:tc>
        <w:tc>
          <w:tcPr>
            <w:tcW w:w="8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w:t>
            </w:r>
          </w:p>
        </w:tc>
        <w:tc>
          <w:tcPr>
            <w:tcW w:w="9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88"/>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Increase in investments</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(229)</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(470)</w:t>
            </w:r>
          </w:p>
        </w:tc>
      </w:tr>
      <w:tr>
        <w:trPr>
          <w:trHeight w:val="190"/>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Decrease in investments</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632</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646</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Receipts from Garrett Motion Inc.</w:t>
            </w:r>
          </w:p>
        </w:tc>
        <w:tc>
          <w:tcPr>
            <w:tcW w:w="8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409</w:t>
            </w:r>
          </w:p>
        </w:tc>
      </w:tr>
      <w:tr>
        <w:trPr>
          <w:trHeight w:val="188"/>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Receipts (payments) from settlements of derivative contracts</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(38)</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337</w:t>
            </w:r>
          </w:p>
        </w:tc>
      </w:tr>
      <w:tr>
        <w:trPr>
          <w:trHeight w:val="183"/>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840" w:type="dxa"/>
            <w:vAlign w:val="bottom"/>
            <w:tcBorders>
              <w:bottom w:val="single" w:sz="8" w:color="D7282F"/>
            </w:tcBorders>
          </w:tcPr>
          <w:p>
            <w:pPr>
              <w:spacing w:after="0"/>
              <w:rPr>
                <w:sz w:val="15"/>
                <w:szCs w:val="15"/>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(661)</w:t>
            </w:r>
          </w:p>
        </w:tc>
        <w:tc>
          <w:tcPr>
            <w:tcW w:w="960" w:type="dxa"/>
            <w:vAlign w:val="bottom"/>
            <w:tcBorders>
              <w:bottom w:val="single" w:sz="8" w:color="D7282F"/>
            </w:tcBorders>
          </w:tcPr>
          <w:p>
            <w:pPr>
              <w:spacing w:after="0"/>
              <w:rPr>
                <w:sz w:val="15"/>
                <w:szCs w:val="15"/>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(178)</w:t>
            </w:r>
          </w:p>
        </w:tc>
      </w:tr>
      <w:tr>
        <w:trPr>
          <w:trHeight w:val="195"/>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(used for) investing activities</w:t>
            </w:r>
          </w:p>
        </w:tc>
        <w:tc>
          <w:tcPr>
            <w:tcW w:w="84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(709)</w:t>
            </w:r>
          </w:p>
        </w:tc>
        <w:tc>
          <w:tcPr>
            <w:tcW w:w="9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414</w:t>
            </w: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84"/>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840" w:type="dxa"/>
            <w:vAlign w:val="bottom"/>
            <w:tcBorders>
              <w:bottom w:val="single" w:sz="8" w:color="61656A"/>
            </w:tcBorders>
          </w:tcPr>
          <w:p>
            <w:pPr>
              <w:spacing w:after="0"/>
              <w:rPr>
                <w:sz w:val="15"/>
                <w:szCs w:val="15"/>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8,000</w:t>
            </w:r>
          </w:p>
        </w:tc>
        <w:tc>
          <w:tcPr>
            <w:tcW w:w="960" w:type="dxa"/>
            <w:vAlign w:val="bottom"/>
            <w:tcBorders>
              <w:bottom w:val="single" w:sz="8" w:color="61656A"/>
            </w:tcBorders>
          </w:tcPr>
          <w:p>
            <w:pPr>
              <w:spacing w:after="0"/>
              <w:rPr>
                <w:sz w:val="15"/>
                <w:szCs w:val="15"/>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2,924</w:t>
            </w:r>
          </w:p>
        </w:tc>
      </w:tr>
      <w:tr>
        <w:trPr>
          <w:trHeight w:val="190"/>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commercial paper and other short-term borrowings</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w w:val="99"/>
              </w:rPr>
              <w:t>(7,930)</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(2,926)</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8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115</w:t>
            </w:r>
          </w:p>
        </w:tc>
        <w:tc>
          <w:tcPr>
            <w:tcW w:w="9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w:t>
            </w:r>
          </w:p>
        </w:tc>
      </w:tr>
      <w:tr>
        <w:trPr>
          <w:trHeight w:val="188"/>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long-term debt</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2,966</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0"/>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long-term debt</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w w:val="99"/>
              </w:rPr>
              <w:t>(1,384)</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(89)</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Repurchases of common stock</w:t>
            </w:r>
          </w:p>
        </w:tc>
        <w:tc>
          <w:tcPr>
            <w:tcW w:w="8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w w:val="99"/>
              </w:rPr>
              <w:t>(1,176)</w:t>
            </w:r>
          </w:p>
        </w:tc>
        <w:tc>
          <w:tcPr>
            <w:tcW w:w="9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(2,437)</w:t>
            </w:r>
          </w:p>
        </w:tc>
      </w:tr>
      <w:tr>
        <w:trPr>
          <w:trHeight w:val="189"/>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dividends paid</w:t>
            </w:r>
          </w:p>
        </w:tc>
        <w:tc>
          <w:tcPr>
            <w:tcW w:w="8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w w:val="99"/>
              </w:rPr>
              <w:t>(1,416)</w:t>
            </w:r>
          </w:p>
        </w:tc>
        <w:tc>
          <w:tcPr>
            <w:tcW w:w="9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(1,359)</w:t>
            </w:r>
          </w:p>
        </w:tc>
      </w:tr>
      <w:tr>
        <w:trPr>
          <w:trHeight w:val="190"/>
        </w:trPr>
        <w:tc>
          <w:tcPr>
            <w:tcW w:w="83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(38)</w:t>
            </w:r>
          </w:p>
        </w:tc>
        <w:tc>
          <w:tcPr>
            <w:tcW w:w="9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r>
      <w:tr>
        <w:trPr>
          <w:trHeight w:val="201"/>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financing activities</w:t>
            </w:r>
          </w:p>
        </w:tc>
        <w:tc>
          <w:tcPr>
            <w:tcW w:w="84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(863)</w:t>
            </w:r>
          </w:p>
        </w:tc>
        <w:tc>
          <w:tcPr>
            <w:tcW w:w="9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(3,832)</w:t>
            </w:r>
          </w:p>
        </w:tc>
      </w:tr>
      <w:tr>
        <w:trPr>
          <w:trHeight w:val="183"/>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40" w:type="dxa"/>
            <w:vAlign w:val="bottom"/>
            <w:tcBorders>
              <w:bottom w:val="single" w:sz="8" w:color="D7282F"/>
            </w:tcBorders>
          </w:tcPr>
          <w:p>
            <w:pPr>
              <w:spacing w:after="0"/>
              <w:rPr>
                <w:sz w:val="15"/>
                <w:szCs w:val="15"/>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D7282F"/>
            </w:tcBorders>
          </w:tcPr>
          <w:p>
            <w:pPr>
              <w:spacing w:after="0"/>
              <w:rPr>
                <w:sz w:val="15"/>
                <w:szCs w:val="15"/>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(118)</w:t>
            </w:r>
          </w:p>
        </w:tc>
      </w:tr>
      <w:tr>
        <w:trPr>
          <w:trHeight w:val="195"/>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decrease in cash and cash equivalents</w:t>
            </w:r>
          </w:p>
        </w:tc>
        <w:tc>
          <w:tcPr>
            <w:tcW w:w="84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99"/>
              </w:rPr>
              <w:t>(1,001)</w:t>
            </w:r>
          </w:p>
        </w:tc>
        <w:tc>
          <w:tcPr>
            <w:tcW w:w="9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(2,711)</w:t>
            </w:r>
          </w:p>
        </w:tc>
      </w:tr>
      <w:tr>
        <w:trPr>
          <w:trHeight w:val="196"/>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84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9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10,959</w:t>
            </w:r>
          </w:p>
        </w:tc>
      </w:tr>
      <w:tr>
        <w:trPr>
          <w:trHeight w:val="183"/>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840" w:type="dxa"/>
            <w:vAlign w:val="bottom"/>
            <w:tcBorders>
              <w:bottom w:val="single" w:sz="8" w:color="D7282F"/>
            </w:tcBorders>
          </w:tcPr>
          <w:p>
            <w:pPr>
              <w:jc w:val="right"/>
              <w:ind w:right="68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8,626</w:t>
            </w:r>
          </w:p>
        </w:tc>
        <w:tc>
          <w:tcPr>
            <w:tcW w:w="960" w:type="dxa"/>
            <w:vAlign w:val="bottom"/>
            <w:tcBorders>
              <w:bottom w:val="single" w:sz="8" w:color="D7282F"/>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8,248</w:t>
            </w: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85"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3120" w:type="dxa"/>
            <w:vAlign w:val="bottom"/>
            <w:tcBorders>
              <w:bottom w:val="single" w:sz="8" w:color="D7282F"/>
            </w:tcBorders>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20"/>
                <w:szCs w:val="20"/>
                <w:color w:val="auto"/>
              </w:rPr>
            </w:pPr>
          </w:p>
        </w:tc>
        <w:tc>
          <w:tcPr>
            <w:tcW w:w="13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140" w:type="dxa"/>
            <w:vAlign w:val="bottom"/>
            <w:tcBorders>
              <w:top w:val="single" w:sz="8" w:color="D7282F"/>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top w:val="single" w:sz="8" w:color="D7282F"/>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D7282F"/>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spacing w:after="0"/>
              <w:rPr>
                <w:sz w:val="20"/>
                <w:szCs w:val="20"/>
                <w:color w:val="auto"/>
              </w:rPr>
            </w:pPr>
          </w:p>
        </w:tc>
        <w:tc>
          <w:tcPr>
            <w:tcW w:w="1120" w:type="dxa"/>
            <w:vAlign w:val="bottom"/>
            <w:tcBorders>
              <w:top w:val="single" w:sz="8" w:color="D7282F"/>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top w:val="single" w:sz="8" w:color="D7282F"/>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D7282F"/>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D7282F"/>
            </w:tcBorders>
          </w:tcPr>
          <w:p>
            <w:pPr>
              <w:spacing w:after="0"/>
              <w:rPr>
                <w:sz w:val="15"/>
                <w:szCs w:val="15"/>
                <w:color w:val="auto"/>
              </w:rPr>
            </w:pPr>
          </w:p>
        </w:tc>
        <w:tc>
          <w:tcPr>
            <w:tcW w:w="1140" w:type="dxa"/>
            <w:vAlign w:val="bottom"/>
            <w:tcBorders>
              <w:bottom w:val="single" w:sz="8" w:color="D7282F"/>
            </w:tcBorders>
          </w:tcPr>
          <w:p>
            <w:pPr>
              <w:spacing w:after="0"/>
              <w:rPr>
                <w:sz w:val="15"/>
                <w:szCs w:val="15"/>
                <w:color w:val="auto"/>
              </w:rPr>
            </w:pPr>
          </w:p>
        </w:tc>
        <w:tc>
          <w:tcPr>
            <w:tcW w:w="780" w:type="dxa"/>
            <w:vAlign w:val="bottom"/>
            <w:tcBorders>
              <w:bottom w:val="single" w:sz="8" w:color="D7282F"/>
            </w:tcBorders>
          </w:tcPr>
          <w:p>
            <w:pPr>
              <w:spacing w:after="0"/>
              <w:rPr>
                <w:sz w:val="15"/>
                <w:szCs w:val="15"/>
                <w:color w:val="auto"/>
              </w:rPr>
            </w:pPr>
          </w:p>
        </w:tc>
        <w:tc>
          <w:tcPr>
            <w:tcW w:w="3960" w:type="dxa"/>
            <w:vAlign w:val="bottom"/>
            <w:tcBorders>
              <w:bottom w:val="single" w:sz="8" w:color="D7282F"/>
            </w:tcBorders>
            <w:gridSpan w:val="5"/>
          </w:tcPr>
          <w:p>
            <w:pPr>
              <w:jc w:val="right"/>
              <w:ind w:right="608"/>
              <w:spacing w:after="0"/>
              <w:rPr>
                <w:sz w:val="20"/>
                <w:szCs w:val="20"/>
                <w:color w:val="auto"/>
              </w:rPr>
            </w:pPr>
            <w:r>
              <w:rPr>
                <w:rFonts w:ascii="Arial" w:cs="Arial" w:eastAsia="Arial" w:hAnsi="Arial"/>
                <w:sz w:val="14"/>
                <w:szCs w:val="14"/>
                <w:b w:val="1"/>
                <w:bCs w:val="1"/>
                <w:color w:val="auto"/>
              </w:rPr>
              <w:t>(In millions, except per share amounts)</w:t>
            </w:r>
          </w:p>
        </w:tc>
        <w:tc>
          <w:tcPr>
            <w:tcW w:w="1200" w:type="dxa"/>
            <w:vAlign w:val="bottom"/>
            <w:tcBorders>
              <w:bottom w:val="single" w:sz="8" w:color="D7282F"/>
            </w:tcBorders>
          </w:tcPr>
          <w:p>
            <w:pPr>
              <w:spacing w:after="0"/>
              <w:rPr>
                <w:sz w:val="15"/>
                <w:szCs w:val="15"/>
                <w:color w:val="auto"/>
              </w:rPr>
            </w:pPr>
          </w:p>
        </w:tc>
        <w:tc>
          <w:tcPr>
            <w:tcW w:w="620" w:type="dxa"/>
            <w:vAlign w:val="bottom"/>
            <w:tcBorders>
              <w:bottom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1360" w:type="dxa"/>
            <w:vAlign w:val="bottom"/>
            <w:tcBorders>
              <w:bottom w:val="single" w:sz="8" w:color="61656A"/>
            </w:tcBorders>
            <w:gridSpan w:val="2"/>
          </w:tcPr>
          <w:p>
            <w:pPr>
              <w:jc w:val="right"/>
              <w:ind w:right="368"/>
              <w:spacing w:after="0"/>
              <w:rPr>
                <w:sz w:val="20"/>
                <w:szCs w:val="20"/>
                <w:color w:val="auto"/>
              </w:rPr>
            </w:pPr>
            <w:r>
              <w:rPr>
                <w:rFonts w:ascii="Arial" w:cs="Arial" w:eastAsia="Arial" w:hAnsi="Arial"/>
                <w:sz w:val="14"/>
                <w:szCs w:val="14"/>
                <w:color w:val="auto"/>
              </w:rPr>
              <w:t>957.6</w:t>
            </w: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8,774</w:t>
            </w: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8,326</w:t>
            </w:r>
          </w:p>
        </w:tc>
        <w:tc>
          <w:tcPr>
            <w:tcW w:w="24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8,564</w:t>
            </w: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8,141</w:t>
            </w:r>
          </w:p>
        </w:tc>
        <w:tc>
          <w:tcPr>
            <w:tcW w:w="0" w:type="dxa"/>
            <w:vAlign w:val="bottom"/>
          </w:tcPr>
          <w:p>
            <w:pPr>
              <w:spacing w:after="0"/>
              <w:rPr>
                <w:sz w:val="1"/>
                <w:szCs w:val="1"/>
                <w:color w:val="auto"/>
              </w:rPr>
            </w:pPr>
          </w:p>
        </w:tc>
      </w:tr>
      <w:tr>
        <w:trPr>
          <w:trHeight w:val="190"/>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42</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193</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8"/>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50</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109</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8,866</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8,397</w:t>
            </w:r>
          </w:p>
        </w:tc>
        <w:tc>
          <w:tcPr>
            <w:tcW w:w="2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8,866</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8,397</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4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spacing w:after="0"/>
              <w:rPr>
                <w:sz w:val="15"/>
                <w:szCs w:val="15"/>
                <w:color w:val="auto"/>
              </w:rPr>
            </w:pP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spacing w:after="0"/>
              <w:rPr>
                <w:sz w:val="15"/>
                <w:szCs w:val="15"/>
                <w:color w:val="auto"/>
              </w:rPr>
            </w:pP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(291.9)</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(35,072)</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(276.9)</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(31,420)</w:t>
            </w:r>
          </w:p>
        </w:tc>
        <w:tc>
          <w:tcPr>
            <w:tcW w:w="1360" w:type="dxa"/>
            <w:vAlign w:val="bottom"/>
            <w:tcBorders>
              <w:bottom w:val="single" w:sz="8" w:color="61656A"/>
            </w:tcBorders>
            <w:gridSpan w:val="2"/>
          </w:tcPr>
          <w:p>
            <w:pPr>
              <w:jc w:val="right"/>
              <w:ind w:right="328"/>
              <w:spacing w:after="0"/>
              <w:rPr>
                <w:sz w:val="20"/>
                <w:szCs w:val="20"/>
                <w:color w:val="auto"/>
              </w:rPr>
            </w:pPr>
            <w:r>
              <w:rPr>
                <w:rFonts w:ascii="Arial" w:cs="Arial" w:eastAsia="Arial" w:hAnsi="Arial"/>
                <w:sz w:val="14"/>
                <w:szCs w:val="14"/>
                <w:color w:val="auto"/>
              </w:rPr>
              <w:t>(290.0)</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(34,443)</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(272.8)</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(30,462)</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(2.5)</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(477)</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(7.5)</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(1,419)</w:t>
            </w:r>
          </w:p>
        </w:tc>
        <w:tc>
          <w:tcPr>
            <w:tcW w:w="1360" w:type="dxa"/>
            <w:vAlign w:val="bottom"/>
            <w:tcBorders>
              <w:bottom w:val="single" w:sz="8" w:color="61656A"/>
            </w:tcBorders>
            <w:gridSpan w:val="2"/>
          </w:tcPr>
          <w:p>
            <w:pPr>
              <w:jc w:val="right"/>
              <w:ind w:right="328"/>
              <w:spacing w:after="0"/>
              <w:rPr>
                <w:sz w:val="20"/>
                <w:szCs w:val="20"/>
                <w:color w:val="auto"/>
              </w:rPr>
            </w:pPr>
            <w:r>
              <w:rPr>
                <w:rFonts w:ascii="Arial" w:cs="Arial" w:eastAsia="Arial" w:hAnsi="Arial"/>
                <w:sz w:val="14"/>
                <w:szCs w:val="14"/>
                <w:color w:val="auto"/>
              </w:rPr>
              <w:t>(6.0)</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(1,176)</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(13.0)</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0.8</w:t>
            </w: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39</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0.5</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w:t>
            </w:r>
          </w:p>
        </w:tc>
        <w:tc>
          <w:tcPr>
            <w:tcW w:w="1360" w:type="dxa"/>
            <w:vAlign w:val="bottom"/>
            <w:tcBorders>
              <w:bottom w:val="single" w:sz="8" w:color="D7282F"/>
            </w:tcBorders>
            <w:gridSpan w:val="2"/>
          </w:tcPr>
          <w:p>
            <w:pPr>
              <w:jc w:val="right"/>
              <w:ind w:right="368"/>
              <w:spacing w:after="0"/>
              <w:rPr>
                <w:sz w:val="20"/>
                <w:szCs w:val="20"/>
                <w:color w:val="auto"/>
              </w:rPr>
            </w:pPr>
            <w:r>
              <w:rPr>
                <w:rFonts w:ascii="Arial" w:cs="Arial" w:eastAsia="Arial" w:hAnsi="Arial"/>
                <w:sz w:val="14"/>
                <w:szCs w:val="14"/>
                <w:color w:val="auto"/>
              </w:rPr>
              <w:t>2.4</w:t>
            </w: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109</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1.9</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(293.6)</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(35,510)</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(283.9)</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(32,814)</w:t>
            </w:r>
          </w:p>
        </w:tc>
        <w:tc>
          <w:tcPr>
            <w:tcW w:w="1360" w:type="dxa"/>
            <w:vAlign w:val="bottom"/>
            <w:tcBorders>
              <w:bottom w:val="single" w:sz="8" w:color="D7282F"/>
            </w:tcBorders>
            <w:gridSpan w:val="2"/>
          </w:tcPr>
          <w:p>
            <w:pPr>
              <w:jc w:val="right"/>
              <w:ind w:right="328"/>
              <w:spacing w:after="0"/>
              <w:rPr>
                <w:sz w:val="20"/>
                <w:szCs w:val="20"/>
                <w:color w:val="auto"/>
              </w:rPr>
            </w:pPr>
            <w:r>
              <w:rPr>
                <w:rFonts w:ascii="Arial" w:cs="Arial" w:eastAsia="Arial" w:hAnsi="Arial"/>
                <w:sz w:val="14"/>
                <w:szCs w:val="14"/>
                <w:b w:val="1"/>
                <w:bCs w:val="1"/>
                <w:color w:val="auto"/>
              </w:rPr>
              <w:t>(293.6)</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(35,510)</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(283.9)</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(32,814)</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45,797</w:t>
            </w: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43,288</w:t>
            </w:r>
          </w:p>
        </w:tc>
        <w:tc>
          <w:tcPr>
            <w:tcW w:w="24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45,093</w:t>
            </w: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42,827</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4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1,487</w:t>
            </w: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1,261</w:t>
            </w:r>
          </w:p>
        </w:tc>
        <w:tc>
          <w:tcPr>
            <w:tcW w:w="24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2,881</w:t>
            </w: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190"/>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(688)</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(666)</w:t>
            </w:r>
          </w:p>
        </w:tc>
        <w:tc>
          <w:tcPr>
            <w:tcW w:w="2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(1,378)</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188"/>
        </w:trPr>
        <w:tc>
          <w:tcPr>
            <w:tcW w:w="3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46,596</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43,883</w:t>
            </w:r>
          </w:p>
        </w:tc>
        <w:tc>
          <w:tcPr>
            <w:tcW w:w="2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46,596</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43,883</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(3,538)</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(2,787)</w:t>
            </w:r>
          </w:p>
        </w:tc>
        <w:tc>
          <w:tcPr>
            <w:tcW w:w="24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(3,475)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(2,895)</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(73)</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w:t>
            </w:r>
          </w:p>
        </w:tc>
        <w:tc>
          <w:tcPr>
            <w:tcW w:w="24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(132)</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0"/>
        </w:trPr>
        <w:tc>
          <w:tcPr>
            <w:tcW w:w="3540" w:type="dxa"/>
            <w:vAlign w:val="bottom"/>
          </w:tcPr>
          <w:p>
            <w:pPr>
              <w:ind w:left="140"/>
              <w:spacing w:after="0" w:line="151" w:lineRule="exact"/>
              <w:rPr>
                <w:sz w:val="20"/>
                <w:szCs w:val="20"/>
                <w:color w:val="auto"/>
              </w:rPr>
            </w:pPr>
            <w:r>
              <w:rPr>
                <w:rFonts w:ascii="Arial" w:cs="Arial" w:eastAsia="Arial" w:hAnsi="Arial"/>
                <w:sz w:val="14"/>
                <w:szCs w:val="14"/>
                <w:color w:val="auto"/>
              </w:rPr>
              <w:t>Pension and other postretirement benefit</w:t>
            </w: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3540" w:type="dxa"/>
            <w:vAlign w:val="bottom"/>
          </w:tcPr>
          <w:p>
            <w:pPr>
              <w:ind w:left="140"/>
              <w:spacing w:after="0" w:line="148" w:lineRule="exact"/>
              <w:rPr>
                <w:sz w:val="20"/>
                <w:szCs w:val="20"/>
                <w:color w:val="auto"/>
              </w:rPr>
            </w:pPr>
            <w:r>
              <w:rPr>
                <w:rFonts w:ascii="Arial" w:cs="Arial" w:eastAsia="Arial" w:hAnsi="Arial"/>
                <w:sz w:val="14"/>
                <w:szCs w:val="14"/>
                <w:color w:val="auto"/>
              </w:rPr>
              <w:t>Changes in fair value of available for sale</w:t>
            </w:r>
          </w:p>
        </w:tc>
        <w:tc>
          <w:tcPr>
            <w:tcW w:w="114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9</w:t>
            </w:r>
          </w:p>
        </w:tc>
        <w:tc>
          <w:tcPr>
            <w:tcW w:w="1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3</w:t>
            </w:r>
          </w:p>
        </w:tc>
        <w:tc>
          <w:tcPr>
            <w:tcW w:w="1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3</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17</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8"/>
        </w:trPr>
        <w:tc>
          <w:tcPr>
            <w:tcW w:w="3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(3,611)</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(2,883)</w:t>
            </w:r>
          </w:p>
        </w:tc>
        <w:tc>
          <w:tcPr>
            <w:tcW w:w="2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(3,611)</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(2,883)</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596</w:t>
            </w: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686</w:t>
            </w:r>
          </w:p>
        </w:tc>
        <w:tc>
          <w:tcPr>
            <w:tcW w:w="24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622</w:t>
            </w: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150"/>
        </w:trPr>
        <w:tc>
          <w:tcPr>
            <w:tcW w:w="3540" w:type="dxa"/>
            <w:vAlign w:val="bottom"/>
          </w:tcPr>
          <w:p>
            <w:pPr>
              <w:ind w:left="140"/>
              <w:spacing w:after="0" w:line="151" w:lineRule="exact"/>
              <w:rPr>
                <w:sz w:val="20"/>
                <w:szCs w:val="20"/>
                <w:color w:val="auto"/>
              </w:rPr>
            </w:pPr>
            <w:r>
              <w:rPr>
                <w:rFonts w:ascii="Arial" w:cs="Arial" w:eastAsia="Arial" w:hAnsi="Arial"/>
                <w:sz w:val="14"/>
                <w:szCs w:val="14"/>
                <w:color w:val="auto"/>
              </w:rPr>
              <w:t>Net income (loss) attributable to noncontrolling</w:t>
            </w: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w:t>
            </w:r>
          </w:p>
        </w:tc>
        <w:tc>
          <w:tcPr>
            <w:tcW w:w="114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14</w:t>
            </w: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28</w:t>
            </w: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Dividends paid</w:t>
            </w:r>
          </w:p>
        </w:tc>
        <w:tc>
          <w:tcPr>
            <w:tcW w:w="11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w:t>
            </w:r>
          </w:p>
        </w:tc>
        <w:tc>
          <w:tcPr>
            <w:tcW w:w="24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(52)</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595</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649</w:t>
            </w:r>
          </w:p>
        </w:tc>
        <w:tc>
          <w:tcPr>
            <w:tcW w:w="2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595</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649</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664.0</w:t>
            </w: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17,894</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673.7</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18,190</w:t>
            </w:r>
          </w:p>
        </w:tc>
        <w:tc>
          <w:tcPr>
            <w:tcW w:w="1360" w:type="dxa"/>
            <w:vAlign w:val="bottom"/>
            <w:tcBorders>
              <w:bottom w:val="single" w:sz="8" w:color="D7282F"/>
            </w:tcBorders>
            <w:gridSpan w:val="2"/>
          </w:tcPr>
          <w:p>
            <w:pPr>
              <w:jc w:val="right"/>
              <w:ind w:right="368"/>
              <w:spacing w:after="0"/>
              <w:rPr>
                <w:sz w:val="20"/>
                <w:szCs w:val="20"/>
                <w:color w:val="auto"/>
              </w:rPr>
            </w:pPr>
            <w:r>
              <w:rPr>
                <w:rFonts w:ascii="Arial" w:cs="Arial" w:eastAsia="Arial" w:hAnsi="Arial"/>
                <w:sz w:val="14"/>
                <w:szCs w:val="14"/>
                <w:b w:val="1"/>
                <w:bCs w:val="1"/>
                <w:color w:val="auto"/>
              </w:rPr>
              <w:t>664.0</w:t>
            </w: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17,894</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673.7</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18,190</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1.030</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0.980</w:t>
            </w:r>
          </w:p>
        </w:tc>
        <w:tc>
          <w:tcPr>
            <w:tcW w:w="13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2.060</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1.960</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71"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is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actual closing dates for the three and six months ended June 30, 2023, and 2022, were July 1, 2023, and July 2, 2022,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accounting policies of the Company are set forth in Note 1 Summary of Significant Accounting Policies of Notes to Consolidated Financial Statements in the Company’s 2022 Annual Report on Form 10-K. The Company includes herein certain updates to those policies.</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212529"/>
        </w:rPr>
        <w:t>Certain prior year amounts are reclassified to conform to the current year presentation.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12529"/>
        </w:rPr>
        <w:t>Historically, the Company included Company-sponsored costs and costs that relate to contracts with customers for research and development projects as a component of Cost of products and services sold on the Consolidated Statement of Operations. Effective January 1, 2023, the Company began classifying Company-sponsored costs for research and development projects as a separate financial statement line item, titled Research and development expenses, on the Consolidated Statement of Operations and recast prior period results for this reclassification. This reclassification had no impact on the Company's net income, earnings per share, cash flows, segment reporting, or financial position. The Company revised historical periods to reflect this change in presentation.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SUPPLY CHAIN FINANCING</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maintains agreements with third-party financial institutions that offer voluntary supply chain financing (SCF) programs to suppliers. The SCF programs enable suppliers, at their sole discretion, to sell their receivables to third-party financial institutions in order to receive payment on receivables earlier than the negotiated commercial terms between suppliers and the Company. Supplier sale of receivables to third-party financial institutions is on terms negotiated between the supplier and the respective third-party financial institution. The Company agrees on commercial terms for the goods and services procured from suppliers, including prices, quantities, and payment terms, which normally range between 60 and 120 days, regardless of whether the supplier elects to participate in the SCF programs. A suppliers’ voluntary participation in the SCF programs has no bearing on the Company's payment terms and the Company has no economic interest in a supplier’s decision to participate in the SCF programs. The Company agrees to pay participating third-party financial institutions the stated amount of confirmed invoices from suppliers on the original maturity dates of the invoices.</w:t>
      </w:r>
    </w:p>
    <w:p>
      <w:pPr>
        <w:spacing w:after="0" w:line="7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Amounts outstanding related to SCF programs are included in Accounts payable in the Consolidated Balance Sheet. Accounts payable included approximately $985 million and $992 million as of June 30, 2023, and December 31, 2022, respectively. The impact of these programs is not material to the Company's overall liquidity.</w:t>
      </w:r>
    </w:p>
    <w:p>
      <w:pPr>
        <w:spacing w:after="0" w:line="200" w:lineRule="exact"/>
        <w:rPr>
          <w:sz w:val="20"/>
          <w:szCs w:val="20"/>
          <w:color w:val="auto"/>
        </w:rPr>
      </w:pPr>
    </w:p>
    <w:p>
      <w:pPr>
        <w:spacing w:after="0" w:line="212"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September 2022, the FASB issued ASU 2022-04, </w:t>
      </w:r>
      <w:r>
        <w:rPr>
          <w:rFonts w:ascii="Arial" w:cs="Arial" w:eastAsia="Arial" w:hAnsi="Arial"/>
          <w:sz w:val="16"/>
          <w:szCs w:val="16"/>
          <w:i w:val="1"/>
          <w:iCs w:val="1"/>
          <w:color w:val="auto"/>
        </w:rPr>
        <w:t>Liabilities—Supplier Finance Programs (Topic 405): Disclosure of Supplier Finance Program</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Obligations </w:t>
      </w:r>
      <w:r>
        <w:rPr>
          <w:rFonts w:ascii="Arial" w:cs="Arial" w:eastAsia="Arial" w:hAnsi="Arial"/>
          <w:sz w:val="16"/>
          <w:szCs w:val="16"/>
          <w:color w:val="auto"/>
        </w:rPr>
        <w:t>, to enhance the transparency of supplier finance programs. The new standard requires annual disclosure of the key terms of the program, a</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where in the financial statements amounts outstanding under the program are presented, a rollforward of such amounts, and interim disclosure of amounts outstanding as of the end of each period. The guidance does not affect recognition, measurement, or financial statement presentation of supplier finance programs. The ASU is effective on January 1, 2023, except for the rollforward, which is effective on January 1, 2024. The Company adopted this guidance on January 1, 2023, with the exception of the rollforward that will be effective beginning January 1, 2024. The adoption of this standard does not have a material impact on the Company’s Consolidated Financial Statements.</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Contract Assets and Contract Liabilities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which requires contract assets and contract liabilities acquired in a business combination to be recognized and measured by the acquirer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date in accordance with ASC 606, Revenue from Contracts with Customers. This ASU should be applied prospectively to acquisitions occurring on or after the effective date of December 15, 2022, and early adoption is permitted. The Company adopted this guidance on January 1, 2022. The adoption of this standard does not have a material impact on the Company’s Consolidated Financial Statements.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generally accepted accounting principles to contracts, hedging relationships,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transactions affected by the transition away from reference rates expected to be discontinued to alternative reference rates.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to expand the scope of this guidance to include derivatives. The guidance was effective upon issuance and may be applied prospectively to contract modifications made and hedging relationships entered into on or before December 31, 2022. In December 2022, the FASB issued ASU 2022-06, </w:t>
      </w:r>
      <w:r>
        <w:rPr>
          <w:rFonts w:ascii="Arial" w:cs="Arial" w:eastAsia="Arial" w:hAnsi="Arial"/>
          <w:sz w:val="16"/>
          <w:szCs w:val="16"/>
          <w:i w:val="1"/>
          <w:iCs w:val="1"/>
          <w:color w:val="auto"/>
        </w:rPr>
        <w:t>Reference Rate Reform (Topic 848): Deferral of the Sunset Date of Topic 848</w:t>
      </w:r>
      <w:r>
        <w:rPr>
          <w:rFonts w:ascii="Arial" w:cs="Arial" w:eastAsia="Arial" w:hAnsi="Arial"/>
          <w:sz w:val="16"/>
          <w:szCs w:val="16"/>
          <w:color w:val="auto"/>
        </w:rPr>
        <w:t xml:space="preserve"> , which extends the period of time entities can utilize the reference rate reform relief guidance under ASU 2020-04 from December 31, 2022, to December 31, 2024. The Company will apply the guidance to impacted transactions during the transition period. The adoption of this standard does not have a material impact on the Company’s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D7282F"/>
        </w:rPr>
        <w:t>NOTE 3. ACQUISITIONS AND DIVESTITURES</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June 30, 2023, the Company acquired 100% of the outstanding equity interests of Compressor Controls Corporation, a turbomachinery services and controls company based in the United States, for total cash consideration of $661 million, net of cash acquired. The business is included in the Performance Materials and Technologies reportable business segment. The assets and liabilities acquired with Compressor Controls Corporation are included in the Consolidated Balance Sheet as of June 30, 2023, including $314 million of intangible assets and $298 million allocated to goodwill, which is deductible for tax purposes. The identifiable intangible assets primarily include customer relationships amortized over an estimated life of 15 years using an excess earnings amortization method. The purchase accounting is subject to final adjustment, primarily for the valuation of intangible assets, amounts allocated to goodwill, and tax balances.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January 18, 2022, the Company acquired 100% of the issued and outstanding shares of US Digital Designs, Inc., a leading provider of technologies for first responders, for total consideration of $186 million. The business is included within the Honeywell Building Technologies reportable business segment. The Company finalized the evaluation for the fair value of all the assets and liabilities acquired with US Digital Designs, Inc. during the first quarter of 2023. Management recorded intangible assets of $53 million and allocated $129 million to goodwill, which is deductible for tax purposes.</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For the six months ended June 30, 2023, the Company completed no divestitures. As of June 30, 2023, the Company had no material adjustments for divestitures completed during 2022.</w:t>
      </w:r>
    </w:p>
    <w:p>
      <w:pPr>
        <w:spacing w:after="0" w:line="200" w:lineRule="exact"/>
        <w:rPr>
          <w:sz w:val="20"/>
          <w:szCs w:val="20"/>
          <w:color w:val="auto"/>
        </w:rPr>
      </w:pPr>
    </w:p>
    <w:p>
      <w:pPr>
        <w:spacing w:after="0" w:line="207"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202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698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98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83"/>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w:t>
            </w:r>
          </w:p>
        </w:tc>
        <w:tc>
          <w:tcPr>
            <w:tcW w:w="34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spacing w:after="0"/>
              <w:rPr>
                <w:sz w:val="15"/>
                <w:szCs w:val="15"/>
                <w:color w:val="auto"/>
              </w:rPr>
            </w:pPr>
          </w:p>
        </w:tc>
        <w:tc>
          <w:tcPr>
            <w:tcW w:w="160" w:type="dxa"/>
            <w:vAlign w:val="bottom"/>
            <w:tcBorders>
              <w:bottom w:val="single" w:sz="8" w:color="61656A"/>
            </w:tcBorders>
          </w:tcPr>
          <w:p>
            <w:pPr>
              <w:spacing w:after="0"/>
              <w:rPr>
                <w:sz w:val="15"/>
                <w:szCs w:val="15"/>
                <w:color w:val="auto"/>
              </w:rPr>
            </w:pPr>
          </w:p>
        </w:tc>
        <w:tc>
          <w:tcPr>
            <w:tcW w:w="680" w:type="dxa"/>
            <w:vAlign w:val="bottom"/>
            <w:tcBorders>
              <w:bottom w:val="single" w:sz="8" w:color="61656A"/>
            </w:tcBorders>
          </w:tcPr>
          <w:p>
            <w:pPr>
              <w:spacing w:after="0"/>
              <w:rPr>
                <w:sz w:val="15"/>
                <w:szCs w:val="15"/>
                <w:color w:val="auto"/>
              </w:rPr>
            </w:pPr>
          </w:p>
        </w:tc>
        <w:tc>
          <w:tcPr>
            <w:tcW w:w="220" w:type="dxa"/>
            <w:vAlign w:val="bottom"/>
            <w:tcBorders>
              <w:bottom w:val="single" w:sz="8" w:color="61656A"/>
            </w:tcBorders>
          </w:tcPr>
          <w:p>
            <w:pPr>
              <w:spacing w:after="0"/>
              <w:rPr>
                <w:sz w:val="15"/>
                <w:szCs w:val="15"/>
                <w:color w:val="auto"/>
              </w:rPr>
            </w:pPr>
          </w:p>
        </w:tc>
        <w:tc>
          <w:tcPr>
            <w:tcW w:w="340" w:type="dxa"/>
            <w:vAlign w:val="bottom"/>
            <w:tcBorders>
              <w:bottom w:val="single" w:sz="8" w:color="61656A"/>
            </w:tcBorders>
          </w:tcPr>
          <w:p>
            <w:pPr>
              <w:spacing w:after="0"/>
              <w:rPr>
                <w:sz w:val="15"/>
                <w:szCs w:val="15"/>
                <w:color w:val="auto"/>
              </w:rPr>
            </w:pPr>
          </w:p>
        </w:tc>
        <w:tc>
          <w:tcPr>
            <w:tcW w:w="760" w:type="dxa"/>
            <w:vAlign w:val="bottom"/>
            <w:tcBorders>
              <w:bottom w:val="single" w:sz="8" w:color="61656A"/>
            </w:tcBorders>
          </w:tcPr>
          <w:p>
            <w:pPr>
              <w:spacing w:after="0"/>
              <w:rPr>
                <w:sz w:val="15"/>
                <w:szCs w:val="15"/>
                <w:color w:val="auto"/>
              </w:rPr>
            </w:pPr>
          </w:p>
        </w:tc>
        <w:tc>
          <w:tcPr>
            <w:tcW w:w="26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Original Equipment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607</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527</w:t>
            </w:r>
          </w:p>
        </w:tc>
        <w:tc>
          <w:tcPr>
            <w:tcW w:w="56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1,148</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Aftermarket</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1,533</w:t>
            </w:r>
          </w:p>
        </w:tc>
        <w:tc>
          <w:tcPr>
            <w:tcW w:w="16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1,208</w:t>
            </w:r>
          </w:p>
        </w:tc>
        <w:tc>
          <w:tcPr>
            <w:tcW w:w="2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2,956</w:t>
            </w:r>
          </w:p>
        </w:tc>
        <w:tc>
          <w:tcPr>
            <w:tcW w:w="26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2,376</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Defense and Space</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1,201</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1,163</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2,348</w:t>
            </w: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2,266</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sales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3,341</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2,898</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6,452</w:t>
            </w: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5,647</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Honeywell Building Technologies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918</w:t>
            </w:r>
          </w:p>
        </w:tc>
        <w:tc>
          <w:tcPr>
            <w:tcW w:w="160" w:type="dxa"/>
            <w:vAlign w:val="bottom"/>
            <w:tcBorders>
              <w:bottom w:val="single" w:sz="8" w:color="61656A"/>
            </w:tcBorders>
          </w:tcPr>
          <w:p>
            <w:pPr>
              <w:spacing w:after="0"/>
              <w:rPr>
                <w:sz w:val="15"/>
                <w:szCs w:val="15"/>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936</w:t>
            </w:r>
          </w:p>
        </w:tc>
        <w:tc>
          <w:tcPr>
            <w:tcW w:w="220" w:type="dxa"/>
            <w:vAlign w:val="bottom"/>
            <w:tcBorders>
              <w:bottom w:val="single" w:sz="8" w:color="61656A"/>
            </w:tcBorders>
          </w:tcPr>
          <w:p>
            <w:pPr>
              <w:spacing w:after="0"/>
              <w:rPr>
                <w:sz w:val="15"/>
                <w:szCs w:val="15"/>
                <w:color w:val="auto"/>
              </w:rPr>
            </w:pPr>
          </w:p>
        </w:tc>
        <w:tc>
          <w:tcPr>
            <w:tcW w:w="340" w:type="dxa"/>
            <w:vAlign w:val="bottom"/>
            <w:tcBorders>
              <w:bottom w:val="single" w:sz="8" w:color="61656A"/>
            </w:tcBorders>
          </w:tcPr>
          <w:p>
            <w:pPr>
              <w:spacing w:after="0"/>
              <w:rPr>
                <w:sz w:val="15"/>
                <w:szCs w:val="15"/>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1,826</w:t>
            </w:r>
          </w:p>
        </w:tc>
        <w:tc>
          <w:tcPr>
            <w:tcW w:w="26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1,815</w:t>
            </w:r>
          </w:p>
        </w:tc>
        <w:tc>
          <w:tcPr>
            <w:tcW w:w="0" w:type="dxa"/>
            <w:vAlign w:val="bottom"/>
          </w:tcPr>
          <w:p>
            <w:pPr>
              <w:spacing w:after="0"/>
              <w:rPr>
                <w:sz w:val="1"/>
                <w:szCs w:val="1"/>
                <w:color w:val="auto"/>
              </w:rPr>
            </w:pPr>
          </w:p>
        </w:tc>
      </w:tr>
      <w:tr>
        <w:trPr>
          <w:trHeight w:val="190"/>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Building Solutions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592</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595</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1,171</w:t>
            </w: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201"/>
        </w:trPr>
        <w:tc>
          <w:tcPr>
            <w:tcW w:w="6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Honeywell Building Technologies sales</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1,510</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1,531</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2,997</w:t>
            </w:r>
          </w:p>
        </w:tc>
        <w:tc>
          <w:tcPr>
            <w:tcW w:w="2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2,960</w:t>
            </w:r>
          </w:p>
        </w:tc>
        <w:tc>
          <w:tcPr>
            <w:tcW w:w="0" w:type="dxa"/>
            <w:vAlign w:val="bottom"/>
          </w:tcPr>
          <w:p>
            <w:pPr>
              <w:spacing w:after="0"/>
              <w:rPr>
                <w:sz w:val="1"/>
                <w:szCs w:val="1"/>
                <w:color w:val="auto"/>
              </w:rPr>
            </w:pPr>
          </w:p>
        </w:tc>
      </w:tr>
      <w:tr>
        <w:trPr>
          <w:trHeight w:val="184"/>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Performance Materials and Technologies</w:t>
            </w:r>
          </w:p>
        </w:tc>
        <w:tc>
          <w:tcPr>
            <w:tcW w:w="34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spacing w:after="0"/>
              <w:rPr>
                <w:sz w:val="15"/>
                <w:szCs w:val="15"/>
                <w:color w:val="auto"/>
              </w:rPr>
            </w:pPr>
          </w:p>
        </w:tc>
        <w:tc>
          <w:tcPr>
            <w:tcW w:w="160" w:type="dxa"/>
            <w:vAlign w:val="bottom"/>
            <w:tcBorders>
              <w:bottom w:val="single" w:sz="8" w:color="61656A"/>
            </w:tcBorders>
          </w:tcPr>
          <w:p>
            <w:pPr>
              <w:spacing w:after="0"/>
              <w:rPr>
                <w:sz w:val="15"/>
                <w:szCs w:val="15"/>
                <w:color w:val="auto"/>
              </w:rPr>
            </w:pPr>
          </w:p>
        </w:tc>
        <w:tc>
          <w:tcPr>
            <w:tcW w:w="680" w:type="dxa"/>
            <w:vAlign w:val="bottom"/>
            <w:tcBorders>
              <w:bottom w:val="single" w:sz="8" w:color="61656A"/>
            </w:tcBorders>
          </w:tcPr>
          <w:p>
            <w:pPr>
              <w:spacing w:after="0"/>
              <w:rPr>
                <w:sz w:val="15"/>
                <w:szCs w:val="15"/>
                <w:color w:val="auto"/>
              </w:rPr>
            </w:pPr>
          </w:p>
        </w:tc>
        <w:tc>
          <w:tcPr>
            <w:tcW w:w="220" w:type="dxa"/>
            <w:vAlign w:val="bottom"/>
            <w:tcBorders>
              <w:bottom w:val="single" w:sz="8" w:color="61656A"/>
            </w:tcBorders>
          </w:tcPr>
          <w:p>
            <w:pPr>
              <w:spacing w:after="0"/>
              <w:rPr>
                <w:sz w:val="15"/>
                <w:szCs w:val="15"/>
                <w:color w:val="auto"/>
              </w:rPr>
            </w:pPr>
          </w:p>
        </w:tc>
        <w:tc>
          <w:tcPr>
            <w:tcW w:w="340" w:type="dxa"/>
            <w:vAlign w:val="bottom"/>
            <w:tcBorders>
              <w:bottom w:val="single" w:sz="8" w:color="61656A"/>
            </w:tcBorders>
          </w:tcPr>
          <w:p>
            <w:pPr>
              <w:spacing w:after="0"/>
              <w:rPr>
                <w:sz w:val="15"/>
                <w:szCs w:val="15"/>
                <w:color w:val="auto"/>
              </w:rPr>
            </w:pPr>
          </w:p>
        </w:tc>
        <w:tc>
          <w:tcPr>
            <w:tcW w:w="760" w:type="dxa"/>
            <w:vAlign w:val="bottom"/>
            <w:tcBorders>
              <w:bottom w:val="single" w:sz="8" w:color="61656A"/>
            </w:tcBorders>
          </w:tcPr>
          <w:p>
            <w:pPr>
              <w:spacing w:after="0"/>
              <w:rPr>
                <w:sz w:val="15"/>
                <w:szCs w:val="15"/>
                <w:color w:val="auto"/>
              </w:rPr>
            </w:pPr>
          </w:p>
        </w:tc>
        <w:tc>
          <w:tcPr>
            <w:tcW w:w="26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UOP</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623</w:t>
            </w:r>
          </w:p>
        </w:tc>
        <w:tc>
          <w:tcPr>
            <w:tcW w:w="1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565</w:t>
            </w: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1,188</w:t>
            </w:r>
          </w:p>
        </w:tc>
        <w:tc>
          <w:tcPr>
            <w:tcW w:w="2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Solutions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1,294</w:t>
            </w:r>
          </w:p>
        </w:tc>
        <w:tc>
          <w:tcPr>
            <w:tcW w:w="16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1,179</w:t>
            </w:r>
          </w:p>
        </w:tc>
        <w:tc>
          <w:tcPr>
            <w:tcW w:w="2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2,582</w:t>
            </w:r>
          </w:p>
        </w:tc>
        <w:tc>
          <w:tcPr>
            <w:tcW w:w="26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Advanced Materials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944</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950</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1,840</w:t>
            </w: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83"/>
        </w:trPr>
        <w:tc>
          <w:tcPr>
            <w:tcW w:w="6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Performance Materials and Technologies sales</w:t>
            </w:r>
          </w:p>
        </w:tc>
        <w:tc>
          <w:tcPr>
            <w:tcW w:w="340" w:type="dxa"/>
            <w:vAlign w:val="bottom"/>
            <w:tcBorders>
              <w:bottom w:val="single" w:sz="8" w:color="D7282F"/>
            </w:tcBorders>
          </w:tcPr>
          <w:p>
            <w:pPr>
              <w:spacing w:after="0"/>
              <w:rPr>
                <w:sz w:val="15"/>
                <w:szCs w:val="15"/>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2,861</w:t>
            </w:r>
          </w:p>
        </w:tc>
        <w:tc>
          <w:tcPr>
            <w:tcW w:w="160" w:type="dxa"/>
            <w:vAlign w:val="bottom"/>
            <w:tcBorders>
              <w:bottom w:val="single" w:sz="8" w:color="D7282F"/>
            </w:tcBorders>
          </w:tcPr>
          <w:p>
            <w:pPr>
              <w:spacing w:after="0"/>
              <w:rPr>
                <w:sz w:val="15"/>
                <w:szCs w:val="15"/>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2,694</w:t>
            </w:r>
          </w:p>
        </w:tc>
        <w:tc>
          <w:tcPr>
            <w:tcW w:w="220" w:type="dxa"/>
            <w:vAlign w:val="bottom"/>
            <w:tcBorders>
              <w:bottom w:val="single" w:sz="8" w:color="D7282F"/>
            </w:tcBorders>
          </w:tcPr>
          <w:p>
            <w:pPr>
              <w:spacing w:after="0"/>
              <w:rPr>
                <w:sz w:val="15"/>
                <w:szCs w:val="15"/>
                <w:color w:val="auto"/>
              </w:rPr>
            </w:pPr>
          </w:p>
        </w:tc>
        <w:tc>
          <w:tcPr>
            <w:tcW w:w="340" w:type="dxa"/>
            <w:vAlign w:val="bottom"/>
            <w:tcBorders>
              <w:bottom w:val="single" w:sz="8" w:color="D7282F"/>
            </w:tcBorders>
          </w:tcPr>
          <w:p>
            <w:pPr>
              <w:spacing w:after="0"/>
              <w:rPr>
                <w:sz w:val="15"/>
                <w:szCs w:val="15"/>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5,610</w:t>
            </w:r>
          </w:p>
        </w:tc>
        <w:tc>
          <w:tcPr>
            <w:tcW w:w="260" w:type="dxa"/>
            <w:vAlign w:val="bottom"/>
            <w:tcBorders>
              <w:bottom w:val="single" w:sz="8" w:color="D7282F"/>
            </w:tcBorders>
          </w:tcPr>
          <w:p>
            <w:pPr>
              <w:spacing w:after="0"/>
              <w:rPr>
                <w:sz w:val="15"/>
                <w:szCs w:val="15"/>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5,147</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Safety and Productivity Solutions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Sensing and Safety Technologies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723</w:t>
            </w:r>
          </w:p>
        </w:tc>
        <w:tc>
          <w:tcPr>
            <w:tcW w:w="1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748</w:t>
            </w: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1,427</w:t>
            </w:r>
          </w:p>
        </w:tc>
        <w:tc>
          <w:tcPr>
            <w:tcW w:w="2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Productivity Solutions and Services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312</w:t>
            </w:r>
          </w:p>
        </w:tc>
        <w:tc>
          <w:tcPr>
            <w:tcW w:w="1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449</w:t>
            </w: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659</w:t>
            </w:r>
          </w:p>
        </w:tc>
        <w:tc>
          <w:tcPr>
            <w:tcW w:w="2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90"/>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Warehouse and Workflow Solutions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398</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632</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862</w:t>
            </w: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01"/>
        </w:trPr>
        <w:tc>
          <w:tcPr>
            <w:tcW w:w="6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Safety and Productivity Solutions sales</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1,433</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1,829</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2,948</w:t>
            </w:r>
          </w:p>
        </w:tc>
        <w:tc>
          <w:tcPr>
            <w:tcW w:w="2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3,573</w:t>
            </w:r>
          </w:p>
        </w:tc>
        <w:tc>
          <w:tcPr>
            <w:tcW w:w="0" w:type="dxa"/>
            <w:vAlign w:val="bottom"/>
          </w:tcPr>
          <w:p>
            <w:pPr>
              <w:spacing w:after="0"/>
              <w:rPr>
                <w:sz w:val="1"/>
                <w:szCs w:val="1"/>
                <w:color w:val="auto"/>
              </w:rPr>
            </w:pPr>
          </w:p>
        </w:tc>
      </w:tr>
      <w:tr>
        <w:trPr>
          <w:trHeight w:val="183"/>
        </w:trPr>
        <w:tc>
          <w:tcPr>
            <w:tcW w:w="69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340" w:type="dxa"/>
            <w:vAlign w:val="bottom"/>
            <w:tcBorders>
              <w:bottom w:val="single" w:sz="8" w:color="D7282F"/>
            </w:tcBorders>
          </w:tcPr>
          <w:p>
            <w:pPr>
              <w:spacing w:after="0"/>
              <w:rPr>
                <w:sz w:val="15"/>
                <w:szCs w:val="15"/>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D7282F"/>
            </w:tcBorders>
          </w:tcPr>
          <w:p>
            <w:pPr>
              <w:spacing w:after="0"/>
              <w:rPr>
                <w:sz w:val="15"/>
                <w:szCs w:val="15"/>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D7282F"/>
            </w:tcBorders>
          </w:tcPr>
          <w:p>
            <w:pPr>
              <w:spacing w:after="0"/>
              <w:rPr>
                <w:sz w:val="15"/>
                <w:szCs w:val="15"/>
                <w:color w:val="auto"/>
              </w:rPr>
            </w:pPr>
          </w:p>
        </w:tc>
        <w:tc>
          <w:tcPr>
            <w:tcW w:w="340" w:type="dxa"/>
            <w:vAlign w:val="bottom"/>
            <w:tcBorders>
              <w:bottom w:val="single" w:sz="8" w:color="D7282F"/>
            </w:tcBorders>
          </w:tcPr>
          <w:p>
            <w:pPr>
              <w:spacing w:after="0"/>
              <w:rPr>
                <w:sz w:val="15"/>
                <w:szCs w:val="15"/>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spacing w:after="0"/>
              <w:rPr>
                <w:sz w:val="15"/>
                <w:szCs w:val="15"/>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9,146</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8,953</w:t>
            </w:r>
          </w:p>
        </w:tc>
        <w:tc>
          <w:tcPr>
            <w:tcW w:w="5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18,010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17,329</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July 2022, the Company realigned certain business units within the Safety and Productivity Solutions reportable business segment. The Safety and Retail business unit, which included the gas detection and safety business, combined with the Advanced Sensing Technologies business unit to form the Sensing and Safety Technologies business unit. The Company recast historical periods to reflect this realignment.</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Aerospace </w:t>
      </w:r>
      <w:r>
        <w:rPr>
          <w:rFonts w:ascii="Arial" w:cs="Arial" w:eastAsia="Arial" w:hAnsi="Arial"/>
          <w:sz w:val="16"/>
          <w:szCs w:val="16"/>
          <w:color w:val="auto"/>
        </w:rPr>
        <w:t>– A global supplier of products, software, and services for aircrafts that it sells to original equipment manufacturers (OEM) and other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the Company's customers as tools to turn data into predictive maintenance and predictive analytics to enable better fleet management and make flight operations more efficient.</w:t>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Honeywell Building Technologies </w:t>
      </w:r>
      <w:r>
        <w:rPr>
          <w:rFonts w:ascii="Arial" w:cs="Arial" w:eastAsia="Arial" w:hAnsi="Arial"/>
          <w:sz w:val="16"/>
          <w:szCs w:val="16"/>
          <w:color w:val="auto"/>
        </w:rPr>
        <w:t>– A global provider of products, software, solutions, and technologies that enable building owners and occupants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the Company's customers to digitally manage buildings, connecting data from different assets to enable smart maintenance, improve building performance, and even protect from incoming security threats.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Performance Materials and Technologies </w:t>
      </w:r>
      <w:r>
        <w:rPr>
          <w:rFonts w:ascii="Arial" w:cs="Arial" w:eastAsia="Arial" w:hAnsi="Arial"/>
          <w:sz w:val="16"/>
          <w:szCs w:val="16"/>
          <w:color w:val="auto"/>
        </w:rPr>
        <w:t>– A global provider in developing and manufacturing high-quality performance chemicals and materials,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and automation solutions. The reportable business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 warming 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Safety and Productivity Solutions </w:t>
      </w:r>
      <w:r>
        <w:rPr>
          <w:rFonts w:ascii="Arial" w:cs="Arial" w:eastAsia="Arial" w:hAnsi="Arial"/>
          <w:sz w:val="16"/>
          <w:szCs w:val="16"/>
          <w:color w:val="auto"/>
        </w:rPr>
        <w:t>– A global provider of products and software that improve productivity, workplace safety, and asset performance to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around the globe. Sensing and Safety Technologies products include personal protective equipment (PPE), apparel, gear, and footwear; gas detection technology; custom-engineered sensors, switches, and controls for sensing and productivity solutions; and cloud-based notification and emergency messaging. Productivity Solutions and Services products and services include mobile devices and software for computing, data collection, and thermal printing; and software-based data and asset management productivity solutions. Warehouse and Workflow Solutions products and services include system design and simulation, automation solutions, performance optimization software, and lifecycle services to enable accuracy, productivity, and predictability of warehouse operations. Honeywell Forge solutions digitally automate processes to improve efficiency while reducing downtime and safety costs.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For a summary by disaggregated product and services sales for each reportable business segment, refer to Note 17 Segment Financial Data.</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recognizes revenue arising from performance obligations outlined in contracts with its customers that are satisfied at a point in time and over time. The disaggregation of the Company's revenue based off timing of recognition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21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18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64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720" w:type="dxa"/>
            <w:vAlign w:val="bottom"/>
            <w:tcBorders>
              <w:bottom w:val="single" w:sz="8" w:color="D7282F"/>
            </w:tcBorders>
            <w:gridSpan w:val="2"/>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2022</w:t>
            </w:r>
          </w:p>
        </w:tc>
      </w:tr>
      <w:tr>
        <w:trPr>
          <w:trHeight w:val="191"/>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2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58 %</w:t>
            </w: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61 %</w:t>
            </w:r>
          </w:p>
        </w:tc>
        <w:tc>
          <w:tcPr>
            <w:tcW w:w="1720" w:type="dxa"/>
            <w:vAlign w:val="bottom"/>
            <w:tcBorders>
              <w:bottom w:val="single" w:sz="8" w:color="61656A"/>
            </w:tcBorders>
            <w:gridSpan w:val="2"/>
          </w:tcPr>
          <w:p>
            <w:pPr>
              <w:jc w:val="right"/>
              <w:ind w:right="128"/>
              <w:spacing w:after="0"/>
              <w:rPr>
                <w:sz w:val="20"/>
                <w:szCs w:val="20"/>
                <w:color w:val="auto"/>
              </w:rPr>
            </w:pPr>
            <w:r>
              <w:rPr>
                <w:rFonts w:ascii="Arial" w:cs="Arial" w:eastAsia="Arial" w:hAnsi="Arial"/>
                <w:sz w:val="14"/>
                <w:szCs w:val="14"/>
                <w:color w:val="auto"/>
              </w:rPr>
              <w:t>58 %</w:t>
            </w: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60 %</w:t>
            </w:r>
          </w:p>
        </w:tc>
      </w:tr>
      <w:tr>
        <w:trPr>
          <w:trHeight w:val="189"/>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12</w:t>
            </w:r>
          </w:p>
        </w:tc>
        <w:tc>
          <w:tcPr>
            <w:tcW w:w="9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14</w:t>
            </w:r>
          </w:p>
        </w:tc>
        <w:tc>
          <w:tcPr>
            <w:tcW w:w="172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color w:val="auto"/>
              </w:rPr>
              <w:t>13</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r>
      <w:tr>
        <w:trPr>
          <w:trHeight w:val="195"/>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product sales</w:t>
            </w: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70</w:t>
            </w:r>
          </w:p>
        </w:tc>
        <w:tc>
          <w:tcPr>
            <w:tcW w:w="9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75</w:t>
            </w:r>
          </w:p>
        </w:tc>
        <w:tc>
          <w:tcPr>
            <w:tcW w:w="172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b w:val="1"/>
                <w:bCs w:val="1"/>
                <w:color w:val="auto"/>
              </w:rPr>
              <w:t>71</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74</w:t>
            </w:r>
          </w:p>
        </w:tc>
      </w:tr>
      <w:tr>
        <w:trPr>
          <w:trHeight w:val="191"/>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28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11</w:t>
            </w:r>
          </w:p>
        </w:tc>
        <w:tc>
          <w:tcPr>
            <w:tcW w:w="9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7</w:t>
            </w:r>
          </w:p>
        </w:tc>
        <w:tc>
          <w:tcPr>
            <w:tcW w:w="1720" w:type="dxa"/>
            <w:vAlign w:val="bottom"/>
            <w:tcBorders>
              <w:bottom w:val="single" w:sz="8" w:color="61656A"/>
            </w:tcBorders>
            <w:gridSpan w:val="2"/>
          </w:tcPr>
          <w:p>
            <w:pPr>
              <w:jc w:val="right"/>
              <w:ind w:right="308"/>
              <w:spacing w:after="0"/>
              <w:rPr>
                <w:sz w:val="20"/>
                <w:szCs w:val="20"/>
                <w:color w:val="auto"/>
              </w:rPr>
            </w:pPr>
            <w:r>
              <w:rPr>
                <w:rFonts w:ascii="Arial" w:cs="Arial" w:eastAsia="Arial" w:hAnsi="Arial"/>
                <w:sz w:val="14"/>
                <w:szCs w:val="14"/>
                <w:color w:val="auto"/>
              </w:rPr>
              <w:t>9</w:t>
            </w:r>
          </w:p>
        </w:tc>
        <w:tc>
          <w:tcPr>
            <w:tcW w:w="9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w:t>
            </w:r>
          </w:p>
        </w:tc>
      </w:tr>
      <w:tr>
        <w:trPr>
          <w:trHeight w:val="188"/>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19</w:t>
            </w:r>
          </w:p>
        </w:tc>
        <w:tc>
          <w:tcPr>
            <w:tcW w:w="9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18</w:t>
            </w:r>
          </w:p>
        </w:tc>
        <w:tc>
          <w:tcPr>
            <w:tcW w:w="172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color w:val="auto"/>
              </w:rPr>
              <w:t>20</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w:t>
            </w:r>
          </w:p>
        </w:tc>
      </w:tr>
      <w:tr>
        <w:trPr>
          <w:trHeight w:val="195"/>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service sales</w:t>
            </w: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30</w:t>
            </w:r>
          </w:p>
        </w:tc>
        <w:tc>
          <w:tcPr>
            <w:tcW w:w="9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25</w:t>
            </w:r>
          </w:p>
        </w:tc>
        <w:tc>
          <w:tcPr>
            <w:tcW w:w="172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b w:val="1"/>
                <w:bCs w:val="1"/>
                <w:color w:val="auto"/>
              </w:rPr>
              <w:t>29</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w:t>
            </w:r>
          </w:p>
        </w:tc>
      </w:tr>
      <w:tr>
        <w:trPr>
          <w:trHeight w:val="196"/>
        </w:trPr>
        <w:tc>
          <w:tcPr>
            <w:tcW w:w="6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sales</w:t>
            </w:r>
          </w:p>
        </w:tc>
        <w:tc>
          <w:tcPr>
            <w:tcW w:w="12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100 %</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c>
          <w:tcPr>
            <w:tcW w:w="172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100 %</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11</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records progress on satisfying performance obligations under contracts with customers and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520" w:type="dxa"/>
            <w:vAlign w:val="bottom"/>
            <w:tcBorders>
              <w:bottom w:val="single" w:sz="8" w:color="D7282F"/>
            </w:tcBorders>
          </w:tcPr>
          <w:p>
            <w:pPr>
              <w:spacing w:after="0"/>
              <w:rPr>
                <w:sz w:val="17"/>
                <w:szCs w:val="17"/>
                <w:color w:val="auto"/>
              </w:rPr>
            </w:pPr>
          </w:p>
        </w:tc>
        <w:tc>
          <w:tcPr>
            <w:tcW w:w="30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2022</w:t>
            </w:r>
          </w:p>
        </w:tc>
      </w:tr>
      <w:tr>
        <w:trPr>
          <w:trHeight w:val="191"/>
        </w:trPr>
        <w:tc>
          <w:tcPr>
            <w:tcW w:w="6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assets—January 1</w:t>
            </w:r>
          </w:p>
        </w:tc>
        <w:tc>
          <w:tcPr>
            <w:tcW w:w="3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2,294</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2,060</w:t>
            </w:r>
          </w:p>
        </w:tc>
      </w:tr>
      <w:tr>
        <w:trPr>
          <w:trHeight w:val="189"/>
        </w:trPr>
        <w:tc>
          <w:tcPr>
            <w:tcW w:w="6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assets—June 30</w:t>
            </w:r>
          </w:p>
        </w:tc>
        <w:tc>
          <w:tcPr>
            <w:tcW w:w="30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2,438</w:t>
            </w:r>
          </w:p>
        </w:tc>
        <w:tc>
          <w:tcPr>
            <w:tcW w:w="2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2,243</w:t>
            </w:r>
          </w:p>
        </w:tc>
      </w:tr>
      <w:tr>
        <w:trPr>
          <w:trHeight w:val="183"/>
        </w:trPr>
        <w:tc>
          <w:tcPr>
            <w:tcW w:w="65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assets - increase (decrease)</w:t>
            </w:r>
          </w:p>
        </w:tc>
        <w:tc>
          <w:tcPr>
            <w:tcW w:w="3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183</w:t>
            </w:r>
          </w:p>
        </w:tc>
      </w:tr>
      <w:tr>
        <w:trPr>
          <w:trHeight w:val="190"/>
        </w:trPr>
        <w:tc>
          <w:tcPr>
            <w:tcW w:w="6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liabilities—January 1</w:t>
            </w:r>
          </w:p>
        </w:tc>
        <w:tc>
          <w:tcPr>
            <w:tcW w:w="3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(4,583)</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(4,290)</w:t>
            </w:r>
          </w:p>
        </w:tc>
      </w:tr>
      <w:tr>
        <w:trPr>
          <w:trHeight w:val="196"/>
        </w:trPr>
        <w:tc>
          <w:tcPr>
            <w:tcW w:w="6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liabilities—June 30</w:t>
            </w:r>
          </w:p>
        </w:tc>
        <w:tc>
          <w:tcPr>
            <w:tcW w:w="30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(4,179)</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(4,329)</w:t>
            </w:r>
          </w:p>
        </w:tc>
      </w:tr>
      <w:tr>
        <w:trPr>
          <w:trHeight w:val="188"/>
        </w:trPr>
        <w:tc>
          <w:tcPr>
            <w:tcW w:w="65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liabilities - decrease (increase)</w:t>
            </w:r>
          </w:p>
        </w:tc>
        <w:tc>
          <w:tcPr>
            <w:tcW w:w="3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404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w:t>
            </w:r>
          </w:p>
        </w:tc>
      </w:tr>
      <w:tr>
        <w:trPr>
          <w:trHeight w:val="195"/>
        </w:trPr>
        <w:tc>
          <w:tcPr>
            <w:tcW w:w="65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change</w:t>
            </w:r>
          </w:p>
        </w:tc>
        <w:tc>
          <w:tcPr>
            <w:tcW w:w="3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548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144</w:t>
            </w:r>
          </w:p>
        </w:tc>
      </w:tr>
    </w:tbl>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For the three and six months ended June 30, 2023, the Company recognized revenue of $528 million and $1,481 million, respectively, that was previously included in the beginning balance of contract liabilities. For the three and six months ended June 30, 2022, the Company recognized revenue of $344 million and $1,271 million, respectively, that was previously included in the beginning balance of contract liabilities.</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Contract assets included $2,404 million and $2,265 million of unbilled balances under long-term contracts as of June 30, 2023, and December 31, 2022, respectively. These amounts are billed in accordance with the terms of customer contracts to which they relate.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399"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jc w:val="center"/>
              <w:ind w:left="1804"/>
              <w:spacing w:after="0"/>
              <w:rPr>
                <w:sz w:val="20"/>
                <w:szCs w:val="20"/>
                <w:color w:val="auto"/>
              </w:rPr>
            </w:pPr>
            <w:r>
              <w:rPr>
                <w:rFonts w:ascii="Arial" w:cs="Arial" w:eastAsia="Arial" w:hAnsi="Arial"/>
                <w:sz w:val="16"/>
                <w:szCs w:val="16"/>
                <w:b w:val="1"/>
                <w:bCs w:val="1"/>
                <w:color w:val="auto"/>
              </w:rPr>
              <w:t>HONEYWELL INTERNATIONAL INC.</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89"/>
        </w:trPr>
        <w:tc>
          <w:tcPr>
            <w:tcW w:w="9360" w:type="dxa"/>
            <w:vAlign w:val="bottom"/>
          </w:tcPr>
          <w:p>
            <w:pPr>
              <w:jc w:val="center"/>
              <w:ind w:left="1804"/>
              <w:spacing w:after="0"/>
              <w:rPr>
                <w:sz w:val="20"/>
                <w:szCs w:val="20"/>
                <w:color w:val="auto"/>
              </w:rPr>
            </w:pPr>
            <w:r>
              <w:rPr>
                <w:rFonts w:ascii="Arial" w:cs="Arial" w:eastAsia="Arial" w:hAnsi="Arial"/>
                <w:sz w:val="16"/>
                <w:szCs w:val="16"/>
                <w:b w:val="1"/>
                <w:bCs w:val="1"/>
                <w:color w:val="auto"/>
              </w:rPr>
              <w:t>NOTES TO CONSOLIDATED FINANCIAL STATEMENTS</w:t>
            </w: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9360" w:type="dxa"/>
            <w:vAlign w:val="bottom"/>
          </w:tcPr>
          <w:p>
            <w:pPr>
              <w:jc w:val="center"/>
              <w:ind w:left="1824"/>
              <w:spacing w:after="0"/>
              <w:rPr>
                <w:sz w:val="20"/>
                <w:szCs w:val="20"/>
                <w:color w:val="auto"/>
              </w:rPr>
            </w:pPr>
            <w:r>
              <w:rPr>
                <w:rFonts w:ascii="Arial" w:cs="Arial" w:eastAsia="Arial" w:hAnsi="Arial"/>
                <w:sz w:val="16"/>
                <w:szCs w:val="16"/>
                <w:b w:val="1"/>
                <w:bCs w:val="1"/>
                <w:color w:val="auto"/>
              </w:rPr>
              <w:t>(Unaudited)</w:t>
            </w: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7"/>
        </w:trPr>
        <w:tc>
          <w:tcPr>
            <w:tcW w:w="9360" w:type="dxa"/>
            <w:vAlign w:val="bottom"/>
          </w:tcPr>
          <w:p>
            <w:pPr>
              <w:jc w:val="center"/>
              <w:ind w:left="1824"/>
              <w:spacing w:after="0"/>
              <w:rPr>
                <w:sz w:val="20"/>
                <w:szCs w:val="20"/>
                <w:color w:val="auto"/>
              </w:rPr>
            </w:pPr>
            <w:r>
              <w:rPr>
                <w:rFonts w:ascii="Arial" w:cs="Arial" w:eastAsia="Arial" w:hAnsi="Arial"/>
                <w:sz w:val="16"/>
                <w:szCs w:val="16"/>
                <w:b w:val="1"/>
                <w:bCs w:val="1"/>
                <w:color w:val="auto"/>
              </w:rPr>
              <w:t>(Dollars in tables in millions, except per share amounts)</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09"/>
        </w:trPr>
        <w:tc>
          <w:tcPr>
            <w:tcW w:w="9360" w:type="dxa"/>
            <w:vAlign w:val="bottom"/>
          </w:tcPr>
          <w:p>
            <w:pPr>
              <w:spacing w:after="0"/>
              <w:rPr>
                <w:sz w:val="20"/>
                <w:szCs w:val="20"/>
                <w:color w:val="auto"/>
              </w:rPr>
            </w:pPr>
            <w:r>
              <w:rPr>
                <w:rFonts w:ascii="Arial" w:cs="Arial" w:eastAsia="Arial" w:hAnsi="Arial"/>
                <w:sz w:val="16"/>
                <w:szCs w:val="16"/>
                <w:color w:val="auto"/>
              </w:rPr>
              <w:t>The following table outlines the Company's remaining performance obligations disaggregated by reportable business segment:</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9"/>
        </w:trPr>
        <w:tc>
          <w:tcPr>
            <w:tcW w:w="9360" w:type="dxa"/>
            <w:vAlign w:val="bottom"/>
            <w:tcBorders>
              <w:bottom w:val="single" w:sz="8" w:color="D7282F"/>
            </w:tcBorders>
          </w:tcPr>
          <w:p>
            <w:pPr>
              <w:spacing w:after="0"/>
              <w:rPr>
                <w:sz w:val="24"/>
                <w:szCs w:val="24"/>
                <w:color w:val="auto"/>
              </w:rPr>
            </w:pPr>
          </w:p>
        </w:tc>
        <w:tc>
          <w:tcPr>
            <w:tcW w:w="420" w:type="dxa"/>
            <w:vAlign w:val="bottom"/>
            <w:tcBorders>
              <w:bottom w:val="single" w:sz="8" w:color="D7282F"/>
            </w:tcBorders>
          </w:tcPr>
          <w:p>
            <w:pPr>
              <w:spacing w:after="0"/>
              <w:rPr>
                <w:sz w:val="24"/>
                <w:szCs w:val="24"/>
                <w:color w:val="auto"/>
              </w:rPr>
            </w:pPr>
          </w:p>
        </w:tc>
        <w:tc>
          <w:tcPr>
            <w:tcW w:w="14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June 30, 2023</w:t>
            </w:r>
          </w:p>
        </w:tc>
      </w:tr>
      <w:tr>
        <w:trPr>
          <w:trHeight w:val="191"/>
        </w:trPr>
        <w:tc>
          <w:tcPr>
            <w:tcW w:w="9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12,794</w:t>
            </w:r>
          </w:p>
        </w:tc>
      </w:tr>
      <w:tr>
        <w:trPr>
          <w:trHeight w:val="188"/>
        </w:trPr>
        <w:tc>
          <w:tcPr>
            <w:tcW w:w="9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420" w:type="dxa"/>
            <w:vAlign w:val="bottom"/>
            <w:tcBorders>
              <w:bottom w:val="single" w:sz="8" w:color="61656A"/>
            </w:tcBorders>
          </w:tcPr>
          <w:p>
            <w:pPr>
              <w:spacing w:after="0"/>
              <w:rPr>
                <w:sz w:val="16"/>
                <w:szCs w:val="16"/>
                <w:color w:val="auto"/>
              </w:rPr>
            </w:pPr>
          </w:p>
        </w:tc>
        <w:tc>
          <w:tcPr>
            <w:tcW w:w="14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7,006</w:t>
            </w:r>
          </w:p>
        </w:tc>
      </w:tr>
      <w:tr>
        <w:trPr>
          <w:trHeight w:val="190"/>
        </w:trPr>
        <w:tc>
          <w:tcPr>
            <w:tcW w:w="9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420" w:type="dxa"/>
            <w:vAlign w:val="bottom"/>
            <w:tcBorders>
              <w:bottom w:val="single" w:sz="8" w:color="61656A"/>
            </w:tcBorders>
          </w:tcPr>
          <w:p>
            <w:pPr>
              <w:spacing w:after="0"/>
              <w:rPr>
                <w:sz w:val="16"/>
                <w:szCs w:val="16"/>
                <w:color w:val="auto"/>
              </w:rPr>
            </w:pPr>
          </w:p>
        </w:tc>
        <w:tc>
          <w:tcPr>
            <w:tcW w:w="14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8,495</w:t>
            </w:r>
          </w:p>
        </w:tc>
      </w:tr>
      <w:tr>
        <w:trPr>
          <w:trHeight w:val="196"/>
        </w:trPr>
        <w:tc>
          <w:tcPr>
            <w:tcW w:w="9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420" w:type="dxa"/>
            <w:vAlign w:val="bottom"/>
            <w:tcBorders>
              <w:bottom w:val="single" w:sz="8" w:color="61656A"/>
            </w:tcBorders>
          </w:tcPr>
          <w:p>
            <w:pPr>
              <w:spacing w:after="0"/>
              <w:rPr>
                <w:sz w:val="17"/>
                <w:szCs w:val="17"/>
                <w:color w:val="auto"/>
              </w:rPr>
            </w:pPr>
          </w:p>
        </w:tc>
        <w:tc>
          <w:tcPr>
            <w:tcW w:w="14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2,243</w:t>
            </w:r>
          </w:p>
        </w:tc>
      </w:tr>
      <w:tr>
        <w:trPr>
          <w:trHeight w:val="202"/>
        </w:trPr>
        <w:tc>
          <w:tcPr>
            <w:tcW w:w="9360" w:type="dxa"/>
            <w:vAlign w:val="bottom"/>
            <w:tcBorders>
              <w:bottom w:val="single" w:sz="8" w:color="D7282F"/>
            </w:tcBorders>
          </w:tcPr>
          <w:p>
            <w:pPr>
              <w:ind w:left="20"/>
              <w:spacing w:after="0" w:line="202" w:lineRule="exact"/>
              <w:rPr>
                <w:sz w:val="20"/>
                <w:szCs w:val="20"/>
                <w:color w:val="auto"/>
              </w:rPr>
            </w:pPr>
            <w:r>
              <w:rPr>
                <w:rFonts w:ascii="Arial" w:cs="Arial" w:eastAsia="Arial" w:hAnsi="Arial"/>
                <w:sz w:val="14"/>
                <w:szCs w:val="14"/>
                <w:color w:val="auto"/>
              </w:rPr>
              <w:t>Corporate and All Other</w:t>
            </w:r>
            <w:r>
              <w:rPr>
                <w:rFonts w:ascii="Arial" w:cs="Arial" w:eastAsia="Arial" w:hAnsi="Arial"/>
                <w:sz w:val="18"/>
                <w:szCs w:val="18"/>
                <w:color w:val="auto"/>
                <w:vertAlign w:val="superscript"/>
              </w:rPr>
              <w:t>(1)</w:t>
            </w:r>
          </w:p>
        </w:tc>
        <w:tc>
          <w:tcPr>
            <w:tcW w:w="42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r>
      <w:tr>
        <w:trPr>
          <w:trHeight w:val="183"/>
        </w:trPr>
        <w:tc>
          <w:tcPr>
            <w:tcW w:w="9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performance obligations</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30,542</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(1) The remaining performance obligations within Corporate and All Other relate to the Quantinuum business.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Performance obligations recognized as of June 30, 2023,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59% and 41%, respectively.</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8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CHARGES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 summary of net repositioning and other charges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w:t>
            </w:r>
          </w:p>
        </w:tc>
        <w:tc>
          <w:tcPr>
            <w:tcW w:w="240" w:type="dxa"/>
            <w:vAlign w:val="bottom"/>
          </w:tcPr>
          <w:p>
            <w:pPr>
              <w:spacing w:after="0"/>
              <w:rPr>
                <w:sz w:val="14"/>
                <w:szCs w:val="14"/>
                <w:color w:val="auto"/>
              </w:rPr>
            </w:pP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1"/>
        </w:trPr>
        <w:tc>
          <w:tcPr>
            <w:tcW w:w="7000" w:type="dxa"/>
            <w:vAlign w:val="bottom"/>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Borders>
              <w:bottom w:val="single" w:sz="8" w:color="D7282F"/>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00" w:type="dxa"/>
            <w:vAlign w:val="bottom"/>
            <w:tcBorders>
              <w:bottom w:val="single" w:sz="8" w:color="D7282F"/>
            </w:tcBorders>
          </w:tcPr>
          <w:p>
            <w:pPr>
              <w:spacing w:after="0"/>
              <w:rPr>
                <w:sz w:val="15"/>
                <w:szCs w:val="15"/>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D7282F"/>
            </w:tcBorders>
          </w:tcPr>
          <w:p>
            <w:pPr>
              <w:spacing w:after="0"/>
              <w:rPr>
                <w:sz w:val="15"/>
                <w:szCs w:val="15"/>
                <w:color w:val="auto"/>
              </w:rPr>
            </w:pPr>
          </w:p>
        </w:tc>
        <w:tc>
          <w:tcPr>
            <w:tcW w:w="160" w:type="dxa"/>
            <w:vAlign w:val="bottom"/>
            <w:tcBorders>
              <w:bottom w:val="single" w:sz="8" w:color="D7282F"/>
            </w:tcBorders>
          </w:tcPr>
          <w:p>
            <w:pPr>
              <w:spacing w:after="0"/>
              <w:rPr>
                <w:sz w:val="15"/>
                <w:szCs w:val="15"/>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15"/>
                <w:szCs w:val="15"/>
                <w:color w:val="auto"/>
              </w:rPr>
            </w:pPr>
          </w:p>
        </w:tc>
        <w:tc>
          <w:tcPr>
            <w:tcW w:w="340" w:type="dxa"/>
            <w:vAlign w:val="bottom"/>
            <w:tcBorders>
              <w:bottom w:val="single" w:sz="8" w:color="D7282F"/>
            </w:tcBorders>
          </w:tcPr>
          <w:p>
            <w:pPr>
              <w:spacing w:after="0"/>
              <w:rPr>
                <w:sz w:val="15"/>
                <w:szCs w:val="15"/>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Borders>
              <w:bottom w:val="single" w:sz="8" w:color="D7282F"/>
            </w:tcBorders>
          </w:tcPr>
          <w:p>
            <w:pPr>
              <w:spacing w:after="0"/>
              <w:rPr>
                <w:sz w:val="15"/>
                <w:szCs w:val="15"/>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Severance</w:t>
            </w:r>
          </w:p>
        </w:tc>
        <w:tc>
          <w:tcPr>
            <w:tcW w:w="680" w:type="dxa"/>
            <w:vAlign w:val="bottom"/>
            <w:tcBorders>
              <w:bottom w:val="single" w:sz="8" w:color="61656A"/>
            </w:tcBorders>
          </w:tcPr>
          <w:p>
            <w:pPr>
              <w:jc w:val="right"/>
              <w:ind w:right="2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19</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c>
          <w:tcPr>
            <w:tcW w:w="5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86</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 impairments</w:t>
            </w:r>
          </w:p>
        </w:tc>
        <w:tc>
          <w:tcPr>
            <w:tcW w:w="68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c>
          <w:tcPr>
            <w:tcW w:w="24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Exit costs</w:t>
            </w:r>
          </w:p>
        </w:tc>
        <w:tc>
          <w:tcPr>
            <w:tcW w:w="68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38</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62</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68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w:t>
            </w:r>
          </w:p>
        </w:tc>
        <w:tc>
          <w:tcPr>
            <w:tcW w:w="2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w:t>
            </w: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1"/>
        </w:trPr>
        <w:tc>
          <w:tcPr>
            <w:tcW w:w="70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charges</w:t>
            </w:r>
          </w:p>
        </w:tc>
        <w:tc>
          <w:tcPr>
            <w:tcW w:w="68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54</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83"/>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charges, net of insurance and reimbursements</w:t>
            </w:r>
          </w:p>
        </w:tc>
        <w:tc>
          <w:tcPr>
            <w:tcW w:w="680" w:type="dxa"/>
            <w:vAlign w:val="bottom"/>
            <w:tcBorders>
              <w:bottom w:val="single" w:sz="8" w:color="61656A"/>
            </w:tcBorders>
          </w:tcPr>
          <w:p>
            <w:pPr>
              <w:spacing w:after="0"/>
              <w:rPr>
                <w:sz w:val="15"/>
                <w:szCs w:val="15"/>
                <w:color w:val="auto"/>
              </w:rPr>
            </w:pP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34</w:t>
            </w:r>
          </w:p>
        </w:tc>
        <w:tc>
          <w:tcPr>
            <w:tcW w:w="16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61656A"/>
            </w:tcBorders>
          </w:tcPr>
          <w:p>
            <w:pPr>
              <w:spacing w:after="0"/>
              <w:rPr>
                <w:sz w:val="15"/>
                <w:szCs w:val="15"/>
                <w:color w:val="auto"/>
              </w:rPr>
            </w:pPr>
          </w:p>
        </w:tc>
        <w:tc>
          <w:tcPr>
            <w:tcW w:w="34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55</w:t>
            </w:r>
          </w:p>
        </w:tc>
        <w:tc>
          <w:tcPr>
            <w:tcW w:w="22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68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34</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charges</w:t>
            </w:r>
          </w:p>
        </w:tc>
        <w:tc>
          <w:tcPr>
            <w:tcW w:w="68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131</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102</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227</w:t>
            </w: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614</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 in the Consolidated Statement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w:t>
            </w:r>
          </w:p>
        </w:tc>
        <w:tc>
          <w:tcPr>
            <w:tcW w:w="240" w:type="dxa"/>
            <w:vAlign w:val="bottom"/>
          </w:tcPr>
          <w:p>
            <w:pPr>
              <w:spacing w:after="0"/>
              <w:rPr>
                <w:sz w:val="14"/>
                <w:szCs w:val="14"/>
                <w:color w:val="auto"/>
              </w:rPr>
            </w:pP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000" w:type="dxa"/>
            <w:vAlign w:val="bottom"/>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84"/>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680" w:type="dxa"/>
            <w:vAlign w:val="bottom"/>
            <w:tcBorders>
              <w:bottom w:val="single" w:sz="8" w:color="61656A"/>
            </w:tcBorders>
          </w:tcPr>
          <w:p>
            <w:pPr>
              <w:jc w:val="right"/>
              <w:ind w:right="2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63</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w:t>
            </w:r>
          </w:p>
        </w:tc>
        <w:tc>
          <w:tcPr>
            <w:tcW w:w="5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143</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8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26</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91</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68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13</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102</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227</w:t>
            </w: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243</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summarizes the pre-tax amount of total net repositioning and other charges by reportable business segment. These amounts are excluded from segment profit as described in Note 17 Segment Financial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w:t>
            </w:r>
          </w:p>
        </w:tc>
        <w:tc>
          <w:tcPr>
            <w:tcW w:w="240" w:type="dxa"/>
            <w:vAlign w:val="bottom"/>
          </w:tcPr>
          <w:p>
            <w:pPr>
              <w:spacing w:after="0"/>
              <w:rPr>
                <w:sz w:val="14"/>
                <w:szCs w:val="14"/>
                <w:color w:val="auto"/>
              </w:rPr>
            </w:pP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000" w:type="dxa"/>
            <w:vAlign w:val="bottom"/>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1"/>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w:t>
            </w:r>
          </w:p>
        </w:tc>
        <w:tc>
          <w:tcPr>
            <w:tcW w:w="680" w:type="dxa"/>
            <w:vAlign w:val="bottom"/>
            <w:tcBorders>
              <w:bottom w:val="single" w:sz="8" w:color="61656A"/>
            </w:tcBorders>
          </w:tcPr>
          <w:p>
            <w:pPr>
              <w:jc w:val="right"/>
              <w:ind w:right="2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c>
          <w:tcPr>
            <w:tcW w:w="5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68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68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88</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68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31</w:t>
            </w:r>
          </w:p>
        </w:tc>
        <w:tc>
          <w:tcPr>
            <w:tcW w:w="16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71</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68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55</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86</w:t>
            </w:r>
          </w:p>
        </w:tc>
        <w:tc>
          <w:tcPr>
            <w:tcW w:w="2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107</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5"/>
        </w:trPr>
        <w:tc>
          <w:tcPr>
            <w:tcW w:w="70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102</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227</w:t>
            </w: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243</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614</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three months ended June 30, 2023, the Company recognized gross repositioning charges totaling $66 million, including severance costs of $19 million related to workforce reductions of 764 manufacturing and administrative positions primarily in the Company's Safety and Productivity Solutions reportable business segment. The workforce reductions were related to productivity and ongoing functional transformation initiatives. The repositioning charges included asset impairments of $9 million primarily related to the write-down of certain assets within the Company's Safety and Productivity Solutions reportable business segment. The repositioning charges also included exit costs of $38 million related to current period costs incurred for closure obligations associated with site transitions across all of the Company's reportable business segments and corporate function. Also, $12 million of previously established reserves, primarily for severance, were returned to income due to adjustments to the scope of previously announced repositioning actions.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the three months ended June 30, 2022, the Company recognized gross repositioning charges totaling $91 million, including severance costs of $25 million related to workforce reductions of 468 manufacturing and administrative positions primarily in the Company's Safety and Productivity Solutions reportable business segment. The workforce reductions were primarily related to productivity and ongoing functional transformation initiatives. The repositioning charges included asset impairments of $25 million related to the write-down of certain manufacturing equipment. The repositioning charges also included exit costs of $41 million primarily related to current period exit costs incurred for new and previously approved repositioning projects and closure obligations associated with site transitions in the Company's Performance Materials and Technologies and Aerospace reportable business segments. Also, $37 million of previously established reserves, primarily for severance, were returned to income due to adjustments to the scope of previously announced repositioning actions.</w:t>
      </w:r>
    </w:p>
    <w:p>
      <w:pPr>
        <w:spacing w:after="0" w:line="29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the six months ended June 30, 2023, the Company recognized gross repositioning charges totaling $169 million, including severance costs of $86 million related to workforce reductions of 2,561 manufacturing and administrative positions primarily in the Company's Safety and Productivity Solutions and Honeywell Building Technologies reportable business segments. The workforce reductions were primarily related to productivity and ongoing functional transformation initiatives. The repositioning charges included asset impairments of $21 million related to the write-down of certain assets within the Company's Safety and Productivity Solutions reportable business segment. The repositioning charges also included exit costs of $62 million related to current period costs incurred for closure obligations associated with site transitions across all of the Company's reportable business segments and corporate function. Also, $17 million of previously established reserves, primarily for severance, were returned to income due to adjustments to the scope of previously announced repositioning actions.</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the six months ended June 30, 2022, the Company recognized gross repositioning charges totaling $238 million, primarily related to closing and relocating the production of certain respiratory manufacturing from a U.S.-based facility to a non-U.S. facility in the Company's Safety and Productivity Solutions reportable business segment, productivity and ongoing functional transformation initiatives, and other site transactions. The repositioning charges included asset impairments of $148 million related to the write-down of certain manufacturing equipment. The repositioning charges included exit costs of $58 million primarily related to current period exit costs incurred for new and previously approved repositioning projects and closure obligations associated with site transitions in the Company's Performance Materials and Technologies and Aerospace reportable business segments. The repositioning charges included severance costs of $32 million related to workforce reductions of 1,664 manufacturing and administrative positions across the Company's reportable business segments. The workforce reductions were primarily related to cost savings actions taken in connection with productivity and ongoing functional transformation initiatives and to site transitions to more cost-effective locations. Also, $52 million of previously established reserves, primarily for severance, were returned to income due to adjustments to the scope of previously announced repositioning actions.</w:t>
      </w:r>
    </w:p>
    <w:p>
      <w:pPr>
        <w:spacing w:after="0" w:line="200" w:lineRule="exact"/>
        <w:rPr>
          <w:sz w:val="20"/>
          <w:szCs w:val="20"/>
          <w:color w:val="auto"/>
        </w:rPr>
      </w:pPr>
    </w:p>
    <w:p>
      <w:pPr>
        <w:spacing w:after="0" w:line="228"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total repositioning reserves: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4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Severance</w:t>
            </w:r>
          </w:p>
        </w:tc>
        <w:tc>
          <w:tcPr>
            <w:tcW w:w="300" w:type="dxa"/>
            <w:vAlign w:val="bottom"/>
          </w:tcPr>
          <w:p>
            <w:pPr>
              <w:spacing w:after="0"/>
              <w:rPr>
                <w:sz w:val="14"/>
                <w:szCs w:val="14"/>
                <w:color w:val="auto"/>
              </w:rPr>
            </w:pPr>
          </w:p>
        </w:tc>
        <w:tc>
          <w:tcPr>
            <w:tcW w:w="960" w:type="dxa"/>
            <w:vAlign w:val="bottom"/>
          </w:tcPr>
          <w:p>
            <w:pPr>
              <w:jc w:val="right"/>
              <w:ind w:right="468"/>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Arial" w:cs="Arial" w:eastAsia="Arial" w:hAnsi="Arial"/>
                <w:sz w:val="14"/>
                <w:szCs w:val="14"/>
                <w:b w:val="1"/>
                <w:bCs w:val="1"/>
                <w:color w:val="auto"/>
              </w:rPr>
              <w:t>Exit</w:t>
            </w:r>
          </w:p>
        </w:tc>
        <w:tc>
          <w:tcPr>
            <w:tcW w:w="240" w:type="dxa"/>
            <w:vAlign w:val="bottom"/>
          </w:tcPr>
          <w:p>
            <w:pPr>
              <w:spacing w:after="0"/>
              <w:rPr>
                <w:sz w:val="14"/>
                <w:szCs w:val="14"/>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440" w:type="dxa"/>
            <w:vAlign w:val="bottom"/>
            <w:tcBorders>
              <w:bottom w:val="single" w:sz="8" w:color="D7282F"/>
            </w:tcBorders>
          </w:tcPr>
          <w:p>
            <w:pPr>
              <w:spacing w:after="0"/>
              <w:rPr>
                <w:sz w:val="17"/>
                <w:szCs w:val="17"/>
                <w:color w:val="auto"/>
              </w:rPr>
            </w:pPr>
          </w:p>
        </w:tc>
        <w:tc>
          <w:tcPr>
            <w:tcW w:w="25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Costs</w:t>
            </w:r>
          </w:p>
        </w:tc>
        <w:tc>
          <w:tcPr>
            <w:tcW w:w="1260" w:type="dxa"/>
            <w:vAlign w:val="bottom"/>
            <w:tcBorders>
              <w:bottom w:val="single" w:sz="8" w:color="D7282F"/>
            </w:tcBorders>
            <w:gridSpan w:val="2"/>
          </w:tcPr>
          <w:p>
            <w:pPr>
              <w:jc w:val="right"/>
              <w:ind w:right="228"/>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2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235</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74</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309</w:t>
            </w:r>
          </w:p>
        </w:tc>
        <w:tc>
          <w:tcPr>
            <w:tcW w:w="0" w:type="dxa"/>
            <w:vAlign w:val="bottom"/>
          </w:tcPr>
          <w:p>
            <w:pPr>
              <w:spacing w:after="0"/>
              <w:rPr>
                <w:sz w:val="1"/>
                <w:szCs w:val="1"/>
                <w:color w:val="auto"/>
              </w:rPr>
            </w:pPr>
          </w:p>
        </w:tc>
      </w:tr>
      <w:tr>
        <w:trPr>
          <w:trHeight w:val="190"/>
        </w:trPr>
        <w:tc>
          <w:tcPr>
            <w:tcW w:w="4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Charges</w:t>
            </w:r>
          </w:p>
        </w:tc>
        <w:tc>
          <w:tcPr>
            <w:tcW w:w="25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86</w:t>
            </w: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62</w:t>
            </w:r>
          </w:p>
        </w:tc>
        <w:tc>
          <w:tcPr>
            <w:tcW w:w="2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Usage—cash</w:t>
            </w:r>
          </w:p>
        </w:tc>
        <w:tc>
          <w:tcPr>
            <w:tcW w:w="25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(104)</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(46)</w:t>
            </w:r>
          </w:p>
        </w:tc>
        <w:tc>
          <w:tcPr>
            <w:tcW w:w="2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Usage—noncash</w:t>
            </w:r>
          </w:p>
        </w:tc>
        <w:tc>
          <w:tcPr>
            <w:tcW w:w="25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0"/>
        </w:trPr>
        <w:tc>
          <w:tcPr>
            <w:tcW w:w="44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25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w:t>
            </w:r>
          </w:p>
        </w:tc>
        <w:tc>
          <w:tcPr>
            <w:tcW w:w="2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Adjustments</w:t>
            </w:r>
          </w:p>
        </w:tc>
        <w:tc>
          <w:tcPr>
            <w:tcW w:w="25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2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211</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six months ended June 30, 2023, and 2022, were $25 million and $31 million, respectively.</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During the three and six months ended June 30, 2023, the Company recorded a fair value adjustment, within Asbestos-related charges, net of insurance and reimbursements in the table above and Other (income) expense on the Consolidated Statement of Operations, related to HWI Net Sale Proceeds (as defined in Note 11 Fair Value Measurements) and reduced the estimate by $11 million. See Note 11 Fair Value Measurements and Note 14 Commitments and Contingencies for further discussion.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the three and six months ended June 30, 2022, the Company recognized Other charges of $124 million and $307 million, respectively. The Other charges included costs related to the initial suspension of substantially all of the Company's sales, distribution, and service activities in Russian and Belarus (the Suspension) and the Company’s plan to wind down existing businesses and operations in Russia due to the ongoing Russia-Ukraine conflict (the Wind down). Through the Wind down of businesses and operations, the Company will seek to collect outstanding accounts receivables, liquidate our inventory and fixed assets, negotiate and settle existing contractual obligations, trade payables and guarantees, and terminate and payout severance to impacted employees.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Other charges included costs recorded by all reportable business segments, with the most significant impact within the Performance Materials and Technologies reportable business segment. The Other charges included costs recorded in Cost of products sold, Selling, general and administrative expenses, or Other (income) expense on the Consolidated Statement of Operations, based on the nature of each specific charge or accrual of reserve. For the three months ended June 30, 2022, Cost of products and services sold included $60 million primarily related to inventory reserves and the write-down of other assets, Selling, general and administrative included $7 million primarily related to employee severance, and Other (income) expense included $57 million related to foreign exchange revaluation on an intercompany loan with a Russian affiliate and impairment of property, plant and equipment. For the six months ended June 30, 2022, Cost of products and services sold included $60 million primarily related to inventory reserves and the write-down of other assets, Selling, general and administrative included $190 million primarily related to reserves against outstanding accounts receivable and contract assets, impairment of intangible assets, the write-down of other assets, and employee severance, and Other (income) expense included $57 million related to foreign exchange revaluation on an intercompany loan with a Russian affiliate and impairment of property, plant and equipment. For the three and six months ended June 30, 2022, the Other charges did not include a $2 million tax valuation allowance recorded to Tax expense on the Consolidated Statement of Operations, directly attributable to the Wind down of businesses and operations in Russia.</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Given the uncertainty inherent in the Company's remaining obligations related to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the wind down of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14 Commitments and Contingencies for a discussion of the recognition and measurement of estimate for contingencies.</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effective tax rate was higher than the U.S. federal statutory rate of 21% and decreased during 2023 compared to 2022 primarily caused by increased benefits from taxes on non-U.S. earnings and lower repositioning related expenses, partially offset by tax expense from accrued withholding tax related to unremitted foreign earnings.</w:t>
      </w:r>
    </w:p>
    <w:p>
      <w:pPr>
        <w:spacing w:after="0" w:line="311"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20" w:type="dxa"/>
            <w:vAlign w:val="bottom"/>
            <w:tcBorders>
              <w:bottom w:val="single" w:sz="8" w:color="D7282F"/>
            </w:tcBorders>
          </w:tcPr>
          <w:p>
            <w:pPr>
              <w:spacing w:after="0"/>
              <w:rPr>
                <w:sz w:val="17"/>
                <w:szCs w:val="17"/>
                <w:color w:val="auto"/>
              </w:rPr>
            </w:pPr>
          </w:p>
        </w:tc>
        <w:tc>
          <w:tcPr>
            <w:tcW w:w="4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4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83"/>
        </w:trPr>
        <w:tc>
          <w:tcPr>
            <w:tcW w:w="4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Raw materials</w:t>
            </w:r>
          </w:p>
        </w:tc>
        <w:tc>
          <w:tcPr>
            <w:tcW w:w="4420" w:type="dxa"/>
            <w:vAlign w:val="bottom"/>
            <w:tcBorders>
              <w:bottom w:val="single" w:sz="8" w:color="61656A"/>
            </w:tcBorders>
          </w:tcPr>
          <w:p>
            <w:pPr>
              <w:jc w:val="right"/>
              <w:ind w:right="10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1,504</w:t>
            </w:r>
          </w:p>
        </w:tc>
        <w:tc>
          <w:tcPr>
            <w:tcW w:w="780" w:type="dxa"/>
            <w:vAlign w:val="bottom"/>
            <w:tcBorders>
              <w:bottom w:val="single" w:sz="8" w:color="61656A"/>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1,407</w:t>
            </w:r>
          </w:p>
        </w:tc>
      </w:tr>
      <w:tr>
        <w:trPr>
          <w:trHeight w:val="190"/>
        </w:trPr>
        <w:tc>
          <w:tcPr>
            <w:tcW w:w="4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Work in process</w:t>
            </w:r>
          </w:p>
        </w:tc>
        <w:tc>
          <w:tcPr>
            <w:tcW w:w="442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1,205</w:t>
            </w:r>
          </w:p>
        </w:tc>
        <w:tc>
          <w:tcPr>
            <w:tcW w:w="7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1,049</w:t>
            </w:r>
          </w:p>
        </w:tc>
      </w:tr>
      <w:tr>
        <w:trPr>
          <w:trHeight w:val="196"/>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44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3,181</w:t>
            </w:r>
          </w:p>
        </w:tc>
        <w:tc>
          <w:tcPr>
            <w:tcW w:w="7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3,082</w:t>
            </w:r>
          </w:p>
        </w:tc>
      </w:tr>
      <w:tr>
        <w:trPr>
          <w:trHeight w:val="189"/>
        </w:trPr>
        <w:tc>
          <w:tcPr>
            <w:tcW w:w="45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Inventories</w:t>
            </w:r>
          </w:p>
        </w:tc>
        <w:tc>
          <w:tcPr>
            <w:tcW w:w="4420" w:type="dxa"/>
            <w:vAlign w:val="bottom"/>
            <w:tcBorders>
              <w:bottom w:val="single" w:sz="8" w:color="D7282F"/>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5,890</w:t>
            </w:r>
          </w:p>
        </w:tc>
        <w:tc>
          <w:tcPr>
            <w:tcW w:w="78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5,538</w:t>
            </w:r>
          </w:p>
        </w:tc>
      </w:tr>
    </w:tbl>
    <w:p>
      <w:pPr>
        <w:spacing w:after="0" w:line="354" w:lineRule="exact"/>
        <w:rPr>
          <w:sz w:val="20"/>
          <w:szCs w:val="20"/>
          <w:color w:val="auto"/>
        </w:rPr>
      </w:pPr>
    </w:p>
    <w:p>
      <w:pPr>
        <w:spacing w:after="0"/>
        <w:rPr>
          <w:sz w:val="20"/>
          <w:szCs w:val="20"/>
          <w:color w:val="auto"/>
        </w:rPr>
      </w:pPr>
      <w:r>
        <w:rPr>
          <w:rFonts w:ascii="Arial" w:cs="Arial" w:eastAsia="Arial" w:hAnsi="Arial"/>
          <w:sz w:val="29"/>
          <w:szCs w:val="29"/>
          <w:color w:val="D7282F"/>
        </w:rPr>
        <w:t>NOTE 8. LONG-TERM DEBT AND CREDIT AGREEMENTS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June 30, 2023</w:t>
            </w:r>
          </w:p>
        </w:tc>
        <w:tc>
          <w:tcPr>
            <w:tcW w:w="174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0"/>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1.30% Euro notes due 2023</w:t>
            </w:r>
          </w:p>
        </w:tc>
        <w:tc>
          <w:tcPr>
            <w:tcW w:w="4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1,334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3.35% notes due 2023</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300</w:t>
            </w:r>
          </w:p>
        </w:tc>
      </w:tr>
      <w:tr>
        <w:trPr>
          <w:trHeight w:val="188"/>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0.00% Euro notes due 2024</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547</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534</w:t>
            </w:r>
          </w:p>
        </w:tc>
      </w:tr>
      <w:tr>
        <w:trPr>
          <w:trHeight w:val="190"/>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2.30% notes due 2024</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4.85% notes due 2024</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400</w:t>
            </w:r>
          </w:p>
        </w:tc>
      </w:tr>
      <w:tr>
        <w:trPr>
          <w:trHeight w:val="189"/>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1.35% notes due 2025</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1,250</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1,250</w:t>
            </w:r>
          </w:p>
        </w:tc>
      </w:tr>
      <w:tr>
        <w:trPr>
          <w:trHeight w:val="190"/>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2.50% notes due 2026</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1.10% notes due 2027</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89"/>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3.50% Euro notes due 2027</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711</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2028</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2.25% Euro notes due 2028</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821</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800</w:t>
            </w:r>
          </w:p>
        </w:tc>
      </w:tr>
      <w:tr>
        <w:trPr>
          <w:trHeight w:val="189"/>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4.25% notes due 2029</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2.70% notes due 2029</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1.95% notes due 2030</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88"/>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1.75% notes due 2031</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0"/>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0.75% Euro notes due 2032</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547</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2032</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547</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2033</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1,100</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1,100</w:t>
            </w:r>
          </w:p>
        </w:tc>
      </w:tr>
      <w:tr>
        <w:trPr>
          <w:trHeight w:val="190"/>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4.50% notes due 2034</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4.125% Euro notes due 2034</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1,094</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1,067</w:t>
            </w:r>
          </w:p>
        </w:tc>
      </w:tr>
      <w:tr>
        <w:trPr>
          <w:trHeight w:val="188"/>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2036</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441</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441</w:t>
            </w:r>
          </w:p>
        </w:tc>
      </w:tr>
      <w:tr>
        <w:trPr>
          <w:trHeight w:val="190"/>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2037</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462</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5.375% notes due 2041</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417</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417</w:t>
            </w:r>
          </w:p>
        </w:tc>
      </w:tr>
      <w:tr>
        <w:trPr>
          <w:trHeight w:val="188"/>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3.812% notes due 2047</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445</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445</w:t>
            </w:r>
          </w:p>
        </w:tc>
      </w:tr>
      <w:tr>
        <w:trPr>
          <w:trHeight w:val="190"/>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2.80% notes due 2050</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44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89"/>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6.625% debentures due 2028</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w:t>
            </w:r>
          </w:p>
        </w:tc>
      </w:tr>
      <w:tr>
        <w:trPr>
          <w:trHeight w:val="190"/>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9.065% debentures due 2033</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w:t>
            </w:r>
          </w:p>
        </w:tc>
      </w:tr>
      <w:tr>
        <w:trPr>
          <w:trHeight w:val="189"/>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(including capitalized leases), 8.0% weighted average interest rate maturing at various dates through 2029</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230</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265</w:t>
            </w:r>
          </w:p>
        </w:tc>
      </w:tr>
      <w:tr>
        <w:trPr>
          <w:trHeight w:val="190"/>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(285)</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(287)</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44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(256)</w:t>
            </w:r>
          </w:p>
        </w:tc>
        <w:tc>
          <w:tcPr>
            <w:tcW w:w="72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(233)</w:t>
            </w:r>
          </w:p>
        </w:tc>
      </w:tr>
      <w:tr>
        <w:trPr>
          <w:trHeight w:val="188"/>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44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b w:val="1"/>
                <w:bCs w:val="1"/>
                <w:color w:val="auto"/>
              </w:rPr>
              <w:t>18,545</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16,853</w:t>
            </w:r>
          </w:p>
        </w:tc>
      </w:tr>
      <w:tr>
        <w:trPr>
          <w:trHeight w:val="190"/>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Current maturities of long-term debt</w:t>
            </w:r>
          </w:p>
        </w:tc>
        <w:tc>
          <w:tcPr>
            <w:tcW w:w="44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945</w:t>
            </w:r>
          </w:p>
        </w:tc>
        <w:tc>
          <w:tcPr>
            <w:tcW w:w="72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1,730</w:t>
            </w:r>
          </w:p>
        </w:tc>
      </w:tr>
      <w:tr>
        <w:trPr>
          <w:trHeight w:val="201"/>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Long-term debt</w:t>
            </w:r>
          </w:p>
        </w:tc>
        <w:tc>
          <w:tcPr>
            <w:tcW w:w="4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17,600</w:t>
            </w:r>
          </w:p>
        </w:tc>
        <w:tc>
          <w:tcPr>
            <w:tcW w:w="7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15,123</w:t>
            </w:r>
          </w:p>
        </w:tc>
      </w:tr>
    </w:tbl>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May 17, 2023, the Company issued $750 million 4.25% Senior Notes due 2029 and $1.0 billion 4.50% Senior Notes due 2034 (collectively, the 2023 USD Notes). The Company may redeem the 2023 USD Notes at any time, and from time to time, in whole or in part, at the Company's option at the applicable redemption price. The offering provided gross proceeds of $1.8 billion, offset by $20 million in discount and closing costs related to the offering.</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May 17, 2023, the Company issued €650 million 3.50% Senior Notes due 2027 and €500 million 3.75% Senior Notes due 2032 (collectively, the 2023 Euro Notes). The Company may redeem the 2023 Euro Notes at any time, and from time to time, in whole or in part, at the Company's option at the applicable redemption price. The offering provided gross proceeds of $1.2 billion, offset by $12 million in discount and closing costs related to the offering.</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2023 USD Notes and 2023 Euro Notes are senior unsecured and unsubordinated obligations of the Company and rank equally with each other and with all of the Company's existing and future senior unsecured debt and senior to all of the Company's subordinated debt. The Company intends to use the proceeds from the issuances for the repayment of commercial paper and general corporate purposes.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On February 22, 2023, the Company repaid its 1.30% Euro notes due 2023.</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March 20, 2023, the Company entered into a $1.5 billion 364-day credit agreement (the 364-Day Credit Agreement) and a $4.0 billion amended and restated five-year credit agreement (the 5-Year Credit Agreement). The 364-Day Credit Agreement replaced the $1.5 billion 364-day credit agreement dated as of March 24, 2022, which was terminated in accordance with its terms effective March 20, 2023. Amounts borrowed under the 364-Day Credit Agreement are required to be repaid no later than March 18, 2024, unless (i) Honeywell elects to convert all then outstanding amounts into a term loan, upon which such amounts shall be repaid in full on March 18, 2025, or (ii) the 364-Day Credit Agreement is terminated earlier pursuant to its terms. The 5-Year Credit Agreement amended and restated the previously reported $4.0 billion amended and restated five-year credit agreement dated as of March 24, 2022. Commitments under the 5-Year Credit Agreement can be increased pursuant to the terms of the 5-Year Credit Agreement to an aggregate amount not to exceed $4.5 billion. The 364-Day Credit Agreement and 5-Year Credit Agreement are maintained for general corporate purposes.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there were no outstanding borrowings under the 364-Day Credit Agreement or the 5-Year Credit Agreement.</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color w:val="D7282F"/>
        </w:rPr>
        <w:t>NOTE 9. LEASES</w:t>
      </w:r>
    </w:p>
    <w:p>
      <w:pPr>
        <w:spacing w:after="0" w:line="2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Company's 2022 Annual Report on Form 10-K.</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20" w:type="dxa"/>
            <w:vAlign w:val="bottom"/>
          </w:tcPr>
          <w:p>
            <w:pPr>
              <w:spacing w:after="0"/>
              <w:rPr>
                <w:sz w:val="16"/>
                <w:szCs w:val="16"/>
                <w:color w:val="auto"/>
              </w:rPr>
            </w:pPr>
          </w:p>
        </w:tc>
        <w:tc>
          <w:tcPr>
            <w:tcW w:w="202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922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r>
      <w:tr>
        <w:trPr>
          <w:trHeight w:val="184"/>
        </w:trPr>
        <w:tc>
          <w:tcPr>
            <w:tcW w:w="9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720" w:type="dxa"/>
            <w:vAlign w:val="bottom"/>
            <w:tcBorders>
              <w:bottom w:val="single" w:sz="8" w:color="61656A"/>
            </w:tcBorders>
          </w:tcPr>
          <w:p>
            <w:pPr>
              <w:spacing w:after="0"/>
              <w:rPr>
                <w:sz w:val="15"/>
                <w:szCs w:val="15"/>
                <w:color w:val="auto"/>
              </w:rPr>
            </w:pPr>
          </w:p>
        </w:tc>
        <w:tc>
          <w:tcPr>
            <w:tcW w:w="380" w:type="dxa"/>
            <w:vAlign w:val="bottom"/>
            <w:tcBorders>
              <w:bottom w:val="single" w:sz="8" w:color="61656A"/>
            </w:tcBorders>
          </w:tcPr>
          <w:p>
            <w:pPr>
              <w:spacing w:after="0"/>
              <w:rPr>
                <w:sz w:val="15"/>
                <w:szCs w:val="15"/>
                <w:color w:val="auto"/>
              </w:rPr>
            </w:pPr>
          </w:p>
        </w:tc>
        <w:tc>
          <w:tcPr>
            <w:tcW w:w="26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spacing w:after="0"/>
              <w:rPr>
                <w:sz w:val="15"/>
                <w:szCs w:val="15"/>
                <w:color w:val="auto"/>
              </w:rPr>
            </w:pPr>
          </w:p>
        </w:tc>
      </w:tr>
      <w:tr>
        <w:trPr>
          <w:trHeight w:val="190"/>
        </w:trPr>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Operating leases</w:t>
            </w:r>
          </w:p>
        </w:tc>
        <w:tc>
          <w:tcPr>
            <w:tcW w:w="72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w:t>
            </w:r>
          </w:p>
        </w:tc>
      </w:tr>
      <w:tr>
        <w:trPr>
          <w:trHeight w:val="196"/>
        </w:trPr>
        <w:tc>
          <w:tcPr>
            <w:tcW w:w="92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Finance leases</w:t>
            </w:r>
          </w:p>
        </w:tc>
        <w:tc>
          <w:tcPr>
            <w:tcW w:w="72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25</w:t>
            </w:r>
          </w:p>
        </w:tc>
        <w:tc>
          <w:tcPr>
            <w:tcW w:w="2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r>
    </w:tbl>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20" w:type="dxa"/>
            <w:vAlign w:val="bottom"/>
            <w:tcBorders>
              <w:bottom w:val="single" w:sz="8" w:color="D7282F"/>
            </w:tcBorders>
          </w:tcPr>
          <w:p>
            <w:pPr>
              <w:spacing w:after="0"/>
              <w:rPr>
                <w:sz w:val="17"/>
                <w:szCs w:val="17"/>
                <w:color w:val="auto"/>
              </w:rPr>
            </w:pPr>
          </w:p>
        </w:tc>
        <w:tc>
          <w:tcPr>
            <w:tcW w:w="3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5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374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r>
      <w:tr>
        <w:trPr>
          <w:trHeight w:val="183"/>
        </w:trPr>
        <w:tc>
          <w:tcPr>
            <w:tcW w:w="5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assets</w:t>
            </w:r>
          </w:p>
        </w:tc>
        <w:tc>
          <w:tcPr>
            <w:tcW w:w="3740" w:type="dxa"/>
            <w:vAlign w:val="bottom"/>
            <w:tcBorders>
              <w:bottom w:val="single" w:sz="8" w:color="D7282F"/>
            </w:tcBorders>
          </w:tcPr>
          <w:p>
            <w:pPr>
              <w:jc w:val="right"/>
              <w:ind w:right="10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901</w:t>
            </w:r>
          </w:p>
        </w:tc>
        <w:tc>
          <w:tcPr>
            <w:tcW w:w="80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881</w:t>
            </w:r>
          </w:p>
        </w:tc>
      </w:tr>
      <w:tr>
        <w:trPr>
          <w:trHeight w:val="190"/>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374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192</w:t>
            </w:r>
          </w:p>
        </w:tc>
        <w:tc>
          <w:tcPr>
            <w:tcW w:w="80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192</w:t>
            </w:r>
          </w:p>
        </w:tc>
      </w:tr>
      <w:tr>
        <w:trPr>
          <w:trHeight w:val="196"/>
        </w:trPr>
        <w:tc>
          <w:tcPr>
            <w:tcW w:w="5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374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799</w:t>
            </w:r>
          </w:p>
        </w:tc>
        <w:tc>
          <w:tcPr>
            <w:tcW w:w="8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775</w:t>
            </w:r>
          </w:p>
        </w:tc>
      </w:tr>
      <w:tr>
        <w:trPr>
          <w:trHeight w:val="189"/>
        </w:trPr>
        <w:tc>
          <w:tcPr>
            <w:tcW w:w="5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operating lease liabilities</w:t>
            </w:r>
          </w:p>
        </w:tc>
        <w:tc>
          <w:tcPr>
            <w:tcW w:w="374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991</w:t>
            </w:r>
          </w:p>
        </w:tc>
        <w:tc>
          <w:tcPr>
            <w:tcW w:w="80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967</w:t>
            </w:r>
          </w:p>
        </w:tc>
      </w:tr>
      <w:tr>
        <w:trPr>
          <w:trHeight w:val="195"/>
        </w:trPr>
        <w:tc>
          <w:tcPr>
            <w:tcW w:w="5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Financing leases</w:t>
            </w:r>
          </w:p>
        </w:tc>
        <w:tc>
          <w:tcPr>
            <w:tcW w:w="374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r>
      <w:tr>
        <w:trPr>
          <w:trHeight w:val="191"/>
        </w:trPr>
        <w:tc>
          <w:tcPr>
            <w:tcW w:w="52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Property, plant and equipment</w:t>
            </w:r>
          </w:p>
        </w:tc>
        <w:tc>
          <w:tcPr>
            <w:tcW w:w="374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398</w:t>
            </w:r>
          </w:p>
        </w:tc>
        <w:tc>
          <w:tcPr>
            <w:tcW w:w="80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383</w:t>
            </w:r>
          </w:p>
        </w:tc>
      </w:tr>
      <w:tr>
        <w:trPr>
          <w:trHeight w:val="189"/>
        </w:trPr>
        <w:tc>
          <w:tcPr>
            <w:tcW w:w="52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Accumulated depreciation</w:t>
            </w:r>
          </w:p>
        </w:tc>
        <w:tc>
          <w:tcPr>
            <w:tcW w:w="374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(179)</w:t>
            </w:r>
          </w:p>
        </w:tc>
        <w:tc>
          <w:tcPr>
            <w:tcW w:w="80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(161)</w:t>
            </w:r>
          </w:p>
        </w:tc>
      </w:tr>
      <w:tr>
        <w:trPr>
          <w:trHeight w:val="195"/>
        </w:trPr>
        <w:tc>
          <w:tcPr>
            <w:tcW w:w="5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Property, plant and equipment—net</w:t>
            </w:r>
          </w:p>
        </w:tc>
        <w:tc>
          <w:tcPr>
            <w:tcW w:w="374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219</w:t>
            </w:r>
          </w:p>
        </w:tc>
        <w:tc>
          <w:tcPr>
            <w:tcW w:w="80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222</w:t>
            </w:r>
          </w:p>
        </w:tc>
      </w:tr>
      <w:tr>
        <w:trPr>
          <w:trHeight w:val="191"/>
        </w:trPr>
        <w:tc>
          <w:tcPr>
            <w:tcW w:w="52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Current maturities of long-term debt</w:t>
            </w:r>
          </w:p>
        </w:tc>
        <w:tc>
          <w:tcPr>
            <w:tcW w:w="374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85</w:t>
            </w:r>
          </w:p>
        </w:tc>
        <w:tc>
          <w:tcPr>
            <w:tcW w:w="80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w:t>
            </w:r>
          </w:p>
        </w:tc>
      </w:tr>
      <w:tr>
        <w:trPr>
          <w:trHeight w:val="188"/>
        </w:trPr>
        <w:tc>
          <w:tcPr>
            <w:tcW w:w="52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Long-term debt</w:t>
            </w:r>
          </w:p>
        </w:tc>
        <w:tc>
          <w:tcPr>
            <w:tcW w:w="374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129</w:t>
            </w:r>
          </w:p>
        </w:tc>
        <w:tc>
          <w:tcPr>
            <w:tcW w:w="80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145</w:t>
            </w:r>
          </w:p>
        </w:tc>
      </w:tr>
      <w:tr>
        <w:trPr>
          <w:trHeight w:val="195"/>
        </w:trPr>
        <w:tc>
          <w:tcPr>
            <w:tcW w:w="5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financing lease liabilities</w:t>
            </w:r>
          </w:p>
        </w:tc>
        <w:tc>
          <w:tcPr>
            <w:tcW w:w="3740" w:type="dxa"/>
            <w:vAlign w:val="bottom"/>
            <w:tcBorders>
              <w:bottom w:val="single" w:sz="8" w:color="D7282F"/>
            </w:tcBorders>
          </w:tcPr>
          <w:p>
            <w:pPr>
              <w:jc w:val="right"/>
              <w:ind w:right="102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214</w:t>
            </w:r>
          </w:p>
        </w:tc>
        <w:tc>
          <w:tcPr>
            <w:tcW w:w="80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222</w:t>
            </w:r>
          </w:p>
        </w:tc>
      </w:tr>
    </w:tbl>
    <w:p>
      <w:pPr>
        <w:spacing w:after="0" w:line="354" w:lineRule="exact"/>
        <w:rPr>
          <w:sz w:val="20"/>
          <w:szCs w:val="20"/>
          <w:color w:val="auto"/>
        </w:rPr>
      </w:pPr>
    </w:p>
    <w:p>
      <w:pPr>
        <w:spacing w:after="0"/>
        <w:rPr>
          <w:sz w:val="20"/>
          <w:szCs w:val="20"/>
          <w:color w:val="auto"/>
        </w:rPr>
      </w:pPr>
      <w:r>
        <w:rPr>
          <w:rFonts w:ascii="Arial" w:cs="Arial" w:eastAsia="Arial" w:hAnsi="Arial"/>
          <w:sz w:val="29"/>
          <w:szCs w:val="29"/>
          <w:color w:val="D7282F"/>
        </w:rPr>
        <w:t>NOTE 10. DERIVATIVE INSTRUMENTS AND HEDGING TRANSACTIONS</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Honeywell's foreign currency, interest rate, credit, and commodity price risk management policies are described in Note 11 Derivative Instruments and Hedging Transactions of Notes to Consolidated Financial Statements in the Company's 2022 Annual Report on Form 10-K.</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 as of June 30, 2023, and December 31,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gridSpan w:val="2"/>
          </w:tcPr>
          <w:p>
            <w:pPr>
              <w:jc w:val="right"/>
              <w:ind w:right="68"/>
              <w:spacing w:after="0"/>
              <w:rPr>
                <w:sz w:val="20"/>
                <w:szCs w:val="20"/>
                <w:color w:val="auto"/>
              </w:rPr>
            </w:pPr>
            <w:r>
              <w:rPr>
                <w:rFonts w:ascii="Arial" w:cs="Arial" w:eastAsia="Arial" w:hAnsi="Arial"/>
                <w:sz w:val="14"/>
                <w:szCs w:val="14"/>
                <w:b w:val="1"/>
                <w:bCs w:val="1"/>
                <w:color w:val="auto"/>
              </w:rPr>
              <w:t>Notional</w:t>
            </w:r>
          </w:p>
        </w:tc>
        <w:tc>
          <w:tcPr>
            <w:tcW w:w="84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162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b w:val="1"/>
                <w:bCs w:val="1"/>
                <w:color w:val="auto"/>
              </w:rPr>
              <w:t>Fair Value Asset</w:t>
            </w:r>
          </w:p>
        </w:tc>
        <w:tc>
          <w:tcPr>
            <w:tcW w:w="40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D7282F"/>
            </w:tcBorders>
          </w:tcPr>
          <w:p>
            <w:pPr>
              <w:spacing w:after="0"/>
              <w:rPr>
                <w:sz w:val="16"/>
                <w:szCs w:val="16"/>
                <w:color w:val="auto"/>
              </w:rPr>
            </w:pPr>
          </w:p>
        </w:tc>
        <w:tc>
          <w:tcPr>
            <w:tcW w:w="166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Fair Value (Liability)</w:t>
            </w:r>
          </w:p>
        </w:tc>
        <w:tc>
          <w:tcPr>
            <w:tcW w:w="4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134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June 30, 2023</w:t>
            </w:r>
          </w:p>
        </w:tc>
        <w:tc>
          <w:tcPr>
            <w:tcW w:w="12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32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June 30, 2023</w:t>
            </w:r>
          </w:p>
        </w:tc>
        <w:tc>
          <w:tcPr>
            <w:tcW w:w="12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6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June 30, 2023</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gridSpan w:val="2"/>
            <w:vMerge w:val="continue"/>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6"/>
                <w:szCs w:val="16"/>
                <w:color w:val="auto"/>
              </w:rPr>
            </w:pPr>
          </w:p>
        </w:tc>
        <w:tc>
          <w:tcPr>
            <w:tcW w:w="1320" w:type="dxa"/>
            <w:vAlign w:val="bottom"/>
            <w:tcBorders>
              <w:bottom w:val="single" w:sz="8" w:color="D7282F"/>
            </w:tcBorders>
            <w:gridSpan w:val="2"/>
            <w:vMerge w:val="continue"/>
          </w:tcPr>
          <w:p>
            <w:pPr>
              <w:spacing w:after="0"/>
              <w:rPr>
                <w:sz w:val="16"/>
                <w:szCs w:val="16"/>
                <w:color w:val="auto"/>
              </w:rPr>
            </w:pPr>
          </w:p>
        </w:tc>
        <w:tc>
          <w:tcPr>
            <w:tcW w:w="8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gridSpan w:val="2"/>
            <w:vMerge w:val="continue"/>
          </w:tcPr>
          <w:p>
            <w:pPr>
              <w:spacing w:after="0"/>
              <w:rPr>
                <w:sz w:val="16"/>
                <w:szCs w:val="16"/>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16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Derivatives in fair value hedging</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1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56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4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5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5,018</w:t>
            </w:r>
          </w:p>
        </w:tc>
        <w:tc>
          <w:tcPr>
            <w:tcW w:w="3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4,984</w:t>
            </w:r>
          </w:p>
        </w:tc>
        <w:tc>
          <w:tcPr>
            <w:tcW w:w="760" w:type="dxa"/>
            <w:vAlign w:val="bottom"/>
            <w:tcBorders>
              <w:bottom w:val="single" w:sz="8" w:color="61656A"/>
            </w:tcBorders>
            <w:gridSpan w:val="2"/>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w:t>
            </w:r>
          </w:p>
        </w:tc>
        <w:tc>
          <w:tcPr>
            <w:tcW w:w="820" w:type="dxa"/>
            <w:vAlign w:val="bottom"/>
            <w:tcBorders>
              <w:bottom w:val="single" w:sz="8" w:color="61656A"/>
            </w:tcBorders>
          </w:tcPr>
          <w:p>
            <w:pPr>
              <w:jc w:val="right"/>
              <w:ind w:right="4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16</w:t>
            </w:r>
          </w:p>
        </w:tc>
        <w:tc>
          <w:tcPr>
            <w:tcW w:w="680" w:type="dxa"/>
            <w:vAlign w:val="bottom"/>
            <w:tcBorders>
              <w:bottom w:val="single" w:sz="8" w:color="61656A"/>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(288)</w:t>
            </w:r>
          </w:p>
        </w:tc>
        <w:tc>
          <w:tcPr>
            <w:tcW w:w="760" w:type="dxa"/>
            <w:vAlign w:val="bottom"/>
            <w:tcBorders>
              <w:bottom w:val="single" w:sz="8" w:color="61656A"/>
            </w:tcBorders>
          </w:tcPr>
          <w:p>
            <w:pPr>
              <w:jc w:val="right"/>
              <w:ind w:right="4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42"/>
        </w:trPr>
        <w:tc>
          <w:tcPr>
            <w:tcW w:w="316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Derivatives in cash flow hedging</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1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56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4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56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502</w:t>
            </w:r>
          </w:p>
        </w:tc>
        <w:tc>
          <w:tcPr>
            <w:tcW w:w="36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866</w:t>
            </w:r>
          </w:p>
        </w:tc>
        <w:tc>
          <w:tcPr>
            <w:tcW w:w="240" w:type="dxa"/>
            <w:vAlign w:val="bottom"/>
            <w:tcBorders>
              <w:bottom w:val="single" w:sz="8" w:color="61656A"/>
            </w:tcBorders>
          </w:tcPr>
          <w:p>
            <w:pPr>
              <w:spacing w:after="0"/>
              <w:rPr>
                <w:sz w:val="15"/>
                <w:szCs w:val="15"/>
                <w:color w:val="auto"/>
              </w:rPr>
            </w:pPr>
          </w:p>
        </w:tc>
        <w:tc>
          <w:tcPr>
            <w:tcW w:w="520" w:type="dxa"/>
            <w:vAlign w:val="bottom"/>
            <w:tcBorders>
              <w:bottom w:val="single" w:sz="8" w:color="61656A"/>
            </w:tcBorders>
          </w:tcPr>
          <w:p>
            <w:pPr>
              <w:spacing w:after="0"/>
              <w:rPr>
                <w:sz w:val="15"/>
                <w:szCs w:val="15"/>
                <w:color w:val="auto"/>
              </w:rPr>
            </w:pPr>
          </w:p>
        </w:tc>
        <w:tc>
          <w:tcPr>
            <w:tcW w:w="8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40</w:t>
            </w:r>
          </w:p>
        </w:tc>
        <w:tc>
          <w:tcPr>
            <w:tcW w:w="820" w:type="dxa"/>
            <w:vAlign w:val="bottom"/>
            <w:tcBorders>
              <w:bottom w:val="single" w:sz="8" w:color="61656A"/>
            </w:tcBorders>
          </w:tcPr>
          <w:p>
            <w:pPr>
              <w:spacing w:after="0"/>
              <w:rPr>
                <w:sz w:val="15"/>
                <w:szCs w:val="15"/>
                <w:color w:val="auto"/>
              </w:rPr>
            </w:pPr>
          </w:p>
        </w:tc>
        <w:tc>
          <w:tcPr>
            <w:tcW w:w="4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61656A"/>
            </w:tcBorders>
          </w:tcPr>
          <w:p>
            <w:pPr>
              <w:spacing w:after="0"/>
              <w:rPr>
                <w:sz w:val="15"/>
                <w:szCs w:val="15"/>
                <w:color w:val="auto"/>
              </w:rPr>
            </w:pPr>
          </w:p>
        </w:tc>
        <w:tc>
          <w:tcPr>
            <w:tcW w:w="460" w:type="dxa"/>
            <w:vAlign w:val="bottom"/>
            <w:tcBorders>
              <w:bottom w:val="single" w:sz="8" w:color="61656A"/>
            </w:tcBorders>
          </w:tcPr>
          <w:p>
            <w:pPr>
              <w:spacing w:after="0"/>
              <w:rPr>
                <w:sz w:val="15"/>
                <w:szCs w:val="15"/>
                <w:color w:val="auto"/>
              </w:rPr>
            </w:pPr>
          </w:p>
        </w:tc>
        <w:tc>
          <w:tcPr>
            <w:tcW w:w="9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spacing w:after="0"/>
              <w:rPr>
                <w:sz w:val="15"/>
                <w:szCs w:val="15"/>
                <w:color w:val="auto"/>
              </w:rPr>
            </w:pP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0"/>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5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46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w:t>
            </w:r>
          </w:p>
        </w:tc>
        <w:tc>
          <w:tcPr>
            <w:tcW w:w="7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Derivatives in net investment hedging</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5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46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560" w:type="dxa"/>
            <w:vAlign w:val="bottom"/>
            <w:tcBorders>
              <w:bottom w:val="single" w:sz="8" w:color="D7282F"/>
            </w:tcBorders>
          </w:tcPr>
          <w:p>
            <w:pPr>
              <w:spacing w:after="0"/>
              <w:rPr>
                <w:sz w:val="15"/>
                <w:szCs w:val="15"/>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4,189</w:t>
            </w:r>
          </w:p>
        </w:tc>
        <w:tc>
          <w:tcPr>
            <w:tcW w:w="360" w:type="dxa"/>
            <w:vAlign w:val="bottom"/>
            <w:tcBorders>
              <w:bottom w:val="single" w:sz="8" w:color="D7282F"/>
            </w:tcBorders>
          </w:tcPr>
          <w:p>
            <w:pPr>
              <w:spacing w:after="0"/>
              <w:rPr>
                <w:sz w:val="15"/>
                <w:szCs w:val="15"/>
                <w:color w:val="auto"/>
              </w:rPr>
            </w:pP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3,189</w:t>
            </w:r>
          </w:p>
        </w:tc>
        <w:tc>
          <w:tcPr>
            <w:tcW w:w="240" w:type="dxa"/>
            <w:vAlign w:val="bottom"/>
            <w:tcBorders>
              <w:bottom w:val="single" w:sz="8" w:color="D7282F"/>
            </w:tcBorders>
          </w:tcPr>
          <w:p>
            <w:pPr>
              <w:spacing w:after="0"/>
              <w:rPr>
                <w:sz w:val="15"/>
                <w:szCs w:val="15"/>
                <w:color w:val="auto"/>
              </w:rPr>
            </w:pPr>
          </w:p>
        </w:tc>
        <w:tc>
          <w:tcPr>
            <w:tcW w:w="520" w:type="dxa"/>
            <w:vAlign w:val="bottom"/>
            <w:tcBorders>
              <w:bottom w:val="single" w:sz="8" w:color="D7282F"/>
            </w:tcBorders>
          </w:tcPr>
          <w:p>
            <w:pPr>
              <w:spacing w:after="0"/>
              <w:rPr>
                <w:sz w:val="15"/>
                <w:szCs w:val="15"/>
                <w:color w:val="auto"/>
              </w:rPr>
            </w:pPr>
          </w:p>
        </w:tc>
        <w:tc>
          <w:tcPr>
            <w:tcW w:w="8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38</w:t>
            </w:r>
          </w:p>
        </w:tc>
        <w:tc>
          <w:tcPr>
            <w:tcW w:w="820" w:type="dxa"/>
            <w:vAlign w:val="bottom"/>
            <w:tcBorders>
              <w:bottom w:val="single" w:sz="8" w:color="D7282F"/>
            </w:tcBorders>
          </w:tcPr>
          <w:p>
            <w:pPr>
              <w:spacing w:after="0"/>
              <w:rPr>
                <w:sz w:val="15"/>
                <w:szCs w:val="15"/>
                <w:color w:val="auto"/>
              </w:rPr>
            </w:pP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90</w:t>
            </w:r>
          </w:p>
        </w:tc>
        <w:tc>
          <w:tcPr>
            <w:tcW w:w="220" w:type="dxa"/>
            <w:vAlign w:val="bottom"/>
            <w:tcBorders>
              <w:bottom w:val="single" w:sz="8" w:color="D7282F"/>
            </w:tcBorders>
          </w:tcPr>
          <w:p>
            <w:pPr>
              <w:spacing w:after="0"/>
              <w:rPr>
                <w:sz w:val="15"/>
                <w:szCs w:val="15"/>
                <w:color w:val="auto"/>
              </w:rPr>
            </w:pPr>
          </w:p>
        </w:tc>
        <w:tc>
          <w:tcPr>
            <w:tcW w:w="460" w:type="dxa"/>
            <w:vAlign w:val="bottom"/>
            <w:tcBorders>
              <w:bottom w:val="single" w:sz="8" w:color="D7282F"/>
            </w:tcBorders>
          </w:tcPr>
          <w:p>
            <w:pPr>
              <w:spacing w:after="0"/>
              <w:rPr>
                <w:sz w:val="15"/>
                <w:szCs w:val="15"/>
                <w:color w:val="auto"/>
              </w:rPr>
            </w:pPr>
          </w:p>
        </w:tc>
        <w:tc>
          <w:tcPr>
            <w:tcW w:w="9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(22)</w:t>
            </w:r>
          </w:p>
        </w:tc>
        <w:tc>
          <w:tcPr>
            <w:tcW w:w="760" w:type="dxa"/>
            <w:vAlign w:val="bottom"/>
            <w:tcBorders>
              <w:bottom w:val="single" w:sz="8" w:color="D7282F"/>
            </w:tcBorders>
          </w:tcPr>
          <w:p>
            <w:pPr>
              <w:spacing w:after="0"/>
              <w:rPr>
                <w:sz w:val="15"/>
                <w:szCs w:val="15"/>
                <w:color w:val="auto"/>
              </w:rPr>
            </w:pPr>
          </w:p>
        </w:tc>
        <w:tc>
          <w:tcPr>
            <w:tcW w:w="4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160" w:type="dxa"/>
            <w:vAlign w:val="bottom"/>
          </w:tcPr>
          <w:p>
            <w:pPr>
              <w:ind w:left="240"/>
              <w:spacing w:after="0" w:line="143" w:lineRule="exact"/>
              <w:rPr>
                <w:sz w:val="20"/>
                <w:szCs w:val="20"/>
                <w:color w:val="auto"/>
              </w:rPr>
            </w:pPr>
            <w:r>
              <w:rPr>
                <w:rFonts w:ascii="Arial" w:cs="Arial" w:eastAsia="Arial" w:hAnsi="Arial"/>
                <w:sz w:val="14"/>
                <w:szCs w:val="14"/>
                <w:b w:val="1"/>
                <w:bCs w:val="1"/>
                <w:color w:val="auto"/>
              </w:rPr>
              <w:t>Total derivatives designated as hedging</w:t>
            </w:r>
          </w:p>
        </w:tc>
        <w:tc>
          <w:tcPr>
            <w:tcW w:w="56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9,717</w:t>
            </w:r>
          </w:p>
        </w:tc>
        <w:tc>
          <w:tcPr>
            <w:tcW w:w="3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9,048</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81</w:t>
            </w:r>
          </w:p>
        </w:tc>
        <w:tc>
          <w:tcPr>
            <w:tcW w:w="820" w:type="dxa"/>
            <w:vAlign w:val="bottom"/>
          </w:tcPr>
          <w:p>
            <w:pPr>
              <w:spacing w:after="0"/>
              <w:rPr>
                <w:sz w:val="12"/>
                <w:szCs w:val="12"/>
                <w:color w:val="auto"/>
              </w:rPr>
            </w:pPr>
          </w:p>
        </w:tc>
        <w:tc>
          <w:tcPr>
            <w:tcW w:w="4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125</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(312)</w:t>
            </w:r>
          </w:p>
        </w:tc>
        <w:tc>
          <w:tcPr>
            <w:tcW w:w="7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(309)</w:t>
            </w:r>
          </w:p>
        </w:tc>
        <w:tc>
          <w:tcPr>
            <w:tcW w:w="0" w:type="dxa"/>
            <w:vAlign w:val="bottom"/>
          </w:tcPr>
          <w:p>
            <w:pPr>
              <w:spacing w:after="0"/>
              <w:rPr>
                <w:sz w:val="1"/>
                <w:szCs w:val="1"/>
                <w:color w:val="auto"/>
              </w:rPr>
            </w:pPr>
          </w:p>
        </w:tc>
      </w:tr>
      <w:tr>
        <w:trPr>
          <w:trHeight w:val="201"/>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instruments</w:t>
            </w:r>
          </w:p>
        </w:tc>
        <w:tc>
          <w:tcPr>
            <w:tcW w:w="56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vMerge w:val="continue"/>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vMerge w:val="continue"/>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vMerge w:val="continue"/>
          </w:tcPr>
          <w:p>
            <w:pPr>
              <w:spacing w:after="0"/>
              <w:rPr>
                <w:sz w:val="17"/>
                <w:szCs w:val="17"/>
                <w:color w:val="auto"/>
              </w:rPr>
            </w:pPr>
          </w:p>
        </w:tc>
        <w:tc>
          <w:tcPr>
            <w:tcW w:w="8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vMerge w:val="continue"/>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4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vMerge w:val="continue"/>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16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Derivatives not designated as hedging</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instruments</w:t>
            </w:r>
          </w:p>
        </w:tc>
        <w:tc>
          <w:tcPr>
            <w:tcW w:w="5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46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56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8,582</w:t>
            </w:r>
          </w:p>
        </w:tc>
        <w:tc>
          <w:tcPr>
            <w:tcW w:w="3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9,679</w:t>
            </w:r>
          </w:p>
        </w:tc>
        <w:tc>
          <w:tcPr>
            <w:tcW w:w="24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4</w:t>
            </w:r>
          </w:p>
        </w:tc>
        <w:tc>
          <w:tcPr>
            <w:tcW w:w="8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74</w:t>
            </w:r>
          </w:p>
        </w:tc>
        <w:tc>
          <w:tcPr>
            <w:tcW w:w="220" w:type="dxa"/>
            <w:vAlign w:val="bottom"/>
            <w:tcBorders>
              <w:bottom w:val="single" w:sz="8" w:color="D7282F"/>
            </w:tcBorders>
          </w:tcPr>
          <w:p>
            <w:pPr>
              <w:spacing w:after="0"/>
              <w:rPr>
                <w:sz w:val="16"/>
                <w:szCs w:val="16"/>
                <w:color w:val="auto"/>
              </w:rPr>
            </w:pPr>
          </w:p>
        </w:tc>
        <w:tc>
          <w:tcPr>
            <w:tcW w:w="46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(16)</w:t>
            </w:r>
          </w:p>
        </w:tc>
        <w:tc>
          <w:tcPr>
            <w:tcW w:w="7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8"/>
        </w:trPr>
        <w:tc>
          <w:tcPr>
            <w:tcW w:w="316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derivatives at fair value</w:t>
            </w:r>
          </w:p>
        </w:tc>
        <w:tc>
          <w:tcPr>
            <w:tcW w:w="5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18,299</w:t>
            </w:r>
          </w:p>
        </w:tc>
        <w:tc>
          <w:tcPr>
            <w:tcW w:w="3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18,727</w:t>
            </w:r>
          </w:p>
        </w:tc>
        <w:tc>
          <w:tcPr>
            <w:tcW w:w="76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85</w:t>
            </w:r>
          </w:p>
        </w:tc>
        <w:tc>
          <w:tcPr>
            <w:tcW w:w="8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199</w:t>
            </w:r>
          </w:p>
        </w:tc>
        <w:tc>
          <w:tcPr>
            <w:tcW w:w="680" w:type="dxa"/>
            <w:vAlign w:val="bottom"/>
            <w:tcBorders>
              <w:bottom w:val="single" w:sz="8" w:color="D7282F"/>
            </w:tcBorders>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(328)</w:t>
            </w:r>
          </w:p>
        </w:tc>
        <w:tc>
          <w:tcPr>
            <w:tcW w:w="7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assets are presented in Other current assets or Other assets. All derivative liabilities are presented in Accrued liabilities or Other liabilities.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$6,109 million and $3,836 million as of June 30, 2023, and December 31, 2022, respectively.</w:t>
      </w:r>
    </w:p>
    <w:p>
      <w:pPr>
        <w:spacing w:after="0" w:line="200" w:lineRule="exact"/>
        <w:rPr>
          <w:sz w:val="20"/>
          <w:szCs w:val="20"/>
          <w:color w:val="auto"/>
        </w:rPr>
      </w:pPr>
    </w:p>
    <w:p>
      <w:pPr>
        <w:spacing w:after="0" w:line="205"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in the Consolidated Balance Sheet related to cumulative basis adjustments for fair value hedges: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35"/>
        </w:trPr>
        <w:tc>
          <w:tcPr>
            <w:tcW w:w="5840" w:type="dxa"/>
            <w:vAlign w:val="bottom"/>
          </w:tcPr>
          <w:p>
            <w:pPr>
              <w:spacing w:after="0"/>
              <w:rPr>
                <w:sz w:val="11"/>
                <w:szCs w:val="11"/>
                <w:color w:val="auto"/>
              </w:rPr>
            </w:pPr>
          </w:p>
        </w:tc>
        <w:tc>
          <w:tcPr>
            <w:tcW w:w="258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Carrying Amount of Hedged Item</w:t>
            </w:r>
          </w:p>
        </w:tc>
        <w:tc>
          <w:tcPr>
            <w:tcW w:w="240" w:type="dxa"/>
            <w:vAlign w:val="bottom"/>
          </w:tcPr>
          <w:p>
            <w:pPr>
              <w:spacing w:after="0"/>
              <w:rPr>
                <w:sz w:val="11"/>
                <w:szCs w:val="11"/>
                <w:color w:val="auto"/>
              </w:rPr>
            </w:pPr>
          </w:p>
        </w:tc>
        <w:tc>
          <w:tcPr>
            <w:tcW w:w="2580" w:type="dxa"/>
            <w:vAlign w:val="bottom"/>
            <w:gridSpan w:val="4"/>
          </w:tcPr>
          <w:p>
            <w:pPr>
              <w:jc w:val="right"/>
              <w:spacing w:after="0" w:line="135"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201"/>
        </w:trPr>
        <w:tc>
          <w:tcPr>
            <w:tcW w:w="5840" w:type="dxa"/>
            <w:vAlign w:val="bottom"/>
          </w:tcPr>
          <w:p>
            <w:pPr>
              <w:spacing w:after="0"/>
              <w:rPr>
                <w:sz w:val="17"/>
                <w:szCs w:val="17"/>
                <w:color w:val="auto"/>
              </w:rPr>
            </w:pPr>
          </w:p>
        </w:tc>
        <w:tc>
          <w:tcPr>
            <w:tcW w:w="2580" w:type="dxa"/>
            <w:vAlign w:val="bottom"/>
            <w:tcBorders>
              <w:bottom w:val="single" w:sz="8" w:color="D7282F"/>
            </w:tcBorders>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Borders>
              <w:bottom w:val="single" w:sz="8" w:color="D7282F"/>
            </w:tcBorders>
            <w:gridSpan w:val="4"/>
          </w:tcPr>
          <w:p>
            <w:pPr>
              <w:jc w:val="right"/>
              <w:ind w:right="88"/>
              <w:spacing w:after="0"/>
              <w:rPr>
                <w:sz w:val="20"/>
                <w:szCs w:val="20"/>
                <w:color w:val="auto"/>
              </w:rPr>
            </w:pPr>
            <w:r>
              <w:rPr>
                <w:rFonts w:ascii="Arial" w:cs="Arial" w:eastAsia="Arial" w:hAnsi="Arial"/>
                <w:sz w:val="14"/>
                <w:szCs w:val="14"/>
                <w:b w:val="1"/>
                <w:bCs w:val="1"/>
                <w:color w:val="auto"/>
              </w:rPr>
              <w:t>Carrying Amount of Hedged Item</w:t>
            </w: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36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June 30, 2023</w:t>
            </w:r>
          </w:p>
        </w:tc>
        <w:tc>
          <w:tcPr>
            <w:tcW w:w="1220" w:type="dxa"/>
            <w:vAlign w:val="bottom"/>
            <w:gridSpan w:val="2"/>
          </w:tcPr>
          <w:p>
            <w:pPr>
              <w:jc w:val="right"/>
              <w:ind w:right="88"/>
              <w:spacing w:after="0" w:line="157"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38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June 30, 2023</w:t>
            </w:r>
          </w:p>
        </w:tc>
        <w:tc>
          <w:tcPr>
            <w:tcW w:w="1200" w:type="dxa"/>
            <w:vAlign w:val="bottom"/>
            <w:gridSpan w:val="2"/>
          </w:tcPr>
          <w:p>
            <w:pPr>
              <w:jc w:val="right"/>
              <w:ind w:right="88"/>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5840" w:type="dxa"/>
            <w:vAlign w:val="bottom"/>
            <w:tcBorders>
              <w:bottom w:val="single" w:sz="8" w:color="D7282F"/>
            </w:tcBorders>
          </w:tcPr>
          <w:p>
            <w:pPr>
              <w:spacing w:after="0"/>
              <w:rPr>
                <w:sz w:val="17"/>
                <w:szCs w:val="17"/>
                <w:color w:val="auto"/>
              </w:rPr>
            </w:pPr>
          </w:p>
        </w:tc>
        <w:tc>
          <w:tcPr>
            <w:tcW w:w="1360" w:type="dxa"/>
            <w:vAlign w:val="bottom"/>
            <w:tcBorders>
              <w:bottom w:val="single" w:sz="8" w:color="D7282F"/>
            </w:tcBorders>
            <w:gridSpan w:val="2"/>
            <w:vMerge w:val="continue"/>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gridSpan w:val="2"/>
            <w:vMerge w:val="continue"/>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5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6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4,733</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4,696</w:t>
            </w:r>
          </w:p>
        </w:tc>
        <w:tc>
          <w:tcPr>
            <w:tcW w:w="880" w:type="dxa"/>
            <w:vAlign w:val="bottom"/>
            <w:tcBorders>
              <w:bottom w:val="single" w:sz="8" w:color="D7282F"/>
            </w:tcBorders>
            <w:gridSpan w:val="2"/>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(285)</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20" w:type="dxa"/>
            <w:vAlign w:val="bottom"/>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680" w:type="dxa"/>
            <w:vAlign w:val="bottom"/>
            <w:tcBorders>
              <w:bottom w:val="single" w:sz="8" w:color="D7282F"/>
            </w:tcBorders>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June 30, 2023</w:t>
            </w:r>
          </w:p>
        </w:tc>
        <w:tc>
          <w:tcPr>
            <w:tcW w:w="24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368"/>
              <w:spacing w:after="0" w:line="143"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1020" w:type="dxa"/>
            <w:vAlign w:val="bottom"/>
            <w:vMerge w:val="restart"/>
          </w:tcPr>
          <w:p>
            <w:pPr>
              <w:jc w:val="center"/>
              <w:ind w:right="368"/>
              <w:spacing w:after="0"/>
              <w:rPr>
                <w:sz w:val="20"/>
                <w:szCs w:val="20"/>
                <w:color w:val="auto"/>
              </w:rPr>
            </w:pPr>
            <w:r>
              <w:rPr>
                <w:rFonts w:ascii="Arial" w:cs="Arial" w:eastAsia="Arial" w:hAnsi="Arial"/>
                <w:sz w:val="14"/>
                <w:szCs w:val="14"/>
                <w:b w:val="1"/>
                <w:bCs w:val="1"/>
                <w:color w:val="auto"/>
              </w:rPr>
              <w:t>Other</w:t>
            </w:r>
          </w:p>
        </w:tc>
        <w:tc>
          <w:tcPr>
            <w:tcW w:w="1160" w:type="dxa"/>
            <w:vAlign w:val="bottom"/>
            <w:gridSpan w:val="2"/>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center"/>
              <w:ind w:right="308"/>
              <w:spacing w:after="0"/>
              <w:rPr>
                <w:sz w:val="20"/>
                <w:szCs w:val="20"/>
                <w:color w:val="auto"/>
              </w:rPr>
            </w:pPr>
            <w:r>
              <w:rPr>
                <w:rFonts w:ascii="Arial" w:cs="Arial" w:eastAsia="Arial" w:hAnsi="Arial"/>
                <w:sz w:val="14"/>
                <w:szCs w:val="14"/>
                <w:b w:val="1"/>
                <w:bCs w:val="1"/>
                <w:color w:val="auto"/>
              </w:rPr>
              <w:t>Cost of</w:t>
            </w:r>
          </w:p>
        </w:tc>
        <w:tc>
          <w:tcPr>
            <w:tcW w:w="320" w:type="dxa"/>
            <w:vAlign w:val="bottom"/>
          </w:tcPr>
          <w:p>
            <w:pPr>
              <w:spacing w:after="0"/>
              <w:rPr>
                <w:sz w:val="12"/>
                <w:szCs w:val="12"/>
                <w:color w:val="auto"/>
              </w:rPr>
            </w:pPr>
          </w:p>
        </w:tc>
        <w:tc>
          <w:tcPr>
            <w:tcW w:w="94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rPr>
              <w:t>Cost of</w:t>
            </w:r>
          </w:p>
        </w:tc>
        <w:tc>
          <w:tcPr>
            <w:tcW w:w="1420" w:type="dxa"/>
            <w:vAlign w:val="bottom"/>
            <w:gridSpan w:val="2"/>
          </w:tcPr>
          <w:p>
            <w:pPr>
              <w:jc w:val="center"/>
              <w:ind w:right="68"/>
              <w:spacing w:after="0" w:line="148" w:lineRule="exact"/>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40" w:type="dxa"/>
            <w:vAlign w:val="bottom"/>
          </w:tcPr>
          <w:p>
            <w:pPr>
              <w:jc w:val="center"/>
              <w:ind w:left="148"/>
              <w:spacing w:after="0" w:line="148"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28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gridSpan w:val="2"/>
          </w:tcPr>
          <w:p>
            <w:pPr>
              <w:jc w:val="center"/>
              <w:ind w:right="68"/>
              <w:spacing w:after="0" w:line="135" w:lineRule="exact"/>
              <w:rPr>
                <w:sz w:val="20"/>
                <w:szCs w:val="20"/>
                <w:color w:val="auto"/>
              </w:rPr>
            </w:pPr>
            <w:r>
              <w:rPr>
                <w:rFonts w:ascii="Arial" w:cs="Arial" w:eastAsia="Arial" w:hAnsi="Arial"/>
                <w:sz w:val="14"/>
                <w:szCs w:val="14"/>
                <w:b w:val="1"/>
                <w:bCs w:val="1"/>
                <w:color w:val="auto"/>
              </w:rPr>
              <w:t>Administrative</w:t>
            </w:r>
          </w:p>
        </w:tc>
        <w:tc>
          <w:tcPr>
            <w:tcW w:w="1260" w:type="dxa"/>
            <w:vAlign w:val="bottom"/>
            <w:gridSpan w:val="2"/>
          </w:tcPr>
          <w:p>
            <w:pPr>
              <w:jc w:val="center"/>
              <w:ind w:right="108"/>
              <w:spacing w:after="0" w:line="135" w:lineRule="exact"/>
              <w:rPr>
                <w:sz w:val="20"/>
                <w:szCs w:val="20"/>
                <w:color w:val="auto"/>
              </w:rPr>
            </w:pPr>
            <w:r>
              <w:rPr>
                <w:rFonts w:ascii="Arial" w:cs="Arial" w:eastAsia="Arial" w:hAnsi="Arial"/>
                <w:sz w:val="14"/>
                <w:szCs w:val="14"/>
                <w:b w:val="1"/>
                <w:bCs w:val="1"/>
                <w:color w:val="auto"/>
              </w:rPr>
              <w:t>(Income)</w:t>
            </w:r>
          </w:p>
        </w:tc>
        <w:tc>
          <w:tcPr>
            <w:tcW w:w="84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rPr>
              <w:t>Financial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62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gridSpan w:val="2"/>
            <w:vMerge w:val="continue"/>
          </w:tcPr>
          <w:p>
            <w:pPr>
              <w:spacing w:after="0"/>
              <w:rPr>
                <w:sz w:val="17"/>
                <w:szCs w:val="17"/>
                <w:color w:val="auto"/>
              </w:rPr>
            </w:pPr>
          </w:p>
        </w:tc>
        <w:tc>
          <w:tcPr>
            <w:tcW w:w="124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60" w:type="dxa"/>
            <w:vAlign w:val="bottom"/>
            <w:tcBorders>
              <w:bottom w:val="single" w:sz="8" w:color="D7282F"/>
            </w:tcBorders>
            <w:gridSpan w:val="2"/>
          </w:tcPr>
          <w:p>
            <w:pPr>
              <w:jc w:val="center"/>
              <w:ind w:right="8"/>
              <w:spacing w:after="0"/>
              <w:rPr>
                <w:sz w:val="20"/>
                <w:szCs w:val="20"/>
                <w:color w:val="auto"/>
              </w:rPr>
            </w:pPr>
            <w:r>
              <w:rPr>
                <w:rFonts w:ascii="Arial" w:cs="Arial" w:eastAsia="Arial" w:hAnsi="Arial"/>
                <w:sz w:val="14"/>
                <w:szCs w:val="14"/>
                <w:b w:val="1"/>
                <w:bCs w:val="1"/>
                <w:color w:val="auto"/>
              </w:rPr>
              <w:t>Services Sold</w:t>
            </w:r>
          </w:p>
        </w:tc>
        <w:tc>
          <w:tcPr>
            <w:tcW w:w="30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center"/>
              <w:ind w:right="368"/>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center"/>
              <w:ind w:right="368"/>
              <w:spacing w:after="0"/>
              <w:rPr>
                <w:sz w:val="20"/>
                <w:szCs w:val="20"/>
                <w:color w:val="auto"/>
              </w:rPr>
            </w:pPr>
            <w:r>
              <w:rPr>
                <w:rFonts w:ascii="Arial" w:cs="Arial" w:eastAsia="Arial" w:hAnsi="Arial"/>
                <w:sz w:val="14"/>
                <w:szCs w:val="14"/>
                <w:b w:val="1"/>
                <w:bCs w:val="1"/>
                <w:color w:val="auto"/>
              </w:rPr>
              <w:t>Expense</w:t>
            </w:r>
          </w:p>
        </w:tc>
        <w:tc>
          <w:tcPr>
            <w:tcW w:w="84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b w:val="1"/>
                <w:bCs w:val="1"/>
                <w:color w:val="auto"/>
              </w:rPr>
              <w:t>Charges</w:t>
            </w:r>
          </w:p>
        </w:tc>
        <w:tc>
          <w:tcPr>
            <w:tcW w:w="3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80" w:type="dxa"/>
            <w:vAlign w:val="bottom"/>
            <w:tcBorders>
              <w:bottom w:val="single" w:sz="8" w:color="61656A"/>
            </w:tcBorders>
            <w:gridSpan w:val="2"/>
          </w:tcPr>
          <w:p>
            <w:pPr>
              <w:ind w:left="38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9,146</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4,133</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1,493</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1,262</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(208)</w:t>
            </w:r>
          </w:p>
        </w:tc>
        <w:tc>
          <w:tcPr>
            <w:tcW w:w="84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94"/>
              </w:rPr>
              <w:t>187</w:t>
            </w:r>
          </w:p>
        </w:tc>
        <w:tc>
          <w:tcPr>
            <w:tcW w:w="0" w:type="dxa"/>
            <w:vAlign w:val="bottom"/>
          </w:tcPr>
          <w:p>
            <w:pPr>
              <w:spacing w:after="0"/>
              <w:rPr>
                <w:sz w:val="1"/>
                <w:szCs w:val="1"/>
                <w:color w:val="auto"/>
              </w:rPr>
            </w:pPr>
          </w:p>
        </w:tc>
      </w:tr>
      <w:tr>
        <w:trPr>
          <w:trHeight w:val="195"/>
        </w:trPr>
        <w:tc>
          <w:tcPr>
            <w:tcW w:w="418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180" w:type="dxa"/>
            <w:vAlign w:val="bottom"/>
            <w:gridSpan w:val="2"/>
          </w:tcPr>
          <w:p>
            <w:pPr>
              <w:ind w:left="240"/>
              <w:spacing w:after="0" w:line="148" w:lineRule="exact"/>
              <w:rPr>
                <w:sz w:val="20"/>
                <w:szCs w:val="20"/>
                <w:color w:val="auto"/>
              </w:rPr>
            </w:pPr>
            <w:r>
              <w:rPr>
                <w:rFonts w:ascii="Arial" w:cs="Arial" w:eastAsia="Arial" w:hAnsi="Arial"/>
                <w:sz w:val="14"/>
                <w:szCs w:val="14"/>
                <w:color w:val="auto"/>
              </w:rPr>
              <w:t>Amount reclassified from accumulated other</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2"/>
                <w:szCs w:val="12"/>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18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720" w:type="dxa"/>
            <w:vAlign w:val="bottom"/>
            <w:tcBorders>
              <w:bottom w:val="single" w:sz="8" w:color="61656A"/>
            </w:tcBorders>
            <w:vMerge w:val="continue"/>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20" w:type="dxa"/>
            <w:vAlign w:val="bottom"/>
            <w:tcBorders>
              <w:bottom w:val="single" w:sz="8" w:color="61656A"/>
            </w:tcBorders>
            <w:vMerge w:val="continue"/>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40" w:type="dxa"/>
            <w:vAlign w:val="bottom"/>
            <w:tcBorders>
              <w:bottom w:val="single" w:sz="8" w:color="61656A"/>
            </w:tcBorders>
            <w:vMerge w:val="continue"/>
          </w:tcPr>
          <w:p>
            <w:pPr>
              <w:spacing w:after="0"/>
              <w:rPr>
                <w:sz w:val="15"/>
                <w:szCs w:val="15"/>
                <w:color w:val="auto"/>
              </w:rPr>
            </w:pPr>
          </w:p>
        </w:tc>
        <w:tc>
          <w:tcPr>
            <w:tcW w:w="30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vMerge w:val="continue"/>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1020" w:type="dxa"/>
            <w:vAlign w:val="bottom"/>
            <w:tcBorders>
              <w:bottom w:val="single" w:sz="8" w:color="61656A"/>
            </w:tcBorders>
            <w:vMerge w:val="continue"/>
          </w:tcPr>
          <w:p>
            <w:pPr>
              <w:spacing w:after="0"/>
              <w:rPr>
                <w:sz w:val="15"/>
                <w:szCs w:val="15"/>
                <w:color w:val="auto"/>
              </w:rPr>
            </w:pPr>
          </w:p>
        </w:tc>
        <w:tc>
          <w:tcPr>
            <w:tcW w:w="8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8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8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3"/>
        </w:trPr>
        <w:tc>
          <w:tcPr>
            <w:tcW w:w="418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5"/>
                <w:szCs w:val="15"/>
                <w:color w:val="auto"/>
              </w:rPr>
            </w:pPr>
          </w:p>
        </w:tc>
        <w:tc>
          <w:tcPr>
            <w:tcW w:w="9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5"/>
                <w:szCs w:val="15"/>
                <w:color w:val="auto"/>
              </w:rPr>
            </w:pPr>
          </w:p>
        </w:tc>
        <w:tc>
          <w:tcPr>
            <w:tcW w:w="9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5"/>
                <w:szCs w:val="15"/>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2"/>
        </w:trPr>
        <w:tc>
          <w:tcPr>
            <w:tcW w:w="418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Gain or (loss) on derivatives not designated as</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18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8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5"/>
                <w:szCs w:val="15"/>
                <w:color w:val="auto"/>
              </w:rPr>
            </w:pPr>
          </w:p>
        </w:tc>
        <w:tc>
          <w:tcPr>
            <w:tcW w:w="9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5"/>
                <w:szCs w:val="15"/>
                <w:color w:val="auto"/>
              </w:rPr>
            </w:pPr>
          </w:p>
        </w:tc>
        <w:tc>
          <w:tcPr>
            <w:tcW w:w="9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5"/>
                <w:szCs w:val="15"/>
                <w:color w:val="auto"/>
              </w:rPr>
            </w:pPr>
          </w:p>
        </w:tc>
        <w:tc>
          <w:tcPr>
            <w:tcW w:w="11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5"/>
                <w:szCs w:val="15"/>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(69)</w:t>
            </w:r>
          </w:p>
        </w:tc>
        <w:tc>
          <w:tcPr>
            <w:tcW w:w="840" w:type="dxa"/>
            <w:vAlign w:val="bottom"/>
            <w:tcBorders>
              <w:bottom w:val="single" w:sz="8" w:color="D7282F"/>
            </w:tcBorders>
          </w:tcPr>
          <w:p>
            <w:pPr>
              <w:spacing w:after="0"/>
              <w:rPr>
                <w:sz w:val="15"/>
                <w:szCs w:val="15"/>
                <w:color w:val="auto"/>
              </w:rPr>
            </w:pP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5"/>
        </w:trPr>
        <w:tc>
          <w:tcPr>
            <w:tcW w:w="3620" w:type="dxa"/>
            <w:vAlign w:val="bottom"/>
          </w:tcPr>
          <w:p>
            <w:pPr>
              <w:spacing w:after="0"/>
              <w:rPr>
                <w:sz w:val="24"/>
                <w:szCs w:val="24"/>
                <w:color w:val="auto"/>
              </w:rPr>
            </w:pPr>
          </w:p>
        </w:tc>
        <w:tc>
          <w:tcPr>
            <w:tcW w:w="560" w:type="dxa"/>
            <w:vAlign w:val="bottom"/>
            <w:tcBorders>
              <w:bottom w:val="single" w:sz="8" w:color="D7282F"/>
            </w:tcBorders>
          </w:tcPr>
          <w:p>
            <w:pPr>
              <w:spacing w:after="0"/>
              <w:rPr>
                <w:sz w:val="24"/>
                <w:szCs w:val="24"/>
                <w:color w:val="auto"/>
              </w:rPr>
            </w:pPr>
          </w:p>
        </w:tc>
        <w:tc>
          <w:tcPr>
            <w:tcW w:w="72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2680" w:type="dxa"/>
            <w:vAlign w:val="bottom"/>
            <w:tcBorders>
              <w:bottom w:val="single" w:sz="8" w:color="D7282F"/>
            </w:tcBorders>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June 30, 2022</w:t>
            </w:r>
          </w:p>
        </w:tc>
        <w:tc>
          <w:tcPr>
            <w:tcW w:w="24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tcPr>
          <w:p>
            <w:pPr>
              <w:spacing w:after="0"/>
              <w:rPr>
                <w:sz w:val="24"/>
                <w:szCs w:val="24"/>
                <w:color w:val="auto"/>
              </w:rPr>
            </w:pPr>
          </w:p>
        </w:tc>
        <w:tc>
          <w:tcPr>
            <w:tcW w:w="84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388"/>
              <w:spacing w:after="0" w:line="143"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1020" w:type="dxa"/>
            <w:vAlign w:val="bottom"/>
            <w:vMerge w:val="restart"/>
          </w:tcPr>
          <w:p>
            <w:pPr>
              <w:jc w:val="center"/>
              <w:ind w:right="368"/>
              <w:spacing w:after="0"/>
              <w:rPr>
                <w:sz w:val="20"/>
                <w:szCs w:val="20"/>
                <w:color w:val="auto"/>
              </w:rPr>
            </w:pPr>
            <w:r>
              <w:rPr>
                <w:rFonts w:ascii="Arial" w:cs="Arial" w:eastAsia="Arial" w:hAnsi="Arial"/>
                <w:sz w:val="14"/>
                <w:szCs w:val="14"/>
                <w:b w:val="1"/>
                <w:bCs w:val="1"/>
                <w:color w:val="auto"/>
              </w:rPr>
              <w:t>Other</w:t>
            </w:r>
          </w:p>
        </w:tc>
        <w:tc>
          <w:tcPr>
            <w:tcW w:w="1160" w:type="dxa"/>
            <w:vAlign w:val="bottom"/>
            <w:gridSpan w:val="2"/>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restart"/>
          </w:tcPr>
          <w:p>
            <w:pPr>
              <w:jc w:val="center"/>
              <w:ind w:right="348"/>
              <w:spacing w:after="0"/>
              <w:rPr>
                <w:sz w:val="20"/>
                <w:szCs w:val="20"/>
                <w:color w:val="auto"/>
              </w:rPr>
            </w:pPr>
            <w:r>
              <w:rPr>
                <w:rFonts w:ascii="Arial" w:cs="Arial" w:eastAsia="Arial" w:hAnsi="Arial"/>
                <w:sz w:val="14"/>
                <w:szCs w:val="14"/>
                <w:b w:val="1"/>
                <w:bCs w:val="1"/>
                <w:color w:val="auto"/>
              </w:rPr>
              <w:t>Cost of</w:t>
            </w:r>
          </w:p>
        </w:tc>
        <w:tc>
          <w:tcPr>
            <w:tcW w:w="320" w:type="dxa"/>
            <w:vAlign w:val="bottom"/>
          </w:tcPr>
          <w:p>
            <w:pPr>
              <w:spacing w:after="0"/>
              <w:rPr>
                <w:sz w:val="11"/>
                <w:szCs w:val="11"/>
                <w:color w:val="auto"/>
              </w:rPr>
            </w:pPr>
          </w:p>
        </w:tc>
        <w:tc>
          <w:tcPr>
            <w:tcW w:w="94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rPr>
              <w:t>Cost of</w:t>
            </w:r>
          </w:p>
        </w:tc>
        <w:tc>
          <w:tcPr>
            <w:tcW w:w="1420" w:type="dxa"/>
            <w:vAlign w:val="bottom"/>
            <w:gridSpan w:val="2"/>
          </w:tcPr>
          <w:p>
            <w:pPr>
              <w:jc w:val="center"/>
              <w:ind w:right="88"/>
              <w:spacing w:after="0" w:line="135" w:lineRule="exact"/>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84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8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2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rPr>
              <w:t>Administrative</w:t>
            </w:r>
          </w:p>
        </w:tc>
        <w:tc>
          <w:tcPr>
            <w:tcW w:w="126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rPr>
              <w:t>(Income)</w:t>
            </w:r>
          </w:p>
        </w:tc>
        <w:tc>
          <w:tcPr>
            <w:tcW w:w="8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Financial</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vMerge w:val="continue"/>
          </w:tcPr>
          <w:p>
            <w:pPr>
              <w:spacing w:after="0"/>
              <w:rPr>
                <w:sz w:val="16"/>
                <w:szCs w:val="16"/>
                <w:color w:val="auto"/>
              </w:rPr>
            </w:pPr>
          </w:p>
        </w:tc>
        <w:tc>
          <w:tcPr>
            <w:tcW w:w="1240" w:type="dxa"/>
            <w:vAlign w:val="bottom"/>
            <w:tcBorders>
              <w:bottom w:val="single" w:sz="8" w:color="D7282F"/>
            </w:tcBorders>
            <w:gridSpan w:val="2"/>
          </w:tcPr>
          <w:p>
            <w:pPr>
              <w:jc w:val="center"/>
              <w:ind w:right="28"/>
              <w:spacing w:after="0"/>
              <w:rPr>
                <w:sz w:val="20"/>
                <w:szCs w:val="20"/>
                <w:color w:val="auto"/>
              </w:rPr>
            </w:pPr>
            <w:r>
              <w:rPr>
                <w:rFonts w:ascii="Arial" w:cs="Arial" w:eastAsia="Arial" w:hAnsi="Arial"/>
                <w:sz w:val="14"/>
                <w:szCs w:val="14"/>
                <w:b w:val="1"/>
                <w:bCs w:val="1"/>
                <w:color w:val="auto"/>
              </w:rPr>
              <w:t>Products Sold</w:t>
            </w:r>
          </w:p>
        </w:tc>
        <w:tc>
          <w:tcPr>
            <w:tcW w:w="1260" w:type="dxa"/>
            <w:vAlign w:val="bottom"/>
            <w:tcBorders>
              <w:bottom w:val="single" w:sz="8" w:color="D7282F"/>
            </w:tcBorders>
            <w:gridSpan w:val="2"/>
          </w:tcPr>
          <w:p>
            <w:pPr>
              <w:jc w:val="center"/>
              <w:ind w:right="8"/>
              <w:spacing w:after="0"/>
              <w:rPr>
                <w:sz w:val="20"/>
                <w:szCs w:val="20"/>
                <w:color w:val="auto"/>
              </w:rPr>
            </w:pPr>
            <w:r>
              <w:rPr>
                <w:rFonts w:ascii="Arial" w:cs="Arial" w:eastAsia="Arial" w:hAnsi="Arial"/>
                <w:sz w:val="14"/>
                <w:szCs w:val="14"/>
                <w:b w:val="1"/>
                <w:bCs w:val="1"/>
                <w:color w:val="auto"/>
              </w:rPr>
              <w:t>Services Sold</w:t>
            </w:r>
          </w:p>
        </w:tc>
        <w:tc>
          <w:tcPr>
            <w:tcW w:w="30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center"/>
              <w:ind w:right="388"/>
              <w:spacing w:after="0"/>
              <w:rPr>
                <w:sz w:val="20"/>
                <w:szCs w:val="20"/>
                <w:color w:val="auto"/>
              </w:rPr>
            </w:pPr>
            <w:r>
              <w:rPr>
                <w:rFonts w:ascii="Arial" w:cs="Arial" w:eastAsia="Arial" w:hAnsi="Arial"/>
                <w:sz w:val="14"/>
                <w:szCs w:val="14"/>
                <w:b w:val="1"/>
                <w:bCs w:val="1"/>
                <w:color w:val="auto"/>
              </w:rPr>
              <w:t>Expenses</w:t>
            </w:r>
          </w:p>
        </w:tc>
        <w:tc>
          <w:tcPr>
            <w:tcW w:w="1260" w:type="dxa"/>
            <w:vAlign w:val="bottom"/>
            <w:tcBorders>
              <w:bottom w:val="single" w:sz="8" w:color="D7282F"/>
            </w:tcBorders>
            <w:gridSpan w:val="2"/>
          </w:tcPr>
          <w:p>
            <w:pPr>
              <w:jc w:val="center"/>
              <w:ind w:right="148"/>
              <w:spacing w:after="0"/>
              <w:rPr>
                <w:sz w:val="20"/>
                <w:szCs w:val="20"/>
                <w:color w:val="auto"/>
              </w:rPr>
            </w:pPr>
            <w:r>
              <w:rPr>
                <w:rFonts w:ascii="Arial" w:cs="Arial" w:eastAsia="Arial" w:hAnsi="Arial"/>
                <w:sz w:val="14"/>
                <w:szCs w:val="14"/>
                <w:b w:val="1"/>
                <w:bCs w:val="1"/>
                <w:color w:val="auto"/>
              </w:rPr>
              <w:t>Expense</w:t>
            </w:r>
          </w:p>
        </w:tc>
        <w:tc>
          <w:tcPr>
            <w:tcW w:w="84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b w:val="1"/>
                <w:bCs w:val="1"/>
                <w:color w:val="auto"/>
              </w:rPr>
              <w:t>Charges</w:t>
            </w:r>
          </w:p>
        </w:tc>
        <w:tc>
          <w:tcPr>
            <w:tcW w:w="3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Borders>
              <w:bottom w:val="single" w:sz="8" w:color="61656A"/>
            </w:tcBorders>
            <w:gridSpan w:val="2"/>
          </w:tcPr>
          <w:p>
            <w:pPr>
              <w:ind w:left="38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8,953</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4,329</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1,331</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1,306</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(190)</w:t>
            </w:r>
          </w:p>
        </w:tc>
        <w:tc>
          <w:tcPr>
            <w:tcW w:w="840" w:type="dxa"/>
            <w:vAlign w:val="bottom"/>
            <w:tcBorders>
              <w:bottom w:val="single" w:sz="8" w:color="61656A"/>
            </w:tcBorders>
          </w:tcPr>
          <w:p>
            <w:pPr>
              <w:jc w:val="right"/>
              <w:ind w:right="5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1"/>
        </w:trPr>
        <w:tc>
          <w:tcPr>
            <w:tcW w:w="418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8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2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2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40" w:type="dxa"/>
            <w:vAlign w:val="bottom"/>
            <w:tcBorders>
              <w:bottom w:val="single" w:sz="8" w:color="61656A"/>
            </w:tcBorders>
          </w:tcPr>
          <w:p>
            <w:pPr>
              <w:spacing w:after="0"/>
              <w:rPr>
                <w:sz w:val="15"/>
                <w:szCs w:val="15"/>
                <w:color w:val="auto"/>
              </w:rPr>
            </w:pPr>
          </w:p>
        </w:tc>
        <w:tc>
          <w:tcPr>
            <w:tcW w:w="30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102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18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18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61656A"/>
            </w:tcBorders>
          </w:tcPr>
          <w:p>
            <w:pPr>
              <w:spacing w:after="0"/>
              <w:rPr>
                <w:sz w:val="15"/>
                <w:szCs w:val="15"/>
                <w:color w:val="auto"/>
              </w:rPr>
            </w:pPr>
          </w:p>
        </w:tc>
        <w:tc>
          <w:tcPr>
            <w:tcW w:w="9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11</w:t>
            </w:r>
          </w:p>
        </w:tc>
        <w:tc>
          <w:tcPr>
            <w:tcW w:w="320" w:type="dxa"/>
            <w:vAlign w:val="bottom"/>
            <w:tcBorders>
              <w:bottom w:val="single" w:sz="8" w:color="61656A"/>
            </w:tcBorders>
          </w:tcPr>
          <w:p>
            <w:pPr>
              <w:spacing w:after="0"/>
              <w:rPr>
                <w:sz w:val="15"/>
                <w:szCs w:val="15"/>
                <w:color w:val="auto"/>
              </w:rPr>
            </w:pPr>
          </w:p>
        </w:tc>
        <w:tc>
          <w:tcPr>
            <w:tcW w:w="9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5"/>
                <w:szCs w:val="15"/>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18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8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2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2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40" w:type="dxa"/>
            <w:vAlign w:val="bottom"/>
            <w:tcBorders>
              <w:bottom w:val="single" w:sz="8" w:color="61656A"/>
            </w:tcBorders>
          </w:tcPr>
          <w:p>
            <w:pPr>
              <w:spacing w:after="0"/>
              <w:rPr>
                <w:sz w:val="15"/>
                <w:szCs w:val="15"/>
                <w:color w:val="auto"/>
              </w:rPr>
            </w:pPr>
          </w:p>
        </w:tc>
        <w:tc>
          <w:tcPr>
            <w:tcW w:w="30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102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7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8"/>
        </w:trPr>
        <w:tc>
          <w:tcPr>
            <w:tcW w:w="418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Amount excluded from effectiveness testing</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18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recognized in earnings using an amortization</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418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approach</w:t>
            </w:r>
          </w:p>
        </w:tc>
        <w:tc>
          <w:tcPr>
            <w:tcW w:w="72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18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Gain or (loss) on derivatives not designated as</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8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281</w:t>
            </w:r>
          </w:p>
        </w:tc>
        <w:tc>
          <w:tcPr>
            <w:tcW w:w="8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20" w:type="dxa"/>
            <w:vAlign w:val="bottom"/>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680" w:type="dxa"/>
            <w:vAlign w:val="bottom"/>
            <w:tcBorders>
              <w:bottom w:val="single" w:sz="8" w:color="D7282F"/>
            </w:tcBorders>
            <w:gridSpan w:val="4"/>
          </w:tcPr>
          <w:p>
            <w:pPr>
              <w:jc w:val="right"/>
              <w:ind w:right="208"/>
              <w:spacing w:after="0"/>
              <w:rPr>
                <w:sz w:val="20"/>
                <w:szCs w:val="20"/>
                <w:color w:val="auto"/>
              </w:rPr>
            </w:pPr>
            <w:r>
              <w:rPr>
                <w:rFonts w:ascii="Arial" w:cs="Arial" w:eastAsia="Arial" w:hAnsi="Arial"/>
                <w:sz w:val="14"/>
                <w:szCs w:val="14"/>
                <w:b w:val="1"/>
                <w:bCs w:val="1"/>
                <w:color w:val="auto"/>
              </w:rPr>
              <w:t>Six Months Ended June 30, 2023</w:t>
            </w:r>
          </w:p>
        </w:tc>
        <w:tc>
          <w:tcPr>
            <w:tcW w:w="24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368"/>
              <w:spacing w:after="0" w:line="143"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1020" w:type="dxa"/>
            <w:vAlign w:val="bottom"/>
            <w:vMerge w:val="restart"/>
          </w:tcPr>
          <w:p>
            <w:pPr>
              <w:jc w:val="center"/>
              <w:ind w:right="368"/>
              <w:spacing w:after="0"/>
              <w:rPr>
                <w:sz w:val="20"/>
                <w:szCs w:val="20"/>
                <w:color w:val="auto"/>
              </w:rPr>
            </w:pPr>
            <w:r>
              <w:rPr>
                <w:rFonts w:ascii="Arial" w:cs="Arial" w:eastAsia="Arial" w:hAnsi="Arial"/>
                <w:sz w:val="14"/>
                <w:szCs w:val="14"/>
                <w:b w:val="1"/>
                <w:bCs w:val="1"/>
                <w:color w:val="auto"/>
              </w:rPr>
              <w:t>Other</w:t>
            </w:r>
          </w:p>
        </w:tc>
        <w:tc>
          <w:tcPr>
            <w:tcW w:w="1160" w:type="dxa"/>
            <w:vAlign w:val="bottom"/>
            <w:gridSpan w:val="2"/>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restart"/>
          </w:tcPr>
          <w:p>
            <w:pPr>
              <w:jc w:val="center"/>
              <w:ind w:right="308"/>
              <w:spacing w:after="0"/>
              <w:rPr>
                <w:sz w:val="20"/>
                <w:szCs w:val="20"/>
                <w:color w:val="auto"/>
              </w:rPr>
            </w:pPr>
            <w:r>
              <w:rPr>
                <w:rFonts w:ascii="Arial" w:cs="Arial" w:eastAsia="Arial" w:hAnsi="Arial"/>
                <w:sz w:val="14"/>
                <w:szCs w:val="14"/>
                <w:b w:val="1"/>
                <w:bCs w:val="1"/>
                <w:color w:val="auto"/>
              </w:rPr>
              <w:t>Cost of</w:t>
            </w:r>
          </w:p>
        </w:tc>
        <w:tc>
          <w:tcPr>
            <w:tcW w:w="320" w:type="dxa"/>
            <w:vAlign w:val="bottom"/>
          </w:tcPr>
          <w:p>
            <w:pPr>
              <w:spacing w:after="0"/>
              <w:rPr>
                <w:sz w:val="11"/>
                <w:szCs w:val="11"/>
                <w:color w:val="auto"/>
              </w:rPr>
            </w:pPr>
          </w:p>
        </w:tc>
        <w:tc>
          <w:tcPr>
            <w:tcW w:w="960" w:type="dxa"/>
            <w:vAlign w:val="bottom"/>
            <w:vMerge w:val="restart"/>
          </w:tcPr>
          <w:p>
            <w:pPr>
              <w:jc w:val="center"/>
              <w:ind w:right="348"/>
              <w:spacing w:after="0"/>
              <w:rPr>
                <w:sz w:val="20"/>
                <w:szCs w:val="20"/>
                <w:color w:val="auto"/>
              </w:rPr>
            </w:pPr>
            <w:r>
              <w:rPr>
                <w:rFonts w:ascii="Arial" w:cs="Arial" w:eastAsia="Arial" w:hAnsi="Arial"/>
                <w:sz w:val="14"/>
                <w:szCs w:val="14"/>
                <w:b w:val="1"/>
                <w:bCs w:val="1"/>
                <w:color w:val="auto"/>
              </w:rPr>
              <w:t>Cost of</w:t>
            </w:r>
          </w:p>
        </w:tc>
        <w:tc>
          <w:tcPr>
            <w:tcW w:w="1400" w:type="dxa"/>
            <w:vAlign w:val="bottom"/>
            <w:gridSpan w:val="2"/>
          </w:tcPr>
          <w:p>
            <w:pPr>
              <w:jc w:val="center"/>
              <w:ind w:right="88"/>
              <w:spacing w:after="0" w:line="135" w:lineRule="exact"/>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84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8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rPr>
              <w:t>Administrative</w:t>
            </w:r>
          </w:p>
        </w:tc>
        <w:tc>
          <w:tcPr>
            <w:tcW w:w="126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rPr>
              <w:t>(Income)</w:t>
            </w:r>
          </w:p>
        </w:tc>
        <w:tc>
          <w:tcPr>
            <w:tcW w:w="8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Financial</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vMerge w:val="continue"/>
          </w:tcPr>
          <w:p>
            <w:pPr>
              <w:spacing w:after="0"/>
              <w:rPr>
                <w:sz w:val="16"/>
                <w:szCs w:val="16"/>
                <w:color w:val="auto"/>
              </w:rPr>
            </w:pPr>
          </w:p>
        </w:tc>
        <w:tc>
          <w:tcPr>
            <w:tcW w:w="124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80" w:type="dxa"/>
            <w:vAlign w:val="bottom"/>
            <w:tcBorders>
              <w:bottom w:val="single" w:sz="8" w:color="D7282F"/>
            </w:tcBorders>
            <w:gridSpan w:val="2"/>
          </w:tcPr>
          <w:p>
            <w:pPr>
              <w:jc w:val="center"/>
              <w:ind w:right="28"/>
              <w:spacing w:after="0"/>
              <w:rPr>
                <w:sz w:val="20"/>
                <w:szCs w:val="20"/>
                <w:color w:val="auto"/>
              </w:rPr>
            </w:pPr>
            <w:r>
              <w:rPr>
                <w:rFonts w:ascii="Arial" w:cs="Arial" w:eastAsia="Arial" w:hAnsi="Arial"/>
                <w:sz w:val="14"/>
                <w:szCs w:val="14"/>
                <w:b w:val="1"/>
                <w:bCs w:val="1"/>
                <w:color w:val="auto"/>
              </w:rPr>
              <w:t>Services Sold</w:t>
            </w:r>
          </w:p>
        </w:tc>
        <w:tc>
          <w:tcPr>
            <w:tcW w:w="28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center"/>
              <w:ind w:right="368"/>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368"/>
              <w:spacing w:after="0"/>
              <w:rPr>
                <w:sz w:val="20"/>
                <w:szCs w:val="20"/>
                <w:color w:val="auto"/>
              </w:rPr>
            </w:pPr>
            <w:r>
              <w:rPr>
                <w:rFonts w:ascii="Arial" w:cs="Arial" w:eastAsia="Arial" w:hAnsi="Arial"/>
                <w:sz w:val="14"/>
                <w:szCs w:val="14"/>
                <w:b w:val="1"/>
                <w:bCs w:val="1"/>
                <w:color w:val="auto"/>
              </w:rPr>
              <w:t>Expense</w:t>
            </w:r>
          </w:p>
        </w:tc>
        <w:tc>
          <w:tcPr>
            <w:tcW w:w="84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b w:val="1"/>
                <w:bCs w:val="1"/>
                <w:color w:val="auto"/>
              </w:rPr>
              <w:t>Charges</w:t>
            </w:r>
          </w:p>
        </w:tc>
        <w:tc>
          <w:tcPr>
            <w:tcW w:w="3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61656A"/>
            </w:tcBorders>
            <w:gridSpan w:val="2"/>
          </w:tcPr>
          <w:p>
            <w:pPr>
              <w:ind w:left="38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18,010</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8,201</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2,923</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2,579</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(468)</w:t>
            </w:r>
          </w:p>
        </w:tc>
        <w:tc>
          <w:tcPr>
            <w:tcW w:w="84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94"/>
              </w:rPr>
              <w:t>357</w:t>
            </w:r>
          </w:p>
        </w:tc>
        <w:tc>
          <w:tcPr>
            <w:tcW w:w="0" w:type="dxa"/>
            <w:vAlign w:val="bottom"/>
          </w:tcPr>
          <w:p>
            <w:pPr>
              <w:spacing w:after="0"/>
              <w:rPr>
                <w:sz w:val="1"/>
                <w:szCs w:val="1"/>
                <w:color w:val="auto"/>
              </w:rPr>
            </w:pPr>
          </w:p>
        </w:tc>
      </w:tr>
      <w:tr>
        <w:trPr>
          <w:trHeight w:val="201"/>
        </w:trPr>
        <w:tc>
          <w:tcPr>
            <w:tcW w:w="41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6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2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60" w:type="dxa"/>
            <w:vAlign w:val="bottom"/>
            <w:tcBorders>
              <w:bottom w:val="single" w:sz="8" w:color="61656A"/>
            </w:tcBorders>
          </w:tcPr>
          <w:p>
            <w:pPr>
              <w:spacing w:after="0"/>
              <w:rPr>
                <w:sz w:val="15"/>
                <w:szCs w:val="15"/>
                <w:color w:val="auto"/>
              </w:rPr>
            </w:pPr>
          </w:p>
        </w:tc>
        <w:tc>
          <w:tcPr>
            <w:tcW w:w="28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102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14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1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7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61656A"/>
            </w:tcBorders>
          </w:tcPr>
          <w:p>
            <w:pPr>
              <w:spacing w:after="0"/>
              <w:rPr>
                <w:sz w:val="15"/>
                <w:szCs w:val="15"/>
                <w:color w:val="auto"/>
              </w:rPr>
            </w:pPr>
          </w:p>
        </w:tc>
        <w:tc>
          <w:tcPr>
            <w:tcW w:w="9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61656A"/>
            </w:tcBorders>
          </w:tcPr>
          <w:p>
            <w:pPr>
              <w:spacing w:after="0"/>
              <w:rPr>
                <w:sz w:val="15"/>
                <w:szCs w:val="15"/>
                <w:color w:val="auto"/>
              </w:rPr>
            </w:pP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61656A"/>
            </w:tcBorders>
          </w:tcPr>
          <w:p>
            <w:pPr>
              <w:spacing w:after="0"/>
              <w:rPr>
                <w:sz w:val="15"/>
                <w:szCs w:val="15"/>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1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6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2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60" w:type="dxa"/>
            <w:vAlign w:val="bottom"/>
            <w:tcBorders>
              <w:bottom w:val="single" w:sz="8" w:color="61656A"/>
            </w:tcBorders>
          </w:tcPr>
          <w:p>
            <w:pPr>
              <w:spacing w:after="0"/>
              <w:rPr>
                <w:sz w:val="15"/>
                <w:szCs w:val="15"/>
                <w:color w:val="auto"/>
              </w:rPr>
            </w:pPr>
          </w:p>
        </w:tc>
        <w:tc>
          <w:tcPr>
            <w:tcW w:w="28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102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7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41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7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414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Gain or (loss) on derivatives not designated as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1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5"/>
                <w:szCs w:val="15"/>
                <w:color w:val="auto"/>
              </w:rPr>
            </w:pPr>
          </w:p>
        </w:tc>
        <w:tc>
          <w:tcPr>
            <w:tcW w:w="9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5"/>
                <w:szCs w:val="15"/>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5"/>
                <w:szCs w:val="15"/>
                <w:color w:val="auto"/>
              </w:rPr>
            </w:pPr>
          </w:p>
        </w:tc>
        <w:tc>
          <w:tcPr>
            <w:tcW w:w="11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5"/>
                <w:szCs w:val="15"/>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(149)</w:t>
            </w:r>
          </w:p>
        </w:tc>
        <w:tc>
          <w:tcPr>
            <w:tcW w:w="840" w:type="dxa"/>
            <w:vAlign w:val="bottom"/>
            <w:tcBorders>
              <w:bottom w:val="single" w:sz="8" w:color="D7282F"/>
            </w:tcBorders>
          </w:tcPr>
          <w:p>
            <w:pPr>
              <w:spacing w:after="0"/>
              <w:rPr>
                <w:sz w:val="15"/>
                <w:szCs w:val="15"/>
                <w:color w:val="auto"/>
              </w:rPr>
            </w:pP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2"/>
        </w:trPr>
        <w:tc>
          <w:tcPr>
            <w:tcW w:w="3620" w:type="dxa"/>
            <w:vAlign w:val="bottom"/>
          </w:tcPr>
          <w:p>
            <w:pPr>
              <w:spacing w:after="0"/>
              <w:rPr>
                <w:sz w:val="24"/>
                <w:szCs w:val="24"/>
                <w:color w:val="auto"/>
              </w:rPr>
            </w:pPr>
          </w:p>
        </w:tc>
        <w:tc>
          <w:tcPr>
            <w:tcW w:w="520" w:type="dxa"/>
            <w:vAlign w:val="bottom"/>
            <w:tcBorders>
              <w:bottom w:val="single" w:sz="8" w:color="D7282F"/>
            </w:tcBorders>
          </w:tcPr>
          <w:p>
            <w:pPr>
              <w:spacing w:after="0"/>
              <w:rPr>
                <w:sz w:val="24"/>
                <w:szCs w:val="24"/>
                <w:color w:val="auto"/>
              </w:rPr>
            </w:pPr>
          </w:p>
        </w:tc>
        <w:tc>
          <w:tcPr>
            <w:tcW w:w="76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2680" w:type="dxa"/>
            <w:vAlign w:val="bottom"/>
            <w:tcBorders>
              <w:bottom w:val="single" w:sz="8" w:color="D7282F"/>
            </w:tcBorders>
            <w:gridSpan w:val="4"/>
          </w:tcPr>
          <w:p>
            <w:pPr>
              <w:jc w:val="right"/>
              <w:ind w:right="208"/>
              <w:spacing w:after="0"/>
              <w:rPr>
                <w:sz w:val="20"/>
                <w:szCs w:val="20"/>
                <w:color w:val="auto"/>
              </w:rPr>
            </w:pPr>
            <w:r>
              <w:rPr>
                <w:rFonts w:ascii="Arial" w:cs="Arial" w:eastAsia="Arial" w:hAnsi="Arial"/>
                <w:sz w:val="14"/>
                <w:szCs w:val="14"/>
                <w:b w:val="1"/>
                <w:bCs w:val="1"/>
                <w:color w:val="auto"/>
              </w:rPr>
              <w:t>Six Months Ended June 30, 2022</w:t>
            </w:r>
          </w:p>
        </w:tc>
        <w:tc>
          <w:tcPr>
            <w:tcW w:w="24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tcPr>
          <w:p>
            <w:pPr>
              <w:spacing w:after="0"/>
              <w:rPr>
                <w:sz w:val="24"/>
                <w:szCs w:val="24"/>
                <w:color w:val="auto"/>
              </w:rPr>
            </w:pPr>
          </w:p>
        </w:tc>
        <w:tc>
          <w:tcPr>
            <w:tcW w:w="84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368"/>
              <w:spacing w:after="0" w:line="143"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1020" w:type="dxa"/>
            <w:vAlign w:val="bottom"/>
            <w:vMerge w:val="restart"/>
          </w:tcPr>
          <w:p>
            <w:pPr>
              <w:jc w:val="center"/>
              <w:ind w:right="368"/>
              <w:spacing w:after="0"/>
              <w:rPr>
                <w:sz w:val="20"/>
                <w:szCs w:val="20"/>
                <w:color w:val="auto"/>
              </w:rPr>
            </w:pPr>
            <w:r>
              <w:rPr>
                <w:rFonts w:ascii="Arial" w:cs="Arial" w:eastAsia="Arial" w:hAnsi="Arial"/>
                <w:sz w:val="14"/>
                <w:szCs w:val="14"/>
                <w:b w:val="1"/>
                <w:bCs w:val="1"/>
                <w:color w:val="auto"/>
              </w:rPr>
              <w:t>Other</w:t>
            </w:r>
          </w:p>
        </w:tc>
        <w:tc>
          <w:tcPr>
            <w:tcW w:w="1160" w:type="dxa"/>
            <w:vAlign w:val="bottom"/>
            <w:gridSpan w:val="2"/>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center"/>
              <w:ind w:right="308"/>
              <w:spacing w:after="0"/>
              <w:rPr>
                <w:sz w:val="20"/>
                <w:szCs w:val="20"/>
                <w:color w:val="auto"/>
              </w:rPr>
            </w:pPr>
            <w:r>
              <w:rPr>
                <w:rFonts w:ascii="Arial" w:cs="Arial" w:eastAsia="Arial" w:hAnsi="Arial"/>
                <w:sz w:val="14"/>
                <w:szCs w:val="14"/>
                <w:b w:val="1"/>
                <w:bCs w:val="1"/>
                <w:color w:val="auto"/>
              </w:rPr>
              <w:t>Cost of</w:t>
            </w:r>
          </w:p>
        </w:tc>
        <w:tc>
          <w:tcPr>
            <w:tcW w:w="320" w:type="dxa"/>
            <w:vAlign w:val="bottom"/>
          </w:tcPr>
          <w:p>
            <w:pPr>
              <w:spacing w:after="0"/>
              <w:rPr>
                <w:sz w:val="12"/>
                <w:szCs w:val="12"/>
                <w:color w:val="auto"/>
              </w:rPr>
            </w:pPr>
          </w:p>
        </w:tc>
        <w:tc>
          <w:tcPr>
            <w:tcW w:w="960" w:type="dxa"/>
            <w:vAlign w:val="bottom"/>
            <w:vMerge w:val="restart"/>
          </w:tcPr>
          <w:p>
            <w:pPr>
              <w:jc w:val="center"/>
              <w:ind w:right="348"/>
              <w:spacing w:after="0"/>
              <w:rPr>
                <w:sz w:val="20"/>
                <w:szCs w:val="20"/>
                <w:color w:val="auto"/>
              </w:rPr>
            </w:pPr>
            <w:r>
              <w:rPr>
                <w:rFonts w:ascii="Arial" w:cs="Arial" w:eastAsia="Arial" w:hAnsi="Arial"/>
                <w:sz w:val="14"/>
                <w:szCs w:val="14"/>
                <w:b w:val="1"/>
                <w:bCs w:val="1"/>
                <w:color w:val="auto"/>
              </w:rPr>
              <w:t>Cost of</w:t>
            </w:r>
          </w:p>
        </w:tc>
        <w:tc>
          <w:tcPr>
            <w:tcW w:w="140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8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0" w:type="dxa"/>
            <w:vAlign w:val="bottom"/>
            <w:gridSpan w:val="2"/>
          </w:tcPr>
          <w:p>
            <w:pPr>
              <w:jc w:val="center"/>
              <w:ind w:right="88"/>
              <w:spacing w:after="0" w:line="148" w:lineRule="exact"/>
              <w:rPr>
                <w:sz w:val="20"/>
                <w:szCs w:val="20"/>
                <w:color w:val="auto"/>
              </w:rPr>
            </w:pPr>
            <w:r>
              <w:rPr>
                <w:rFonts w:ascii="Arial" w:cs="Arial" w:eastAsia="Arial" w:hAnsi="Arial"/>
                <w:sz w:val="14"/>
                <w:szCs w:val="14"/>
                <w:b w:val="1"/>
                <w:bCs w:val="1"/>
                <w:color w:val="auto"/>
              </w:rPr>
              <w:t>Administrative</w:t>
            </w:r>
          </w:p>
        </w:tc>
        <w:tc>
          <w:tcPr>
            <w:tcW w:w="1260" w:type="dxa"/>
            <w:vAlign w:val="bottom"/>
            <w:gridSpan w:val="2"/>
          </w:tcPr>
          <w:p>
            <w:pPr>
              <w:jc w:val="center"/>
              <w:ind w:right="108"/>
              <w:spacing w:after="0" w:line="148" w:lineRule="exact"/>
              <w:rPr>
                <w:sz w:val="20"/>
                <w:szCs w:val="20"/>
                <w:color w:val="auto"/>
              </w:rPr>
            </w:pPr>
            <w:r>
              <w:rPr>
                <w:rFonts w:ascii="Arial" w:cs="Arial" w:eastAsia="Arial" w:hAnsi="Arial"/>
                <w:sz w:val="14"/>
                <w:szCs w:val="14"/>
                <w:b w:val="1"/>
                <w:bCs w:val="1"/>
                <w:color w:val="auto"/>
              </w:rPr>
              <w:t>(Income)</w:t>
            </w:r>
          </w:p>
        </w:tc>
        <w:tc>
          <w:tcPr>
            <w:tcW w:w="840" w:type="dxa"/>
            <w:vAlign w:val="bottom"/>
          </w:tcPr>
          <w:p>
            <w:pPr>
              <w:jc w:val="center"/>
              <w:ind w:left="148"/>
              <w:spacing w:after="0" w:line="148" w:lineRule="exact"/>
              <w:rPr>
                <w:sz w:val="20"/>
                <w:szCs w:val="20"/>
                <w:color w:val="auto"/>
              </w:rPr>
            </w:pPr>
            <w:r>
              <w:rPr>
                <w:rFonts w:ascii="Arial" w:cs="Arial" w:eastAsia="Arial" w:hAnsi="Arial"/>
                <w:sz w:val="14"/>
                <w:szCs w:val="14"/>
                <w:b w:val="1"/>
                <w:bCs w:val="1"/>
                <w:color w:val="auto"/>
              </w:rPr>
              <w:t>Financial</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vMerge w:val="continue"/>
          </w:tcPr>
          <w:p>
            <w:pPr>
              <w:spacing w:after="0"/>
              <w:rPr>
                <w:sz w:val="16"/>
                <w:szCs w:val="16"/>
                <w:color w:val="auto"/>
              </w:rPr>
            </w:pPr>
          </w:p>
        </w:tc>
        <w:tc>
          <w:tcPr>
            <w:tcW w:w="124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80" w:type="dxa"/>
            <w:vAlign w:val="bottom"/>
            <w:tcBorders>
              <w:bottom w:val="single" w:sz="8" w:color="D7282F"/>
            </w:tcBorders>
            <w:gridSpan w:val="2"/>
          </w:tcPr>
          <w:p>
            <w:pPr>
              <w:jc w:val="center"/>
              <w:ind w:right="28"/>
              <w:spacing w:after="0"/>
              <w:rPr>
                <w:sz w:val="20"/>
                <w:szCs w:val="20"/>
                <w:color w:val="auto"/>
              </w:rPr>
            </w:pPr>
            <w:r>
              <w:rPr>
                <w:rFonts w:ascii="Arial" w:cs="Arial" w:eastAsia="Arial" w:hAnsi="Arial"/>
                <w:sz w:val="14"/>
                <w:szCs w:val="14"/>
                <w:b w:val="1"/>
                <w:bCs w:val="1"/>
                <w:color w:val="auto"/>
              </w:rPr>
              <w:t>Services Sold</w:t>
            </w:r>
          </w:p>
        </w:tc>
        <w:tc>
          <w:tcPr>
            <w:tcW w:w="28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center"/>
              <w:ind w:right="368"/>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368"/>
              <w:spacing w:after="0"/>
              <w:rPr>
                <w:sz w:val="20"/>
                <w:szCs w:val="20"/>
                <w:color w:val="auto"/>
              </w:rPr>
            </w:pPr>
            <w:r>
              <w:rPr>
                <w:rFonts w:ascii="Arial" w:cs="Arial" w:eastAsia="Arial" w:hAnsi="Arial"/>
                <w:sz w:val="14"/>
                <w:szCs w:val="14"/>
                <w:b w:val="1"/>
                <w:bCs w:val="1"/>
                <w:color w:val="auto"/>
              </w:rPr>
              <w:t>Expense</w:t>
            </w:r>
          </w:p>
        </w:tc>
        <w:tc>
          <w:tcPr>
            <w:tcW w:w="84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b w:val="1"/>
                <w:bCs w:val="1"/>
                <w:color w:val="auto"/>
              </w:rPr>
              <w:t>Charges</w:t>
            </w:r>
          </w:p>
        </w:tc>
        <w:tc>
          <w:tcPr>
            <w:tcW w:w="3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61656A"/>
            </w:tcBorders>
            <w:gridSpan w:val="2"/>
          </w:tcPr>
          <w:p>
            <w:pPr>
              <w:ind w:left="38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17,329</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8,388</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2,596</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2,737</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(509)</w:t>
            </w:r>
          </w:p>
        </w:tc>
        <w:tc>
          <w:tcPr>
            <w:tcW w:w="84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94"/>
              </w:rPr>
              <w:t>172</w:t>
            </w:r>
          </w:p>
        </w:tc>
        <w:tc>
          <w:tcPr>
            <w:tcW w:w="0" w:type="dxa"/>
            <w:vAlign w:val="bottom"/>
          </w:tcPr>
          <w:p>
            <w:pPr>
              <w:spacing w:after="0"/>
              <w:rPr>
                <w:sz w:val="1"/>
                <w:szCs w:val="1"/>
                <w:color w:val="auto"/>
              </w:rPr>
            </w:pPr>
          </w:p>
        </w:tc>
      </w:tr>
      <w:tr>
        <w:trPr>
          <w:trHeight w:val="189"/>
        </w:trPr>
        <w:tc>
          <w:tcPr>
            <w:tcW w:w="41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14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Amount reclassified from accumulated other</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1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7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61656A"/>
            </w:tcBorders>
          </w:tcPr>
          <w:p>
            <w:pPr>
              <w:spacing w:after="0"/>
              <w:rPr>
                <w:sz w:val="15"/>
                <w:szCs w:val="15"/>
                <w:color w:val="auto"/>
              </w:rPr>
            </w:pPr>
          </w:p>
        </w:tc>
        <w:tc>
          <w:tcPr>
            <w:tcW w:w="9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12</w:t>
            </w:r>
          </w:p>
        </w:tc>
        <w:tc>
          <w:tcPr>
            <w:tcW w:w="320" w:type="dxa"/>
            <w:vAlign w:val="bottom"/>
            <w:tcBorders>
              <w:bottom w:val="single" w:sz="8" w:color="61656A"/>
            </w:tcBorders>
          </w:tcPr>
          <w:p>
            <w:pPr>
              <w:spacing w:after="0"/>
              <w:rPr>
                <w:sz w:val="15"/>
                <w:szCs w:val="15"/>
                <w:color w:val="auto"/>
              </w:rPr>
            </w:pP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5"/>
                <w:szCs w:val="15"/>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1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6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2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60" w:type="dxa"/>
            <w:vAlign w:val="bottom"/>
            <w:tcBorders>
              <w:bottom w:val="single" w:sz="8" w:color="61656A"/>
            </w:tcBorders>
          </w:tcPr>
          <w:p>
            <w:pPr>
              <w:spacing w:after="0"/>
              <w:rPr>
                <w:sz w:val="15"/>
                <w:szCs w:val="15"/>
                <w:color w:val="auto"/>
              </w:rPr>
            </w:pPr>
          </w:p>
        </w:tc>
        <w:tc>
          <w:tcPr>
            <w:tcW w:w="280" w:type="dxa"/>
            <w:vAlign w:val="bottom"/>
            <w:tcBorders>
              <w:bottom w:val="single" w:sz="8" w:color="61656A"/>
            </w:tcBorders>
          </w:tcPr>
          <w:p>
            <w:pPr>
              <w:spacing w:after="0"/>
              <w:rPr>
                <w:sz w:val="15"/>
                <w:szCs w:val="15"/>
                <w:color w:val="auto"/>
              </w:rPr>
            </w:pPr>
          </w:p>
        </w:tc>
        <w:tc>
          <w:tcPr>
            <w:tcW w:w="112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102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7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94"/>
              </w:rPr>
              <w:t>168</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7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9"/>
        </w:trPr>
        <w:tc>
          <w:tcPr>
            <w:tcW w:w="41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ind w:left="240"/>
              <w:spacing w:after="0" w:line="148" w:lineRule="exact"/>
              <w:rPr>
                <w:sz w:val="20"/>
                <w:szCs w:val="20"/>
                <w:color w:val="auto"/>
              </w:rPr>
            </w:pPr>
            <w:r>
              <w:rPr>
                <w:rFonts w:ascii="Arial" w:cs="Arial" w:eastAsia="Arial" w:hAnsi="Arial"/>
                <w:sz w:val="14"/>
                <w:szCs w:val="14"/>
                <w:color w:val="auto"/>
              </w:rPr>
              <w:t>Amount excluded from effectiveness testing</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14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recognized in earnings using an amortization</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approach</w:t>
            </w:r>
          </w:p>
        </w:tc>
        <w:tc>
          <w:tcPr>
            <w:tcW w:w="7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Gain or (loss) on derivatives not designated as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347</w:t>
            </w:r>
          </w:p>
        </w:tc>
        <w:tc>
          <w:tcPr>
            <w:tcW w:w="8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income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 June</w:t>
            </w:r>
          </w:p>
        </w:tc>
        <w:tc>
          <w:tcPr>
            <w:tcW w:w="240" w:type="dxa"/>
            <w:vAlign w:val="bottom"/>
          </w:tcPr>
          <w:p>
            <w:pPr>
              <w:spacing w:after="0"/>
              <w:rPr>
                <w:sz w:val="14"/>
                <w:szCs w:val="14"/>
                <w:color w:val="auto"/>
              </w:rPr>
            </w:pP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000" w:type="dxa"/>
            <w:vAlign w:val="bottom"/>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00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20"/>
                <w:szCs w:val="20"/>
                <w:color w:val="auto"/>
              </w:rPr>
            </w:pPr>
          </w:p>
        </w:tc>
        <w:tc>
          <w:tcPr>
            <w:tcW w:w="340" w:type="dxa"/>
            <w:vAlign w:val="bottom"/>
            <w:tcBorders>
              <w:bottom w:val="single" w:sz="8" w:color="D7282F"/>
            </w:tcBorders>
          </w:tcPr>
          <w:p>
            <w:pPr>
              <w:spacing w:after="0"/>
              <w:rPr>
                <w:sz w:val="20"/>
                <w:szCs w:val="20"/>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1"/>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680" w:type="dxa"/>
            <w:vAlign w:val="bottom"/>
            <w:tcBorders>
              <w:bottom w:val="single" w:sz="8" w:color="61656A"/>
            </w:tcBorders>
          </w:tcPr>
          <w:p>
            <w:pPr>
              <w:jc w:val="right"/>
              <w:ind w:right="2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61656A"/>
            </w:tcBorders>
          </w:tcPr>
          <w:p>
            <w:pPr>
              <w:jc w:val="center"/>
              <w:ind w:right="88"/>
              <w:spacing w:after="0"/>
              <w:rPr>
                <w:sz w:val="20"/>
                <w:szCs w:val="20"/>
                <w:color w:val="auto"/>
              </w:rPr>
            </w:pPr>
            <w:r>
              <w:rPr>
                <w:rFonts w:ascii="Arial" w:cs="Arial" w:eastAsia="Arial" w:hAnsi="Arial"/>
                <w:sz w:val="14"/>
                <w:szCs w:val="14"/>
                <w:color w:val="auto"/>
              </w:rPr>
              <w:t>(37)</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184</w:t>
            </w:r>
          </w:p>
        </w:tc>
        <w:tc>
          <w:tcPr>
            <w:tcW w:w="5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center"/>
              <w:ind w:left="168"/>
              <w:spacing w:after="0"/>
              <w:rPr>
                <w:sz w:val="20"/>
                <w:szCs w:val="20"/>
                <w:color w:val="auto"/>
              </w:rPr>
            </w:pPr>
            <w:r>
              <w:rPr>
                <w:rFonts w:ascii="Arial" w:cs="Arial" w:eastAsia="Arial" w:hAnsi="Arial"/>
                <w:sz w:val="14"/>
                <w:szCs w:val="14"/>
                <w:color w:val="auto"/>
              </w:rPr>
              <w:t>(86)</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68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center"/>
              <w:ind w:right="88"/>
              <w:spacing w:after="0"/>
              <w:rPr>
                <w:sz w:val="20"/>
                <w:szCs w:val="20"/>
                <w:color w:val="auto"/>
              </w:rPr>
            </w:pPr>
            <w:r>
              <w:rPr>
                <w:rFonts w:ascii="Arial" w:cs="Arial" w:eastAsia="Arial" w:hAnsi="Arial"/>
                <w:sz w:val="14"/>
                <w:szCs w:val="14"/>
                <w:color w:val="auto"/>
              </w:rPr>
              <w:t>(15)</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center"/>
              <w:ind w:left="168"/>
              <w:spacing w:after="0"/>
              <w:rPr>
                <w:sz w:val="20"/>
                <w:szCs w:val="20"/>
                <w:color w:val="auto"/>
              </w:rPr>
            </w:pPr>
            <w:r>
              <w:rPr>
                <w:rFonts w:ascii="Arial" w:cs="Arial" w:eastAsia="Arial" w:hAnsi="Arial"/>
                <w:sz w:val="14"/>
                <w:szCs w:val="14"/>
                <w:color w:val="auto"/>
              </w:rPr>
              <w:t>(43)</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Cross currency swap agreements</w:t>
            </w:r>
          </w:p>
        </w:tc>
        <w:tc>
          <w:tcPr>
            <w:tcW w:w="68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center"/>
              <w:ind w:right="88"/>
              <w:spacing w:after="0"/>
              <w:rPr>
                <w:sz w:val="20"/>
                <w:szCs w:val="20"/>
                <w:color w:val="auto"/>
              </w:rPr>
            </w:pPr>
            <w:r>
              <w:rPr>
                <w:rFonts w:ascii="Arial" w:cs="Arial" w:eastAsia="Arial" w:hAnsi="Arial"/>
                <w:sz w:val="14"/>
                <w:szCs w:val="14"/>
                <w:color w:val="auto"/>
              </w:rPr>
              <w:t>(18)</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center"/>
              <w:ind w:left="168"/>
              <w:spacing w:after="0"/>
              <w:rPr>
                <w:sz w:val="20"/>
                <w:szCs w:val="20"/>
                <w:color w:val="auto"/>
              </w:rPr>
            </w:pPr>
            <w:r>
              <w:rPr>
                <w:rFonts w:ascii="Arial" w:cs="Arial" w:eastAsia="Arial" w:hAnsi="Arial"/>
                <w:sz w:val="14"/>
                <w:szCs w:val="14"/>
                <w:color w:val="auto"/>
              </w:rPr>
              <w:t>(75)</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exchange contracts</w:t>
            </w:r>
          </w:p>
        </w:tc>
        <w:tc>
          <w:tcPr>
            <w:tcW w:w="68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center"/>
              <w:ind w:lef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20</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D7282F"/>
        </w:rPr>
        <w:t>NOTE 11. FAIR VALUE MEASUREMENTS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Financial and nonfinancial assets and liabilities are classified in their entirety based on the lowest level of input that is significant to the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60" w:type="dxa"/>
            <w:vAlign w:val="bottom"/>
          </w:tcPr>
          <w:p>
            <w:pPr>
              <w:spacing w:after="0"/>
              <w:rPr>
                <w:sz w:val="17"/>
                <w:szCs w:val="17"/>
                <w:color w:val="auto"/>
              </w:rPr>
            </w:pPr>
          </w:p>
        </w:tc>
        <w:tc>
          <w:tcPr>
            <w:tcW w:w="50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gridSpan w:val="2"/>
          </w:tcPr>
          <w:p>
            <w:pPr>
              <w:ind w:left="80"/>
              <w:spacing w:after="0"/>
              <w:rPr>
                <w:sz w:val="20"/>
                <w:szCs w:val="20"/>
                <w:color w:val="auto"/>
              </w:rPr>
            </w:pPr>
            <w:r>
              <w:rPr>
                <w:rFonts w:ascii="Arial" w:cs="Arial" w:eastAsia="Arial" w:hAnsi="Arial"/>
                <w:sz w:val="14"/>
                <w:szCs w:val="14"/>
                <w:b w:val="1"/>
                <w:bCs w:val="1"/>
                <w:color w:val="auto"/>
              </w:rPr>
              <w:t>June 30, 2023</w:t>
            </w:r>
          </w:p>
        </w:tc>
        <w:tc>
          <w:tcPr>
            <w:tcW w:w="3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6"/>
        </w:trPr>
        <w:tc>
          <w:tcPr>
            <w:tcW w:w="31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98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6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98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8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183"/>
        </w:trPr>
        <w:tc>
          <w:tcPr>
            <w:tcW w:w="31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61656A"/>
            </w:tcBorders>
          </w:tcPr>
          <w:p>
            <w:pPr>
              <w:spacing w:after="0"/>
              <w:rPr>
                <w:sz w:val="15"/>
                <w:szCs w:val="15"/>
                <w:color w:val="auto"/>
              </w:rPr>
            </w:pPr>
          </w:p>
        </w:tc>
        <w:tc>
          <w:tcPr>
            <w:tcW w:w="560" w:type="dxa"/>
            <w:vAlign w:val="bottom"/>
            <w:tcBorders>
              <w:bottom w:val="single" w:sz="8" w:color="61656A"/>
            </w:tcBorders>
          </w:tcPr>
          <w:p>
            <w:pPr>
              <w:spacing w:after="0"/>
              <w:rPr>
                <w:sz w:val="15"/>
                <w:szCs w:val="15"/>
                <w:color w:val="auto"/>
              </w:rPr>
            </w:pPr>
          </w:p>
        </w:tc>
        <w:tc>
          <w:tcPr>
            <w:tcW w:w="340" w:type="dxa"/>
            <w:vAlign w:val="bottom"/>
            <w:tcBorders>
              <w:bottom w:val="single" w:sz="8" w:color="61656A"/>
            </w:tcBorders>
          </w:tcPr>
          <w:p>
            <w:pPr>
              <w:spacing w:after="0"/>
              <w:rPr>
                <w:sz w:val="15"/>
                <w:szCs w:val="15"/>
                <w:color w:val="auto"/>
              </w:rPr>
            </w:pPr>
          </w:p>
        </w:tc>
        <w:tc>
          <w:tcPr>
            <w:tcW w:w="64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580" w:type="dxa"/>
            <w:vAlign w:val="bottom"/>
            <w:tcBorders>
              <w:bottom w:val="single" w:sz="8" w:color="61656A"/>
            </w:tcBorders>
          </w:tcPr>
          <w:p>
            <w:pPr>
              <w:spacing w:after="0"/>
              <w:rPr>
                <w:sz w:val="15"/>
                <w:szCs w:val="15"/>
                <w:color w:val="auto"/>
              </w:rPr>
            </w:pPr>
          </w:p>
        </w:tc>
        <w:tc>
          <w:tcPr>
            <w:tcW w:w="30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500" w:type="dxa"/>
            <w:vAlign w:val="bottom"/>
            <w:tcBorders>
              <w:bottom w:val="single" w:sz="8" w:color="61656A"/>
            </w:tcBorders>
          </w:tcPr>
          <w:p>
            <w:pPr>
              <w:spacing w:after="0"/>
              <w:rPr>
                <w:sz w:val="15"/>
                <w:szCs w:val="15"/>
                <w:color w:val="auto"/>
              </w:rPr>
            </w:pPr>
          </w:p>
        </w:tc>
        <w:tc>
          <w:tcPr>
            <w:tcW w:w="58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740" w:type="dxa"/>
            <w:vAlign w:val="bottom"/>
            <w:tcBorders>
              <w:bottom w:val="single" w:sz="8" w:color="61656A"/>
            </w:tcBorders>
          </w:tcPr>
          <w:p>
            <w:pPr>
              <w:spacing w:after="0"/>
              <w:rPr>
                <w:sz w:val="15"/>
                <w:szCs w:val="15"/>
                <w:color w:val="auto"/>
              </w:rPr>
            </w:pPr>
          </w:p>
        </w:tc>
        <w:tc>
          <w:tcPr>
            <w:tcW w:w="560" w:type="dxa"/>
            <w:vAlign w:val="bottom"/>
            <w:tcBorders>
              <w:bottom w:val="single" w:sz="8" w:color="61656A"/>
            </w:tcBorders>
          </w:tcPr>
          <w:p>
            <w:pPr>
              <w:spacing w:after="0"/>
              <w:rPr>
                <w:sz w:val="15"/>
                <w:szCs w:val="15"/>
                <w:color w:val="auto"/>
              </w:rPr>
            </w:pPr>
          </w:p>
        </w:tc>
        <w:tc>
          <w:tcPr>
            <w:tcW w:w="42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spacing w:after="0"/>
              <w:rPr>
                <w:sz w:val="15"/>
                <w:szCs w:val="15"/>
                <w:color w:val="auto"/>
              </w:rPr>
            </w:pPr>
          </w:p>
        </w:tc>
      </w:tr>
      <w:tr>
        <w:trPr>
          <w:trHeight w:val="190"/>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5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44</w:t>
            </w:r>
          </w:p>
        </w:tc>
        <w:tc>
          <w:tcPr>
            <w:tcW w:w="66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61656A"/>
            </w:tcBorders>
          </w:tcPr>
          <w:p>
            <w:pPr>
              <w:jc w:val="right"/>
              <w:ind w:right="2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w:t>
            </w:r>
          </w:p>
        </w:tc>
        <w:tc>
          <w:tcPr>
            <w:tcW w:w="740" w:type="dxa"/>
            <w:vAlign w:val="bottom"/>
            <w:tcBorders>
              <w:bottom w:val="single" w:sz="8" w:color="61656A"/>
            </w:tcBorders>
            <w:gridSpan w:val="2"/>
          </w:tcPr>
          <w:p>
            <w:pPr>
              <w:ind w:left="50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93</w:t>
            </w:r>
          </w:p>
        </w:tc>
        <w:tc>
          <w:tcPr>
            <w:tcW w:w="56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93</w:t>
            </w:r>
          </w:p>
        </w:tc>
      </w:tr>
      <w:tr>
        <w:trPr>
          <w:trHeight w:val="196"/>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Available for sale investments</w:t>
            </w:r>
          </w:p>
        </w:tc>
        <w:tc>
          <w:tcPr>
            <w:tcW w:w="50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61</w:t>
            </w:r>
          </w:p>
        </w:tc>
        <w:tc>
          <w:tcPr>
            <w:tcW w:w="34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197</w:t>
            </w:r>
          </w:p>
        </w:tc>
        <w:tc>
          <w:tcPr>
            <w:tcW w:w="6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94"/>
              </w:rPr>
              <w:t>258</w:t>
            </w:r>
          </w:p>
        </w:tc>
        <w:tc>
          <w:tcPr>
            <w:tcW w:w="24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87</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559</w:t>
            </w:r>
          </w:p>
        </w:tc>
        <w:tc>
          <w:tcPr>
            <w:tcW w:w="5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646</w:t>
            </w:r>
          </w:p>
        </w:tc>
      </w:tr>
      <w:tr>
        <w:trPr>
          <w:trHeight w:val="188"/>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50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6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w:t>
            </w: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16</w:t>
            </w:r>
          </w:p>
        </w:tc>
      </w:tr>
      <w:tr>
        <w:trPr>
          <w:trHeight w:val="183"/>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500" w:type="dxa"/>
            <w:vAlign w:val="bottom"/>
            <w:tcBorders>
              <w:bottom w:val="single" w:sz="8" w:color="61656A"/>
            </w:tcBorders>
          </w:tcPr>
          <w:p>
            <w:pPr>
              <w:spacing w:after="0"/>
              <w:rPr>
                <w:sz w:val="15"/>
                <w:szCs w:val="15"/>
                <w:color w:val="auto"/>
              </w:rPr>
            </w:pPr>
          </w:p>
        </w:tc>
        <w:tc>
          <w:tcPr>
            <w:tcW w:w="5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5"/>
                <w:szCs w:val="15"/>
                <w:color w:val="auto"/>
              </w:rPr>
            </w:pPr>
          </w:p>
        </w:tc>
        <w:tc>
          <w:tcPr>
            <w:tcW w:w="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w:t>
            </w:r>
          </w:p>
        </w:tc>
        <w:tc>
          <w:tcPr>
            <w:tcW w:w="66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61656A"/>
            </w:tcBorders>
          </w:tcPr>
          <w:p>
            <w:pPr>
              <w:spacing w:after="0"/>
              <w:rPr>
                <w:sz w:val="15"/>
                <w:szCs w:val="15"/>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w:t>
            </w:r>
          </w:p>
        </w:tc>
        <w:tc>
          <w:tcPr>
            <w:tcW w:w="240" w:type="dxa"/>
            <w:vAlign w:val="bottom"/>
            <w:tcBorders>
              <w:bottom w:val="single" w:sz="8" w:color="61656A"/>
            </w:tcBorders>
          </w:tcPr>
          <w:p>
            <w:pPr>
              <w:spacing w:after="0"/>
              <w:rPr>
                <w:sz w:val="15"/>
                <w:szCs w:val="15"/>
                <w:color w:val="auto"/>
              </w:rPr>
            </w:pPr>
          </w:p>
        </w:tc>
        <w:tc>
          <w:tcPr>
            <w:tcW w:w="500" w:type="dxa"/>
            <w:vAlign w:val="bottom"/>
            <w:tcBorders>
              <w:bottom w:val="single" w:sz="8" w:color="61656A"/>
            </w:tcBorders>
          </w:tcPr>
          <w:p>
            <w:pPr>
              <w:spacing w:after="0"/>
              <w:rPr>
                <w:sz w:val="15"/>
                <w:szCs w:val="15"/>
                <w:color w:val="auto"/>
              </w:rPr>
            </w:pP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5"/>
                <w:szCs w:val="15"/>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90</w:t>
            </w:r>
          </w:p>
        </w:tc>
        <w:tc>
          <w:tcPr>
            <w:tcW w:w="560" w:type="dxa"/>
            <w:vAlign w:val="bottom"/>
            <w:tcBorders>
              <w:bottom w:val="single" w:sz="8" w:color="61656A"/>
            </w:tcBorders>
          </w:tcPr>
          <w:p>
            <w:pPr>
              <w:spacing w:after="0"/>
              <w:rPr>
                <w:sz w:val="15"/>
                <w:szCs w:val="15"/>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90</w:t>
            </w:r>
          </w:p>
        </w:tc>
      </w:tr>
      <w:tr>
        <w:trPr>
          <w:trHeight w:val="190"/>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in equity securities</w:t>
            </w:r>
          </w:p>
        </w:tc>
        <w:tc>
          <w:tcPr>
            <w:tcW w:w="50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54</w:t>
            </w:r>
          </w:p>
        </w:tc>
        <w:tc>
          <w:tcPr>
            <w:tcW w:w="34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w:t>
            </w:r>
          </w:p>
        </w:tc>
        <w:tc>
          <w:tcPr>
            <w:tcW w:w="24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32</w:t>
            </w: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54</w:t>
            </w: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Right to HWI Net Sale Proceeds</w:t>
            </w:r>
          </w:p>
        </w:tc>
        <w:tc>
          <w:tcPr>
            <w:tcW w:w="50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w:t>
            </w:r>
          </w:p>
        </w:tc>
        <w:tc>
          <w:tcPr>
            <w:tcW w:w="5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295</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295</w:t>
            </w:r>
          </w:p>
        </w:tc>
      </w:tr>
      <w:tr>
        <w:trPr>
          <w:trHeight w:val="188"/>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5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115</w:t>
            </w:r>
          </w:p>
        </w:tc>
        <w:tc>
          <w:tcPr>
            <w:tcW w:w="3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282</w:t>
            </w:r>
          </w:p>
        </w:tc>
        <w:tc>
          <w:tcPr>
            <w:tcW w:w="6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w:t>
            </w:r>
          </w:p>
        </w:tc>
        <w:tc>
          <w:tcPr>
            <w:tcW w:w="5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4"/>
              </w:rPr>
              <w:t>406</w:t>
            </w:r>
          </w:p>
        </w:tc>
        <w:tc>
          <w:tcPr>
            <w:tcW w:w="740" w:type="dxa"/>
            <w:vAlign w:val="bottom"/>
            <w:tcBorders>
              <w:bottom w:val="single" w:sz="8" w:color="D7282F"/>
            </w:tcBorders>
            <w:gridSpan w:val="2"/>
          </w:tcPr>
          <w:p>
            <w:pPr>
              <w:ind w:left="50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109</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790</w:t>
            </w:r>
          </w:p>
        </w:tc>
        <w:tc>
          <w:tcPr>
            <w:tcW w:w="5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295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1,194</w:t>
            </w:r>
          </w:p>
        </w:tc>
      </w:tr>
      <w:tr>
        <w:trPr>
          <w:trHeight w:val="195"/>
        </w:trPr>
        <w:tc>
          <w:tcPr>
            <w:tcW w:w="31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50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r>
      <w:tr>
        <w:trPr>
          <w:trHeight w:val="191"/>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5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w:t>
            </w:r>
          </w:p>
        </w:tc>
        <w:tc>
          <w:tcPr>
            <w:tcW w:w="66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61656A"/>
            </w:tcBorders>
          </w:tcPr>
          <w:p>
            <w:pPr>
              <w:jc w:val="right"/>
              <w:ind w:right="2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w:t>
            </w:r>
          </w:p>
        </w:tc>
        <w:tc>
          <w:tcPr>
            <w:tcW w:w="740" w:type="dxa"/>
            <w:vAlign w:val="bottom"/>
            <w:tcBorders>
              <w:bottom w:val="single" w:sz="8" w:color="61656A"/>
            </w:tcBorders>
            <w:gridSpan w:val="2"/>
          </w:tcPr>
          <w:p>
            <w:pPr>
              <w:ind w:left="50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56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w:t>
            </w:r>
          </w:p>
        </w:tc>
      </w:tr>
      <w:tr>
        <w:trPr>
          <w:trHeight w:val="189"/>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50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288</w:t>
            </w:r>
          </w:p>
        </w:tc>
        <w:tc>
          <w:tcPr>
            <w:tcW w:w="6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94"/>
              </w:rPr>
              <w:t>288</w:t>
            </w:r>
          </w:p>
        </w:tc>
        <w:tc>
          <w:tcPr>
            <w:tcW w:w="24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303</w:t>
            </w: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303</w:t>
            </w:r>
          </w:p>
        </w:tc>
      </w:tr>
      <w:tr>
        <w:trPr>
          <w:trHeight w:val="190"/>
        </w:trPr>
        <w:tc>
          <w:tcPr>
            <w:tcW w:w="3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50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w:t>
            </w:r>
          </w:p>
        </w:tc>
        <w:tc>
          <w:tcPr>
            <w:tcW w:w="6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spacing w:after="0"/>
              <w:rPr>
                <w:sz w:val="16"/>
                <w:szCs w:val="16"/>
                <w:color w:val="auto"/>
              </w:rPr>
            </w:pPr>
          </w:p>
        </w:tc>
        <w:tc>
          <w:tcPr>
            <w:tcW w:w="5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w:t>
            </w: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50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22</w:t>
            </w:r>
          </w:p>
        </w:tc>
        <w:tc>
          <w:tcPr>
            <w:tcW w:w="6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w w:val="99"/>
              </w:rPr>
              <w:t>—</w:t>
            </w:r>
          </w:p>
        </w:tc>
        <w:tc>
          <w:tcPr>
            <w:tcW w:w="5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r>
      <w:tr>
        <w:trPr>
          <w:trHeight w:val="188"/>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w:t>
            </w:r>
          </w:p>
        </w:tc>
        <w:tc>
          <w:tcPr>
            <w:tcW w:w="5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328</w:t>
            </w:r>
          </w:p>
        </w:tc>
        <w:tc>
          <w:tcPr>
            <w:tcW w:w="6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99"/>
              </w:rPr>
              <w:t>—</w:t>
            </w:r>
          </w:p>
        </w:tc>
        <w:tc>
          <w:tcPr>
            <w:tcW w:w="5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4"/>
              </w:rPr>
              <w:t>328</w:t>
            </w:r>
          </w:p>
        </w:tc>
        <w:tc>
          <w:tcPr>
            <w:tcW w:w="740" w:type="dxa"/>
            <w:vAlign w:val="bottom"/>
            <w:tcBorders>
              <w:bottom w:val="single" w:sz="8" w:color="D7282F"/>
            </w:tcBorders>
            <w:gridSpan w:val="2"/>
          </w:tcPr>
          <w:p>
            <w:pPr>
              <w:ind w:left="50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312</w:t>
            </w:r>
          </w:p>
        </w:tc>
        <w:tc>
          <w:tcPr>
            <w:tcW w:w="5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312</w:t>
            </w:r>
          </w:p>
        </w:tc>
      </w:tr>
    </w:tbl>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foreign currency exchange contracts, interest rate swap agreements, cross currency swap agreements, and commodity contracts are valued using broker quotations, or market transactions in either the listed or over-the-counter markets. As such,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As such, these investments are classified within level 2.</w:t>
      </w:r>
    </w:p>
    <w:p>
      <w:pPr>
        <w:spacing w:after="0" w:line="27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These investments are valued utilizing published prices based on quoted market pricing, which are classified within level 1.</w:t>
      </w:r>
    </w:p>
    <w:p>
      <w:pPr>
        <w:spacing w:after="0" w:line="7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other short-term borrowings approximates fair value.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part of the NARCO Buyout (see Note 14 Commitments and Contingencies for definition), Honeywell holds a right to proceeds from the definitive sale agreement pursuant to which HarbisonWalker International Holdings, Inc. (HWI), the reorganized and renamed entity that emerged from the NARCO Bankruptcy, was acquired by an affiliate of Platinum Equity, LLC (HWI Sale). The right to these proceeds is considered a financial instrument. The significant input for the valuation of this right is unobservable, and as such, is classified within level 3.</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HWI Sale closed on February 16, 2023. During the six months ended June 30, 2023, Honeywell received $275 million of proceeds from the HWI Sale (HWI Net Sale Proceeds), of which $256 million was received during the first quarter of 2023 and $19 million during the second quarter of 2023. Additionally, during the three months ended June 30, 2023, the Company recorded a fair value adjustment for the HWI Net Sale Proceeds and reduced the estimate by $11 million. The fair value of the remaining HWI Net Sale Proceeds as of June 30, 2023, represents contingent consideration to be paid in future periods if certain conditions under the definitive sale agreement for the HWI Sale are met.</w:t>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 sets forth a reconciliation of beginning and ending balances of assets and liabilities that were accounted for at fair value using level 3 measurements: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9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June 30,</w:t>
            </w:r>
          </w:p>
        </w:tc>
      </w:tr>
      <w:tr>
        <w:trPr>
          <w:trHeight w:val="189"/>
        </w:trPr>
        <w:tc>
          <w:tcPr>
            <w:tcW w:w="5300" w:type="dxa"/>
            <w:vAlign w:val="bottom"/>
            <w:tcBorders>
              <w:bottom w:val="single" w:sz="8" w:color="D7282F"/>
            </w:tcBorders>
          </w:tcPr>
          <w:p>
            <w:pPr>
              <w:spacing w:after="0"/>
              <w:rPr>
                <w:sz w:val="16"/>
                <w:szCs w:val="16"/>
                <w:color w:val="auto"/>
              </w:rPr>
            </w:pPr>
          </w:p>
        </w:tc>
        <w:tc>
          <w:tcPr>
            <w:tcW w:w="252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tcPr>
          <w:p>
            <w:pPr>
              <w:jc w:val="right"/>
              <w:ind w:right="648"/>
              <w:spacing w:after="0"/>
              <w:rPr>
                <w:sz w:val="20"/>
                <w:szCs w:val="20"/>
                <w:color w:val="auto"/>
              </w:rPr>
            </w:pPr>
            <w:r>
              <w:rPr>
                <w:rFonts w:ascii="Arial" w:cs="Arial" w:eastAsia="Arial" w:hAnsi="Arial"/>
                <w:sz w:val="14"/>
                <w:szCs w:val="14"/>
                <w:b w:val="1"/>
                <w:bCs w:val="1"/>
                <w:color w:val="auto"/>
              </w:rPr>
              <w:t>30, 2023</w:t>
            </w:r>
          </w:p>
        </w:tc>
        <w:tc>
          <w:tcPr>
            <w:tcW w:w="58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jc w:val="right"/>
              <w:ind w:right="748"/>
              <w:spacing w:after="0"/>
              <w:rPr>
                <w:sz w:val="20"/>
                <w:szCs w:val="20"/>
                <w:color w:val="auto"/>
              </w:rPr>
            </w:pPr>
            <w:r>
              <w:rPr>
                <w:rFonts w:ascii="Arial" w:cs="Arial" w:eastAsia="Arial" w:hAnsi="Arial"/>
                <w:sz w:val="14"/>
                <w:szCs w:val="14"/>
                <w:b w:val="1"/>
                <w:bCs w:val="1"/>
                <w:color w:val="auto"/>
              </w:rPr>
              <w:t>2023</w:t>
            </w:r>
          </w:p>
        </w:tc>
      </w:tr>
      <w:tr>
        <w:trPr>
          <w:trHeight w:val="183"/>
        </w:trPr>
        <w:tc>
          <w:tcPr>
            <w:tcW w:w="53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Balance at beginning of period</w:t>
            </w:r>
          </w:p>
        </w:tc>
        <w:tc>
          <w:tcPr>
            <w:tcW w:w="25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b w:val="1"/>
                <w:bCs w:val="1"/>
                <w:color w:val="auto"/>
              </w:rPr>
              <w:t>39</w:t>
            </w:r>
          </w:p>
        </w:tc>
        <w:tc>
          <w:tcPr>
            <w:tcW w:w="58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295</w:t>
            </w:r>
          </w:p>
        </w:tc>
      </w:tr>
      <w:tr>
        <w:trPr>
          <w:trHeight w:val="190"/>
        </w:trPr>
        <w:tc>
          <w:tcPr>
            <w:tcW w:w="5300" w:type="dxa"/>
            <w:vAlign w:val="bottom"/>
            <w:tcBorders>
              <w:bottom w:val="single" w:sz="8" w:color="6D6D6D"/>
            </w:tcBorders>
          </w:tcPr>
          <w:p>
            <w:pPr>
              <w:ind w:left="140"/>
              <w:spacing w:after="0"/>
              <w:rPr>
                <w:sz w:val="20"/>
                <w:szCs w:val="20"/>
                <w:color w:val="auto"/>
              </w:rPr>
            </w:pPr>
            <w:r>
              <w:rPr>
                <w:rFonts w:ascii="Arial" w:cs="Arial" w:eastAsia="Arial" w:hAnsi="Arial"/>
                <w:sz w:val="14"/>
                <w:szCs w:val="14"/>
                <w:color w:val="auto"/>
              </w:rPr>
              <w:t>Receipt of HWI Net Sale Proceeds</w:t>
            </w:r>
          </w:p>
        </w:tc>
        <w:tc>
          <w:tcPr>
            <w:tcW w:w="2520" w:type="dxa"/>
            <w:vAlign w:val="bottom"/>
            <w:tcBorders>
              <w:bottom w:val="single" w:sz="8" w:color="6D6D6D"/>
            </w:tcBorders>
          </w:tcPr>
          <w:p>
            <w:pPr>
              <w:spacing w:after="0"/>
              <w:rPr>
                <w:sz w:val="16"/>
                <w:szCs w:val="16"/>
                <w:color w:val="auto"/>
              </w:rPr>
            </w:pPr>
          </w:p>
        </w:tc>
        <w:tc>
          <w:tcPr>
            <w:tcW w:w="146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(19)</w:t>
            </w:r>
          </w:p>
        </w:tc>
        <w:tc>
          <w:tcPr>
            <w:tcW w:w="580" w:type="dxa"/>
            <w:vAlign w:val="bottom"/>
            <w:tcBorders>
              <w:bottom w:val="single" w:sz="8" w:color="6D6D6D"/>
            </w:tcBorders>
          </w:tcPr>
          <w:p>
            <w:pPr>
              <w:spacing w:after="0"/>
              <w:rPr>
                <w:sz w:val="16"/>
                <w:szCs w:val="16"/>
                <w:color w:val="auto"/>
              </w:rPr>
            </w:pPr>
          </w:p>
        </w:tc>
        <w:tc>
          <w:tcPr>
            <w:tcW w:w="138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(275)</w:t>
            </w:r>
          </w:p>
        </w:tc>
      </w:tr>
      <w:tr>
        <w:trPr>
          <w:trHeight w:val="196"/>
        </w:trPr>
        <w:tc>
          <w:tcPr>
            <w:tcW w:w="53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Fair value adjustment of HWI Net Sale Proceeds</w:t>
            </w:r>
          </w:p>
        </w:tc>
        <w:tc>
          <w:tcPr>
            <w:tcW w:w="252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c>
          <w:tcPr>
            <w:tcW w:w="58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r>
      <w:tr>
        <w:trPr>
          <w:trHeight w:val="188"/>
        </w:trPr>
        <w:tc>
          <w:tcPr>
            <w:tcW w:w="53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2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w:t>
            </w:r>
          </w:p>
        </w:tc>
        <w:tc>
          <w:tcPr>
            <w:tcW w:w="5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980" w:type="dxa"/>
            <w:vAlign w:val="bottom"/>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gridSpan w:val="3"/>
          </w:tcPr>
          <w:p>
            <w:pPr>
              <w:jc w:val="right"/>
              <w:ind w:right="448"/>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3"/>
          </w:tcPr>
          <w:p>
            <w:pPr>
              <w:jc w:val="right"/>
              <w:ind w:right="288"/>
              <w:spacing w:after="0"/>
              <w:rPr>
                <w:sz w:val="20"/>
                <w:szCs w:val="20"/>
                <w:color w:val="auto"/>
              </w:rPr>
            </w:pPr>
            <w:r>
              <w:rPr>
                <w:rFonts w:ascii="Arial" w:cs="Arial" w:eastAsia="Arial" w:hAnsi="Arial"/>
                <w:sz w:val="14"/>
                <w:szCs w:val="14"/>
                <w:b w:val="1"/>
                <w:bCs w:val="1"/>
                <w:color w:val="auto"/>
              </w:rPr>
              <w:t>December 31, 2022</w:t>
            </w:r>
          </w:p>
        </w:tc>
      </w:tr>
      <w:tr>
        <w:trPr>
          <w:trHeight w:val="143"/>
        </w:trPr>
        <w:tc>
          <w:tcPr>
            <w:tcW w:w="6980" w:type="dxa"/>
            <w:vAlign w:val="bottom"/>
          </w:tcPr>
          <w:p>
            <w:pPr>
              <w:spacing w:after="0"/>
              <w:rPr>
                <w:sz w:val="12"/>
                <w:szCs w:val="12"/>
                <w:color w:val="auto"/>
              </w:rPr>
            </w:pPr>
          </w:p>
        </w:tc>
        <w:tc>
          <w:tcPr>
            <w:tcW w:w="1100" w:type="dxa"/>
            <w:vAlign w:val="bottom"/>
            <w:gridSpan w:val="2"/>
          </w:tcPr>
          <w:p>
            <w:pPr>
              <w:jc w:val="right"/>
              <w:ind w:right="228"/>
              <w:spacing w:after="0" w:line="143"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640" w:type="dxa"/>
            <w:vAlign w:val="bottom"/>
          </w:tcPr>
          <w:p>
            <w:pPr>
              <w:jc w:val="right"/>
              <w:ind w:right="288"/>
              <w:spacing w:after="0" w:line="143"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1100" w:type="dxa"/>
            <w:vAlign w:val="bottom"/>
            <w:gridSpan w:val="2"/>
          </w:tcPr>
          <w:p>
            <w:pPr>
              <w:jc w:val="right"/>
              <w:ind w:right="228"/>
              <w:spacing w:after="0" w:line="143"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66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Fair</w:t>
            </w:r>
          </w:p>
        </w:tc>
      </w:tr>
      <w:tr>
        <w:trPr>
          <w:trHeight w:val="189"/>
        </w:trPr>
        <w:tc>
          <w:tcPr>
            <w:tcW w:w="698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gridSpan w:val="2"/>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900" w:type="dxa"/>
            <w:vAlign w:val="bottom"/>
            <w:tcBorders>
              <w:bottom w:val="single" w:sz="8" w:color="D7282F"/>
            </w:tcBorders>
            <w:gridSpan w:val="2"/>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gridSpan w:val="2"/>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92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b w:val="1"/>
                <w:bCs w:val="1"/>
                <w:color w:val="auto"/>
              </w:rPr>
              <w:t>Value</w:t>
            </w:r>
          </w:p>
        </w:tc>
      </w:tr>
      <w:tr>
        <w:trPr>
          <w:trHeight w:val="183"/>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420" w:type="dxa"/>
            <w:vAlign w:val="bottom"/>
            <w:tcBorders>
              <w:bottom w:val="single" w:sz="8" w:color="61656A"/>
            </w:tcBorders>
          </w:tcPr>
          <w:p>
            <w:pPr>
              <w:spacing w:after="0"/>
              <w:rPr>
                <w:sz w:val="15"/>
                <w:szCs w:val="15"/>
                <w:color w:val="auto"/>
              </w:rPr>
            </w:pPr>
          </w:p>
        </w:tc>
        <w:tc>
          <w:tcPr>
            <w:tcW w:w="680" w:type="dxa"/>
            <w:vAlign w:val="bottom"/>
            <w:tcBorders>
              <w:bottom w:val="single" w:sz="8" w:color="61656A"/>
            </w:tcBorders>
          </w:tcPr>
          <w:p>
            <w:pPr>
              <w:spacing w:after="0"/>
              <w:rPr>
                <w:sz w:val="15"/>
                <w:szCs w:val="15"/>
                <w:color w:val="auto"/>
              </w:rPr>
            </w:pPr>
          </w:p>
        </w:tc>
        <w:tc>
          <w:tcPr>
            <w:tcW w:w="260" w:type="dxa"/>
            <w:vAlign w:val="bottom"/>
            <w:tcBorders>
              <w:bottom w:val="single" w:sz="8" w:color="61656A"/>
            </w:tcBorders>
          </w:tcPr>
          <w:p>
            <w:pPr>
              <w:spacing w:after="0"/>
              <w:rPr>
                <w:sz w:val="15"/>
                <w:szCs w:val="15"/>
                <w:color w:val="auto"/>
              </w:rPr>
            </w:pPr>
          </w:p>
        </w:tc>
        <w:tc>
          <w:tcPr>
            <w:tcW w:w="64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360" w:type="dxa"/>
            <w:vAlign w:val="bottom"/>
            <w:tcBorders>
              <w:bottom w:val="single" w:sz="8" w:color="61656A"/>
            </w:tcBorders>
          </w:tcPr>
          <w:p>
            <w:pPr>
              <w:spacing w:after="0"/>
              <w:rPr>
                <w:sz w:val="15"/>
                <w:szCs w:val="15"/>
                <w:color w:val="auto"/>
              </w:rPr>
            </w:pPr>
          </w:p>
        </w:tc>
        <w:tc>
          <w:tcPr>
            <w:tcW w:w="740" w:type="dxa"/>
            <w:vAlign w:val="bottom"/>
            <w:tcBorders>
              <w:bottom w:val="single" w:sz="8" w:color="61656A"/>
            </w:tcBorders>
          </w:tcPr>
          <w:p>
            <w:pPr>
              <w:spacing w:after="0"/>
              <w:rPr>
                <w:sz w:val="15"/>
                <w:szCs w:val="15"/>
                <w:color w:val="auto"/>
              </w:rPr>
            </w:pPr>
          </w:p>
        </w:tc>
        <w:tc>
          <w:tcPr>
            <w:tcW w:w="26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spacing w:after="0"/>
              <w:rPr>
                <w:sz w:val="15"/>
                <w:szCs w:val="15"/>
                <w:color w:val="auto"/>
              </w:rPr>
            </w:pPr>
          </w:p>
        </w:tc>
      </w:tr>
      <w:tr>
        <w:trPr>
          <w:trHeight w:val="190"/>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receivables</w:t>
            </w:r>
          </w:p>
        </w:tc>
        <w:tc>
          <w:tcPr>
            <w:tcW w:w="4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168</w:t>
            </w:r>
          </w:p>
        </w:tc>
        <w:tc>
          <w:tcPr>
            <w:tcW w:w="60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183</w:t>
            </w:r>
          </w:p>
        </w:tc>
      </w:tr>
      <w:tr>
        <w:trPr>
          <w:trHeight w:val="188"/>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r>
      <w:tr>
        <w:trPr>
          <w:trHeight w:val="190"/>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Long-term debt and related current maturities</w:t>
            </w:r>
          </w:p>
        </w:tc>
        <w:tc>
          <w:tcPr>
            <w:tcW w:w="4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18,545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17,157</w:t>
            </w:r>
          </w:p>
        </w:tc>
        <w:tc>
          <w:tcPr>
            <w:tcW w:w="60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16,853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15,856</w:t>
            </w:r>
          </w:p>
        </w:tc>
      </w:tr>
    </w:tbl>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 of these receivables is considered level 2.</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9"/>
          <w:szCs w:val="29"/>
          <w:color w:val="D7282F"/>
        </w:rPr>
        <w:t>NOTE 12. EARNINGS PER SHARE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earnings per share calculations for the three and six months ended June 30, 2023, and 2022, are as follows (shares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202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698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left="428"/>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9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83"/>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1,487</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1,261</w:t>
            </w:r>
          </w:p>
        </w:tc>
        <w:tc>
          <w:tcPr>
            <w:tcW w:w="5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2,881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190"/>
        </w:trPr>
        <w:tc>
          <w:tcPr>
            <w:tcW w:w="6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665.3</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679.0</w:t>
            </w:r>
          </w:p>
        </w:tc>
        <w:tc>
          <w:tcPr>
            <w:tcW w:w="22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666.5</w:t>
            </w: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681.8</w:t>
            </w:r>
          </w:p>
        </w:tc>
        <w:tc>
          <w:tcPr>
            <w:tcW w:w="0" w:type="dxa"/>
            <w:vAlign w:val="bottom"/>
          </w:tcPr>
          <w:p>
            <w:pPr>
              <w:spacing w:after="0"/>
              <w:rPr>
                <w:sz w:val="1"/>
                <w:szCs w:val="1"/>
                <w:color w:val="auto"/>
              </w:rPr>
            </w:pPr>
          </w:p>
        </w:tc>
      </w:tr>
      <w:tr>
        <w:trPr>
          <w:trHeight w:val="201"/>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stock—basic</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2.24</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1.86</w:t>
            </w: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4.32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3.51</w:t>
            </w:r>
          </w:p>
        </w:tc>
        <w:tc>
          <w:tcPr>
            <w:tcW w:w="0" w:type="dxa"/>
            <w:vAlign w:val="bottom"/>
          </w:tcPr>
          <w:p>
            <w:pPr>
              <w:spacing w:after="0"/>
              <w:rPr>
                <w:sz w:val="1"/>
                <w:szCs w:val="1"/>
                <w:color w:val="auto"/>
              </w:rPr>
            </w:pPr>
          </w:p>
        </w:tc>
      </w:tr>
      <w:tr>
        <w:trPr>
          <w:trHeight w:val="359"/>
        </w:trPr>
        <w:tc>
          <w:tcPr>
            <w:tcW w:w="6980" w:type="dxa"/>
            <w:vAlign w:val="bottom"/>
          </w:tcPr>
          <w:p>
            <w:pPr>
              <w:spacing w:after="0"/>
              <w:rPr>
                <w:sz w:val="24"/>
                <w:szCs w:val="2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24"/>
                <w:szCs w:val="24"/>
                <w:color w:val="auto"/>
              </w:rPr>
            </w:pPr>
          </w:p>
        </w:tc>
        <w:tc>
          <w:tcPr>
            <w:tcW w:w="202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0"/>
        </w:trPr>
        <w:tc>
          <w:tcPr>
            <w:tcW w:w="698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center"/>
              <w:ind w:left="428"/>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bottom w:val="single" w:sz="8" w:color="D7282F"/>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0"/>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1,487</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1,261</w:t>
            </w:r>
          </w:p>
        </w:tc>
        <w:tc>
          <w:tcPr>
            <w:tcW w:w="5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2,881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3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3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665.3</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679.0</w:t>
            </w:r>
          </w:p>
        </w:tc>
        <w:tc>
          <w:tcPr>
            <w:tcW w:w="22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666.5</w:t>
            </w:r>
          </w:p>
        </w:tc>
        <w:tc>
          <w:tcPr>
            <w:tcW w:w="2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681.8</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issuable—stock plans</w:t>
            </w:r>
          </w:p>
        </w:tc>
        <w:tc>
          <w:tcPr>
            <w:tcW w:w="3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4.9</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6.0</w:t>
            </w:r>
          </w:p>
        </w:tc>
        <w:tc>
          <w:tcPr>
            <w:tcW w:w="22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5.4</w:t>
            </w:r>
          </w:p>
        </w:tc>
        <w:tc>
          <w:tcPr>
            <w:tcW w:w="2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670.2</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685.0</w:t>
            </w:r>
          </w:p>
        </w:tc>
        <w:tc>
          <w:tcPr>
            <w:tcW w:w="22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671.9</w:t>
            </w: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688.1</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2.22</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1.84</w:t>
            </w: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4.29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3.48</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diluted earnings per share calculations exclude the effect of stock options when the cost to exercise an option exceeds the average market price of the common shares during the period. For the three and six months ended June 30, 2023, the weighted average number of stock options excluded from the computations were 4.7 million and 4.3 million, respectively. For the three and six months ended June 30, 2022, the weighted average number of stock options excluded from the computations were 5.6 million and 3.4 million, respectively.</w:t>
      </w:r>
    </w:p>
    <w:p>
      <w:pPr>
        <w:spacing w:after="0" w:line="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2023, and 2022, the total shares outstanding were 664.0 million and 673.7 million, respectively, and as of June 30, 2023, and 2022, total shares issued were 957.6 million.</w:t>
      </w:r>
    </w:p>
    <w:p>
      <w:pPr>
        <w:spacing w:after="0" w:line="381"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D7282F"/>
        </w:rPr>
        <w:t>NOTE 13. ACCUMULATED OTHER COMPREHENSIVE INCOME (LOSS)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INCOME (LOSS) BY COMPONENT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40" w:type="dxa"/>
            <w:vAlign w:val="bottom"/>
            <w:gridSpan w:val="2"/>
            <w:vMerge w:val="restart"/>
          </w:tcPr>
          <w:p>
            <w:pPr>
              <w:jc w:val="center"/>
              <w:ind w:right="4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Arial" w:cs="Arial" w:eastAsia="Arial" w:hAnsi="Arial"/>
                <w:sz w:val="14"/>
                <w:szCs w:val="14"/>
                <w:b w:val="1"/>
                <w:bCs w:val="1"/>
                <w:color w:val="auto"/>
              </w:rPr>
              <w:t>Pension</w:t>
            </w:r>
          </w:p>
        </w:tc>
        <w:tc>
          <w:tcPr>
            <w:tcW w:w="134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Changes in Fair</w:t>
            </w:r>
          </w:p>
        </w:tc>
        <w:tc>
          <w:tcPr>
            <w:tcW w:w="1220" w:type="dxa"/>
            <w:vAlign w:val="bottom"/>
            <w:gridSpan w:val="2"/>
            <w:vMerge w:val="restart"/>
          </w:tcPr>
          <w:p>
            <w:pPr>
              <w:jc w:val="center"/>
              <w:ind w:right="108"/>
              <w:spacing w:after="0"/>
              <w:rPr>
                <w:sz w:val="20"/>
                <w:szCs w:val="20"/>
                <w:color w:val="auto"/>
              </w:rPr>
            </w:pPr>
            <w:r>
              <w:rPr>
                <w:rFonts w:ascii="Arial" w:cs="Arial" w:eastAsia="Arial" w:hAnsi="Arial"/>
                <w:sz w:val="14"/>
                <w:szCs w:val="14"/>
                <w:b w:val="1"/>
                <w:bCs w:val="1"/>
                <w:color w:val="auto"/>
              </w:rPr>
              <w:t>Changes in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328"/>
              <w:spacing w:after="0" w:line="148" w:lineRule="exact"/>
              <w:rPr>
                <w:sz w:val="20"/>
                <w:szCs w:val="20"/>
                <w:color w:val="auto"/>
              </w:rPr>
            </w:pPr>
            <w:r>
              <w:rPr>
                <w:rFonts w:ascii="Arial" w:cs="Arial" w:eastAsia="Arial" w:hAnsi="Arial"/>
                <w:sz w:val="14"/>
                <w:szCs w:val="14"/>
                <w:b w:val="1"/>
                <w:bCs w:val="1"/>
                <w:color w:val="auto"/>
              </w:rPr>
              <w:t>and Other</w:t>
            </w:r>
          </w:p>
        </w:tc>
        <w:tc>
          <w:tcPr>
            <w:tcW w:w="13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240" w:type="dxa"/>
            <w:vAlign w:val="bottom"/>
            <w:gridSpan w:val="2"/>
          </w:tcPr>
          <w:p>
            <w:pPr>
              <w:jc w:val="center"/>
              <w:ind w:right="48"/>
              <w:spacing w:after="0" w:line="135" w:lineRule="exact"/>
              <w:rPr>
                <w:sz w:val="20"/>
                <w:szCs w:val="20"/>
                <w:color w:val="auto"/>
              </w:rPr>
            </w:pPr>
            <w:r>
              <w:rPr>
                <w:rFonts w:ascii="Arial" w:cs="Arial" w:eastAsia="Arial" w:hAnsi="Arial"/>
                <w:sz w:val="14"/>
                <w:szCs w:val="14"/>
                <w:b w:val="1"/>
                <w:bCs w:val="1"/>
                <w:color w:val="auto"/>
              </w:rPr>
              <w:t>Exchange</w:t>
            </w:r>
          </w:p>
        </w:tc>
        <w:tc>
          <w:tcPr>
            <w:tcW w:w="1340" w:type="dxa"/>
            <w:vAlign w:val="bottom"/>
            <w:gridSpan w:val="2"/>
          </w:tcPr>
          <w:p>
            <w:pPr>
              <w:jc w:val="right"/>
              <w:ind w:right="148"/>
              <w:spacing w:after="0" w:line="135" w:lineRule="exact"/>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1"/>
                <w:szCs w:val="11"/>
                <w:color w:val="auto"/>
              </w:rPr>
            </w:pPr>
          </w:p>
        </w:tc>
        <w:tc>
          <w:tcPr>
            <w:tcW w:w="1000" w:type="dxa"/>
            <w:vAlign w:val="bottom"/>
          </w:tcPr>
          <w:p>
            <w:pPr>
              <w:jc w:val="center"/>
              <w:ind w:right="368"/>
              <w:spacing w:after="0" w:line="135" w:lineRule="exact"/>
              <w:rPr>
                <w:sz w:val="20"/>
                <w:szCs w:val="20"/>
                <w:color w:val="auto"/>
              </w:rPr>
            </w:pPr>
            <w:r>
              <w:rPr>
                <w:rFonts w:ascii="Arial" w:cs="Arial" w:eastAsia="Arial" w:hAnsi="Arial"/>
                <w:sz w:val="14"/>
                <w:szCs w:val="14"/>
                <w:b w:val="1"/>
                <w:bCs w:val="1"/>
                <w:color w:val="auto"/>
              </w:rPr>
              <w:t>Value of</w:t>
            </w:r>
          </w:p>
        </w:tc>
        <w:tc>
          <w:tcPr>
            <w:tcW w:w="1220" w:type="dxa"/>
            <w:vAlign w:val="bottom"/>
            <w:gridSpan w:val="2"/>
          </w:tcPr>
          <w:p>
            <w:pPr>
              <w:jc w:val="center"/>
              <w:ind w:right="108"/>
              <w:spacing w:after="0" w:line="13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24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08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rPr>
              <w:t>Benefit</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Available for Sale</w:t>
            </w:r>
          </w:p>
        </w:tc>
        <w:tc>
          <w:tcPr>
            <w:tcW w:w="122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rPr>
              <w:t>of Cash Flow</w:t>
            </w:r>
          </w:p>
        </w:tc>
        <w:tc>
          <w:tcPr>
            <w:tcW w:w="260" w:type="dxa"/>
            <w:vAlign w:val="bottom"/>
          </w:tcPr>
          <w:p>
            <w:pPr>
              <w:spacing w:after="0"/>
              <w:rPr>
                <w:sz w:val="12"/>
                <w:szCs w:val="12"/>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gridSpan w:val="2"/>
          </w:tcPr>
          <w:p>
            <w:pPr>
              <w:jc w:val="center"/>
              <w:ind w:right="48"/>
              <w:spacing w:after="0"/>
              <w:rPr>
                <w:sz w:val="20"/>
                <w:szCs w:val="20"/>
                <w:color w:val="auto"/>
              </w:rPr>
            </w:pPr>
            <w:r>
              <w:rPr>
                <w:rFonts w:ascii="Arial" w:cs="Arial" w:eastAsia="Arial" w:hAnsi="Arial"/>
                <w:sz w:val="14"/>
                <w:szCs w:val="14"/>
                <w:b w:val="1"/>
                <w:bCs w:val="1"/>
                <w:color w:val="auto"/>
              </w:rPr>
              <w:t>Adjustment</w:t>
            </w:r>
          </w:p>
        </w:tc>
        <w:tc>
          <w:tcPr>
            <w:tcW w:w="134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Adjustments</w:t>
            </w:r>
          </w:p>
        </w:tc>
        <w:tc>
          <w:tcPr>
            <w:tcW w:w="134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Investments</w:t>
            </w:r>
          </w:p>
        </w:tc>
        <w:tc>
          <w:tcPr>
            <w:tcW w:w="8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Hedges</w:t>
            </w:r>
          </w:p>
        </w:tc>
        <w:tc>
          <w:tcPr>
            <w:tcW w:w="4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5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(2,832)</w:t>
            </w:r>
          </w:p>
        </w:tc>
        <w:tc>
          <w:tcPr>
            <w:tcW w:w="2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(648)</w:t>
            </w:r>
          </w:p>
        </w:tc>
        <w:tc>
          <w:tcPr>
            <w:tcW w:w="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(7)</w:t>
            </w:r>
          </w:p>
        </w:tc>
        <w:tc>
          <w:tcPr>
            <w:tcW w:w="80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(3,475)</w:t>
            </w:r>
          </w:p>
        </w:tc>
        <w:tc>
          <w:tcPr>
            <w:tcW w:w="0" w:type="dxa"/>
            <w:vAlign w:val="bottom"/>
          </w:tcPr>
          <w:p>
            <w:pPr>
              <w:spacing w:after="0"/>
              <w:rPr>
                <w:sz w:val="1"/>
                <w:szCs w:val="1"/>
                <w:color w:val="auto"/>
              </w:rPr>
            </w:pPr>
          </w:p>
        </w:tc>
      </w:tr>
      <w:tr>
        <w:trPr>
          <w:trHeight w:val="191"/>
        </w:trPr>
        <w:tc>
          <w:tcPr>
            <w:tcW w:w="5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comprehensive income (loss) before reclassifications</w:t>
            </w:r>
          </w:p>
        </w:tc>
        <w:tc>
          <w:tcPr>
            <w:tcW w:w="50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(132)</w:t>
            </w:r>
          </w:p>
        </w:tc>
        <w:tc>
          <w:tcPr>
            <w:tcW w:w="26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w:t>
            </w:r>
          </w:p>
        </w:tc>
        <w:tc>
          <w:tcPr>
            <w:tcW w:w="80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w:t>
            </w:r>
          </w:p>
        </w:tc>
        <w:tc>
          <w:tcPr>
            <w:tcW w:w="26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Amounts reclassified from accumulated other comprehensive income (loss)</w:t>
            </w:r>
          </w:p>
        </w:tc>
        <w:tc>
          <w:tcPr>
            <w:tcW w:w="50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w:t>
            </w:r>
          </w:p>
        </w:tc>
        <w:tc>
          <w:tcPr>
            <w:tcW w:w="34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w:t>
            </w: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50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(132)</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w:t>
            </w:r>
          </w:p>
        </w:tc>
        <w:tc>
          <w:tcPr>
            <w:tcW w:w="34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80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w:t>
            </w: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(136)</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5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(2,964)</w:t>
            </w:r>
          </w:p>
        </w:tc>
        <w:tc>
          <w:tcPr>
            <w:tcW w:w="2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(672)</w:t>
            </w:r>
          </w:p>
        </w:tc>
        <w:tc>
          <w:tcPr>
            <w:tcW w:w="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(4)</w:t>
            </w:r>
          </w:p>
        </w:tc>
        <w:tc>
          <w:tcPr>
            <w:tcW w:w="80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(3,611)</w:t>
            </w:r>
          </w:p>
        </w:tc>
        <w:tc>
          <w:tcPr>
            <w:tcW w:w="0" w:type="dxa"/>
            <w:vAlign w:val="bottom"/>
          </w:tcPr>
          <w:p>
            <w:pPr>
              <w:spacing w:after="0"/>
              <w:rPr>
                <w:sz w:val="1"/>
                <w:szCs w:val="1"/>
                <w:color w:val="auto"/>
              </w:rPr>
            </w:pPr>
          </w:p>
        </w:tc>
      </w:tr>
      <w:tr>
        <w:trPr>
          <w:trHeight w:val="359"/>
        </w:trPr>
        <w:tc>
          <w:tcPr>
            <w:tcW w:w="5080" w:type="dxa"/>
            <w:vAlign w:val="bottom"/>
          </w:tcPr>
          <w:p>
            <w:pPr>
              <w:spacing w:after="0"/>
              <w:rPr>
                <w:sz w:val="24"/>
                <w:szCs w:val="24"/>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24"/>
                <w:szCs w:val="24"/>
                <w:color w:val="auto"/>
              </w:rPr>
            </w:pPr>
          </w:p>
        </w:tc>
        <w:tc>
          <w:tcPr>
            <w:tcW w:w="1080" w:type="dxa"/>
            <w:vAlign w:val="bottom"/>
          </w:tcPr>
          <w:p>
            <w:pPr>
              <w:jc w:val="center"/>
              <w:ind w:right="248"/>
              <w:spacing w:after="0"/>
              <w:rPr>
                <w:sz w:val="20"/>
                <w:szCs w:val="20"/>
                <w:color w:val="auto"/>
              </w:rPr>
            </w:pPr>
            <w:r>
              <w:rPr>
                <w:rFonts w:ascii="Arial" w:cs="Arial" w:eastAsia="Arial" w:hAnsi="Arial"/>
                <w:sz w:val="14"/>
                <w:szCs w:val="14"/>
                <w:b w:val="1"/>
                <w:bCs w:val="1"/>
                <w:color w:val="auto"/>
              </w:rPr>
              <w:t>Pension</w:t>
            </w: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Changes in Fair</w:t>
            </w:r>
          </w:p>
        </w:tc>
        <w:tc>
          <w:tcPr>
            <w:tcW w:w="1220" w:type="dxa"/>
            <w:vAlign w:val="bottom"/>
            <w:gridSpan w:val="2"/>
            <w:vMerge w:val="restart"/>
          </w:tcPr>
          <w:p>
            <w:pPr>
              <w:jc w:val="center"/>
              <w:ind w:right="88"/>
              <w:spacing w:after="0"/>
              <w:rPr>
                <w:sz w:val="20"/>
                <w:szCs w:val="20"/>
                <w:color w:val="auto"/>
              </w:rPr>
            </w:pPr>
            <w:r>
              <w:rPr>
                <w:rFonts w:ascii="Arial" w:cs="Arial" w:eastAsia="Arial" w:hAnsi="Arial"/>
                <w:sz w:val="14"/>
                <w:szCs w:val="14"/>
                <w:b w:val="1"/>
                <w:bCs w:val="1"/>
                <w:color w:val="auto"/>
              </w:rPr>
              <w:t>Changes in</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rPr>
              <w:t>and Other</w:t>
            </w:r>
          </w:p>
        </w:tc>
        <w:tc>
          <w:tcPr>
            <w:tcW w:w="13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4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Exchange</w:t>
            </w:r>
          </w:p>
        </w:tc>
        <w:tc>
          <w:tcPr>
            <w:tcW w:w="1340" w:type="dxa"/>
            <w:vAlign w:val="bottom"/>
            <w:gridSpan w:val="2"/>
          </w:tcPr>
          <w:p>
            <w:pPr>
              <w:jc w:val="right"/>
              <w:ind w:right="128"/>
              <w:spacing w:after="0" w:line="148" w:lineRule="exact"/>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2"/>
                <w:szCs w:val="12"/>
                <w:color w:val="auto"/>
              </w:rPr>
            </w:pPr>
          </w:p>
        </w:tc>
        <w:tc>
          <w:tcPr>
            <w:tcW w:w="1000" w:type="dxa"/>
            <w:vAlign w:val="bottom"/>
          </w:tcPr>
          <w:p>
            <w:pPr>
              <w:jc w:val="center"/>
              <w:ind w:right="308"/>
              <w:spacing w:after="0" w:line="148" w:lineRule="exact"/>
              <w:rPr>
                <w:sz w:val="20"/>
                <w:szCs w:val="20"/>
                <w:color w:val="auto"/>
              </w:rPr>
            </w:pPr>
            <w:r>
              <w:rPr>
                <w:rFonts w:ascii="Arial" w:cs="Arial" w:eastAsia="Arial" w:hAnsi="Arial"/>
                <w:sz w:val="14"/>
                <w:szCs w:val="14"/>
                <w:b w:val="1"/>
                <w:bCs w:val="1"/>
                <w:color w:val="auto"/>
                <w:w w:val="99"/>
              </w:rPr>
              <w:t>Value of</w:t>
            </w:r>
          </w:p>
        </w:tc>
        <w:tc>
          <w:tcPr>
            <w:tcW w:w="1220" w:type="dxa"/>
            <w:vAlign w:val="bottom"/>
            <w:gridSpan w:val="2"/>
          </w:tcPr>
          <w:p>
            <w:pPr>
              <w:jc w:val="center"/>
              <w:ind w:right="68"/>
              <w:spacing w:after="0" w:line="148"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2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1"/>
                <w:szCs w:val="11"/>
                <w:color w:val="auto"/>
              </w:rPr>
            </w:pPr>
          </w:p>
        </w:tc>
        <w:tc>
          <w:tcPr>
            <w:tcW w:w="1080" w:type="dxa"/>
            <w:vAlign w:val="bottom"/>
          </w:tcPr>
          <w:p>
            <w:pPr>
              <w:jc w:val="center"/>
              <w:ind w:right="268"/>
              <w:spacing w:after="0" w:line="135" w:lineRule="exact"/>
              <w:rPr>
                <w:sz w:val="20"/>
                <w:szCs w:val="20"/>
                <w:color w:val="auto"/>
              </w:rPr>
            </w:pPr>
            <w:r>
              <w:rPr>
                <w:rFonts w:ascii="Arial" w:cs="Arial" w:eastAsia="Arial" w:hAnsi="Arial"/>
                <w:sz w:val="14"/>
                <w:szCs w:val="14"/>
                <w:b w:val="1"/>
                <w:bCs w:val="1"/>
                <w:color w:val="auto"/>
              </w:rPr>
              <w:t>Benefit</w:t>
            </w:r>
          </w:p>
        </w:tc>
        <w:tc>
          <w:tcPr>
            <w:tcW w:w="1340" w:type="dxa"/>
            <w:vAlign w:val="bottom"/>
            <w:gridSpan w:val="2"/>
          </w:tcPr>
          <w:p>
            <w:pPr>
              <w:jc w:val="right"/>
              <w:ind w:right="8"/>
              <w:spacing w:after="0" w:line="135" w:lineRule="exact"/>
              <w:rPr>
                <w:sz w:val="20"/>
                <w:szCs w:val="20"/>
                <w:color w:val="auto"/>
              </w:rPr>
            </w:pPr>
            <w:r>
              <w:rPr>
                <w:rFonts w:ascii="Arial" w:cs="Arial" w:eastAsia="Arial" w:hAnsi="Arial"/>
                <w:sz w:val="14"/>
                <w:szCs w:val="14"/>
                <w:b w:val="1"/>
                <w:bCs w:val="1"/>
                <w:color w:val="auto"/>
              </w:rPr>
              <w:t>Available for Sale</w:t>
            </w:r>
          </w:p>
        </w:tc>
        <w:tc>
          <w:tcPr>
            <w:tcW w:w="1220" w:type="dxa"/>
            <w:vAlign w:val="bottom"/>
            <w:gridSpan w:val="2"/>
          </w:tcPr>
          <w:p>
            <w:pPr>
              <w:jc w:val="center"/>
              <w:ind w:right="88"/>
              <w:spacing w:after="0" w:line="135" w:lineRule="exact"/>
              <w:rPr>
                <w:sz w:val="20"/>
                <w:szCs w:val="20"/>
                <w:color w:val="auto"/>
              </w:rPr>
            </w:pPr>
            <w:r>
              <w:rPr>
                <w:rFonts w:ascii="Arial" w:cs="Arial" w:eastAsia="Arial" w:hAnsi="Arial"/>
                <w:sz w:val="14"/>
                <w:szCs w:val="14"/>
                <w:b w:val="1"/>
                <w:bCs w:val="1"/>
                <w:color w:val="auto"/>
              </w:rPr>
              <w:t>of Cash Flow</w:t>
            </w:r>
          </w:p>
        </w:tc>
        <w:tc>
          <w:tcPr>
            <w:tcW w:w="260" w:type="dxa"/>
            <w:vAlign w:val="bottom"/>
          </w:tcPr>
          <w:p>
            <w:pPr>
              <w:spacing w:after="0"/>
              <w:rPr>
                <w:sz w:val="11"/>
                <w:szCs w:val="11"/>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Adjustment</w:t>
            </w:r>
          </w:p>
        </w:tc>
        <w:tc>
          <w:tcPr>
            <w:tcW w:w="1340" w:type="dxa"/>
            <w:vAlign w:val="bottom"/>
            <w:tcBorders>
              <w:bottom w:val="single" w:sz="8" w:color="D7282F"/>
            </w:tcBorders>
            <w:gridSpan w:val="2"/>
          </w:tcPr>
          <w:p>
            <w:pPr>
              <w:jc w:val="center"/>
              <w:ind w:right="48"/>
              <w:spacing w:after="0"/>
              <w:rPr>
                <w:sz w:val="20"/>
                <w:szCs w:val="20"/>
                <w:color w:val="auto"/>
              </w:rPr>
            </w:pPr>
            <w:r>
              <w:rPr>
                <w:rFonts w:ascii="Arial" w:cs="Arial" w:eastAsia="Arial" w:hAnsi="Arial"/>
                <w:sz w:val="14"/>
                <w:szCs w:val="14"/>
                <w:b w:val="1"/>
                <w:bCs w:val="1"/>
                <w:color w:val="auto"/>
              </w:rPr>
              <w:t>Adjustments</w:t>
            </w:r>
          </w:p>
        </w:tc>
        <w:tc>
          <w:tcPr>
            <w:tcW w:w="1340" w:type="dxa"/>
            <w:vAlign w:val="bottom"/>
            <w:tcBorders>
              <w:bottom w:val="single" w:sz="8" w:color="D7282F"/>
            </w:tcBorders>
            <w:gridSpan w:val="2"/>
          </w:tcPr>
          <w:p>
            <w:pPr>
              <w:ind w:left="260"/>
              <w:spacing w:after="0"/>
              <w:rPr>
                <w:sz w:val="20"/>
                <w:szCs w:val="20"/>
                <w:color w:val="auto"/>
              </w:rPr>
            </w:pPr>
            <w:r>
              <w:rPr>
                <w:rFonts w:ascii="Arial" w:cs="Arial" w:eastAsia="Arial" w:hAnsi="Arial"/>
                <w:sz w:val="14"/>
                <w:szCs w:val="14"/>
                <w:b w:val="1"/>
                <w:bCs w:val="1"/>
                <w:color w:val="auto"/>
              </w:rPr>
              <w:t>Investments</w:t>
            </w:r>
          </w:p>
        </w:tc>
        <w:tc>
          <w:tcPr>
            <w:tcW w:w="800" w:type="dxa"/>
            <w:vAlign w:val="bottom"/>
            <w:tcBorders>
              <w:bottom w:val="single" w:sz="8" w:color="D7282F"/>
            </w:tcBorders>
          </w:tcPr>
          <w:p>
            <w:pPr>
              <w:jc w:val="center"/>
              <w:ind w:left="208"/>
              <w:spacing w:after="0"/>
              <w:rPr>
                <w:sz w:val="20"/>
                <w:szCs w:val="20"/>
                <w:color w:val="auto"/>
              </w:rPr>
            </w:pPr>
            <w:r>
              <w:rPr>
                <w:rFonts w:ascii="Arial" w:cs="Arial" w:eastAsia="Arial" w:hAnsi="Arial"/>
                <w:sz w:val="14"/>
                <w:szCs w:val="14"/>
                <w:b w:val="1"/>
                <w:bCs w:val="1"/>
                <w:color w:val="auto"/>
              </w:rPr>
              <w:t>Hedges</w:t>
            </w:r>
          </w:p>
        </w:tc>
        <w:tc>
          <w:tcPr>
            <w:tcW w:w="4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50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(2,478)</w:t>
            </w:r>
          </w:p>
        </w:tc>
        <w:tc>
          <w:tcPr>
            <w:tcW w:w="26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(415)</w:t>
            </w:r>
          </w:p>
        </w:tc>
        <w:tc>
          <w:tcPr>
            <w:tcW w:w="34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80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(2,895)</w:t>
            </w:r>
          </w:p>
        </w:tc>
        <w:tc>
          <w:tcPr>
            <w:tcW w:w="0" w:type="dxa"/>
            <w:vAlign w:val="bottom"/>
          </w:tcPr>
          <w:p>
            <w:pPr>
              <w:spacing w:after="0"/>
              <w:rPr>
                <w:sz w:val="1"/>
                <w:szCs w:val="1"/>
                <w:color w:val="auto"/>
              </w:rPr>
            </w:pPr>
          </w:p>
        </w:tc>
      </w:tr>
      <w:tr>
        <w:trPr>
          <w:trHeight w:val="191"/>
        </w:trPr>
        <w:tc>
          <w:tcPr>
            <w:tcW w:w="508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50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34</w:t>
            </w:r>
          </w:p>
        </w:tc>
        <w:tc>
          <w:tcPr>
            <w:tcW w:w="26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w:t>
            </w:r>
          </w:p>
        </w:tc>
        <w:tc>
          <w:tcPr>
            <w:tcW w:w="80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39</w:t>
            </w:r>
          </w:p>
        </w:tc>
        <w:tc>
          <w:tcPr>
            <w:tcW w:w="26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Amounts reclassified from accumulated other comprehensive income (loss)</w:t>
            </w:r>
          </w:p>
        </w:tc>
        <w:tc>
          <w:tcPr>
            <w:tcW w:w="50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w:t>
            </w:r>
          </w:p>
        </w:tc>
        <w:tc>
          <w:tcPr>
            <w:tcW w:w="34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50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w:t>
            </w:r>
          </w:p>
        </w:tc>
        <w:tc>
          <w:tcPr>
            <w:tcW w:w="34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w:t>
            </w:r>
          </w:p>
        </w:tc>
        <w:tc>
          <w:tcPr>
            <w:tcW w:w="80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w:t>
            </w: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50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(2,447)</w:t>
            </w:r>
          </w:p>
        </w:tc>
        <w:tc>
          <w:tcPr>
            <w:tcW w:w="26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(449)</w:t>
            </w:r>
          </w:p>
        </w:tc>
        <w:tc>
          <w:tcPr>
            <w:tcW w:w="34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w:t>
            </w:r>
          </w:p>
        </w:tc>
        <w:tc>
          <w:tcPr>
            <w:tcW w:w="80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(2,883)</w:t>
            </w:r>
          </w:p>
        </w:tc>
        <w:tc>
          <w:tcPr>
            <w:tcW w:w="0" w:type="dxa"/>
            <w:vAlign w:val="bottom"/>
          </w:tcPr>
          <w:p>
            <w:pPr>
              <w:spacing w:after="0"/>
              <w:rPr>
                <w:sz w:val="1"/>
                <w:szCs w:val="1"/>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29"/>
          <w:szCs w:val="29"/>
          <w:color w:val="D7282F"/>
        </w:rPr>
        <w:t>NOTE 14.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Honeywell's environmental matters are described in Note 19 Commitments and Contingencies of Notes to Consolidated Financial Statements in the Company's 2022 Annual Report on Form 10-K.</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4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2900" w:type="dxa"/>
            <w:vAlign w:val="bottom"/>
            <w:tcBorders>
              <w:top w:val="single" w:sz="8" w:color="D7282F"/>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w:t>
            </w:r>
          </w:p>
        </w:tc>
      </w:tr>
      <w:tr>
        <w:trPr>
          <w:trHeight w:val="190"/>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90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137</w:t>
            </w:r>
          </w:p>
        </w:tc>
      </w:tr>
      <w:tr>
        <w:trPr>
          <w:trHeight w:val="188"/>
        </w:trPr>
        <w:tc>
          <w:tcPr>
            <w:tcW w:w="7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90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(59)</w:t>
            </w:r>
          </w:p>
        </w:tc>
      </w:tr>
      <w:tr>
        <w:trPr>
          <w:trHeight w:val="195"/>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2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693</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Borders>
              <w:bottom w:val="single" w:sz="8" w:color="D7282F"/>
            </w:tcBorders>
          </w:tcPr>
          <w:p>
            <w:pPr>
              <w:spacing w:after="0"/>
              <w:rPr>
                <w:sz w:val="16"/>
                <w:szCs w:val="16"/>
                <w:color w:val="auto"/>
              </w:rPr>
            </w:pPr>
          </w:p>
        </w:tc>
        <w:tc>
          <w:tcPr>
            <w:tcW w:w="40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June 30, 2023</w:t>
            </w:r>
          </w:p>
        </w:tc>
        <w:tc>
          <w:tcPr>
            <w:tcW w:w="48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0"/>
        </w:trPr>
        <w:tc>
          <w:tcPr>
            <w:tcW w:w="49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4040" w:type="dxa"/>
            <w:vAlign w:val="bottom"/>
            <w:tcBorders>
              <w:bottom w:val="single" w:sz="8" w:color="61656A"/>
            </w:tcBorders>
          </w:tcPr>
          <w:p>
            <w:pPr>
              <w:jc w:val="right"/>
              <w:ind w:right="10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222</w:t>
            </w:r>
          </w:p>
        </w:tc>
        <w:tc>
          <w:tcPr>
            <w:tcW w:w="84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222</w:t>
            </w:r>
          </w:p>
        </w:tc>
      </w:tr>
      <w:tr>
        <w:trPr>
          <w:trHeight w:val="196"/>
        </w:trPr>
        <w:tc>
          <w:tcPr>
            <w:tcW w:w="49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404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471</w:t>
            </w:r>
          </w:p>
        </w:tc>
        <w:tc>
          <w:tcPr>
            <w:tcW w:w="8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393</w:t>
            </w:r>
          </w:p>
        </w:tc>
      </w:tr>
      <w:tr>
        <w:trPr>
          <w:trHeight w:val="189"/>
        </w:trPr>
        <w:tc>
          <w:tcPr>
            <w:tcW w:w="49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environmental liabilities</w:t>
            </w:r>
          </w:p>
        </w:tc>
        <w:tc>
          <w:tcPr>
            <w:tcW w:w="4040" w:type="dxa"/>
            <w:vAlign w:val="bottom"/>
            <w:tcBorders>
              <w:bottom w:val="single" w:sz="8" w:color="D7282F"/>
            </w:tcBorders>
          </w:tcPr>
          <w:p>
            <w:pPr>
              <w:jc w:val="right"/>
              <w:ind w:right="106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693</w:t>
            </w:r>
          </w:p>
        </w:tc>
        <w:tc>
          <w:tcPr>
            <w:tcW w:w="84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w:t>
            </w: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Reimbursements associated with this agreement are collected from Resideo quarterly and was $70 million in the six months ended June 30, 2023,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six months ended June 30, 2023, was $103 million. As of June 30, 2023, Other current assets and Other assets included $140 million and $507 million, respectively, for the short-term and long-term portion of the receivable amount due from Resideo under the indemnification and reimbursement agreement.</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Honeywell is named in asbestos-related personal injury claims related to North American Refractories Company (NARCO), which was sold in 1986, and the Bendix Friction Materials (Bendix) business, which was sold in 2014.</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NARCO and Bendix asbestos-related balances:</w:t>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Borders>
              <w:bottom w:val="single" w:sz="8" w:color="D7282F"/>
            </w:tcBorders>
          </w:tcPr>
          <w:p>
            <w:pPr>
              <w:spacing w:after="0"/>
              <w:rPr>
                <w:sz w:val="16"/>
                <w:szCs w:val="16"/>
                <w:color w:val="auto"/>
              </w:rPr>
            </w:pPr>
          </w:p>
        </w:tc>
        <w:tc>
          <w:tcPr>
            <w:tcW w:w="3700" w:type="dxa"/>
            <w:vAlign w:val="bottom"/>
            <w:tcBorders>
              <w:bottom w:val="single" w:sz="8" w:color="D7282F"/>
            </w:tcBorders>
            <w:gridSpan w:val="2"/>
          </w:tcPr>
          <w:p>
            <w:pPr>
              <w:ind w:left="2860"/>
              <w:spacing w:after="0"/>
              <w:rPr>
                <w:sz w:val="20"/>
                <w:szCs w:val="20"/>
                <w:color w:val="auto"/>
              </w:rPr>
            </w:pPr>
            <w:r>
              <w:rPr>
                <w:rFonts w:ascii="Arial" w:cs="Arial" w:eastAsia="Arial" w:hAnsi="Arial"/>
                <w:sz w:val="14"/>
                <w:szCs w:val="14"/>
                <w:b w:val="1"/>
                <w:bCs w:val="1"/>
                <w:color w:val="auto"/>
              </w:rPr>
              <w:t>Bendix</w:t>
            </w:r>
          </w:p>
        </w:tc>
        <w:tc>
          <w:tcPr>
            <w:tcW w:w="102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2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56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2022</w:t>
            </w:r>
          </w:p>
        </w:tc>
        <w:tc>
          <w:tcPr>
            <w:tcW w:w="3060" w:type="dxa"/>
            <w:vAlign w:val="bottom"/>
            <w:tcBorders>
              <w:bottom w:val="single" w:sz="8" w:color="D7282F"/>
            </w:tcBorders>
          </w:tcPr>
          <w:p>
            <w:pPr>
              <w:ind w:left="286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1,291</w:t>
            </w:r>
          </w:p>
        </w:tc>
        <w:tc>
          <w:tcPr>
            <w:tcW w:w="3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1,325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2,616</w:t>
            </w:r>
          </w:p>
        </w:tc>
      </w:tr>
      <w:tr>
        <w:trPr>
          <w:trHeight w:val="183"/>
        </w:trPr>
        <w:tc>
          <w:tcPr>
            <w:tcW w:w="5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 for update to estimated liability</w:t>
            </w:r>
          </w:p>
        </w:tc>
        <w:tc>
          <w:tcPr>
            <w:tcW w:w="3060" w:type="dxa"/>
            <w:vAlign w:val="bottom"/>
            <w:tcBorders>
              <w:bottom w:val="single" w:sz="8" w:color="61656A"/>
            </w:tcBorders>
          </w:tcPr>
          <w:p>
            <w:pPr>
              <w:spacing w:after="0"/>
              <w:rPr>
                <w:sz w:val="15"/>
                <w:szCs w:val="15"/>
                <w:color w:val="auto"/>
              </w:rPr>
            </w:pPr>
          </w:p>
        </w:tc>
        <w:tc>
          <w:tcPr>
            <w:tcW w:w="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w:t>
            </w:r>
          </w:p>
        </w:tc>
        <w:tc>
          <w:tcPr>
            <w:tcW w:w="340" w:type="dxa"/>
            <w:vAlign w:val="bottom"/>
            <w:tcBorders>
              <w:bottom w:val="single" w:sz="8" w:color="61656A"/>
            </w:tcBorders>
          </w:tcPr>
          <w:p>
            <w:pPr>
              <w:spacing w:after="0"/>
              <w:rPr>
                <w:sz w:val="15"/>
                <w:szCs w:val="15"/>
                <w:color w:val="auto"/>
              </w:rPr>
            </w:pPr>
          </w:p>
        </w:tc>
        <w:tc>
          <w:tcPr>
            <w:tcW w:w="6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5"/>
                <w:szCs w:val="15"/>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r>
      <w:tr>
        <w:trPr>
          <w:trHeight w:val="190"/>
        </w:trPr>
        <w:tc>
          <w:tcPr>
            <w:tcW w:w="5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 in estimated cost of future claims</w:t>
            </w:r>
          </w:p>
        </w:tc>
        <w:tc>
          <w:tcPr>
            <w:tcW w:w="306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5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306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(81)</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w:t>
            </w:r>
          </w:p>
        </w:tc>
      </w:tr>
      <w:tr>
        <w:trPr>
          <w:trHeight w:val="188"/>
        </w:trPr>
        <w:tc>
          <w:tcPr>
            <w:tcW w:w="5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NARCO Buyout</w:t>
            </w:r>
          </w:p>
        </w:tc>
        <w:tc>
          <w:tcPr>
            <w:tcW w:w="306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(1,325)</w:t>
            </w:r>
          </w:p>
        </w:tc>
        <w:tc>
          <w:tcPr>
            <w:tcW w:w="2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(1,325)</w:t>
            </w:r>
          </w:p>
        </w:tc>
      </w:tr>
      <w:tr>
        <w:trPr>
          <w:trHeight w:val="195"/>
        </w:trPr>
        <w:tc>
          <w:tcPr>
            <w:tcW w:w="56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June 30, 2023</w:t>
            </w:r>
          </w:p>
        </w:tc>
        <w:tc>
          <w:tcPr>
            <w:tcW w:w="3060" w:type="dxa"/>
            <w:vAlign w:val="bottom"/>
            <w:tcBorders>
              <w:bottom w:val="single" w:sz="8" w:color="D7282F"/>
            </w:tcBorders>
          </w:tcPr>
          <w:p>
            <w:pPr>
              <w:ind w:left="286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1,249</w:t>
            </w:r>
          </w:p>
        </w:tc>
        <w:tc>
          <w:tcPr>
            <w:tcW w:w="3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1,249</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INSURANCE RECOVERIES FOR ASBESTOS-RELATED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Borders>
              <w:bottom w:val="single" w:sz="8" w:color="D7282F"/>
            </w:tcBorders>
          </w:tcPr>
          <w:p>
            <w:pPr>
              <w:spacing w:after="0"/>
              <w:rPr>
                <w:sz w:val="16"/>
                <w:szCs w:val="16"/>
                <w:color w:val="auto"/>
              </w:rPr>
            </w:pPr>
          </w:p>
        </w:tc>
        <w:tc>
          <w:tcPr>
            <w:tcW w:w="760" w:type="dxa"/>
            <w:vAlign w:val="bottom"/>
            <w:tcBorders>
              <w:bottom w:val="single" w:sz="8" w:color="DC202E"/>
            </w:tcBorders>
            <w:gridSpan w:val="2"/>
          </w:tcPr>
          <w:p>
            <w:pPr>
              <w:ind w:left="20"/>
              <w:spacing w:after="0"/>
              <w:rPr>
                <w:sz w:val="20"/>
                <w:szCs w:val="20"/>
                <w:color w:val="auto"/>
              </w:rPr>
            </w:pPr>
            <w:r>
              <w:rPr>
                <w:rFonts w:ascii="Arial" w:cs="Arial" w:eastAsia="Arial" w:hAnsi="Arial"/>
                <w:sz w:val="14"/>
                <w:szCs w:val="14"/>
                <w:b w:val="1"/>
                <w:bCs w:val="1"/>
                <w:color w:val="auto"/>
              </w:rPr>
              <w:t>Bendix</w:t>
            </w:r>
          </w:p>
        </w:tc>
        <w:tc>
          <w:tcPr>
            <w:tcW w:w="2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NARCO</w:t>
            </w:r>
          </w:p>
        </w:tc>
        <w:tc>
          <w:tcPr>
            <w:tcW w:w="260" w:type="dxa"/>
            <w:vAlign w:val="bottom"/>
            <w:tcBorders>
              <w:bottom w:val="single" w:sz="8" w:color="D7282F"/>
            </w:tcBorders>
          </w:tcPr>
          <w:p>
            <w:pPr>
              <w:spacing w:after="0"/>
              <w:rPr>
                <w:sz w:val="16"/>
                <w:szCs w:val="16"/>
                <w:color w:val="auto"/>
              </w:rPr>
            </w:pPr>
          </w:p>
        </w:tc>
        <w:tc>
          <w:tcPr>
            <w:tcW w:w="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846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130</w:t>
            </w:r>
          </w:p>
        </w:tc>
        <w:tc>
          <w:tcPr>
            <w:tcW w:w="52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265</w:t>
            </w:r>
          </w:p>
        </w:tc>
      </w:tr>
      <w:tr>
        <w:trPr>
          <w:trHeight w:val="191"/>
        </w:trPr>
        <w:tc>
          <w:tcPr>
            <w:tcW w:w="8460" w:type="dxa"/>
            <w:vAlign w:val="bottom"/>
            <w:tcBorders>
              <w:top w:val="single" w:sz="8" w:color="D7282F"/>
              <w:bottom w:val="single" w:sz="8" w:color="61656A"/>
            </w:tcBorders>
          </w:tcPr>
          <w:p>
            <w:pPr>
              <w:ind w:left="140"/>
              <w:spacing w:after="0"/>
              <w:rPr>
                <w:sz w:val="20"/>
                <w:szCs w:val="20"/>
                <w:color w:val="auto"/>
              </w:rPr>
            </w:pPr>
            <w:r>
              <w:rPr>
                <w:rFonts w:ascii="Arial" w:cs="Arial" w:eastAsia="Arial" w:hAnsi="Arial"/>
                <w:sz w:val="14"/>
                <w:szCs w:val="14"/>
                <w:color w:val="auto"/>
              </w:rPr>
              <w:t>Probable insurance recoveries related to estimated liability</w:t>
            </w:r>
          </w:p>
        </w:tc>
        <w:tc>
          <w:tcPr>
            <w:tcW w:w="280" w:type="dxa"/>
            <w:vAlign w:val="bottom"/>
            <w:tcBorders>
              <w:top w:val="single" w:sz="8" w:color="DC202E"/>
              <w:bottom w:val="single" w:sz="8" w:color="61656A"/>
            </w:tcBorders>
          </w:tcPr>
          <w:p>
            <w:pPr>
              <w:spacing w:after="0"/>
              <w:rPr>
                <w:sz w:val="16"/>
                <w:szCs w:val="16"/>
                <w:color w:val="auto"/>
              </w:rPr>
            </w:pPr>
          </w:p>
        </w:tc>
        <w:tc>
          <w:tcPr>
            <w:tcW w:w="480" w:type="dxa"/>
            <w:vAlign w:val="bottom"/>
            <w:tcBorders>
              <w:top w:val="single" w:sz="8" w:color="DC202E"/>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top w:val="single" w:sz="8" w:color="D7282F"/>
              <w:bottom w:val="single" w:sz="8" w:color="61656A"/>
            </w:tcBorders>
          </w:tcPr>
          <w:p>
            <w:pPr>
              <w:spacing w:after="0"/>
              <w:rPr>
                <w:sz w:val="16"/>
                <w:szCs w:val="16"/>
                <w:color w:val="auto"/>
              </w:rPr>
            </w:pPr>
          </w:p>
        </w:tc>
        <w:tc>
          <w:tcPr>
            <w:tcW w:w="280" w:type="dxa"/>
            <w:vAlign w:val="bottom"/>
            <w:tcBorders>
              <w:top w:val="single" w:sz="8" w:color="DC202E"/>
              <w:bottom w:val="single" w:sz="8" w:color="61656A"/>
            </w:tcBorders>
          </w:tcPr>
          <w:p>
            <w:pPr>
              <w:spacing w:after="0"/>
              <w:rPr>
                <w:sz w:val="16"/>
                <w:szCs w:val="16"/>
                <w:color w:val="auto"/>
              </w:rPr>
            </w:pPr>
          </w:p>
        </w:tc>
        <w:tc>
          <w:tcPr>
            <w:tcW w:w="480" w:type="dxa"/>
            <w:vAlign w:val="bottom"/>
            <w:tcBorders>
              <w:top w:val="single" w:sz="8" w:color="DC202E"/>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D7282F"/>
              <w:bottom w:val="single" w:sz="8" w:color="61656A"/>
            </w:tcBorders>
          </w:tcPr>
          <w:p>
            <w:pPr>
              <w:spacing w:after="0"/>
              <w:rPr>
                <w:sz w:val="16"/>
                <w:szCs w:val="16"/>
                <w:color w:val="auto"/>
              </w:rPr>
            </w:pPr>
          </w:p>
        </w:tc>
        <w:tc>
          <w:tcPr>
            <w:tcW w:w="80" w:type="dxa"/>
            <w:vAlign w:val="bottom"/>
            <w:tcBorders>
              <w:top w:val="single" w:sz="8" w:color="DC202E"/>
              <w:bottom w:val="single" w:sz="8" w:color="61656A"/>
            </w:tcBorders>
          </w:tcPr>
          <w:p>
            <w:pPr>
              <w:spacing w:after="0"/>
              <w:rPr>
                <w:sz w:val="16"/>
                <w:szCs w:val="16"/>
                <w:color w:val="auto"/>
              </w:rPr>
            </w:pPr>
          </w:p>
        </w:tc>
        <w:tc>
          <w:tcPr>
            <w:tcW w:w="680" w:type="dxa"/>
            <w:vAlign w:val="bottom"/>
            <w:tcBorders>
              <w:top w:val="single" w:sz="8" w:color="DC202E"/>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88"/>
        </w:trPr>
        <w:tc>
          <w:tcPr>
            <w:tcW w:w="8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Insurance receipts for asbestos-related liabilities</w:t>
            </w:r>
          </w:p>
        </w:tc>
        <w:tc>
          <w:tcPr>
            <w:tcW w:w="280" w:type="dxa"/>
            <w:vAlign w:val="bottom"/>
            <w:tcBorders>
              <w:bottom w:val="single" w:sz="8" w:color="D7282F"/>
            </w:tcBorders>
          </w:tcPr>
          <w:p>
            <w:pPr>
              <w:spacing w:after="0"/>
              <w:rPr>
                <w:sz w:val="16"/>
                <w:szCs w:val="16"/>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w:t>
            </w:r>
          </w:p>
        </w:tc>
        <w:tc>
          <w:tcPr>
            <w:tcW w:w="260" w:type="dxa"/>
            <w:vAlign w:val="bottom"/>
            <w:tcBorders>
              <w:bottom w:val="single" w:sz="8" w:color="D7282F"/>
            </w:tcBorders>
          </w:tcPr>
          <w:p>
            <w:pPr>
              <w:spacing w:after="0"/>
              <w:rPr>
                <w:sz w:val="16"/>
                <w:szCs w:val="16"/>
                <w:color w:val="auto"/>
              </w:rPr>
            </w:pPr>
          </w:p>
        </w:tc>
        <w:tc>
          <w:tcPr>
            <w:tcW w:w="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r>
      <w:tr>
        <w:trPr>
          <w:trHeight w:val="195"/>
        </w:trPr>
        <w:tc>
          <w:tcPr>
            <w:tcW w:w="84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129</w:t>
            </w:r>
          </w:p>
        </w:tc>
        <w:tc>
          <w:tcPr>
            <w:tcW w:w="520" w:type="dxa"/>
            <w:vAlign w:val="bottom"/>
            <w:tcBorders>
              <w:bottom w:val="single" w:sz="8" w:color="D7282F"/>
            </w:tcBorders>
            <w:gridSpan w:val="2"/>
          </w:tcPr>
          <w:p>
            <w:pPr>
              <w:ind w:left="26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115</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244</w:t>
            </w:r>
          </w:p>
        </w:tc>
      </w:tr>
    </w:tbl>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24</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NARCO and Bendix asbestos-related balances are included in the following balance sheet accounts: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00" w:type="dxa"/>
            <w:vAlign w:val="bottom"/>
            <w:tcBorders>
              <w:bottom w:val="single" w:sz="8" w:color="D7282F"/>
            </w:tcBorders>
          </w:tcPr>
          <w:p>
            <w:pPr>
              <w:spacing w:after="0"/>
              <w:rPr>
                <w:sz w:val="17"/>
                <w:szCs w:val="17"/>
                <w:color w:val="auto"/>
              </w:rPr>
            </w:pPr>
          </w:p>
        </w:tc>
        <w:tc>
          <w:tcPr>
            <w:tcW w:w="3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4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1"/>
        </w:trPr>
        <w:tc>
          <w:tcPr>
            <w:tcW w:w="5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current assets</w:t>
            </w:r>
          </w:p>
        </w:tc>
        <w:tc>
          <w:tcPr>
            <w:tcW w:w="3040" w:type="dxa"/>
            <w:vAlign w:val="bottom"/>
            <w:tcBorders>
              <w:bottom w:val="single" w:sz="8" w:color="61656A"/>
            </w:tcBorders>
          </w:tcPr>
          <w:p>
            <w:pPr>
              <w:jc w:val="right"/>
              <w:ind w:right="10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w:t>
            </w:r>
          </w:p>
        </w:tc>
        <w:tc>
          <w:tcPr>
            <w:tcW w:w="780" w:type="dxa"/>
            <w:vAlign w:val="bottom"/>
            <w:tcBorders>
              <w:bottom w:val="single" w:sz="8" w:color="61656A"/>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r>
      <w:tr>
        <w:trPr>
          <w:trHeight w:val="188"/>
        </w:trPr>
        <w:tc>
          <w:tcPr>
            <w:tcW w:w="5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304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203</w:t>
            </w:r>
          </w:p>
        </w:tc>
        <w:tc>
          <w:tcPr>
            <w:tcW w:w="78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224</w:t>
            </w:r>
          </w:p>
        </w:tc>
      </w:tr>
      <w:tr>
        <w:trPr>
          <w:trHeight w:val="195"/>
        </w:trPr>
        <w:tc>
          <w:tcPr>
            <w:tcW w:w="5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insurance recoveries for asbestos-related liabilities</w:t>
            </w:r>
          </w:p>
        </w:tc>
        <w:tc>
          <w:tcPr>
            <w:tcW w:w="3040" w:type="dxa"/>
            <w:vAlign w:val="bottom"/>
            <w:tcBorders>
              <w:bottom w:val="single" w:sz="8" w:color="D7282F"/>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244</w:t>
            </w:r>
          </w:p>
        </w:tc>
        <w:tc>
          <w:tcPr>
            <w:tcW w:w="78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265</w:t>
            </w:r>
          </w:p>
        </w:tc>
      </w:tr>
      <w:tr>
        <w:trPr>
          <w:trHeight w:val="191"/>
        </w:trPr>
        <w:tc>
          <w:tcPr>
            <w:tcW w:w="5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3040" w:type="dxa"/>
            <w:vAlign w:val="bottom"/>
            <w:tcBorders>
              <w:bottom w:val="single" w:sz="8" w:color="61656A"/>
            </w:tcBorders>
          </w:tcPr>
          <w:p>
            <w:pPr>
              <w:jc w:val="right"/>
              <w:ind w:right="10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121</w:t>
            </w:r>
          </w:p>
        </w:tc>
        <w:tc>
          <w:tcPr>
            <w:tcW w:w="780" w:type="dxa"/>
            <w:vAlign w:val="bottom"/>
            <w:tcBorders>
              <w:bottom w:val="single" w:sz="8" w:color="61656A"/>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1,436</w:t>
            </w:r>
          </w:p>
        </w:tc>
      </w:tr>
      <w:tr>
        <w:trPr>
          <w:trHeight w:val="189"/>
        </w:trPr>
        <w:tc>
          <w:tcPr>
            <w:tcW w:w="5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304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1,128</w:t>
            </w:r>
          </w:p>
        </w:tc>
        <w:tc>
          <w:tcPr>
            <w:tcW w:w="78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1,180</w:t>
            </w:r>
          </w:p>
        </w:tc>
      </w:tr>
      <w:tr>
        <w:trPr>
          <w:trHeight w:val="196"/>
        </w:trPr>
        <w:tc>
          <w:tcPr>
            <w:tcW w:w="5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asbestos-related liabilities</w:t>
            </w:r>
            <w:r>
              <w:rPr>
                <w:rFonts w:ascii="Arial" w:cs="Arial" w:eastAsia="Arial" w:hAnsi="Arial"/>
                <w:sz w:val="9"/>
                <w:szCs w:val="9"/>
                <w:b w:val="1"/>
                <w:bCs w:val="1"/>
                <w:color w:val="auto"/>
              </w:rPr>
              <w:t>(a)</w:t>
            </w:r>
          </w:p>
        </w:tc>
        <w:tc>
          <w:tcPr>
            <w:tcW w:w="3040" w:type="dxa"/>
            <w:vAlign w:val="bottom"/>
            <w:tcBorders>
              <w:bottom w:val="single" w:sz="8" w:color="D7282F"/>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1,249</w:t>
            </w:r>
          </w:p>
        </w:tc>
        <w:tc>
          <w:tcPr>
            <w:tcW w:w="78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2,616</w:t>
            </w:r>
          </w:p>
        </w:tc>
      </w:tr>
    </w:tbl>
    <w:p>
      <w:pPr>
        <w:spacing w:after="0" w:line="229" w:lineRule="exact"/>
        <w:rPr>
          <w:sz w:val="20"/>
          <w:szCs w:val="20"/>
          <w:color w:val="auto"/>
        </w:rPr>
      </w:pPr>
    </w:p>
    <w:p>
      <w:pPr>
        <w:ind w:left="560" w:right="400" w:hanging="534"/>
        <w:spacing w:after="0" w:line="225" w:lineRule="auto"/>
        <w:tabs>
          <w:tab w:leader="none" w:pos="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As of December 31, 2022, Accrued liabilities included the Buyout Amount, as described and defined below, agreed upon between Honeywell and the Trust. The Buyout Amount does not represent an asbestos-related liability.</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NARCO Products </w:t>
      </w:r>
      <w:r>
        <w:rPr>
          <w:rFonts w:ascii="Arial" w:cs="Arial" w:eastAsia="Arial" w:hAnsi="Arial"/>
          <w:sz w:val="16"/>
          <w:szCs w:val="16"/>
          <w:color w:val="auto"/>
        </w:rPr>
        <w:t>– NARCO manufactured high-grade, heat-resistant, refractory products for various industries. Honeywell’s predecessor, Allied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owned NARCO from 1979 to 1986. Allied Corporation sold the NARCO business in 1986 and entered into a cross-indemnity agreement which included an obligation to indemnify the purchaser for asbestos claims. NARCO ceased manufacturing asbestos containing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(Channeling Injunction). The NARCO Trust Agreement and the NARCO Trust Distribution Procedures set forth the structure and operating rules of the Trust, and established Honeywell’s evergreen funding obligations.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18, 2022, Honeywell entered into a definitive agreement with the Trust and certain other parties, which was subsequently amended on November 20, 2022 (Amended Buyout Agreement).</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Pursuant to the terms of the Amended Buyout Agreement, Honeywell agreed to make a one-time, lump sum payment in the amount of $1.325 billion to the Trust (Buyout Amount), subject to certain deductions as described in the Amended Buyout Agreement and in exchange for the release by the Trust of Honeywell from all further and future obligations of any kind related to the Trust and/or any claimants who were exposed to asbestos-containing products manufactured, sold, or distributed by NARCO or its predecessors (the Honeywell Obligations) (the NARCO Buyout). In accordance with the Amended Buyout Agreement, the economic rights of the Trust in respect of the net proceeds from the HWI Sale (as defined in Note 11 Fair Value Measurements) inure to the benefit of Honeywell.</w:t>
      </w:r>
    </w:p>
    <w:p>
      <w:pPr>
        <w:spacing w:after="0" w:line="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8, 2022, the Bankruptcy Court issued an order that (A) approved the Amended Buyout Agreement, and (B) declared that the Channeling Injunction will remain in full force and effect without modification, dissolution, or termination.</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December 14, 2022, HWI (as defined in Note 11 Fair Value Measurements) entered into a definitive sale agreement for the sale of HWI to an affiliate of Platinum Equity, LLC subject to the terms set forth in the agreement.</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January 30, 2023, the Company paid the Buyout Amount to the Trust, the parties closed the transactions contemplated in the Amended Buyout Agreement, and Honeywell was released from the Honeywell Obligations. Honeywell continues to have the right to collect proceeds in connection with its NARCO asbestos-related insurance policies.</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February 16, 2023, the HWI Sale closed. Pursuant to the Amended Buyout Agreement, during the six months ended June 30, 2023, Honeywell received $275 million of proceeds from the HWI sale. See Note 11 Fair Value Measurements for further information on the related proceeds and remaining amount under the Amended Buyout Agreement.</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additional information, see the Company's Annual Report on Form 10-K, filed with the SEC on February 10, 2023, under Note 19 Commitments and Contingencies.</w:t>
      </w:r>
    </w:p>
    <w:p>
      <w:pPr>
        <w:spacing w:after="0" w:line="381"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Bendix Products </w:t>
      </w:r>
      <w:r>
        <w:rPr>
          <w:rFonts w:ascii="Arial" w:cs="Arial" w:eastAsia="Arial" w:hAnsi="Arial"/>
          <w:sz w:val="16"/>
          <w:szCs w:val="16"/>
          <w:color w:val="auto"/>
        </w:rPr>
        <w:t>– Bendix manufactured automotive brake linings that contained chrysotile asbestos in an encapsulated form. Claimants consist largely of</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70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Years Ended</w:t>
            </w:r>
          </w:p>
        </w:tc>
        <w:tc>
          <w:tcPr>
            <w:tcW w:w="1180" w:type="dxa"/>
            <w:vAlign w:val="bottom"/>
          </w:tcPr>
          <w:p>
            <w:pPr>
              <w:spacing w:after="0"/>
              <w:rPr>
                <w:sz w:val="14"/>
                <w:szCs w:val="14"/>
                <w:color w:val="auto"/>
              </w:rPr>
            </w:pPr>
          </w:p>
        </w:tc>
      </w:tr>
      <w:tr>
        <w:trPr>
          <w:trHeight w:val="189"/>
        </w:trPr>
        <w:tc>
          <w:tcPr>
            <w:tcW w:w="5660" w:type="dxa"/>
            <w:vAlign w:val="bottom"/>
          </w:tcPr>
          <w:p>
            <w:pPr>
              <w:spacing w:after="0"/>
              <w:rPr>
                <w:sz w:val="16"/>
                <w:szCs w:val="16"/>
                <w:color w:val="auto"/>
              </w:rPr>
            </w:pPr>
          </w:p>
        </w:tc>
        <w:tc>
          <w:tcPr>
            <w:tcW w:w="270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spacing w:after="0"/>
              <w:rPr>
                <w:sz w:val="16"/>
                <w:szCs w:val="16"/>
                <w:color w:val="auto"/>
              </w:rPr>
            </w:pPr>
          </w:p>
        </w:tc>
      </w:tr>
      <w:tr>
        <w:trPr>
          <w:trHeight w:val="195"/>
        </w:trPr>
        <w:tc>
          <w:tcPr>
            <w:tcW w:w="5660" w:type="dxa"/>
            <w:vAlign w:val="bottom"/>
            <w:tcBorders>
              <w:bottom w:val="single" w:sz="8" w:color="D7282F"/>
            </w:tcBorders>
          </w:tcPr>
          <w:p>
            <w:pPr>
              <w:spacing w:after="0"/>
              <w:rPr>
                <w:sz w:val="16"/>
                <w:szCs w:val="16"/>
                <w:color w:val="auto"/>
              </w:rPr>
            </w:pPr>
          </w:p>
        </w:tc>
        <w:tc>
          <w:tcPr>
            <w:tcW w:w="1380" w:type="dxa"/>
            <w:vAlign w:val="bottom"/>
            <w:tcBorders>
              <w:top w:val="single" w:sz="8" w:color="D7282F"/>
              <w:bottom w:val="single" w:sz="8" w:color="D7282F"/>
            </w:tcBorders>
          </w:tcPr>
          <w:p>
            <w:pPr>
              <w:jc w:val="center"/>
              <w:ind w:left="348"/>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D7282F"/>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spacing w:after="0"/>
              <w:rPr>
                <w:sz w:val="16"/>
                <w:szCs w:val="16"/>
                <w:color w:val="auto"/>
              </w:rPr>
            </w:pPr>
          </w:p>
        </w:tc>
        <w:tc>
          <w:tcPr>
            <w:tcW w:w="1700" w:type="dxa"/>
            <w:vAlign w:val="bottom"/>
            <w:tcBorders>
              <w:top w:val="single" w:sz="8" w:color="D7282F"/>
              <w:bottom w:val="single" w:sz="8" w:color="D7282F"/>
            </w:tcBorders>
            <w:gridSpan w:val="2"/>
          </w:tcPr>
          <w:p>
            <w:pPr>
              <w:jc w:val="right"/>
              <w:ind w:right="1268"/>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top w:val="single" w:sz="8" w:color="D7282F"/>
              <w:bottom w:val="single" w:sz="8" w:color="D7282F"/>
            </w:tcBorders>
          </w:tcPr>
          <w:p>
            <w:pPr>
              <w:jc w:val="right"/>
              <w:ind w:right="668"/>
              <w:spacing w:after="0"/>
              <w:rPr>
                <w:sz w:val="20"/>
                <w:szCs w:val="20"/>
                <w:color w:val="auto"/>
              </w:rPr>
            </w:pPr>
            <w:r>
              <w:rPr>
                <w:rFonts w:ascii="Arial" w:cs="Arial" w:eastAsia="Arial" w:hAnsi="Arial"/>
                <w:sz w:val="14"/>
                <w:szCs w:val="14"/>
                <w:b w:val="1"/>
                <w:bCs w:val="1"/>
                <w:color w:val="auto"/>
              </w:rPr>
              <w:t>2021</w:t>
            </w:r>
          </w:p>
        </w:tc>
      </w:tr>
      <w:tr>
        <w:trPr>
          <w:trHeight w:val="196"/>
        </w:trPr>
        <w:tc>
          <w:tcPr>
            <w:tcW w:w="56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Claims unresolved at the beginning of period</w:t>
            </w:r>
          </w:p>
        </w:tc>
        <w:tc>
          <w:tcPr>
            <w:tcW w:w="17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b w:val="1"/>
                <w:bCs w:val="1"/>
                <w:color w:val="auto"/>
              </w:rPr>
              <w:t>5,608</w:t>
            </w:r>
          </w:p>
        </w:tc>
        <w:tc>
          <w:tcPr>
            <w:tcW w:w="2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1700" w:type="dxa"/>
            <w:vAlign w:val="bottom"/>
            <w:tcBorders>
              <w:bottom w:val="single" w:sz="8" w:color="61656A"/>
            </w:tcBorders>
            <w:gridSpan w:val="2"/>
          </w:tcPr>
          <w:p>
            <w:pPr>
              <w:ind w:left="680"/>
              <w:spacing w:after="0"/>
              <w:rPr>
                <w:sz w:val="20"/>
                <w:szCs w:val="20"/>
                <w:color w:val="auto"/>
              </w:rPr>
            </w:pPr>
            <w:r>
              <w:rPr>
                <w:rFonts w:ascii="Arial" w:cs="Arial" w:eastAsia="Arial" w:hAnsi="Arial"/>
                <w:sz w:val="14"/>
                <w:szCs w:val="14"/>
                <w:b w:val="1"/>
                <w:bCs w:val="1"/>
                <w:color w:val="auto"/>
              </w:rPr>
              <w:t>6,401</w:t>
            </w:r>
          </w:p>
        </w:tc>
        <w:tc>
          <w:tcPr>
            <w:tcW w:w="1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6,242</w:t>
            </w:r>
          </w:p>
        </w:tc>
      </w:tr>
      <w:tr>
        <w:trPr>
          <w:trHeight w:val="183"/>
        </w:trPr>
        <w:tc>
          <w:tcPr>
            <w:tcW w:w="56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Claims filed</w:t>
            </w:r>
          </w:p>
        </w:tc>
        <w:tc>
          <w:tcPr>
            <w:tcW w:w="17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892</w:t>
            </w:r>
          </w:p>
        </w:tc>
        <w:tc>
          <w:tcPr>
            <w:tcW w:w="240" w:type="dxa"/>
            <w:vAlign w:val="bottom"/>
            <w:tcBorders>
              <w:bottom w:val="single" w:sz="8" w:color="61656A"/>
            </w:tcBorders>
          </w:tcPr>
          <w:p>
            <w:pPr>
              <w:spacing w:after="0"/>
              <w:rPr>
                <w:sz w:val="15"/>
                <w:szCs w:val="15"/>
                <w:color w:val="auto"/>
              </w:rPr>
            </w:pPr>
          </w:p>
        </w:tc>
        <w:tc>
          <w:tcPr>
            <w:tcW w:w="680" w:type="dxa"/>
            <w:vAlign w:val="bottom"/>
            <w:tcBorders>
              <w:bottom w:val="single" w:sz="8" w:color="61656A"/>
            </w:tcBorders>
          </w:tcPr>
          <w:p>
            <w:pPr>
              <w:spacing w:after="0"/>
              <w:rPr>
                <w:sz w:val="15"/>
                <w:szCs w:val="15"/>
                <w:color w:val="auto"/>
              </w:rPr>
            </w:pPr>
          </w:p>
        </w:tc>
        <w:tc>
          <w:tcPr>
            <w:tcW w:w="1700" w:type="dxa"/>
            <w:vAlign w:val="bottom"/>
            <w:tcBorders>
              <w:bottom w:val="single" w:sz="8" w:color="61656A"/>
            </w:tcBorders>
            <w:gridSpan w:val="2"/>
          </w:tcPr>
          <w:p>
            <w:pPr>
              <w:ind w:left="680"/>
              <w:spacing w:after="0"/>
              <w:rPr>
                <w:sz w:val="20"/>
                <w:szCs w:val="20"/>
                <w:color w:val="auto"/>
              </w:rPr>
            </w:pPr>
            <w:r>
              <w:rPr>
                <w:rFonts w:ascii="Arial" w:cs="Arial" w:eastAsia="Arial" w:hAnsi="Arial"/>
                <w:sz w:val="14"/>
                <w:szCs w:val="14"/>
                <w:color w:val="auto"/>
              </w:rPr>
              <w:t>2,014</w:t>
            </w:r>
          </w:p>
        </w:tc>
        <w:tc>
          <w:tcPr>
            <w:tcW w:w="1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2,611</w:t>
            </w:r>
          </w:p>
        </w:tc>
      </w:tr>
      <w:tr>
        <w:trPr>
          <w:trHeight w:val="190"/>
        </w:trPr>
        <w:tc>
          <w:tcPr>
            <w:tcW w:w="56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Claims resolved</w:t>
            </w:r>
          </w:p>
        </w:tc>
        <w:tc>
          <w:tcPr>
            <w:tcW w:w="17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(681)</w:t>
            </w:r>
          </w:p>
        </w:tc>
        <w:tc>
          <w:tcPr>
            <w:tcW w:w="2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1700" w:type="dxa"/>
            <w:vAlign w:val="bottom"/>
            <w:tcBorders>
              <w:bottom w:val="single" w:sz="8" w:color="D7282F"/>
            </w:tcBorders>
            <w:gridSpan w:val="2"/>
          </w:tcPr>
          <w:p>
            <w:pPr>
              <w:jc w:val="right"/>
              <w:ind w:right="548"/>
              <w:spacing w:after="0"/>
              <w:rPr>
                <w:sz w:val="20"/>
                <w:szCs w:val="20"/>
                <w:color w:val="auto"/>
              </w:rPr>
            </w:pPr>
            <w:r>
              <w:rPr>
                <w:rFonts w:ascii="Arial" w:cs="Arial" w:eastAsia="Arial" w:hAnsi="Arial"/>
                <w:sz w:val="14"/>
                <w:szCs w:val="14"/>
                <w:color w:val="auto"/>
              </w:rPr>
              <w:t>(2,807)</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(2,452)</w:t>
            </w:r>
          </w:p>
        </w:tc>
      </w:tr>
      <w:tr>
        <w:trPr>
          <w:trHeight w:val="201"/>
        </w:trPr>
        <w:tc>
          <w:tcPr>
            <w:tcW w:w="56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period</w:t>
            </w:r>
          </w:p>
        </w:tc>
        <w:tc>
          <w:tcPr>
            <w:tcW w:w="17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5,819</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gridSpan w:val="2"/>
          </w:tcPr>
          <w:p>
            <w:pPr>
              <w:ind w:left="680"/>
              <w:spacing w:after="0"/>
              <w:rPr>
                <w:sz w:val="20"/>
                <w:szCs w:val="20"/>
                <w:color w:val="auto"/>
              </w:rPr>
            </w:pPr>
            <w:r>
              <w:rPr>
                <w:rFonts w:ascii="Arial" w:cs="Arial" w:eastAsia="Arial" w:hAnsi="Arial"/>
                <w:sz w:val="14"/>
                <w:szCs w:val="14"/>
                <w:b w:val="1"/>
                <w:bCs w:val="1"/>
                <w:color w:val="auto"/>
              </w:rPr>
              <w:t>5,608</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6,401</w:t>
            </w:r>
          </w:p>
        </w:tc>
      </w:tr>
      <w:tr>
        <w:trPr>
          <w:trHeight w:val="411"/>
        </w:trPr>
        <w:tc>
          <w:tcPr>
            <w:tcW w:w="5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Borders>
              <w:bottom w:val="single" w:sz="8" w:color="D7282F"/>
            </w:tcBorders>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2640" w:type="dxa"/>
            <w:vAlign w:val="bottom"/>
            <w:tcBorders>
              <w:bottom w:val="single" w:sz="8" w:color="D7282F"/>
            </w:tcBorders>
            <w:gridSpan w:val="2"/>
          </w:tcPr>
          <w:p>
            <w:pPr>
              <w:jc w:val="right"/>
              <w:ind w:right="788"/>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56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2700" w:type="dxa"/>
            <w:vAlign w:val="bottom"/>
            <w:tcBorders>
              <w:bottom w:val="single" w:sz="8" w:color="D7282F"/>
            </w:tcBorders>
            <w:gridSpan w:val="4"/>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700" w:type="dxa"/>
            <w:vAlign w:val="bottom"/>
            <w:tcBorders>
              <w:bottom w:val="single" w:sz="8" w:color="D7282F"/>
            </w:tcBorders>
            <w:gridSpan w:val="2"/>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83"/>
        </w:trPr>
        <w:tc>
          <w:tcPr>
            <w:tcW w:w="56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2700" w:type="dxa"/>
            <w:vAlign w:val="bottom"/>
            <w:tcBorders>
              <w:bottom w:val="single" w:sz="8" w:color="61656A"/>
            </w:tcBorders>
            <w:gridSpan w:val="4"/>
          </w:tcPr>
          <w:p>
            <w:pPr>
              <w:jc w:val="right"/>
              <w:ind w:right="60"/>
              <w:spacing w:after="0"/>
              <w:rPr>
                <w:sz w:val="20"/>
                <w:szCs w:val="20"/>
                <w:color w:val="auto"/>
              </w:rPr>
            </w:pPr>
            <w:r>
              <w:rPr>
                <w:rFonts w:ascii="Arial" w:cs="Arial" w:eastAsia="Arial" w:hAnsi="Arial"/>
                <w:sz w:val="14"/>
                <w:szCs w:val="14"/>
                <w:color w:val="auto"/>
              </w:rPr>
              <w:t>3,552</w:t>
            </w:r>
          </w:p>
        </w:tc>
        <w:tc>
          <w:tcPr>
            <w:tcW w:w="1700" w:type="dxa"/>
            <w:vAlign w:val="bottom"/>
            <w:tcBorders>
              <w:bottom w:val="single" w:sz="8" w:color="61656A"/>
            </w:tcBorders>
            <w:gridSpan w:val="2"/>
          </w:tcPr>
          <w:p>
            <w:pPr>
              <w:jc w:val="right"/>
              <w:ind w:right="128"/>
              <w:spacing w:after="0"/>
              <w:rPr>
                <w:sz w:val="20"/>
                <w:szCs w:val="20"/>
                <w:color w:val="auto"/>
              </w:rPr>
            </w:pPr>
            <w:r>
              <w:rPr>
                <w:rFonts w:ascii="Arial" w:cs="Arial" w:eastAsia="Arial" w:hAnsi="Arial"/>
                <w:sz w:val="14"/>
                <w:szCs w:val="14"/>
                <w:color w:val="auto"/>
              </w:rPr>
              <w:t>3,283</w:t>
            </w:r>
          </w:p>
        </w:tc>
        <w:tc>
          <w:tcPr>
            <w:tcW w:w="1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3,760</w:t>
            </w:r>
          </w:p>
        </w:tc>
      </w:tr>
      <w:tr>
        <w:trPr>
          <w:trHeight w:val="190"/>
        </w:trPr>
        <w:tc>
          <w:tcPr>
            <w:tcW w:w="56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2700" w:type="dxa"/>
            <w:vAlign w:val="bottom"/>
            <w:tcBorders>
              <w:bottom w:val="single" w:sz="8" w:color="D7282F"/>
            </w:tcBorders>
            <w:gridSpan w:val="4"/>
          </w:tcPr>
          <w:p>
            <w:pPr>
              <w:jc w:val="right"/>
              <w:ind w:right="60"/>
              <w:spacing w:after="0"/>
              <w:rPr>
                <w:sz w:val="20"/>
                <w:szCs w:val="20"/>
                <w:color w:val="auto"/>
              </w:rPr>
            </w:pPr>
            <w:r>
              <w:rPr>
                <w:rFonts w:ascii="Arial" w:cs="Arial" w:eastAsia="Arial" w:hAnsi="Arial"/>
                <w:sz w:val="14"/>
                <w:szCs w:val="14"/>
                <w:color w:val="auto"/>
              </w:rPr>
              <w:t>2,267</w:t>
            </w:r>
          </w:p>
        </w:tc>
        <w:tc>
          <w:tcPr>
            <w:tcW w:w="170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color w:val="auto"/>
              </w:rPr>
              <w:t>2,325</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2,641</w:t>
            </w:r>
          </w:p>
        </w:tc>
      </w:tr>
      <w:tr>
        <w:trPr>
          <w:trHeight w:val="201"/>
        </w:trPr>
        <w:tc>
          <w:tcPr>
            <w:tcW w:w="56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claims</w:t>
            </w:r>
          </w:p>
        </w:tc>
        <w:tc>
          <w:tcPr>
            <w:tcW w:w="2700" w:type="dxa"/>
            <w:vAlign w:val="bottom"/>
            <w:tcBorders>
              <w:bottom w:val="single" w:sz="8" w:color="D7282F"/>
            </w:tcBorders>
            <w:gridSpan w:val="4"/>
          </w:tcPr>
          <w:p>
            <w:pPr>
              <w:jc w:val="right"/>
              <w:ind w:right="60"/>
              <w:spacing w:after="0"/>
              <w:rPr>
                <w:sz w:val="20"/>
                <w:szCs w:val="20"/>
                <w:color w:val="auto"/>
              </w:rPr>
            </w:pPr>
            <w:r>
              <w:rPr>
                <w:rFonts w:ascii="Arial" w:cs="Arial" w:eastAsia="Arial" w:hAnsi="Arial"/>
                <w:sz w:val="14"/>
                <w:szCs w:val="14"/>
                <w:b w:val="1"/>
                <w:bCs w:val="1"/>
                <w:color w:val="auto"/>
              </w:rPr>
              <w:t>5,819</w:t>
            </w:r>
          </w:p>
        </w:tc>
        <w:tc>
          <w:tcPr>
            <w:tcW w:w="170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5,608</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6,401</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Honeywell has experienced average resolution values per claim excluding legal costs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2760" w:type="dxa"/>
            <w:vAlign w:val="bottom"/>
            <w:tcBorders>
              <w:bottom w:val="single" w:sz="8" w:color="D7282F"/>
            </w:tcBorders>
            <w:gridSpan w:val="5"/>
          </w:tcPr>
          <w:p>
            <w:pPr>
              <w:jc w:val="center"/>
              <w:ind w:right="328"/>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r>
      <w:tr>
        <w:trPr>
          <w:trHeight w:val="195"/>
        </w:trPr>
        <w:tc>
          <w:tcPr>
            <w:tcW w:w="6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right="4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2018</w:t>
            </w:r>
          </w:p>
        </w:tc>
      </w:tr>
      <w:tr>
        <w:trPr>
          <w:trHeight w:val="196"/>
        </w:trPr>
        <w:tc>
          <w:tcPr>
            <w:tcW w:w="6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center"/>
              <w:ind w:left="428"/>
              <w:spacing w:after="0"/>
              <w:rPr>
                <w:sz w:val="20"/>
                <w:szCs w:val="20"/>
                <w:color w:val="auto"/>
              </w:rPr>
            </w:pPr>
            <w:r>
              <w:rPr>
                <w:rFonts w:ascii="Arial" w:cs="Arial" w:eastAsia="Arial" w:hAnsi="Arial"/>
                <w:sz w:val="14"/>
                <w:szCs w:val="14"/>
                <w:b w:val="1"/>
                <w:bCs w:val="1"/>
                <w:color w:val="auto"/>
              </w:rPr>
              <w:t>(in whole dollars)</w:t>
            </w:r>
          </w:p>
        </w:tc>
        <w:tc>
          <w:tcPr>
            <w:tcW w:w="1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83"/>
        </w:trPr>
        <w:tc>
          <w:tcPr>
            <w:tcW w:w="62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59,200</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56,000</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61,500</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50,200</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55,300</w:t>
            </w:r>
          </w:p>
        </w:tc>
      </w:tr>
      <w:tr>
        <w:trPr>
          <w:trHeight w:val="190"/>
        </w:trPr>
        <w:tc>
          <w:tcPr>
            <w:tcW w:w="6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520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550</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3,900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4,700</w:t>
            </w:r>
          </w:p>
        </w:tc>
      </w:tr>
    </w:tbl>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While resolution values moved higher and lower over the years for Bendix-related asbestos claims, such resolution values may continue to increase over the near term in light of recent asbestos litigation trends. It is not possible to predict whether resolution values for Bendix-related asbestos claims will increase, decrease, or stabilize in the future.</w:t>
      </w:r>
    </w:p>
    <w:p>
      <w:pPr>
        <w:spacing w:after="0" w:line="8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 The Company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PETROBRAS AND UNAOIL MATTERS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19, 2022, the Company reached a comprehensive resolution to the investigations by the U.S. Department of Justice (DOJ), the Securities and Exchange Commission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comprehensive resolution, (i) the Company agreed to pay a total equivalent of $202.7 million, which payment occurred in January 2023, to the DOJ, the SEC, and the Brazilian Authorities, collectively, in penalties, disgorgement, and prejudgment interest, (ii) the Company’s subsidiary, UOP, LLC (UOP), entered into a three-year Deferred Prosecution Agreement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 the Petrobras and Unaoil investigations.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Given the uncertainty inherent in litigation and investigations, the Company does not believe it is possible to develop estimates of reasonably possible loss (or a range of possible loss) in excess of current accruals for commitment and contingency matters, including those discussed in this Note 14.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D7282F"/>
        </w:rPr>
        <w:t>NOTE 15. PENSION BENEFITS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(income) cost for the Company's significant pension plans included the following components: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gridSpan w:val="3"/>
          </w:tcPr>
          <w:p>
            <w:pPr>
              <w:ind w:left="420"/>
              <w:spacing w:after="0"/>
              <w:rPr>
                <w:sz w:val="20"/>
                <w:szCs w:val="20"/>
                <w:color w:val="auto"/>
              </w:rPr>
            </w:pPr>
            <w:r>
              <w:rPr>
                <w:rFonts w:ascii="Arial" w:cs="Arial" w:eastAsia="Arial" w:hAnsi="Arial"/>
                <w:sz w:val="14"/>
                <w:szCs w:val="14"/>
                <w:b w:val="1"/>
                <w:bCs w:val="1"/>
                <w:color w:val="auto"/>
              </w:rPr>
              <w:t>U.S. Plans</w:t>
            </w:r>
          </w:p>
        </w:tc>
        <w:tc>
          <w:tcPr>
            <w:tcW w:w="78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00" w:type="dxa"/>
            <w:vAlign w:val="bottom"/>
          </w:tcPr>
          <w:p>
            <w:pPr>
              <w:spacing w:after="0"/>
              <w:rPr>
                <w:sz w:val="14"/>
                <w:szCs w:val="14"/>
                <w:color w:val="auto"/>
              </w:rPr>
            </w:pPr>
          </w:p>
        </w:tc>
        <w:tc>
          <w:tcPr>
            <w:tcW w:w="20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202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00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000" w:type="dxa"/>
            <w:vAlign w:val="bottom"/>
            <w:tcBorders>
              <w:bottom w:val="single" w:sz="8" w:color="D7282F"/>
            </w:tcBorders>
          </w:tcPr>
          <w:p>
            <w:pPr>
              <w:spacing w:after="0"/>
              <w:rPr>
                <w:sz w:val="20"/>
                <w:szCs w:val="20"/>
                <w:color w:val="auto"/>
              </w:rPr>
            </w:pPr>
          </w:p>
        </w:tc>
        <w:tc>
          <w:tcPr>
            <w:tcW w:w="340" w:type="dxa"/>
            <w:vAlign w:val="bottom"/>
            <w:tcBorders>
              <w:bottom w:val="single" w:sz="8" w:color="D7282F"/>
            </w:tcBorders>
          </w:tcPr>
          <w:p>
            <w:pPr>
              <w:spacing w:after="0"/>
              <w:rPr>
                <w:sz w:val="20"/>
                <w:szCs w:val="20"/>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20"/>
                <w:szCs w:val="20"/>
                <w:color w:val="auto"/>
              </w:rPr>
            </w:pPr>
          </w:p>
        </w:tc>
        <w:tc>
          <w:tcPr>
            <w:tcW w:w="360" w:type="dxa"/>
            <w:vAlign w:val="bottom"/>
            <w:tcBorders>
              <w:bottom w:val="single" w:sz="8" w:color="D7282F"/>
            </w:tcBorders>
          </w:tcPr>
          <w:p>
            <w:pPr>
              <w:spacing w:after="0"/>
              <w:rPr>
                <w:sz w:val="20"/>
                <w:szCs w:val="20"/>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1"/>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7</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ind w:left="440"/>
              <w:spacing w:after="0"/>
              <w:rPr>
                <w:sz w:val="20"/>
                <w:szCs w:val="20"/>
                <w:color w:val="auto"/>
              </w:rPr>
            </w:pPr>
            <w:r>
              <w:rPr>
                <w:rFonts w:ascii="Arial" w:cs="Arial" w:eastAsia="Arial" w:hAnsi="Arial"/>
                <w:sz w:val="14"/>
                <w:szCs w:val="14"/>
                <w:color w:val="auto"/>
              </w:rPr>
              <w:t>22</w:t>
            </w:r>
          </w:p>
        </w:tc>
        <w:tc>
          <w:tcPr>
            <w:tcW w:w="5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161</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ind w:left="440"/>
              <w:spacing w:after="0"/>
              <w:rPr>
                <w:sz w:val="20"/>
                <w:szCs w:val="20"/>
                <w:color w:val="auto"/>
              </w:rPr>
            </w:pPr>
            <w:r>
              <w:rPr>
                <w:rFonts w:ascii="Arial" w:cs="Arial" w:eastAsia="Arial" w:hAnsi="Arial"/>
                <w:sz w:val="14"/>
                <w:szCs w:val="14"/>
                <w:color w:val="auto"/>
              </w:rPr>
              <w:t>95</w:t>
            </w:r>
          </w:p>
        </w:tc>
        <w:tc>
          <w:tcPr>
            <w:tcW w:w="22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322</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(278)</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(321)</w:t>
            </w:r>
          </w:p>
        </w:tc>
        <w:tc>
          <w:tcPr>
            <w:tcW w:w="22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(556)</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(120)</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(215)</w:t>
            </w: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2020" w:type="dxa"/>
            <w:vAlign w:val="bottom"/>
            <w:tcBorders>
              <w:bottom w:val="single" w:sz="8" w:color="D7282F"/>
            </w:tcBorders>
            <w:gridSpan w:val="4"/>
          </w:tcPr>
          <w:p>
            <w:pPr>
              <w:jc w:val="right"/>
              <w:ind w:right="648"/>
              <w:spacing w:after="0"/>
              <w:rPr>
                <w:sz w:val="20"/>
                <w:szCs w:val="20"/>
                <w:color w:val="auto"/>
              </w:rPr>
            </w:pPr>
            <w:r>
              <w:rPr>
                <w:rFonts w:ascii="Arial" w:cs="Arial" w:eastAsia="Arial" w:hAnsi="Arial"/>
                <w:sz w:val="14"/>
                <w:szCs w:val="14"/>
                <w:b w:val="1"/>
                <w:bCs w:val="1"/>
                <w:color w:val="auto"/>
              </w:rPr>
              <w:t>Non-U.S. Plans</w:t>
            </w: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00" w:type="dxa"/>
            <w:vAlign w:val="bottom"/>
          </w:tcPr>
          <w:p>
            <w:pPr>
              <w:spacing w:after="0"/>
              <w:rPr>
                <w:sz w:val="14"/>
                <w:szCs w:val="14"/>
                <w:color w:val="auto"/>
              </w:rPr>
            </w:pPr>
          </w:p>
        </w:tc>
        <w:tc>
          <w:tcPr>
            <w:tcW w:w="20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w:t>
            </w:r>
          </w:p>
        </w:tc>
        <w:tc>
          <w:tcPr>
            <w:tcW w:w="240" w:type="dxa"/>
            <w:vAlign w:val="bottom"/>
          </w:tcPr>
          <w:p>
            <w:pPr>
              <w:spacing w:after="0"/>
              <w:rPr>
                <w:sz w:val="14"/>
                <w:szCs w:val="14"/>
                <w:color w:val="auto"/>
              </w:rPr>
            </w:pP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000" w:type="dxa"/>
            <w:vAlign w:val="bottom"/>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00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20"/>
                <w:szCs w:val="20"/>
                <w:color w:val="auto"/>
              </w:rPr>
            </w:pPr>
          </w:p>
        </w:tc>
        <w:tc>
          <w:tcPr>
            <w:tcW w:w="340" w:type="dxa"/>
            <w:vAlign w:val="bottom"/>
            <w:tcBorders>
              <w:bottom w:val="single" w:sz="8" w:color="D7282F"/>
            </w:tcBorders>
          </w:tcPr>
          <w:p>
            <w:pPr>
              <w:spacing w:after="0"/>
              <w:rPr>
                <w:sz w:val="20"/>
                <w:szCs w:val="20"/>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84"/>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680" w:type="dxa"/>
            <w:vAlign w:val="bottom"/>
            <w:tcBorders>
              <w:bottom w:val="single" w:sz="8" w:color="61656A"/>
            </w:tcBorders>
          </w:tcPr>
          <w:p>
            <w:pPr>
              <w:jc w:val="right"/>
              <w:ind w:right="2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5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68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49</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99</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DC202E"/>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680" w:type="dxa"/>
            <w:vAlign w:val="bottom"/>
            <w:tcBorders>
              <w:bottom w:val="single" w:sz="8" w:color="DC202E"/>
            </w:tcBorders>
          </w:tcPr>
          <w:p>
            <w:pPr>
              <w:spacing w:after="0"/>
              <w:rPr>
                <w:sz w:val="16"/>
                <w:szCs w:val="16"/>
                <w:color w:val="auto"/>
              </w:rPr>
            </w:pPr>
          </w:p>
        </w:tc>
        <w:tc>
          <w:tcPr>
            <w:tcW w:w="500" w:type="dxa"/>
            <w:vAlign w:val="bottom"/>
            <w:tcBorders>
              <w:bottom w:val="single" w:sz="8" w:color="DC202E"/>
            </w:tcBorders>
          </w:tcPr>
          <w:p>
            <w:pPr>
              <w:jc w:val="right"/>
              <w:ind w:right="128"/>
              <w:spacing w:after="0"/>
              <w:rPr>
                <w:sz w:val="20"/>
                <w:szCs w:val="20"/>
                <w:color w:val="auto"/>
              </w:rPr>
            </w:pPr>
            <w:r>
              <w:rPr>
                <w:rFonts w:ascii="Arial" w:cs="Arial" w:eastAsia="Arial" w:hAnsi="Arial"/>
                <w:sz w:val="14"/>
                <w:szCs w:val="14"/>
                <w:color w:val="auto"/>
              </w:rPr>
              <w:t>(68)</w:t>
            </w:r>
          </w:p>
        </w:tc>
        <w:tc>
          <w:tcPr>
            <w:tcW w:w="160" w:type="dxa"/>
            <w:vAlign w:val="bottom"/>
            <w:tcBorders>
              <w:bottom w:val="single" w:sz="8" w:color="DC202E"/>
            </w:tcBorders>
          </w:tcPr>
          <w:p>
            <w:pPr>
              <w:spacing w:after="0"/>
              <w:rPr>
                <w:sz w:val="16"/>
                <w:szCs w:val="16"/>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(71)</w:t>
            </w:r>
          </w:p>
        </w:tc>
        <w:tc>
          <w:tcPr>
            <w:tcW w:w="240" w:type="dxa"/>
            <w:vAlign w:val="bottom"/>
            <w:tcBorders>
              <w:bottom w:val="single" w:sz="8" w:color="DC202E"/>
            </w:tcBorders>
          </w:tcPr>
          <w:p>
            <w:pPr>
              <w:spacing w:after="0"/>
              <w:rPr>
                <w:sz w:val="16"/>
                <w:szCs w:val="16"/>
                <w:color w:val="auto"/>
              </w:rPr>
            </w:pPr>
          </w:p>
        </w:tc>
        <w:tc>
          <w:tcPr>
            <w:tcW w:w="340" w:type="dxa"/>
            <w:vAlign w:val="bottom"/>
            <w:tcBorders>
              <w:bottom w:val="single" w:sz="8" w:color="DC202E"/>
            </w:tcBorders>
          </w:tcPr>
          <w:p>
            <w:pPr>
              <w:spacing w:after="0"/>
              <w:rPr>
                <w:sz w:val="16"/>
                <w:szCs w:val="16"/>
                <w:color w:val="auto"/>
              </w:rPr>
            </w:pPr>
          </w:p>
        </w:tc>
        <w:tc>
          <w:tcPr>
            <w:tcW w:w="780" w:type="dxa"/>
            <w:vAlign w:val="bottom"/>
            <w:tcBorders>
              <w:bottom w:val="single" w:sz="8" w:color="DC202E"/>
            </w:tcBorders>
          </w:tcPr>
          <w:p>
            <w:pPr>
              <w:jc w:val="right"/>
              <w:ind w:right="68"/>
              <w:spacing w:after="0"/>
              <w:rPr>
                <w:sz w:val="20"/>
                <w:szCs w:val="20"/>
                <w:color w:val="auto"/>
              </w:rPr>
            </w:pPr>
            <w:r>
              <w:rPr>
                <w:rFonts w:ascii="Arial" w:cs="Arial" w:eastAsia="Arial" w:hAnsi="Arial"/>
                <w:sz w:val="14"/>
                <w:szCs w:val="14"/>
                <w:color w:val="auto"/>
              </w:rPr>
              <w:t>(136)</w:t>
            </w:r>
          </w:p>
        </w:tc>
        <w:tc>
          <w:tcPr>
            <w:tcW w:w="220" w:type="dxa"/>
            <w:vAlign w:val="bottom"/>
            <w:tcBorders>
              <w:bottom w:val="single" w:sz="8" w:color="DC202E"/>
            </w:tcBorders>
          </w:tcPr>
          <w:p>
            <w:pPr>
              <w:spacing w:after="0"/>
              <w:rPr>
                <w:sz w:val="16"/>
                <w:szCs w:val="16"/>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5"/>
        </w:trPr>
        <w:tc>
          <w:tcPr>
            <w:tcW w:w="7000" w:type="dxa"/>
            <w:vAlign w:val="bottom"/>
            <w:tcBorders>
              <w:bottom w:val="single" w:sz="8" w:color="DC202E"/>
            </w:tcBorders>
          </w:tcPr>
          <w:p>
            <w:pPr>
              <w:ind w:left="140"/>
              <w:spacing w:after="0"/>
              <w:rPr>
                <w:sz w:val="20"/>
                <w:szCs w:val="20"/>
                <w:color w:val="auto"/>
              </w:rPr>
            </w:pPr>
            <w:r>
              <w:rPr>
                <w:rFonts w:ascii="Arial" w:cs="Arial" w:eastAsia="Arial" w:hAnsi="Arial"/>
                <w:sz w:val="14"/>
                <w:szCs w:val="14"/>
                <w:b w:val="1"/>
                <w:bCs w:val="1"/>
                <w:color w:val="auto"/>
              </w:rPr>
              <w:t>Net periodic benefit income</w:t>
            </w:r>
          </w:p>
        </w:tc>
        <w:tc>
          <w:tcPr>
            <w:tcW w:w="680" w:type="dxa"/>
            <w:vAlign w:val="bottom"/>
            <w:tcBorders>
              <w:bottom w:val="single" w:sz="8" w:color="DC202E"/>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DC202E"/>
            </w:tcBorders>
          </w:tcPr>
          <w:p>
            <w:pPr>
              <w:jc w:val="right"/>
              <w:ind w:right="128"/>
              <w:spacing w:after="0"/>
              <w:rPr>
                <w:sz w:val="20"/>
                <w:szCs w:val="20"/>
                <w:color w:val="auto"/>
              </w:rPr>
            </w:pPr>
            <w:r>
              <w:rPr>
                <w:rFonts w:ascii="Arial" w:cs="Arial" w:eastAsia="Arial" w:hAnsi="Arial"/>
                <w:sz w:val="14"/>
                <w:szCs w:val="14"/>
                <w:b w:val="1"/>
                <w:bCs w:val="1"/>
                <w:color w:val="auto"/>
              </w:rPr>
              <w:t>(16)</w:t>
            </w:r>
          </w:p>
        </w:tc>
        <w:tc>
          <w:tcPr>
            <w:tcW w:w="1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(40)</w:t>
            </w:r>
          </w:p>
        </w:tc>
        <w:tc>
          <w:tcPr>
            <w:tcW w:w="580" w:type="dxa"/>
            <w:vAlign w:val="bottom"/>
            <w:tcBorders>
              <w:bottom w:val="single" w:sz="8" w:color="DC202E"/>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C202E"/>
            </w:tcBorders>
          </w:tcPr>
          <w:p>
            <w:pPr>
              <w:jc w:val="right"/>
              <w:ind w:right="68"/>
              <w:spacing w:after="0"/>
              <w:rPr>
                <w:sz w:val="20"/>
                <w:szCs w:val="20"/>
                <w:color w:val="auto"/>
              </w:rPr>
            </w:pPr>
            <w:r>
              <w:rPr>
                <w:rFonts w:ascii="Arial" w:cs="Arial" w:eastAsia="Arial" w:hAnsi="Arial"/>
                <w:sz w:val="14"/>
                <w:szCs w:val="14"/>
                <w:b w:val="1"/>
                <w:bCs w:val="1"/>
                <w:color w:val="auto"/>
              </w:rPr>
              <w:t>(31)</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(82)</w:t>
            </w:r>
          </w:p>
        </w:tc>
        <w:tc>
          <w:tcPr>
            <w:tcW w:w="0" w:type="dxa"/>
            <w:vAlign w:val="bottom"/>
          </w:tcPr>
          <w:p>
            <w:pPr>
              <w:spacing w:after="0"/>
              <w:rPr>
                <w:sz w:val="1"/>
                <w:szCs w:val="1"/>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29"/>
          <w:szCs w:val="29"/>
          <w:color w:val="D7282F"/>
        </w:rPr>
        <w:t>NOTE 16. OTHER (INCOME) EXPENSE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w:t>
            </w:r>
          </w:p>
        </w:tc>
        <w:tc>
          <w:tcPr>
            <w:tcW w:w="240" w:type="dxa"/>
            <w:vAlign w:val="bottom"/>
          </w:tcPr>
          <w:p>
            <w:pPr>
              <w:spacing w:after="0"/>
              <w:rPr>
                <w:sz w:val="14"/>
                <w:szCs w:val="14"/>
                <w:color w:val="auto"/>
              </w:rPr>
            </w:pPr>
          </w:p>
        </w:tc>
        <w:tc>
          <w:tcPr>
            <w:tcW w:w="200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00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00" w:type="dxa"/>
            <w:vAlign w:val="bottom"/>
            <w:tcBorders>
              <w:bottom w:val="single" w:sz="8" w:color="D7282F"/>
            </w:tcBorders>
          </w:tcPr>
          <w:p>
            <w:pPr>
              <w:spacing w:after="0"/>
              <w:rPr>
                <w:sz w:val="15"/>
                <w:szCs w:val="15"/>
                <w:color w:val="auto"/>
              </w:rPr>
            </w:pPr>
          </w:p>
        </w:tc>
        <w:tc>
          <w:tcPr>
            <w:tcW w:w="340" w:type="dxa"/>
            <w:vAlign w:val="bottom"/>
            <w:tcBorders>
              <w:bottom w:val="single" w:sz="8" w:color="D7282F"/>
            </w:tcBorders>
          </w:tcPr>
          <w:p>
            <w:pPr>
              <w:spacing w:after="0"/>
              <w:rPr>
                <w:sz w:val="15"/>
                <w:szCs w:val="15"/>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D7282F"/>
            </w:tcBorders>
          </w:tcPr>
          <w:p>
            <w:pPr>
              <w:spacing w:after="0"/>
              <w:rPr>
                <w:sz w:val="15"/>
                <w:szCs w:val="15"/>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15"/>
                <w:szCs w:val="15"/>
                <w:color w:val="auto"/>
              </w:rPr>
            </w:pPr>
          </w:p>
        </w:tc>
        <w:tc>
          <w:tcPr>
            <w:tcW w:w="340" w:type="dxa"/>
            <w:vAlign w:val="bottom"/>
            <w:tcBorders>
              <w:bottom w:val="single" w:sz="8" w:color="D7282F"/>
            </w:tcBorders>
          </w:tcPr>
          <w:p>
            <w:pPr>
              <w:spacing w:after="0"/>
              <w:rPr>
                <w:sz w:val="15"/>
                <w:szCs w:val="15"/>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Borders>
              <w:bottom w:val="single" w:sz="8" w:color="D7282F"/>
            </w:tcBorders>
          </w:tcPr>
          <w:p>
            <w:pPr>
              <w:spacing w:after="0"/>
              <w:rPr>
                <w:sz w:val="15"/>
                <w:szCs w:val="15"/>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(76)</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58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(152)</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income—non-service</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(146)</w:t>
            </w:r>
          </w:p>
        </w:tc>
        <w:tc>
          <w:tcPr>
            <w:tcW w:w="16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(283)</w:t>
            </w:r>
          </w:p>
        </w:tc>
        <w:tc>
          <w:tcPr>
            <w:tcW w:w="24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(292)</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income—non-service</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(7)</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(49)</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exchange</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18</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Expense related to UOP Matters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Expense (benefit) related to Russia-Ukraine Conflict</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w:t>
            </w:r>
          </w:p>
        </w:tc>
        <w:tc>
          <w:tcPr>
            <w:tcW w:w="24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expense related to the NARCO Buyout and HWI</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1"/>
        </w:trPr>
        <w:tc>
          <w:tcPr>
            <w:tcW w:w="70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(income) expense</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(208)</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(190)</w:t>
            </w: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more information on the Net expense related to the NARCO Buyout and HWI Sale, see Notes 5 Repositioning and Other Charges, 11 Fair Value Measurements, and 14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color w:val="D7282F"/>
        </w:rPr>
        <w:t>NOTE 17. SEGMENT FINANCIAL DATA</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management reviews the businesses, makes investing and resource allocation decisions, and assesses operating performance.</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200" w:lineRule="exact"/>
        <w:rPr>
          <w:sz w:val="20"/>
          <w:szCs w:val="20"/>
          <w:color w:val="auto"/>
        </w:rPr>
      </w:pPr>
    </w:p>
    <w:p>
      <w:pPr>
        <w:spacing w:after="0" w:line="219"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202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698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98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w:t>
            </w:r>
          </w:p>
        </w:tc>
        <w:tc>
          <w:tcPr>
            <w:tcW w:w="34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spacing w:after="0"/>
              <w:rPr>
                <w:sz w:val="15"/>
                <w:szCs w:val="15"/>
                <w:color w:val="auto"/>
              </w:rPr>
            </w:pPr>
          </w:p>
        </w:tc>
        <w:tc>
          <w:tcPr>
            <w:tcW w:w="160" w:type="dxa"/>
            <w:vAlign w:val="bottom"/>
            <w:tcBorders>
              <w:bottom w:val="single" w:sz="8" w:color="61656A"/>
            </w:tcBorders>
          </w:tcPr>
          <w:p>
            <w:pPr>
              <w:spacing w:after="0"/>
              <w:rPr>
                <w:sz w:val="15"/>
                <w:szCs w:val="15"/>
                <w:color w:val="auto"/>
              </w:rPr>
            </w:pPr>
          </w:p>
        </w:tc>
        <w:tc>
          <w:tcPr>
            <w:tcW w:w="680" w:type="dxa"/>
            <w:vAlign w:val="bottom"/>
            <w:tcBorders>
              <w:bottom w:val="single" w:sz="8" w:color="61656A"/>
            </w:tcBorders>
          </w:tcPr>
          <w:p>
            <w:pPr>
              <w:spacing w:after="0"/>
              <w:rPr>
                <w:sz w:val="15"/>
                <w:szCs w:val="15"/>
                <w:color w:val="auto"/>
              </w:rPr>
            </w:pPr>
          </w:p>
        </w:tc>
        <w:tc>
          <w:tcPr>
            <w:tcW w:w="220" w:type="dxa"/>
            <w:vAlign w:val="bottom"/>
            <w:tcBorders>
              <w:bottom w:val="single" w:sz="8" w:color="61656A"/>
            </w:tcBorders>
          </w:tcPr>
          <w:p>
            <w:pPr>
              <w:spacing w:after="0"/>
              <w:rPr>
                <w:sz w:val="15"/>
                <w:szCs w:val="15"/>
                <w:color w:val="auto"/>
              </w:rPr>
            </w:pPr>
          </w:p>
        </w:tc>
        <w:tc>
          <w:tcPr>
            <w:tcW w:w="34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1,799</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1,574</w:t>
            </w:r>
          </w:p>
        </w:tc>
        <w:tc>
          <w:tcPr>
            <w:tcW w:w="56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3,471</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1,542</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1,324</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2,981</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2,612</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sales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3,341</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2,898</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6,452</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5,647</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Honeywell Building Technologies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1,159</w:t>
            </w:r>
          </w:p>
        </w:tc>
        <w:tc>
          <w:tcPr>
            <w:tcW w:w="1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1,179</w:t>
            </w: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2,291</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2,261</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351</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352</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706</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Honeywell Building Technologies sales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1,510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1,531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2,997</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2,960</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Performance Materials and Technologies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2,244</w:t>
            </w:r>
          </w:p>
        </w:tc>
        <w:tc>
          <w:tcPr>
            <w:tcW w:w="160" w:type="dxa"/>
            <w:vAlign w:val="bottom"/>
            <w:tcBorders>
              <w:bottom w:val="single" w:sz="8" w:color="61656A"/>
            </w:tcBorders>
          </w:tcPr>
          <w:p>
            <w:pPr>
              <w:spacing w:after="0"/>
              <w:rPr>
                <w:sz w:val="15"/>
                <w:szCs w:val="15"/>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2,210</w:t>
            </w:r>
          </w:p>
        </w:tc>
        <w:tc>
          <w:tcPr>
            <w:tcW w:w="220" w:type="dxa"/>
            <w:vAlign w:val="bottom"/>
            <w:tcBorders>
              <w:bottom w:val="single" w:sz="8" w:color="61656A"/>
            </w:tcBorders>
          </w:tcPr>
          <w:p>
            <w:pPr>
              <w:spacing w:after="0"/>
              <w:rPr>
                <w:sz w:val="15"/>
                <w:szCs w:val="15"/>
                <w:color w:val="auto"/>
              </w:rPr>
            </w:pPr>
          </w:p>
        </w:tc>
        <w:tc>
          <w:tcPr>
            <w:tcW w:w="34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4,426</w:t>
            </w:r>
          </w:p>
        </w:tc>
        <w:tc>
          <w:tcPr>
            <w:tcW w:w="24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4,166</w:t>
            </w:r>
          </w:p>
        </w:tc>
        <w:tc>
          <w:tcPr>
            <w:tcW w:w="0" w:type="dxa"/>
            <w:vAlign w:val="bottom"/>
          </w:tcPr>
          <w:p>
            <w:pPr>
              <w:spacing w:after="0"/>
              <w:rPr>
                <w:sz w:val="1"/>
                <w:szCs w:val="1"/>
                <w:color w:val="auto"/>
              </w:rPr>
            </w:pPr>
          </w:p>
        </w:tc>
      </w:tr>
      <w:tr>
        <w:trPr>
          <w:trHeight w:val="190"/>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617</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484</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1,184</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201"/>
        </w:trPr>
        <w:tc>
          <w:tcPr>
            <w:tcW w:w="698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Performance Materials and Technologies sales</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2,861</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2,694</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5,610</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5,147</w:t>
            </w:r>
          </w:p>
        </w:tc>
        <w:tc>
          <w:tcPr>
            <w:tcW w:w="0" w:type="dxa"/>
            <w:vAlign w:val="bottom"/>
          </w:tcPr>
          <w:p>
            <w:pPr>
              <w:spacing w:after="0"/>
              <w:rPr>
                <w:sz w:val="1"/>
                <w:szCs w:val="1"/>
                <w:color w:val="auto"/>
              </w:rPr>
            </w:pPr>
          </w:p>
        </w:tc>
      </w:tr>
      <w:tr>
        <w:trPr>
          <w:trHeight w:val="184"/>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Safety and Productivity Solutions</w:t>
            </w:r>
          </w:p>
        </w:tc>
        <w:tc>
          <w:tcPr>
            <w:tcW w:w="34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spacing w:after="0"/>
              <w:rPr>
                <w:sz w:val="15"/>
                <w:szCs w:val="15"/>
                <w:color w:val="auto"/>
              </w:rPr>
            </w:pPr>
          </w:p>
        </w:tc>
        <w:tc>
          <w:tcPr>
            <w:tcW w:w="160" w:type="dxa"/>
            <w:vAlign w:val="bottom"/>
            <w:tcBorders>
              <w:bottom w:val="single" w:sz="8" w:color="61656A"/>
            </w:tcBorders>
          </w:tcPr>
          <w:p>
            <w:pPr>
              <w:spacing w:after="0"/>
              <w:rPr>
                <w:sz w:val="15"/>
                <w:szCs w:val="15"/>
                <w:color w:val="auto"/>
              </w:rPr>
            </w:pPr>
          </w:p>
        </w:tc>
        <w:tc>
          <w:tcPr>
            <w:tcW w:w="680" w:type="dxa"/>
            <w:vAlign w:val="bottom"/>
            <w:tcBorders>
              <w:bottom w:val="single" w:sz="8" w:color="61656A"/>
            </w:tcBorders>
          </w:tcPr>
          <w:p>
            <w:pPr>
              <w:spacing w:after="0"/>
              <w:rPr>
                <w:sz w:val="15"/>
                <w:szCs w:val="15"/>
                <w:color w:val="auto"/>
              </w:rPr>
            </w:pPr>
          </w:p>
        </w:tc>
        <w:tc>
          <w:tcPr>
            <w:tcW w:w="220" w:type="dxa"/>
            <w:vAlign w:val="bottom"/>
            <w:tcBorders>
              <w:bottom w:val="single" w:sz="8" w:color="61656A"/>
            </w:tcBorders>
          </w:tcPr>
          <w:p>
            <w:pPr>
              <w:spacing w:after="0"/>
              <w:rPr>
                <w:sz w:val="15"/>
                <w:szCs w:val="15"/>
                <w:color w:val="auto"/>
              </w:rPr>
            </w:pPr>
          </w:p>
        </w:tc>
        <w:tc>
          <w:tcPr>
            <w:tcW w:w="34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1,239</w:t>
            </w:r>
          </w:p>
        </w:tc>
        <w:tc>
          <w:tcPr>
            <w:tcW w:w="1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1,721</w:t>
            </w: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2,563</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3,354</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194</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108</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385</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Safety and Productivity Solutions sales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1,433</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1,829</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2,948</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3,573</w:t>
            </w:r>
          </w:p>
        </w:tc>
        <w:tc>
          <w:tcPr>
            <w:tcW w:w="0" w:type="dxa"/>
            <w:vAlign w:val="bottom"/>
          </w:tcPr>
          <w:p>
            <w:pPr>
              <w:spacing w:after="0"/>
              <w:rPr>
                <w:sz w:val="1"/>
                <w:szCs w:val="1"/>
                <w:color w:val="auto"/>
              </w:rPr>
            </w:pPr>
          </w:p>
        </w:tc>
      </w:tr>
      <w:tr>
        <w:trPr>
          <w:trHeight w:val="184"/>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340" w:type="dxa"/>
            <w:vAlign w:val="bottom"/>
            <w:tcBorders>
              <w:bottom w:val="single" w:sz="8" w:color="61656A"/>
            </w:tcBorders>
          </w:tcPr>
          <w:p>
            <w:pPr>
              <w:spacing w:after="0"/>
              <w:rPr>
                <w:sz w:val="15"/>
                <w:szCs w:val="15"/>
                <w:color w:val="auto"/>
              </w:rPr>
            </w:pPr>
          </w:p>
        </w:tc>
        <w:tc>
          <w:tcPr>
            <w:tcW w:w="840" w:type="dxa"/>
            <w:vAlign w:val="bottom"/>
            <w:tcBorders>
              <w:bottom w:val="single" w:sz="8" w:color="61656A"/>
            </w:tcBorders>
          </w:tcPr>
          <w:p>
            <w:pPr>
              <w:spacing w:after="0"/>
              <w:rPr>
                <w:sz w:val="15"/>
                <w:szCs w:val="15"/>
                <w:color w:val="auto"/>
              </w:rPr>
            </w:pPr>
          </w:p>
        </w:tc>
        <w:tc>
          <w:tcPr>
            <w:tcW w:w="160" w:type="dxa"/>
            <w:vAlign w:val="bottom"/>
            <w:tcBorders>
              <w:bottom w:val="single" w:sz="8" w:color="61656A"/>
            </w:tcBorders>
          </w:tcPr>
          <w:p>
            <w:pPr>
              <w:spacing w:after="0"/>
              <w:rPr>
                <w:sz w:val="15"/>
                <w:szCs w:val="15"/>
                <w:color w:val="auto"/>
              </w:rPr>
            </w:pPr>
          </w:p>
        </w:tc>
        <w:tc>
          <w:tcPr>
            <w:tcW w:w="680" w:type="dxa"/>
            <w:vAlign w:val="bottom"/>
            <w:tcBorders>
              <w:bottom w:val="single" w:sz="8" w:color="61656A"/>
            </w:tcBorders>
          </w:tcPr>
          <w:p>
            <w:pPr>
              <w:spacing w:after="0"/>
              <w:rPr>
                <w:sz w:val="15"/>
                <w:szCs w:val="15"/>
                <w:color w:val="auto"/>
              </w:rPr>
            </w:pPr>
          </w:p>
        </w:tc>
        <w:tc>
          <w:tcPr>
            <w:tcW w:w="220" w:type="dxa"/>
            <w:vAlign w:val="bottom"/>
            <w:tcBorders>
              <w:bottom w:val="single" w:sz="8" w:color="61656A"/>
            </w:tcBorders>
          </w:tcPr>
          <w:p>
            <w:pPr>
              <w:spacing w:after="0"/>
              <w:rPr>
                <w:sz w:val="15"/>
                <w:szCs w:val="15"/>
                <w:color w:val="auto"/>
              </w:rPr>
            </w:pPr>
          </w:p>
        </w:tc>
        <w:tc>
          <w:tcPr>
            <w:tcW w:w="34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66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1"/>
        </w:trPr>
        <w:tc>
          <w:tcPr>
            <w:tcW w:w="6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Corporate and All Other sales</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3"/>
        </w:trPr>
        <w:tc>
          <w:tcPr>
            <w:tcW w:w="69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9,146</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8,953</w:t>
            </w:r>
          </w:p>
        </w:tc>
        <w:tc>
          <w:tcPr>
            <w:tcW w:w="5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18,010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17,329</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Aerospace</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924</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767</w:t>
            </w:r>
          </w:p>
        </w:tc>
        <w:tc>
          <w:tcPr>
            <w:tcW w:w="56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1,751</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Honeywell Building Technologies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385</w:t>
            </w:r>
          </w:p>
        </w:tc>
        <w:tc>
          <w:tcPr>
            <w:tcW w:w="1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360</w:t>
            </w: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760</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90"/>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Performance Materials and Technologies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622</w:t>
            </w:r>
          </w:p>
        </w:tc>
        <w:tc>
          <w:tcPr>
            <w:tcW w:w="1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601</w:t>
            </w: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1,188</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Safety and Productivity Solutions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239</w:t>
            </w:r>
          </w:p>
        </w:tc>
        <w:tc>
          <w:tcPr>
            <w:tcW w:w="16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231</w:t>
            </w:r>
          </w:p>
        </w:tc>
        <w:tc>
          <w:tcPr>
            <w:tcW w:w="2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499</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(118)</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(92)</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(199)</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Total segment profit</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2,052</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1,867</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3,999</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3,633</w:t>
            </w:r>
          </w:p>
        </w:tc>
        <w:tc>
          <w:tcPr>
            <w:tcW w:w="0" w:type="dxa"/>
            <w:vAlign w:val="bottom"/>
          </w:tcPr>
          <w:p>
            <w:pPr>
              <w:spacing w:after="0"/>
              <w:rPr>
                <w:sz w:val="1"/>
                <w:szCs w:val="1"/>
                <w:color w:val="auto"/>
              </w:rPr>
            </w:pPr>
          </w:p>
        </w:tc>
      </w:tr>
      <w:tr>
        <w:trPr>
          <w:trHeight w:val="191"/>
        </w:trPr>
        <w:tc>
          <w:tcPr>
            <w:tcW w:w="69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Interest and other financial charges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(187)</w:t>
            </w:r>
          </w:p>
        </w:tc>
        <w:tc>
          <w:tcPr>
            <w:tcW w:w="1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(87)</w:t>
            </w: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(357)</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9"/>
        </w:trPr>
        <w:tc>
          <w:tcPr>
            <w:tcW w:w="6980" w:type="dxa"/>
            <w:vAlign w:val="bottom"/>
            <w:tcBorders>
              <w:bottom w:val="single" w:sz="8" w:color="61656A"/>
            </w:tcBorders>
          </w:tcPr>
          <w:p>
            <w:pPr>
              <w:ind w:left="240"/>
              <w:spacing w:after="0" w:line="189"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(a)</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(50)</w:t>
            </w:r>
          </w:p>
        </w:tc>
        <w:tc>
          <w:tcPr>
            <w:tcW w:w="1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(109)</w:t>
            </w: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ongoing income</w:t>
            </w:r>
            <w:r>
              <w:rPr>
                <w:rFonts w:ascii="Arial" w:cs="Arial" w:eastAsia="Arial" w:hAnsi="Arial"/>
                <w:sz w:val="9"/>
                <w:szCs w:val="9"/>
                <w:color w:val="auto"/>
              </w:rPr>
              <w:t>(b)</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130</w:t>
            </w:r>
          </w:p>
        </w:tc>
        <w:tc>
          <w:tcPr>
            <w:tcW w:w="16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250</w:t>
            </w:r>
          </w:p>
        </w:tc>
        <w:tc>
          <w:tcPr>
            <w:tcW w:w="2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260</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Other postretirement income</w:t>
            </w:r>
            <w:r>
              <w:rPr>
                <w:rFonts w:ascii="Arial" w:cs="Arial" w:eastAsia="Arial" w:hAnsi="Arial"/>
                <w:sz w:val="9"/>
                <w:szCs w:val="9"/>
                <w:color w:val="auto"/>
              </w:rPr>
              <w:t>(b)</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7</w:t>
            </w:r>
          </w:p>
        </w:tc>
        <w:tc>
          <w:tcPr>
            <w:tcW w:w="16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Repositioning and other charges</w:t>
            </w:r>
            <w:r>
              <w:rPr>
                <w:rFonts w:ascii="Arial" w:cs="Arial" w:eastAsia="Arial" w:hAnsi="Arial"/>
                <w:sz w:val="9"/>
                <w:szCs w:val="9"/>
                <w:color w:val="auto"/>
              </w:rPr>
              <w:t>(c)</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(102)</w:t>
            </w:r>
          </w:p>
        </w:tc>
        <w:tc>
          <w:tcPr>
            <w:tcW w:w="16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(227)</w:t>
            </w:r>
          </w:p>
        </w:tc>
        <w:tc>
          <w:tcPr>
            <w:tcW w:w="2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(243)</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D7282F"/>
            </w:tcBorders>
          </w:tcPr>
          <w:p>
            <w:pPr>
              <w:ind w:left="240"/>
              <w:spacing w:after="0" w:line="196"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(d)</w:t>
            </w:r>
          </w:p>
        </w:tc>
        <w:tc>
          <w:tcPr>
            <w:tcW w:w="3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54</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Income before taxes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1,904</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1,704</w:t>
            </w:r>
          </w:p>
        </w:tc>
        <w:tc>
          <w:tcPr>
            <w:tcW w:w="5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3,686</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3,209</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60" w:hanging="534"/>
        <w:spacing w:after="0"/>
        <w:tabs>
          <w:tab w:leader="none" w:pos="5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Amounts included in Selling, general and administrative expenses.</w:t>
      </w:r>
    </w:p>
    <w:p>
      <w:pPr>
        <w:spacing w:after="0" w:line="39" w:lineRule="exact"/>
        <w:rPr>
          <w:rFonts w:ascii="Arial" w:cs="Arial" w:eastAsia="Arial" w:hAnsi="Arial"/>
          <w:sz w:val="13"/>
          <w:szCs w:val="13"/>
          <w:color w:val="auto"/>
        </w:rPr>
      </w:pPr>
    </w:p>
    <w:p>
      <w:pPr>
        <w:ind w:left="560" w:right="940" w:hanging="534"/>
        <w:spacing w:after="0" w:line="225" w:lineRule="auto"/>
        <w:tabs>
          <w:tab w:leader="none" w:pos="5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 Selling, general and administrative expenses (service cost component) and Other (income) expense (non-service cost component).</w:t>
      </w:r>
    </w:p>
    <w:p>
      <w:pPr>
        <w:spacing w:after="0" w:line="16" w:lineRule="exact"/>
        <w:rPr>
          <w:rFonts w:ascii="Arial" w:cs="Arial" w:eastAsia="Arial" w:hAnsi="Arial"/>
          <w:sz w:val="13"/>
          <w:szCs w:val="13"/>
          <w:color w:val="auto"/>
        </w:rPr>
      </w:pPr>
    </w:p>
    <w:p>
      <w:pPr>
        <w:ind w:left="560" w:hanging="534"/>
        <w:spacing w:after="0"/>
        <w:tabs>
          <w:tab w:leader="none" w:pos="5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 Selling, general and administrative expenses, and Other (income) expense.</w:t>
      </w:r>
    </w:p>
    <w:p>
      <w:pPr>
        <w:spacing w:after="0" w:line="39" w:lineRule="exact"/>
        <w:rPr>
          <w:rFonts w:ascii="Arial" w:cs="Arial" w:eastAsia="Arial" w:hAnsi="Arial"/>
          <w:sz w:val="13"/>
          <w:szCs w:val="13"/>
          <w:color w:val="auto"/>
        </w:rPr>
      </w:pPr>
    </w:p>
    <w:p>
      <w:pPr>
        <w:ind w:left="560" w:right="400" w:hanging="534"/>
        <w:spacing w:after="0" w:line="225" w:lineRule="auto"/>
        <w:tabs>
          <w:tab w:leader="none" w:pos="5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00"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40"/>
        <w:spacing w:after="0" w:line="319"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and six months ended June 30, 2023. The financial information as of June 30, 2023, should be read in conjunction with the Consolidated Financial Statements for the year ended December 31, 2022, contained in our 2022 Annual Report on Form 10-K. See Note 3 Acquisitions and Divestitures of Notes to Consolidated Financial Statements for a discussion of acquisition and divestiture activity during the six months ended June 30, 2023. </w:t>
      </w:r>
      <w:r>
        <w:rPr>
          <w:rFonts w:ascii="Arial" w:cs="Arial" w:eastAsia="Arial" w:hAnsi="Arial"/>
          <w:sz w:val="16"/>
          <w:szCs w:val="16"/>
          <w:color w:val="212529"/>
        </w:rPr>
        <w:t>Certain prior year</w:t>
      </w:r>
      <w:r>
        <w:rPr>
          <w:rFonts w:ascii="Arial" w:cs="Arial" w:eastAsia="Arial" w:hAnsi="Arial"/>
          <w:sz w:val="16"/>
          <w:szCs w:val="16"/>
          <w:color w:val="auto"/>
        </w:rPr>
        <w:t xml:space="preserve"> </w:t>
      </w:r>
      <w:r>
        <w:rPr>
          <w:rFonts w:ascii="Arial" w:cs="Arial" w:eastAsia="Arial" w:hAnsi="Arial"/>
          <w:sz w:val="16"/>
          <w:szCs w:val="16"/>
          <w:color w:val="212529"/>
        </w:rPr>
        <w:t>amounts are reclassified to conform to the current year presentation.</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212529"/>
        </w:rPr>
        <w:t>Historically, we included Company-sponsored costs and costs that relate to contracts with customers for research and development projects as a component of Cost of products and services sold on the Consolidated Statement of Operations. Effective January 1, 2023, we began classifying Company-sponsored costs for research and development projects as a separate financial statement line item, titled Research and development expenses, on the Consolidated Statement of Operations, and recast prior period results for this reclassification. This reclassification had no impact on net income, earnings per share, cash flows, segment reporting, or financial position. We revised historical periods to reflect this change in presentation.</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July 2022, we realigned certain business units within the Safety and Productivity Solutions reportable business segment. The Safety and Retail business unit, which included our gas detection and safety business, combined with the Advanced Sensing Technologies business unit to form the Sensing and Safety Technologies business unit. This realignment provides opportunities to capitalize on shared synergies and core technologies resulting in greater value for our customers and the markets we serve. We recast historical periods to reflect this realignment.</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Through the first half of 2023, material inflation continued to moderate. While we see signs of relief in supply chains for semiconductors and logistics, we continue to experience supply chain constraints, including labor shortages in the Aerospace supply base, and inflationary cost pressures in manufacturing labor. We continue to leverage previously implemented short-term and long-term mitigation strategies.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mitigation strategies include pricing actions, longer term planning for constrained materials, material supply tracking tools, and direct engagement with key suppliers to meet customer demand. Our relationships with primary and secondary suppliers allow us to reliably source key components and raw materials. Where we cannot procure key components or raw materials, we consider altering existing products and develop new products to satisfy customer needs. Alterations to existing products and the development of new products undergo product quality controls and engineering qualification, prior to releasing to our customers. In addition, we assist our suppliers facing manufacturing challenges by committing our own resources to their sites and facilities. We believe these mitigation strategies enable us to reduce supply risk, accelerate new product innovation, and expand our penetration in the markets we serve. Additionally, due to the strenuous quality controls and product qualification we perform on a new or altered product, we do not expect these mitigation strategies to impact product quality or reliability.</w:t>
      </w:r>
    </w:p>
    <w:p>
      <w:pPr>
        <w:spacing w:after="0" w:line="7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Russia-Ukraine conflict continues to create volatility in global financial and energy markets and contribute to supply chain shortages adding to the inflationary pressures in the global economy. We actively collaborate with our suppliers to minimize impacts of supply shortages on our manufacturing capabilities and implement strategies to reduce our reliance on natural gas at critical sites in Europe.</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date, our strategies successfully mitigated our exposure to these conditions. However, if we are not successful in sustaining these strategies, these macroeconomic conditions could have a material adverse effect on our consolidated results of operations or operating cash flows.</w:t>
      </w:r>
    </w:p>
    <w:p>
      <w:pPr>
        <w:spacing w:after="0" w:line="381"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color w:val="D7282F"/>
        </w:rPr>
        <w:t>RESULTS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83185</wp:posOffset>
            </wp:positionV>
            <wp:extent cx="5572125" cy="5271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2125" cy="527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151765</wp:posOffset>
            </wp:positionV>
            <wp:extent cx="6000750" cy="29146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83185</wp:posOffset>
            </wp:positionV>
            <wp:extent cx="6000750" cy="3051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0075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151765</wp:posOffset>
            </wp:positionV>
            <wp:extent cx="5572125" cy="2143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60" w:type="dxa"/>
            <w:vAlign w:val="bottom"/>
            <w:tcBorders>
              <w:bottom w:val="single" w:sz="8" w:color="D7282F"/>
            </w:tcBorders>
          </w:tcPr>
          <w:p>
            <w:pPr>
              <w:spacing w:after="0"/>
              <w:rPr>
                <w:sz w:val="17"/>
                <w:szCs w:val="17"/>
                <w:color w:val="auto"/>
              </w:rPr>
            </w:pPr>
          </w:p>
        </w:tc>
        <w:tc>
          <w:tcPr>
            <w:tcW w:w="43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Q2 2023 vs. Q2 2022</w:t>
            </w:r>
          </w:p>
        </w:tc>
        <w:tc>
          <w:tcPr>
            <w:tcW w:w="2200" w:type="dxa"/>
            <w:vAlign w:val="bottom"/>
            <w:tcBorders>
              <w:bottom w:val="single" w:sz="8" w:color="D7282F"/>
            </w:tcBorders>
          </w:tcPr>
          <w:p>
            <w:pPr>
              <w:ind w:left="280"/>
              <w:spacing w:after="0"/>
              <w:rPr>
                <w:sz w:val="20"/>
                <w:szCs w:val="20"/>
                <w:color w:val="auto"/>
              </w:rPr>
            </w:pPr>
            <w:r>
              <w:rPr>
                <w:rFonts w:ascii="Arial" w:cs="Arial" w:eastAsia="Arial" w:hAnsi="Arial"/>
                <w:sz w:val="14"/>
                <w:szCs w:val="14"/>
                <w:b w:val="1"/>
                <w:bCs w:val="1"/>
                <w:color w:val="auto"/>
              </w:rPr>
              <w:t>Year to Date 2023 vs. 2022</w:t>
            </w:r>
          </w:p>
        </w:tc>
      </w:tr>
      <w:tr>
        <w:trPr>
          <w:trHeight w:val="191"/>
        </w:trPr>
        <w:tc>
          <w:tcPr>
            <w:tcW w:w="46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Volume</w:t>
            </w:r>
          </w:p>
        </w:tc>
        <w:tc>
          <w:tcPr>
            <w:tcW w:w="4380" w:type="dxa"/>
            <w:vAlign w:val="bottom"/>
            <w:tcBorders>
              <w:bottom w:val="single" w:sz="8" w:color="61656A"/>
            </w:tcBorders>
          </w:tcPr>
          <w:p>
            <w:pPr>
              <w:jc w:val="right"/>
              <w:ind w:right="748"/>
              <w:spacing w:after="0"/>
              <w:rPr>
                <w:sz w:val="20"/>
                <w:szCs w:val="20"/>
                <w:color w:val="auto"/>
              </w:rPr>
            </w:pPr>
            <w:r>
              <w:rPr>
                <w:rFonts w:ascii="Arial" w:cs="Arial" w:eastAsia="Arial" w:hAnsi="Arial"/>
                <w:sz w:val="14"/>
                <w:szCs w:val="14"/>
                <w:color w:val="auto"/>
              </w:rPr>
              <w:t>(1)%</w:t>
            </w:r>
          </w:p>
        </w:tc>
        <w:tc>
          <w:tcPr>
            <w:tcW w:w="220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w:t>
            </w:r>
          </w:p>
        </w:tc>
      </w:tr>
      <w:tr>
        <w:trPr>
          <w:trHeight w:val="188"/>
        </w:trPr>
        <w:tc>
          <w:tcPr>
            <w:tcW w:w="46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Price</w:t>
            </w:r>
          </w:p>
        </w:tc>
        <w:tc>
          <w:tcPr>
            <w:tcW w:w="4380" w:type="dxa"/>
            <w:vAlign w:val="bottom"/>
            <w:tcBorders>
              <w:bottom w:val="single" w:sz="8" w:color="61656A"/>
            </w:tcBorders>
          </w:tcPr>
          <w:p>
            <w:pPr>
              <w:jc w:val="right"/>
              <w:ind w:right="788"/>
              <w:spacing w:after="0"/>
              <w:rPr>
                <w:sz w:val="20"/>
                <w:szCs w:val="20"/>
                <w:color w:val="auto"/>
              </w:rPr>
            </w:pPr>
            <w:r>
              <w:rPr>
                <w:rFonts w:ascii="Arial" w:cs="Arial" w:eastAsia="Arial" w:hAnsi="Arial"/>
                <w:sz w:val="14"/>
                <w:szCs w:val="14"/>
                <w:color w:val="auto"/>
              </w:rPr>
              <w:t>4%</w:t>
            </w:r>
          </w:p>
        </w:tc>
        <w:tc>
          <w:tcPr>
            <w:tcW w:w="220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w w:val="98"/>
              </w:rPr>
              <w:t>5%</w:t>
            </w:r>
          </w:p>
        </w:tc>
      </w:tr>
      <w:tr>
        <w:trPr>
          <w:trHeight w:val="183"/>
        </w:trPr>
        <w:tc>
          <w:tcPr>
            <w:tcW w:w="46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4380" w:type="dxa"/>
            <w:vAlign w:val="bottom"/>
            <w:tcBorders>
              <w:bottom w:val="single" w:sz="8" w:color="D7282F"/>
            </w:tcBorders>
          </w:tcPr>
          <w:p>
            <w:pPr>
              <w:jc w:val="right"/>
              <w:ind w:right="748"/>
              <w:spacing w:after="0"/>
              <w:rPr>
                <w:sz w:val="20"/>
                <w:szCs w:val="20"/>
                <w:color w:val="auto"/>
              </w:rPr>
            </w:pPr>
            <w:r>
              <w:rPr>
                <w:rFonts w:ascii="Arial" w:cs="Arial" w:eastAsia="Arial" w:hAnsi="Arial"/>
                <w:sz w:val="14"/>
                <w:szCs w:val="14"/>
                <w:color w:val="auto"/>
              </w:rPr>
              <w:t>(1)%</w:t>
            </w:r>
          </w:p>
        </w:tc>
        <w:tc>
          <w:tcPr>
            <w:tcW w:w="22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(1)%</w:t>
            </w:r>
          </w:p>
        </w:tc>
      </w:tr>
      <w:tr>
        <w:trPr>
          <w:trHeight w:val="195"/>
        </w:trPr>
        <w:tc>
          <w:tcPr>
            <w:tcW w:w="466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Total % change in Net sales</w:t>
            </w:r>
          </w:p>
        </w:tc>
        <w:tc>
          <w:tcPr>
            <w:tcW w:w="4380" w:type="dxa"/>
            <w:vAlign w:val="bottom"/>
            <w:tcBorders>
              <w:bottom w:val="single" w:sz="8" w:color="D7282F"/>
            </w:tcBorders>
          </w:tcPr>
          <w:p>
            <w:pPr>
              <w:jc w:val="right"/>
              <w:ind w:right="788"/>
              <w:spacing w:after="0"/>
              <w:rPr>
                <w:sz w:val="20"/>
                <w:szCs w:val="20"/>
                <w:color w:val="auto"/>
              </w:rPr>
            </w:pPr>
            <w:r>
              <w:rPr>
                <w:rFonts w:ascii="Arial" w:cs="Arial" w:eastAsia="Arial" w:hAnsi="Arial"/>
                <w:sz w:val="14"/>
                <w:szCs w:val="14"/>
                <w:b w:val="1"/>
                <w:bCs w:val="1"/>
                <w:color w:val="auto"/>
              </w:rPr>
              <w:t>2%</w:t>
            </w:r>
          </w:p>
        </w:tc>
        <w:tc>
          <w:tcPr>
            <w:tcW w:w="220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b w:val="1"/>
                <w:bCs w:val="1"/>
                <w:color w:val="auto"/>
                <w:w w:val="98"/>
              </w:rPr>
              <w:t>4%</w:t>
            </w:r>
          </w:p>
        </w:tc>
      </w:tr>
    </w:tbl>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discussion of Net sales by reportable business segment can be found in the Review of Business Segments section of this Management's Discussion and Analysis.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2023 compared with Q2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01"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6"/>
          <w:szCs w:val="16"/>
          <w:color w:val="D7282F"/>
        </w:rPr>
      </w:pPr>
      <w:r>
        <w:rPr>
          <w:rFonts w:ascii="Arial" w:cs="Arial" w:eastAsia="Arial" w:hAnsi="Arial"/>
          <w:sz w:val="16"/>
          <w:szCs w:val="16"/>
          <w:color w:val="auto"/>
        </w:rPr>
        <w:t>Increased pricing,</w:t>
      </w:r>
    </w:p>
    <w:p>
      <w:pPr>
        <w:spacing w:after="0" w:line="86" w:lineRule="exact"/>
        <w:rPr>
          <w:rFonts w:ascii="Arial" w:cs="Arial" w:eastAsia="Arial" w:hAnsi="Arial"/>
          <w:sz w:val="16"/>
          <w:szCs w:val="16"/>
          <w:color w:val="D7282F"/>
        </w:rPr>
      </w:pPr>
    </w:p>
    <w:p>
      <w:pPr>
        <w:ind w:left="200" w:hanging="192"/>
        <w:spacing w:after="0" w:line="276" w:lineRule="auto"/>
        <w:tabs>
          <w:tab w:leader="none" w:pos="200" w:val="left"/>
        </w:tabs>
        <w:numPr>
          <w:ilvl w:val="0"/>
          <w:numId w:val="30"/>
        </w:numPr>
        <w:rPr>
          <w:rFonts w:ascii="Arial" w:cs="Arial" w:eastAsia="Arial" w:hAnsi="Arial"/>
          <w:sz w:val="16"/>
          <w:szCs w:val="16"/>
          <w:color w:val="D7282F"/>
        </w:rPr>
      </w:pPr>
      <w:r>
        <w:rPr>
          <w:rFonts w:ascii="Arial" w:cs="Arial" w:eastAsia="Arial" w:hAnsi="Arial"/>
          <w:sz w:val="16"/>
          <w:szCs w:val="16"/>
          <w:color w:val="auto"/>
        </w:rPr>
        <w:t>Partially offset by lower sales volumes and the unfavorable impact of foreign currency translation, driven by the strengthening of the U.S. Dollar against the currencies in certain of our international markets, primarily the Chinese Renminbi, Canadian Dollar, and Australian Dollar.</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with YTD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15"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6"/>
          <w:szCs w:val="16"/>
          <w:color w:val="D7282F"/>
        </w:rPr>
      </w:pPr>
      <w:r>
        <w:rPr>
          <w:rFonts w:ascii="Arial" w:cs="Arial" w:eastAsia="Arial" w:hAnsi="Arial"/>
          <w:sz w:val="16"/>
          <w:szCs w:val="16"/>
          <w:color w:val="auto"/>
        </w:rPr>
        <w:t>Increased pricing,</w:t>
      </w:r>
    </w:p>
    <w:p>
      <w:pPr>
        <w:spacing w:after="0" w:line="72" w:lineRule="exact"/>
        <w:rPr>
          <w:rFonts w:ascii="Arial" w:cs="Arial" w:eastAsia="Arial" w:hAnsi="Arial"/>
          <w:sz w:val="16"/>
          <w:szCs w:val="16"/>
          <w:color w:val="D7282F"/>
        </w:rPr>
      </w:pPr>
    </w:p>
    <w:p>
      <w:pPr>
        <w:ind w:left="200" w:hanging="192"/>
        <w:spacing w:after="0" w:line="293" w:lineRule="auto"/>
        <w:tabs>
          <w:tab w:leader="none" w:pos="200" w:val="left"/>
        </w:tabs>
        <w:numPr>
          <w:ilvl w:val="0"/>
          <w:numId w:val="31"/>
        </w:numPr>
        <w:rPr>
          <w:rFonts w:ascii="Arial" w:cs="Arial" w:eastAsia="Arial" w:hAnsi="Arial"/>
          <w:sz w:val="16"/>
          <w:szCs w:val="16"/>
          <w:color w:val="D7282F"/>
        </w:rPr>
      </w:pPr>
      <w:r>
        <w:rPr>
          <w:rFonts w:ascii="Arial" w:cs="Arial" w:eastAsia="Arial" w:hAnsi="Arial"/>
          <w:sz w:val="16"/>
          <w:szCs w:val="16"/>
          <w:color w:val="auto"/>
        </w:rPr>
        <w:t>Partially offset by the unfavorable impact of foreign currency translation, driven by the strengthening of the U.S. Dollar against the currencies in certain of our international markets, primarily the Chinese Renminbi, Canadian Dollar, British Pound, and Australian Dollar.</w:t>
      </w:r>
    </w:p>
    <w:p>
      <w:pPr>
        <w:spacing w:after="0" w:line="341"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83185</wp:posOffset>
            </wp:positionV>
            <wp:extent cx="5572125" cy="2143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2023 compared with Q2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was flat due to the following:</w:t>
      </w:r>
    </w:p>
    <w:p>
      <w:pPr>
        <w:spacing w:after="0" w:line="115" w:lineRule="exact"/>
        <w:rPr>
          <w:sz w:val="20"/>
          <w:szCs w:val="20"/>
          <w:color w:val="auto"/>
        </w:rPr>
      </w:pPr>
    </w:p>
    <w:p>
      <w:pPr>
        <w:ind w:left="200" w:hanging="192"/>
        <w:spacing w:after="0" w:line="276" w:lineRule="auto"/>
        <w:tabs>
          <w:tab w:leader="none" w:pos="200" w:val="left"/>
        </w:tabs>
        <w:numPr>
          <w:ilvl w:val="0"/>
          <w:numId w:val="33"/>
        </w:numPr>
        <w:rPr>
          <w:rFonts w:ascii="Arial" w:cs="Arial" w:eastAsia="Arial" w:hAnsi="Arial"/>
          <w:sz w:val="16"/>
          <w:szCs w:val="16"/>
          <w:color w:val="D7282F"/>
        </w:rPr>
      </w:pPr>
      <w:r>
        <w:rPr>
          <w:rFonts w:ascii="Arial" w:cs="Arial" w:eastAsia="Arial" w:hAnsi="Arial"/>
          <w:sz w:val="16"/>
          <w:szCs w:val="16"/>
          <w:color w:val="auto"/>
        </w:rPr>
        <w:t>Lower repositioning and other charges due to prior year charges attributable to suspending and winding down our businesses and operations in Russia of approximately $0.1 billion or 2%, and</w:t>
      </w:r>
    </w:p>
    <w:p>
      <w:pPr>
        <w:spacing w:after="0" w:line="35" w:lineRule="exact"/>
        <w:rPr>
          <w:rFonts w:ascii="Arial" w:cs="Arial" w:eastAsia="Arial" w:hAnsi="Arial"/>
          <w:sz w:val="16"/>
          <w:szCs w:val="16"/>
          <w:color w:val="D7282F"/>
        </w:rPr>
      </w:pPr>
    </w:p>
    <w:p>
      <w:pPr>
        <w:ind w:left="200" w:hanging="192"/>
        <w:spacing w:after="0"/>
        <w:tabs>
          <w:tab w:leader="none" w:pos="200" w:val="left"/>
        </w:tabs>
        <w:numPr>
          <w:ilvl w:val="0"/>
          <w:numId w:val="33"/>
        </w:numPr>
        <w:rPr>
          <w:rFonts w:ascii="Arial" w:cs="Arial" w:eastAsia="Arial" w:hAnsi="Arial"/>
          <w:sz w:val="16"/>
          <w:szCs w:val="16"/>
          <w:color w:val="D7282F"/>
        </w:rPr>
      </w:pPr>
      <w:r>
        <w:rPr>
          <w:rFonts w:ascii="Arial" w:cs="Arial" w:eastAsia="Arial" w:hAnsi="Arial"/>
          <w:sz w:val="16"/>
          <w:szCs w:val="16"/>
          <w:color w:val="auto"/>
        </w:rPr>
        <w:t>Lower sales volumes of approximately $0.1 billion or 2%,</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3"/>
        </w:numPr>
        <w:rPr>
          <w:rFonts w:ascii="Arial" w:cs="Arial" w:eastAsia="Arial" w:hAnsi="Arial"/>
          <w:sz w:val="16"/>
          <w:szCs w:val="16"/>
          <w:color w:val="D7282F"/>
        </w:rPr>
      </w:pPr>
      <w:r>
        <w:rPr>
          <w:rFonts w:ascii="Arial" w:cs="Arial" w:eastAsia="Arial" w:hAnsi="Arial"/>
          <w:sz w:val="16"/>
          <w:szCs w:val="16"/>
          <w:color w:val="auto"/>
        </w:rPr>
        <w:t>Offset by higher direct and indirect material costs and higher labor costs of approximately $0.2 billion or 4%.</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with YTD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5"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$0.4 billion or 4%,</w:t>
      </w:r>
    </w:p>
    <w:p>
      <w:pPr>
        <w:spacing w:after="0" w:line="86" w:lineRule="exact"/>
        <w:rPr>
          <w:rFonts w:ascii="Arial" w:cs="Arial" w:eastAsia="Arial" w:hAnsi="Arial"/>
          <w:sz w:val="16"/>
          <w:szCs w:val="16"/>
          <w:color w:val="D7282F"/>
        </w:rPr>
      </w:pPr>
    </w:p>
    <w:p>
      <w:pPr>
        <w:ind w:left="200" w:hanging="192"/>
        <w:spacing w:after="0" w:line="276" w:lineRule="auto"/>
        <w:tabs>
          <w:tab w:leader="none" w:pos="200" w:val="left"/>
        </w:tabs>
        <w:numPr>
          <w:ilvl w:val="0"/>
          <w:numId w:val="34"/>
        </w:numPr>
        <w:rPr>
          <w:rFonts w:ascii="Arial" w:cs="Arial" w:eastAsia="Arial" w:hAnsi="Arial"/>
          <w:sz w:val="16"/>
          <w:szCs w:val="16"/>
          <w:color w:val="D7282F"/>
        </w:rPr>
      </w:pPr>
      <w:r>
        <w:rPr>
          <w:rFonts w:ascii="Arial" w:cs="Arial" w:eastAsia="Arial" w:hAnsi="Arial"/>
          <w:sz w:val="16"/>
          <w:szCs w:val="16"/>
          <w:color w:val="auto"/>
        </w:rPr>
        <w:t>Partially offset by lower repositioning and other charges of approximately $0.2 billion or 2%, which include prior year charges attributable to suspending and winding down our businesses and operations in Russia.</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92075</wp:posOffset>
            </wp:positionV>
            <wp:extent cx="5957570" cy="2314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2023 compared with Q2 2022</w:t>
      </w:r>
    </w:p>
    <w:p>
      <w:pPr>
        <w:spacing w:after="0" w:line="3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Gross margin increased by approximately $0.2 billion and gross margin percentage increased 170 basis points to 38.5% compared to 36.8% for the same period of 2022.</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with YTD 2022</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Gross margin increased by approximately $0.5 billion and gross margin percentage increased 160 basis points to 38.2% compared to 36.6% for the same period of 2022.</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83185</wp:posOffset>
            </wp:positionV>
            <wp:extent cx="5572125" cy="2143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2023 compared with Q2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flat.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with YTD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flat.</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83185</wp:posOffset>
            </wp:positionV>
            <wp:extent cx="5957570" cy="2314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2023 compared with Q2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decreased due to higher productivity.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to YTD 2022</w:t>
      </w:r>
    </w:p>
    <w:p>
      <w:pPr>
        <w:spacing w:after="0" w:line="3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Selling, general and administrative expenses decreased due to prior year charges attributable to suspending and winding down our businesses and operations in Russia.</w:t>
      </w:r>
    </w:p>
    <w:p>
      <w:pPr>
        <w:spacing w:after="0" w:line="200" w:lineRule="exact"/>
        <w:rPr>
          <w:sz w:val="20"/>
          <w:szCs w:val="20"/>
          <w:color w:val="auto"/>
        </w:rPr>
      </w:pPr>
    </w:p>
    <w:p>
      <w:pPr>
        <w:spacing w:after="0" w:line="220"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202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1"/>
        </w:trPr>
        <w:tc>
          <w:tcPr>
            <w:tcW w:w="6980" w:type="dxa"/>
            <w:vAlign w:val="bottom"/>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bottom w:val="single" w:sz="8" w:color="D7282F"/>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80" w:type="dxa"/>
            <w:vAlign w:val="bottom"/>
            <w:tcBorders>
              <w:bottom w:val="single" w:sz="8" w:color="D7282F"/>
            </w:tcBorders>
          </w:tcPr>
          <w:p>
            <w:pPr>
              <w:spacing w:after="0"/>
              <w:rPr>
                <w:sz w:val="15"/>
                <w:szCs w:val="15"/>
                <w:color w:val="auto"/>
              </w:rPr>
            </w:pPr>
          </w:p>
        </w:tc>
        <w:tc>
          <w:tcPr>
            <w:tcW w:w="360" w:type="dxa"/>
            <w:vAlign w:val="bottom"/>
            <w:tcBorders>
              <w:bottom w:val="single" w:sz="8" w:color="D7282F"/>
            </w:tcBorders>
          </w:tcPr>
          <w:p>
            <w:pPr>
              <w:spacing w:after="0"/>
              <w:rPr>
                <w:sz w:val="15"/>
                <w:szCs w:val="15"/>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D7282F"/>
            </w:tcBorders>
          </w:tcPr>
          <w:p>
            <w:pPr>
              <w:spacing w:after="0"/>
              <w:rPr>
                <w:sz w:val="15"/>
                <w:szCs w:val="15"/>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5"/>
                <w:szCs w:val="15"/>
                <w:color w:val="auto"/>
              </w:rPr>
            </w:pPr>
          </w:p>
        </w:tc>
        <w:tc>
          <w:tcPr>
            <w:tcW w:w="360" w:type="dxa"/>
            <w:vAlign w:val="bottom"/>
            <w:tcBorders>
              <w:bottom w:val="single" w:sz="8" w:color="D7282F"/>
            </w:tcBorders>
          </w:tcPr>
          <w:p>
            <w:pPr>
              <w:spacing w:after="0"/>
              <w:rPr>
                <w:sz w:val="15"/>
                <w:szCs w:val="15"/>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Borders>
              <w:bottom w:val="single" w:sz="8" w:color="D7282F"/>
            </w:tcBorders>
          </w:tcPr>
          <w:p>
            <w:pPr>
              <w:spacing w:after="0"/>
              <w:rPr>
                <w:sz w:val="15"/>
                <w:szCs w:val="15"/>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0"/>
        </w:trPr>
        <w:tc>
          <w:tcPr>
            <w:tcW w:w="6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(208)</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(190)</w:t>
            </w: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(468)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2023 compared with Q2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Other income increased due to the following:</w:t>
      </w:r>
    </w:p>
    <w:p>
      <w:pPr>
        <w:spacing w:after="0" w:line="101" w:lineRule="exact"/>
        <w:rPr>
          <w:sz w:val="20"/>
          <w:szCs w:val="20"/>
          <w:color w:val="auto"/>
        </w:rPr>
      </w:pPr>
    </w:p>
    <w:p>
      <w:pPr>
        <w:ind w:left="200" w:hanging="192"/>
        <w:spacing w:after="0" w:line="293" w:lineRule="auto"/>
        <w:tabs>
          <w:tab w:leader="none" w:pos="200" w:val="left"/>
        </w:tabs>
        <w:numPr>
          <w:ilvl w:val="0"/>
          <w:numId w:val="37"/>
        </w:numPr>
        <w:rPr>
          <w:rFonts w:ascii="Arial" w:cs="Arial" w:eastAsia="Arial" w:hAnsi="Arial"/>
          <w:sz w:val="16"/>
          <w:szCs w:val="16"/>
          <w:color w:val="D7282F"/>
        </w:rPr>
      </w:pPr>
      <w:r>
        <w:rPr>
          <w:rFonts w:ascii="Arial" w:cs="Arial" w:eastAsia="Arial" w:hAnsi="Arial"/>
          <w:sz w:val="16"/>
          <w:szCs w:val="16"/>
          <w:color w:val="auto"/>
        </w:rPr>
        <w:t>Prior year charges and accruals of reserves attributable to suspending and winding down our businesses and operations in Russia and UOP matters of approximately $0.1 billion, and</w:t>
      </w:r>
    </w:p>
    <w:p>
      <w:pPr>
        <w:spacing w:after="0" w:line="23" w:lineRule="exact"/>
        <w:rPr>
          <w:rFonts w:ascii="Arial" w:cs="Arial" w:eastAsia="Arial" w:hAnsi="Arial"/>
          <w:sz w:val="16"/>
          <w:szCs w:val="16"/>
          <w:color w:val="D7282F"/>
        </w:rPr>
      </w:pPr>
    </w:p>
    <w:p>
      <w:pPr>
        <w:ind w:left="200" w:hanging="192"/>
        <w:spacing w:after="0"/>
        <w:tabs>
          <w:tab w:leader="none" w:pos="200" w:val="left"/>
        </w:tabs>
        <w:numPr>
          <w:ilvl w:val="0"/>
          <w:numId w:val="37"/>
        </w:numPr>
        <w:rPr>
          <w:rFonts w:ascii="Arial" w:cs="Arial" w:eastAsia="Arial" w:hAnsi="Arial"/>
          <w:sz w:val="16"/>
          <w:szCs w:val="16"/>
          <w:color w:val="D7282F"/>
        </w:rPr>
      </w:pPr>
      <w:r>
        <w:rPr>
          <w:rFonts w:ascii="Arial" w:cs="Arial" w:eastAsia="Arial" w:hAnsi="Arial"/>
          <w:sz w:val="16"/>
          <w:szCs w:val="16"/>
          <w:color w:val="auto"/>
        </w:rPr>
        <w:t>Higher interest income of approximately $0.1 billion,</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37"/>
        </w:numPr>
        <w:rPr>
          <w:rFonts w:ascii="Arial" w:cs="Arial" w:eastAsia="Arial" w:hAnsi="Arial"/>
          <w:sz w:val="16"/>
          <w:szCs w:val="16"/>
          <w:color w:val="D7282F"/>
        </w:rPr>
      </w:pPr>
      <w:r>
        <w:rPr>
          <w:rFonts w:ascii="Arial" w:cs="Arial" w:eastAsia="Arial" w:hAnsi="Arial"/>
          <w:sz w:val="16"/>
          <w:szCs w:val="16"/>
          <w:color w:val="auto"/>
        </w:rPr>
        <w:t>Partially offset by lower pension and other postretirement income of approximately $0.1 billion.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with YTD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Other income decreased due to the following:</w:t>
      </w:r>
    </w:p>
    <w:p>
      <w:pPr>
        <w:spacing w:after="0" w:line="101"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6"/>
          <w:szCs w:val="16"/>
          <w:color w:val="D7282F"/>
        </w:rPr>
      </w:pPr>
      <w:r>
        <w:rPr>
          <w:rFonts w:ascii="Arial" w:cs="Arial" w:eastAsia="Arial" w:hAnsi="Arial"/>
          <w:sz w:val="16"/>
          <w:szCs w:val="16"/>
          <w:color w:val="auto"/>
        </w:rPr>
        <w:t>Lower pension and other postretirement income of approximately $0.3 billion,</w:t>
      </w:r>
    </w:p>
    <w:p>
      <w:pPr>
        <w:spacing w:after="0" w:line="86" w:lineRule="exact"/>
        <w:rPr>
          <w:rFonts w:ascii="Arial" w:cs="Arial" w:eastAsia="Arial" w:hAnsi="Arial"/>
          <w:sz w:val="16"/>
          <w:szCs w:val="16"/>
          <w:color w:val="D7282F"/>
        </w:rPr>
      </w:pPr>
    </w:p>
    <w:p>
      <w:pPr>
        <w:ind w:left="200" w:hanging="192"/>
        <w:spacing w:after="0" w:line="293" w:lineRule="auto"/>
        <w:tabs>
          <w:tab w:leader="none" w:pos="200" w:val="left"/>
        </w:tabs>
        <w:numPr>
          <w:ilvl w:val="0"/>
          <w:numId w:val="38"/>
        </w:numPr>
        <w:rPr>
          <w:rFonts w:ascii="Arial" w:cs="Arial" w:eastAsia="Arial" w:hAnsi="Arial"/>
          <w:sz w:val="16"/>
          <w:szCs w:val="16"/>
          <w:color w:val="D7282F"/>
        </w:rPr>
      </w:pPr>
      <w:r>
        <w:rPr>
          <w:rFonts w:ascii="Arial" w:cs="Arial" w:eastAsia="Arial" w:hAnsi="Arial"/>
          <w:sz w:val="16"/>
          <w:szCs w:val="16"/>
          <w:color w:val="auto"/>
        </w:rPr>
        <w:t>Partially offset by higher interest income of approximately $0.1 billion and prior year charges attributable to suspending and winding down our businesses and operations in Russia and UOP matters of approximately $0.1 billion.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83185</wp:posOffset>
            </wp:positionV>
            <wp:extent cx="5957570" cy="2314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2023 compared with Q2 2022</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effective tax rate decreased due to benefits from taxes on non-U.S. earnings, lower accrued withholding tax related to unremitted foreign earnings, favorable resolution of tax matters, employee share-based compensation deductions, and lower repositioning related expenses, representing a 470 basis-point decrease.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with YTD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decreased due to the following:</w:t>
      </w:r>
    </w:p>
    <w:p>
      <w:pPr>
        <w:spacing w:after="0" w:line="74" w:lineRule="exact"/>
        <w:rPr>
          <w:sz w:val="20"/>
          <w:szCs w:val="20"/>
          <w:color w:val="auto"/>
        </w:rPr>
      </w:pPr>
    </w:p>
    <w:p>
      <w:pPr>
        <w:ind w:left="200" w:hanging="192"/>
        <w:spacing w:after="0" w:line="276" w:lineRule="auto"/>
        <w:tabs>
          <w:tab w:leader="none" w:pos="200" w:val="left"/>
        </w:tabs>
        <w:numPr>
          <w:ilvl w:val="0"/>
          <w:numId w:val="39"/>
        </w:numPr>
        <w:rPr>
          <w:rFonts w:ascii="Arial" w:cs="Arial" w:eastAsia="Arial" w:hAnsi="Arial"/>
          <w:sz w:val="16"/>
          <w:szCs w:val="16"/>
          <w:color w:val="DC202E"/>
        </w:rPr>
      </w:pPr>
      <w:r>
        <w:rPr>
          <w:rFonts w:ascii="Arial" w:cs="Arial" w:eastAsia="Arial" w:hAnsi="Arial"/>
          <w:sz w:val="16"/>
          <w:szCs w:val="16"/>
          <w:color w:val="auto"/>
        </w:rPr>
        <w:t>Benefits from taxes on non-U.S. earnings, favorable resolution of tax matters, and lower repositioning related expenses, representing a 450 basis-point decrease,</w:t>
      </w:r>
    </w:p>
    <w:p>
      <w:pPr>
        <w:spacing w:after="0" w:line="35" w:lineRule="exact"/>
        <w:rPr>
          <w:rFonts w:ascii="Arial" w:cs="Arial" w:eastAsia="Arial" w:hAnsi="Arial"/>
          <w:sz w:val="16"/>
          <w:szCs w:val="16"/>
          <w:color w:val="DC202E"/>
        </w:rPr>
      </w:pPr>
    </w:p>
    <w:p>
      <w:pPr>
        <w:ind w:left="200" w:hanging="192"/>
        <w:spacing w:after="0"/>
        <w:tabs>
          <w:tab w:leader="none" w:pos="200" w:val="left"/>
        </w:tabs>
        <w:numPr>
          <w:ilvl w:val="0"/>
          <w:numId w:val="39"/>
        </w:numPr>
        <w:rPr>
          <w:rFonts w:ascii="Arial" w:cs="Arial" w:eastAsia="Arial" w:hAnsi="Arial"/>
          <w:sz w:val="16"/>
          <w:szCs w:val="16"/>
          <w:color w:val="DC202E"/>
        </w:rPr>
      </w:pPr>
      <w:r>
        <w:rPr>
          <w:rFonts w:ascii="Arial" w:cs="Arial" w:eastAsia="Arial" w:hAnsi="Arial"/>
          <w:sz w:val="16"/>
          <w:szCs w:val="16"/>
          <w:color w:val="auto"/>
        </w:rPr>
        <w:t>Partially offset by tax expense from accrued withholding tax related to unremitted foreign earnings representing a 30 basis-point increase.</w:t>
      </w:r>
    </w:p>
    <w:p>
      <w:pPr>
        <w:spacing w:after="0" w:line="200" w:lineRule="exact"/>
        <w:rPr>
          <w:sz w:val="20"/>
          <w:szCs w:val="20"/>
          <w:color w:val="auto"/>
        </w:rPr>
      </w:pPr>
    </w:p>
    <w:p>
      <w:pPr>
        <w:spacing w:after="0" w:line="217"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83185</wp:posOffset>
            </wp:positionV>
            <wp:extent cx="5957570" cy="2314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2023 compared to Q2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115"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6"/>
          <w:szCs w:val="16"/>
          <w:color w:val="DC202E"/>
        </w:rPr>
      </w:pPr>
      <w:r>
        <w:rPr>
          <w:rFonts w:ascii="Arial" w:cs="Arial" w:eastAsia="Arial" w:hAnsi="Arial"/>
          <w:sz w:val="16"/>
          <w:szCs w:val="16"/>
          <w:color w:val="auto"/>
        </w:rPr>
        <w:t>Higher segment profit from all of our reportable business segments impacted earnings per share by $0.21 after tax,</w:t>
      </w:r>
    </w:p>
    <w:p>
      <w:pPr>
        <w:spacing w:after="0" w:line="86" w:lineRule="exact"/>
        <w:rPr>
          <w:rFonts w:ascii="Arial" w:cs="Arial" w:eastAsia="Arial" w:hAnsi="Arial"/>
          <w:sz w:val="16"/>
          <w:szCs w:val="16"/>
          <w:color w:val="DC202E"/>
        </w:rPr>
      </w:pPr>
    </w:p>
    <w:p>
      <w:pPr>
        <w:ind w:left="200" w:hanging="192"/>
        <w:spacing w:after="0" w:line="276" w:lineRule="auto"/>
        <w:tabs>
          <w:tab w:leader="none" w:pos="200" w:val="left"/>
        </w:tabs>
        <w:numPr>
          <w:ilvl w:val="0"/>
          <w:numId w:val="41"/>
        </w:numPr>
        <w:rPr>
          <w:rFonts w:ascii="Arial" w:cs="Arial" w:eastAsia="Arial" w:hAnsi="Arial"/>
          <w:sz w:val="16"/>
          <w:szCs w:val="16"/>
          <w:color w:val="DC202E"/>
        </w:rPr>
      </w:pPr>
      <w:r>
        <w:rPr>
          <w:rFonts w:ascii="Arial" w:cs="Arial" w:eastAsia="Arial" w:hAnsi="Arial"/>
          <w:sz w:val="16"/>
          <w:szCs w:val="16"/>
          <w:color w:val="auto"/>
        </w:rPr>
        <w:t>Lower repositioning and other charges, due to prior year charges attributable to suspending and winding down our businesses and operations in Russia, impacted earnings per share by $0.18 after tax, and</w:t>
      </w:r>
    </w:p>
    <w:p>
      <w:pPr>
        <w:spacing w:after="0" w:line="35" w:lineRule="exact"/>
        <w:rPr>
          <w:rFonts w:ascii="Arial" w:cs="Arial" w:eastAsia="Arial" w:hAnsi="Arial"/>
          <w:sz w:val="16"/>
          <w:szCs w:val="16"/>
          <w:color w:val="DC202E"/>
        </w:rPr>
      </w:pPr>
    </w:p>
    <w:p>
      <w:pPr>
        <w:ind w:left="200" w:hanging="192"/>
        <w:spacing w:after="0"/>
        <w:tabs>
          <w:tab w:leader="none" w:pos="200" w:val="left"/>
        </w:tabs>
        <w:numPr>
          <w:ilvl w:val="0"/>
          <w:numId w:val="41"/>
        </w:numPr>
        <w:rPr>
          <w:rFonts w:ascii="Arial" w:cs="Arial" w:eastAsia="Arial" w:hAnsi="Arial"/>
          <w:sz w:val="16"/>
          <w:szCs w:val="16"/>
          <w:color w:val="D7282F"/>
        </w:rPr>
      </w:pPr>
      <w:r>
        <w:rPr>
          <w:rFonts w:ascii="Arial" w:cs="Arial" w:eastAsia="Arial" w:hAnsi="Arial"/>
          <w:sz w:val="16"/>
          <w:szCs w:val="16"/>
          <w:color w:val="auto"/>
        </w:rPr>
        <w:t>Prior year recognition of an expense related to UOP Matters impacted earnings per share by $0.07, with no tax impact,</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1"/>
        </w:numPr>
        <w:rPr>
          <w:rFonts w:ascii="Arial" w:cs="Arial" w:eastAsia="Arial" w:hAnsi="Arial"/>
          <w:sz w:val="16"/>
          <w:szCs w:val="16"/>
          <w:color w:val="DC202E"/>
        </w:rPr>
      </w:pPr>
      <w:r>
        <w:rPr>
          <w:rFonts w:ascii="Arial" w:cs="Arial" w:eastAsia="Arial" w:hAnsi="Arial"/>
          <w:sz w:val="16"/>
          <w:szCs w:val="16"/>
          <w:color w:val="auto"/>
        </w:rPr>
        <w:t>Partially offset by lower pension income which impacted earnings per share by $0.14 after tax.</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to YTD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115" w:lineRule="exact"/>
        <w:rPr>
          <w:sz w:val="20"/>
          <w:szCs w:val="20"/>
          <w:color w:val="auto"/>
        </w:rPr>
      </w:pPr>
    </w:p>
    <w:p>
      <w:pPr>
        <w:ind w:left="200" w:hanging="192"/>
        <w:spacing w:after="0" w:line="276" w:lineRule="auto"/>
        <w:tabs>
          <w:tab w:leader="none" w:pos="200" w:val="left"/>
        </w:tabs>
        <w:numPr>
          <w:ilvl w:val="0"/>
          <w:numId w:val="42"/>
        </w:numPr>
        <w:rPr>
          <w:rFonts w:ascii="Arial" w:cs="Arial" w:eastAsia="Arial" w:hAnsi="Arial"/>
          <w:sz w:val="16"/>
          <w:szCs w:val="16"/>
          <w:color w:val="D7282F"/>
        </w:rPr>
      </w:pPr>
      <w:r>
        <w:rPr>
          <w:rFonts w:ascii="Arial" w:cs="Arial" w:eastAsia="Arial" w:hAnsi="Arial"/>
          <w:sz w:val="16"/>
          <w:szCs w:val="16"/>
          <w:color w:val="auto"/>
        </w:rPr>
        <w:t>Lower repositioning and other charges, including charges attributable to suspending and winding down our businesses and operations in Russia, impacted earnings per share by $0.52 after tax,</w:t>
      </w:r>
    </w:p>
    <w:p>
      <w:pPr>
        <w:spacing w:after="0" w:line="35" w:lineRule="exact"/>
        <w:rPr>
          <w:rFonts w:ascii="Arial" w:cs="Arial" w:eastAsia="Arial" w:hAnsi="Arial"/>
          <w:sz w:val="16"/>
          <w:szCs w:val="16"/>
          <w:color w:val="D7282F"/>
        </w:rPr>
      </w:pPr>
    </w:p>
    <w:p>
      <w:pPr>
        <w:ind w:left="200" w:hanging="192"/>
        <w:spacing w:after="0"/>
        <w:tabs>
          <w:tab w:leader="none" w:pos="200" w:val="left"/>
        </w:tabs>
        <w:numPr>
          <w:ilvl w:val="0"/>
          <w:numId w:val="42"/>
        </w:numPr>
        <w:rPr>
          <w:rFonts w:ascii="Arial" w:cs="Arial" w:eastAsia="Arial" w:hAnsi="Arial"/>
          <w:sz w:val="16"/>
          <w:szCs w:val="16"/>
          <w:color w:val="DC202E"/>
        </w:rPr>
      </w:pPr>
      <w:r>
        <w:rPr>
          <w:rFonts w:ascii="Arial" w:cs="Arial" w:eastAsia="Arial" w:hAnsi="Arial"/>
          <w:sz w:val="16"/>
          <w:szCs w:val="16"/>
          <w:color w:val="auto"/>
        </w:rPr>
        <w:t>Higher segment profit from all of our reportable business segments impacted earnings per share by $0.41 after tax, and</w:t>
      </w:r>
    </w:p>
    <w:p>
      <w:pPr>
        <w:spacing w:after="0" w:line="72" w:lineRule="exact"/>
        <w:rPr>
          <w:rFonts w:ascii="Arial" w:cs="Arial" w:eastAsia="Arial" w:hAnsi="Arial"/>
          <w:sz w:val="16"/>
          <w:szCs w:val="16"/>
          <w:color w:val="DC202E"/>
        </w:rPr>
      </w:pPr>
    </w:p>
    <w:p>
      <w:pPr>
        <w:ind w:left="200" w:hanging="192"/>
        <w:spacing w:after="0"/>
        <w:tabs>
          <w:tab w:leader="none" w:pos="200" w:val="left"/>
        </w:tabs>
        <w:numPr>
          <w:ilvl w:val="0"/>
          <w:numId w:val="42"/>
        </w:numPr>
        <w:rPr>
          <w:rFonts w:ascii="Arial" w:cs="Arial" w:eastAsia="Arial" w:hAnsi="Arial"/>
          <w:sz w:val="16"/>
          <w:szCs w:val="16"/>
          <w:color w:val="DC202E"/>
        </w:rPr>
      </w:pPr>
      <w:r>
        <w:rPr>
          <w:rFonts w:ascii="Arial" w:cs="Arial" w:eastAsia="Arial" w:hAnsi="Arial"/>
          <w:sz w:val="16"/>
          <w:szCs w:val="16"/>
          <w:color w:val="auto"/>
        </w:rPr>
        <w:t>Higher interest income impacted earnings per share by $0.13 after tax,</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42"/>
        </w:numPr>
        <w:rPr>
          <w:rFonts w:ascii="Arial" w:cs="Arial" w:eastAsia="Arial" w:hAnsi="Arial"/>
          <w:sz w:val="16"/>
          <w:szCs w:val="16"/>
          <w:color w:val="DC202E"/>
        </w:rPr>
      </w:pPr>
      <w:r>
        <w:rPr>
          <w:rFonts w:ascii="Arial" w:cs="Arial" w:eastAsia="Arial" w:hAnsi="Arial"/>
          <w:sz w:val="16"/>
          <w:szCs w:val="16"/>
          <w:color w:val="auto"/>
        </w:rPr>
        <w:t>Partially offset by lower pension income which impacted earnings per share by $0.27 after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200" w:lineRule="exact"/>
        <w:rPr>
          <w:sz w:val="20"/>
          <w:szCs w:val="20"/>
          <w:color w:val="auto"/>
        </w:rPr>
      </w:pPr>
    </w:p>
    <w:p>
      <w:pPr>
        <w:spacing w:after="0" w:line="20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globally manage our business operations through four reportable business segments: Aerospace, Honeywell Building Technologies, Performance Materials and Technologies, and Safety and Productivity Solutions.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D7282F"/>
        </w:rPr>
        <w:t>AEROSPACE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92075</wp:posOffset>
            </wp:positionV>
            <wp:extent cx="3771900" cy="2314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719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jc w:val="right"/>
              <w:ind w:right="72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3"/>
          </w:tcPr>
          <w:p>
            <w:pPr>
              <w:ind w:left="18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2"/>
                <w:szCs w:val="12"/>
                <w:color w:val="auto"/>
              </w:rPr>
            </w:pPr>
          </w:p>
        </w:tc>
        <w:tc>
          <w:tcPr>
            <w:tcW w:w="4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2"/>
                <w:szCs w:val="12"/>
                <w:color w:val="auto"/>
              </w:rPr>
            </w:pPr>
          </w:p>
        </w:tc>
        <w:tc>
          <w:tcPr>
            <w:tcW w:w="1040" w:type="dxa"/>
            <w:vAlign w:val="bottom"/>
          </w:tcPr>
          <w:p>
            <w:pPr>
              <w:jc w:val="right"/>
              <w:ind w:right="408"/>
              <w:spacing w:after="0" w:line="14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w w:val="96"/>
              </w:rPr>
              <w:t>2022</w:t>
            </w:r>
          </w:p>
        </w:tc>
        <w:tc>
          <w:tcPr>
            <w:tcW w:w="88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6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vMerge w:val="continue"/>
          </w:tcPr>
          <w:p>
            <w:pPr>
              <w:spacing w:after="0"/>
              <w:rPr>
                <w:sz w:val="16"/>
                <w:szCs w:val="16"/>
                <w:color w:val="auto"/>
              </w:rPr>
            </w:pPr>
          </w:p>
        </w:tc>
        <w:tc>
          <w:tcPr>
            <w:tcW w:w="8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3,341</w:t>
            </w:r>
          </w:p>
        </w:tc>
        <w:tc>
          <w:tcPr>
            <w:tcW w:w="2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gridSpan w:val="2"/>
          </w:tcPr>
          <w:p>
            <w:pPr>
              <w:jc w:val="right"/>
              <w:ind w:right="100"/>
              <w:spacing w:after="0"/>
              <w:rPr>
                <w:sz w:val="20"/>
                <w:szCs w:val="20"/>
                <w:color w:val="auto"/>
              </w:rPr>
            </w:pPr>
            <w:r>
              <w:rPr>
                <w:rFonts w:ascii="Arial" w:cs="Arial" w:eastAsia="Arial" w:hAnsi="Arial"/>
                <w:sz w:val="14"/>
                <w:szCs w:val="14"/>
                <w:color w:val="auto"/>
              </w:rPr>
              <w:t>2,898</w:t>
            </w: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15 %</w:t>
            </w:r>
          </w:p>
        </w:tc>
        <w:tc>
          <w:tcPr>
            <w:tcW w:w="56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gridSpan w:val="3"/>
          </w:tcPr>
          <w:p>
            <w:pPr>
              <w:jc w:val="right"/>
              <w:ind w:right="228"/>
              <w:spacing w:after="0"/>
              <w:rPr>
                <w:sz w:val="20"/>
                <w:szCs w:val="20"/>
                <w:color w:val="auto"/>
              </w:rPr>
            </w:pPr>
            <w:r>
              <w:rPr>
                <w:rFonts w:ascii="Arial" w:cs="Arial" w:eastAsia="Arial" w:hAnsi="Arial"/>
                <w:sz w:val="14"/>
                <w:szCs w:val="14"/>
                <w:color w:val="auto"/>
              </w:rPr>
              <w:t>6,452</w:t>
            </w:r>
          </w:p>
        </w:tc>
        <w:tc>
          <w:tcPr>
            <w:tcW w:w="10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5,647</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2,041</w:t>
            </w:r>
          </w:p>
        </w:tc>
        <w:tc>
          <w:tcPr>
            <w:tcW w:w="24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gridSpan w:val="2"/>
          </w:tcPr>
          <w:p>
            <w:pPr>
              <w:jc w:val="right"/>
              <w:ind w:right="100"/>
              <w:spacing w:after="0"/>
              <w:rPr>
                <w:sz w:val="20"/>
                <w:szCs w:val="20"/>
                <w:color w:val="auto"/>
              </w:rPr>
            </w:pPr>
            <w:r>
              <w:rPr>
                <w:rFonts w:ascii="Arial" w:cs="Arial" w:eastAsia="Arial" w:hAnsi="Arial"/>
                <w:sz w:val="14"/>
                <w:szCs w:val="14"/>
                <w:color w:val="auto"/>
              </w:rPr>
              <w:t>1,778</w:t>
            </w:r>
          </w:p>
        </w:tc>
        <w:tc>
          <w:tcPr>
            <w:tcW w:w="10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gridSpan w:val="3"/>
          </w:tcPr>
          <w:p>
            <w:pPr>
              <w:jc w:val="right"/>
              <w:ind w:right="228"/>
              <w:spacing w:after="0"/>
              <w:rPr>
                <w:sz w:val="20"/>
                <w:szCs w:val="20"/>
                <w:color w:val="auto"/>
              </w:rPr>
            </w:pPr>
            <w:r>
              <w:rPr>
                <w:rFonts w:ascii="Arial" w:cs="Arial" w:eastAsia="Arial" w:hAnsi="Arial"/>
                <w:sz w:val="14"/>
                <w:szCs w:val="14"/>
                <w:color w:val="auto"/>
              </w:rPr>
              <w:t>3,977</w:t>
            </w:r>
          </w:p>
        </w:tc>
        <w:tc>
          <w:tcPr>
            <w:tcW w:w="10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3,412</w:t>
            </w:r>
          </w:p>
        </w:tc>
        <w:tc>
          <w:tcPr>
            <w:tcW w:w="8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376</w:t>
            </w:r>
          </w:p>
        </w:tc>
        <w:tc>
          <w:tcPr>
            <w:tcW w:w="24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gridSpan w:val="2"/>
          </w:tcPr>
          <w:p>
            <w:pPr>
              <w:jc w:val="right"/>
              <w:ind w:right="100"/>
              <w:spacing w:after="0"/>
              <w:rPr>
                <w:sz w:val="20"/>
                <w:szCs w:val="20"/>
                <w:color w:val="auto"/>
              </w:rPr>
            </w:pPr>
            <w:r>
              <w:rPr>
                <w:rFonts w:ascii="Arial" w:cs="Arial" w:eastAsia="Arial" w:hAnsi="Arial"/>
                <w:sz w:val="14"/>
                <w:szCs w:val="14"/>
                <w:color w:val="auto"/>
              </w:rPr>
              <w:t>353</w:t>
            </w:r>
          </w:p>
        </w:tc>
        <w:tc>
          <w:tcPr>
            <w:tcW w:w="10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color w:val="auto"/>
              </w:rPr>
              <w:t>724</w:t>
            </w:r>
          </w:p>
        </w:tc>
        <w:tc>
          <w:tcPr>
            <w:tcW w:w="10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715</w:t>
            </w:r>
          </w:p>
        </w:tc>
        <w:tc>
          <w:tcPr>
            <w:tcW w:w="8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924</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gridSpan w:val="2"/>
          </w:tcPr>
          <w:p>
            <w:pPr>
              <w:jc w:val="right"/>
              <w:ind w:right="100"/>
              <w:spacing w:after="0"/>
              <w:rPr>
                <w:sz w:val="20"/>
                <w:szCs w:val="20"/>
                <w:color w:val="auto"/>
              </w:rPr>
            </w:pPr>
            <w:r>
              <w:rPr>
                <w:rFonts w:ascii="Arial" w:cs="Arial" w:eastAsia="Arial" w:hAnsi="Arial"/>
                <w:sz w:val="14"/>
                <w:szCs w:val="14"/>
                <w:b w:val="1"/>
                <w:bCs w:val="1"/>
                <w:color w:val="auto"/>
              </w:rPr>
              <w:t>767</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20 %</w:t>
            </w:r>
          </w:p>
        </w:tc>
        <w:tc>
          <w:tcPr>
            <w:tcW w:w="5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1,751</w:t>
            </w:r>
          </w:p>
        </w:tc>
        <w:tc>
          <w:tcPr>
            <w:tcW w:w="10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1,520</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15 %</w:t>
            </w:r>
          </w:p>
        </w:tc>
        <w:tc>
          <w:tcPr>
            <w:tcW w:w="0" w:type="dxa"/>
            <w:vAlign w:val="bottom"/>
          </w:tcPr>
          <w:p>
            <w:pPr>
              <w:spacing w:after="0"/>
              <w:rPr>
                <w:sz w:val="1"/>
                <w:szCs w:val="1"/>
                <w:color w:val="auto"/>
              </w:rPr>
            </w:pPr>
          </w:p>
        </w:tc>
      </w:tr>
      <w:tr>
        <w:trPr>
          <w:trHeight w:val="412"/>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4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22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2023 vs. 2022</w:t>
            </w:r>
          </w:p>
        </w:tc>
        <w:tc>
          <w:tcPr>
            <w:tcW w:w="1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8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3"/>
          </w:tcPr>
          <w:p>
            <w:pPr>
              <w:jc w:val="right"/>
              <w:spacing w:after="0" w:line="143"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388"/>
              <w:spacing w:after="0" w:line="14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88"/>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2"/>
          </w:tcPr>
          <w:p>
            <w:pPr>
              <w:jc w:val="right"/>
              <w:ind w:right="72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3"/>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548"/>
              <w:spacing w:after="0" w:line="143" w:lineRule="exact"/>
              <w:rPr>
                <w:sz w:val="20"/>
                <w:szCs w:val="20"/>
                <w:color w:val="auto"/>
              </w:rPr>
            </w:pPr>
            <w:r>
              <w:rPr>
                <w:rFonts w:ascii="Arial" w:cs="Arial" w:eastAsia="Arial" w:hAnsi="Arial"/>
                <w:sz w:val="14"/>
                <w:szCs w:val="14"/>
                <w:b w:val="1"/>
                <w:bCs w:val="1"/>
                <w:color w:val="auto"/>
              </w:rPr>
              <w:t>Net</w:t>
            </w:r>
          </w:p>
        </w:tc>
        <w:tc>
          <w:tcPr>
            <w:tcW w:w="1460" w:type="dxa"/>
            <w:vAlign w:val="bottom"/>
            <w:gridSpan w:val="5"/>
          </w:tcPr>
          <w:p>
            <w:pPr>
              <w:jc w:val="right"/>
              <w:ind w:right="748"/>
              <w:spacing w:after="0" w:line="143" w:lineRule="exact"/>
              <w:rPr>
                <w:sz w:val="20"/>
                <w:szCs w:val="20"/>
                <w:color w:val="auto"/>
              </w:rPr>
            </w:pPr>
            <w:r>
              <w:rPr>
                <w:rFonts w:ascii="Arial" w:cs="Arial" w:eastAsia="Arial" w:hAnsi="Arial"/>
                <w:sz w:val="14"/>
                <w:szCs w:val="14"/>
                <w:b w:val="1"/>
                <w:bCs w:val="1"/>
                <w:color w:val="auto"/>
              </w:rPr>
              <w:t>Segment</w:t>
            </w:r>
          </w:p>
        </w:tc>
        <w:tc>
          <w:tcPr>
            <w:tcW w:w="960" w:type="dxa"/>
            <w:vAlign w:val="bottom"/>
            <w:gridSpan w:val="2"/>
          </w:tcPr>
          <w:p>
            <w:pPr>
              <w:jc w:val="right"/>
              <w:ind w:right="568"/>
              <w:spacing w:after="0" w:line="143" w:lineRule="exact"/>
              <w:rPr>
                <w:sz w:val="20"/>
                <w:szCs w:val="20"/>
                <w:color w:val="auto"/>
              </w:rPr>
            </w:pPr>
            <w:r>
              <w:rPr>
                <w:rFonts w:ascii="Arial" w:cs="Arial" w:eastAsia="Arial" w:hAnsi="Arial"/>
                <w:sz w:val="14"/>
                <w:szCs w:val="14"/>
                <w:b w:val="1"/>
                <w:bCs w:val="1"/>
                <w:color w:val="auto"/>
              </w:rPr>
              <w:t>Net</w:t>
            </w:r>
          </w:p>
        </w:tc>
        <w:tc>
          <w:tcPr>
            <w:tcW w:w="88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6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Sales</w:t>
            </w:r>
          </w:p>
        </w:tc>
        <w:tc>
          <w:tcPr>
            <w:tcW w:w="5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Profit</w:t>
            </w:r>
          </w:p>
        </w:tc>
        <w:tc>
          <w:tcPr>
            <w:tcW w:w="3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b w:val="1"/>
                <w:bCs w:val="1"/>
                <w:color w:val="auto"/>
              </w:rPr>
              <w:t>Sales</w:t>
            </w:r>
          </w:p>
        </w:tc>
        <w:tc>
          <w:tcPr>
            <w:tcW w:w="8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Organic</w:t>
            </w:r>
            <w:r>
              <w:rPr>
                <w:rFonts w:ascii="Arial" w:cs="Arial" w:eastAsia="Arial" w:hAnsi="Arial"/>
                <w:sz w:val="18"/>
                <w:szCs w:val="18"/>
                <w:color w:val="auto"/>
                <w:vertAlign w:val="superscript"/>
              </w:rPr>
              <w:t>(1)</w:t>
            </w:r>
          </w:p>
        </w:tc>
        <w:tc>
          <w:tcPr>
            <w:tcW w:w="3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4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16 %</w:t>
            </w:r>
          </w:p>
        </w:tc>
        <w:tc>
          <w:tcPr>
            <w:tcW w:w="900" w:type="dxa"/>
            <w:vAlign w:val="bottom"/>
            <w:tcBorders>
              <w:bottom w:val="single" w:sz="8" w:color="61656A"/>
            </w:tcBorders>
            <w:gridSpan w:val="3"/>
          </w:tcPr>
          <w:p>
            <w:pPr>
              <w:jc w:val="right"/>
              <w:spacing w:after="0"/>
              <w:rPr>
                <w:sz w:val="20"/>
                <w:szCs w:val="20"/>
                <w:color w:val="auto"/>
              </w:rPr>
            </w:pPr>
            <w:r>
              <w:rPr>
                <w:rFonts w:ascii="Arial" w:cs="Arial" w:eastAsia="Arial" w:hAnsi="Arial"/>
                <w:sz w:val="14"/>
                <w:szCs w:val="14"/>
                <w:color w:val="auto"/>
              </w:rPr>
              <w:t>21 %</w:t>
            </w:r>
          </w:p>
        </w:tc>
        <w:tc>
          <w:tcPr>
            <w:tcW w:w="2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15 %</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90"/>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32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4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4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6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4"/>
          </w:tcPr>
          <w:p>
            <w:pPr>
              <w:jc w:val="right"/>
              <w:ind w:right="508"/>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 %</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6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15 %</w:t>
            </w:r>
          </w:p>
        </w:tc>
        <w:tc>
          <w:tcPr>
            <w:tcW w:w="90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20 %</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14 %</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15 %</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180" w:hanging="172"/>
        <w:spacing w:after="0" w:line="246" w:lineRule="auto"/>
        <w:tabs>
          <w:tab w:leader="none" w:pos="23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2023 compared to Q2 2022</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Sales increased $443 million due to higher organic sales of $330 million in Commercial Aviation Aftermarket primarily driven by higher sales volumes in air transport due to an increase in flight hours and higher organic sales of $83 million in Commercial Aviation Original Equipment primarily driven by higher sales volumes due to increased shipments.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Segment profit increased $157 million and segment margin percentage increased 120 basis points to 27.7% compared to 26.5% for the same period of 2022.</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to YTD 2022</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Sales increased $805 million due to higher organic sales of $592 million in Commercial Aviation Aftermarket primarily driven by higher sales volumes in air transport due to an increase in flight hours and higher organic sales of $150 million in Commercial Aviation Original Equipment primarily driven by higher sales volumes due to increased shipments.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$231 million and segment margin percentage increased 20 basis points to 27.1% compared to 26.9% for the same period of 2022.</w:t>
      </w: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color w:val="D7282F"/>
        </w:rPr>
        <w:t>HONEYWELL BUILDING TECHNOLOGIES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83185</wp:posOffset>
            </wp:positionV>
            <wp:extent cx="5957570" cy="2314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jc w:val="right"/>
              <w:ind w:right="72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gridSpan w:val="3"/>
          </w:tcPr>
          <w:p>
            <w:pPr>
              <w:ind w:left="18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2"/>
                <w:szCs w:val="12"/>
                <w:color w:val="auto"/>
              </w:rPr>
            </w:pPr>
          </w:p>
        </w:tc>
        <w:tc>
          <w:tcPr>
            <w:tcW w:w="4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2"/>
                <w:szCs w:val="12"/>
                <w:color w:val="auto"/>
              </w:rPr>
            </w:pPr>
          </w:p>
        </w:tc>
        <w:tc>
          <w:tcPr>
            <w:tcW w:w="1040" w:type="dxa"/>
            <w:vAlign w:val="bottom"/>
          </w:tcPr>
          <w:p>
            <w:pPr>
              <w:jc w:val="right"/>
              <w:ind w:right="408"/>
              <w:spacing w:after="0" w:line="14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2022</w:t>
            </w:r>
          </w:p>
        </w:tc>
        <w:tc>
          <w:tcPr>
            <w:tcW w:w="88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490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vMerge w:val="continue"/>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460" w:type="dxa"/>
            <w:vAlign w:val="bottom"/>
            <w:tcBorders>
              <w:bottom w:val="single" w:sz="8" w:color="D7282F"/>
            </w:tcBorders>
            <w:vMerge w:val="continue"/>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vMerge w:val="continue"/>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vMerge w:val="continue"/>
          </w:tcPr>
          <w:p>
            <w:pPr>
              <w:spacing w:after="0"/>
              <w:rPr>
                <w:sz w:val="17"/>
                <w:szCs w:val="17"/>
                <w:color w:val="auto"/>
              </w:rPr>
            </w:pPr>
          </w:p>
        </w:tc>
        <w:tc>
          <w:tcPr>
            <w:tcW w:w="8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1,510</w:t>
            </w:r>
          </w:p>
        </w:tc>
        <w:tc>
          <w:tcPr>
            <w:tcW w:w="2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gridSpan w:val="2"/>
          </w:tcPr>
          <w:p>
            <w:pPr>
              <w:jc w:val="right"/>
              <w:ind w:right="120"/>
              <w:spacing w:after="0"/>
              <w:rPr>
                <w:sz w:val="20"/>
                <w:szCs w:val="20"/>
                <w:color w:val="auto"/>
              </w:rPr>
            </w:pPr>
            <w:r>
              <w:rPr>
                <w:rFonts w:ascii="Arial" w:cs="Arial" w:eastAsia="Arial" w:hAnsi="Arial"/>
                <w:sz w:val="14"/>
                <w:szCs w:val="14"/>
                <w:color w:val="auto"/>
              </w:rPr>
              <w:t>1,531</w:t>
            </w: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56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gridSpan w:val="3"/>
          </w:tcPr>
          <w:p>
            <w:pPr>
              <w:jc w:val="right"/>
              <w:ind w:right="68"/>
              <w:spacing w:after="0"/>
              <w:rPr>
                <w:sz w:val="20"/>
                <w:szCs w:val="20"/>
                <w:color w:val="auto"/>
              </w:rPr>
            </w:pPr>
            <w:r>
              <w:rPr>
                <w:rFonts w:ascii="Arial" w:cs="Arial" w:eastAsia="Arial" w:hAnsi="Arial"/>
                <w:sz w:val="14"/>
                <w:szCs w:val="14"/>
                <w:color w:val="auto"/>
              </w:rPr>
              <w:t>2,997</w:t>
            </w:r>
          </w:p>
        </w:tc>
        <w:tc>
          <w:tcPr>
            <w:tcW w:w="2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2,960</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61656A"/>
            </w:tcBorders>
          </w:tcPr>
          <w:p>
            <w:pPr>
              <w:spacing w:after="0"/>
              <w:rPr>
                <w:sz w:val="15"/>
                <w:szCs w:val="15"/>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809</w:t>
            </w:r>
          </w:p>
        </w:tc>
        <w:tc>
          <w:tcPr>
            <w:tcW w:w="240" w:type="dxa"/>
            <w:vAlign w:val="bottom"/>
            <w:tcBorders>
              <w:bottom w:val="single" w:sz="8" w:color="61656A"/>
            </w:tcBorders>
          </w:tcPr>
          <w:p>
            <w:pPr>
              <w:spacing w:after="0"/>
              <w:rPr>
                <w:sz w:val="15"/>
                <w:szCs w:val="15"/>
                <w:color w:val="auto"/>
              </w:rPr>
            </w:pPr>
          </w:p>
        </w:tc>
        <w:tc>
          <w:tcPr>
            <w:tcW w:w="700" w:type="dxa"/>
            <w:vAlign w:val="bottom"/>
            <w:tcBorders>
              <w:bottom w:val="single" w:sz="8" w:color="61656A"/>
            </w:tcBorders>
            <w:gridSpan w:val="2"/>
          </w:tcPr>
          <w:p>
            <w:pPr>
              <w:jc w:val="right"/>
              <w:ind w:right="120"/>
              <w:spacing w:after="0"/>
              <w:rPr>
                <w:sz w:val="20"/>
                <w:szCs w:val="20"/>
                <w:color w:val="auto"/>
              </w:rPr>
            </w:pPr>
            <w:r>
              <w:rPr>
                <w:rFonts w:ascii="Arial" w:cs="Arial" w:eastAsia="Arial" w:hAnsi="Arial"/>
                <w:sz w:val="14"/>
                <w:szCs w:val="14"/>
                <w:color w:val="auto"/>
              </w:rPr>
              <w:t>825</w:t>
            </w:r>
          </w:p>
        </w:tc>
        <w:tc>
          <w:tcPr>
            <w:tcW w:w="104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740" w:type="dxa"/>
            <w:vAlign w:val="bottom"/>
            <w:tcBorders>
              <w:bottom w:val="single" w:sz="8" w:color="61656A"/>
            </w:tcBorders>
            <w:gridSpan w:val="3"/>
          </w:tcPr>
          <w:p>
            <w:pPr>
              <w:jc w:val="right"/>
              <w:ind w:right="68"/>
              <w:spacing w:after="0"/>
              <w:rPr>
                <w:sz w:val="20"/>
                <w:szCs w:val="20"/>
                <w:color w:val="auto"/>
              </w:rPr>
            </w:pPr>
            <w:r>
              <w:rPr>
                <w:rFonts w:ascii="Arial" w:cs="Arial" w:eastAsia="Arial" w:hAnsi="Arial"/>
                <w:sz w:val="14"/>
                <w:szCs w:val="14"/>
                <w:color w:val="auto"/>
              </w:rPr>
              <w:t>1,601</w:t>
            </w:r>
          </w:p>
        </w:tc>
        <w:tc>
          <w:tcPr>
            <w:tcW w:w="240" w:type="dxa"/>
            <w:vAlign w:val="bottom"/>
            <w:tcBorders>
              <w:bottom w:val="single" w:sz="8" w:color="61656A"/>
            </w:tcBorders>
          </w:tcPr>
          <w:p>
            <w:pPr>
              <w:spacing w:after="0"/>
              <w:rPr>
                <w:sz w:val="15"/>
                <w:szCs w:val="15"/>
                <w:color w:val="auto"/>
              </w:rPr>
            </w:pPr>
          </w:p>
        </w:tc>
        <w:tc>
          <w:tcPr>
            <w:tcW w:w="88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1,612</w:t>
            </w:r>
          </w:p>
        </w:tc>
        <w:tc>
          <w:tcPr>
            <w:tcW w:w="88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316</w:t>
            </w:r>
          </w:p>
        </w:tc>
        <w:tc>
          <w:tcPr>
            <w:tcW w:w="24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gridSpan w:val="2"/>
          </w:tcPr>
          <w:p>
            <w:pPr>
              <w:jc w:val="right"/>
              <w:ind w:right="120"/>
              <w:spacing w:after="0"/>
              <w:rPr>
                <w:sz w:val="20"/>
                <w:szCs w:val="20"/>
                <w:color w:val="auto"/>
              </w:rPr>
            </w:pPr>
            <w:r>
              <w:rPr>
                <w:rFonts w:ascii="Arial" w:cs="Arial" w:eastAsia="Arial" w:hAnsi="Arial"/>
                <w:sz w:val="14"/>
                <w:szCs w:val="14"/>
                <w:color w:val="auto"/>
              </w:rPr>
              <w:t>346</w:t>
            </w:r>
          </w:p>
        </w:tc>
        <w:tc>
          <w:tcPr>
            <w:tcW w:w="10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gridSpan w:val="3"/>
          </w:tcPr>
          <w:p>
            <w:pPr>
              <w:jc w:val="right"/>
              <w:ind w:right="68"/>
              <w:spacing w:after="0"/>
              <w:rPr>
                <w:sz w:val="20"/>
                <w:szCs w:val="20"/>
                <w:color w:val="auto"/>
              </w:rPr>
            </w:pPr>
            <w:r>
              <w:rPr>
                <w:rFonts w:ascii="Arial" w:cs="Arial" w:eastAsia="Arial" w:hAnsi="Arial"/>
                <w:sz w:val="14"/>
                <w:szCs w:val="14"/>
                <w:color w:val="auto"/>
              </w:rPr>
              <w:t>636</w:t>
            </w:r>
          </w:p>
        </w:tc>
        <w:tc>
          <w:tcPr>
            <w:tcW w:w="24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652</w:t>
            </w:r>
          </w:p>
        </w:tc>
        <w:tc>
          <w:tcPr>
            <w:tcW w:w="8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385</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gridSpan w:val="2"/>
          </w:tcPr>
          <w:p>
            <w:pPr>
              <w:jc w:val="right"/>
              <w:ind w:right="120"/>
              <w:spacing w:after="0"/>
              <w:rPr>
                <w:sz w:val="20"/>
                <w:szCs w:val="20"/>
                <w:color w:val="auto"/>
              </w:rPr>
            </w:pPr>
            <w:r>
              <w:rPr>
                <w:rFonts w:ascii="Arial" w:cs="Arial" w:eastAsia="Arial" w:hAnsi="Arial"/>
                <w:sz w:val="14"/>
                <w:szCs w:val="14"/>
                <w:b w:val="1"/>
                <w:bCs w:val="1"/>
                <w:color w:val="auto"/>
              </w:rPr>
              <w:t>360</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7 %</w:t>
            </w:r>
          </w:p>
        </w:tc>
        <w:tc>
          <w:tcPr>
            <w:tcW w:w="5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gridSpan w:val="3"/>
          </w:tcPr>
          <w:p>
            <w:pPr>
              <w:jc w:val="right"/>
              <w:ind w:right="68"/>
              <w:spacing w:after="0"/>
              <w:rPr>
                <w:sz w:val="20"/>
                <w:szCs w:val="20"/>
                <w:color w:val="auto"/>
              </w:rPr>
            </w:pPr>
            <w:r>
              <w:rPr>
                <w:rFonts w:ascii="Arial" w:cs="Arial" w:eastAsia="Arial" w:hAnsi="Arial"/>
                <w:sz w:val="14"/>
                <w:szCs w:val="14"/>
                <w:b w:val="1"/>
                <w:bCs w:val="1"/>
                <w:color w:val="auto"/>
              </w:rPr>
              <w:t>760</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696</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9 %</w:t>
            </w:r>
          </w:p>
        </w:tc>
        <w:tc>
          <w:tcPr>
            <w:tcW w:w="0" w:type="dxa"/>
            <w:vAlign w:val="bottom"/>
          </w:tcPr>
          <w:p>
            <w:pPr>
              <w:spacing w:after="0"/>
              <w:rPr>
                <w:sz w:val="1"/>
                <w:szCs w:val="1"/>
                <w:color w:val="auto"/>
              </w:rPr>
            </w:pPr>
          </w:p>
        </w:tc>
      </w:tr>
      <w:tr>
        <w:trPr>
          <w:trHeight w:val="412"/>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4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300" w:type="dxa"/>
            <w:vAlign w:val="bottom"/>
            <w:tcBorders>
              <w:bottom w:val="single" w:sz="8" w:color="D7282F"/>
            </w:tcBorders>
            <w:gridSpan w:val="5"/>
          </w:tcPr>
          <w:p>
            <w:pPr>
              <w:ind w:left="300"/>
              <w:spacing w:after="0"/>
              <w:rPr>
                <w:sz w:val="20"/>
                <w:szCs w:val="20"/>
                <w:color w:val="auto"/>
              </w:rPr>
            </w:pPr>
            <w:r>
              <w:rPr>
                <w:rFonts w:ascii="Arial" w:cs="Arial" w:eastAsia="Arial" w:hAnsi="Arial"/>
                <w:sz w:val="14"/>
                <w:szCs w:val="14"/>
                <w:b w:val="1"/>
                <w:bCs w:val="1"/>
                <w:color w:val="auto"/>
              </w:rPr>
              <w:t>2023 vs. 2022</w:t>
            </w:r>
          </w:p>
        </w:tc>
        <w:tc>
          <w:tcPr>
            <w:tcW w:w="880" w:type="dxa"/>
            <w:vAlign w:val="bottom"/>
            <w:tcBorders>
              <w:bottom w:val="single" w:sz="8" w:color="D7282F"/>
            </w:tcBorders>
          </w:tcPr>
          <w:p>
            <w:pPr>
              <w:spacing w:after="0"/>
              <w:rPr>
                <w:sz w:val="24"/>
                <w:szCs w:val="24"/>
                <w:color w:val="auto"/>
              </w:rPr>
            </w:pPr>
          </w:p>
        </w:tc>
        <w:tc>
          <w:tcPr>
            <w:tcW w:w="8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3"/>
          </w:tcPr>
          <w:p>
            <w:pPr>
              <w:jc w:val="right"/>
              <w:spacing w:after="0" w:line="143"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right"/>
              <w:ind w:right="388"/>
              <w:spacing w:after="0" w:line="14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gridSpan w:val="3"/>
          </w:tcPr>
          <w:p>
            <w:pPr>
              <w:jc w:val="right"/>
              <w:ind w:right="388"/>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right"/>
              <w:ind w:right="72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548"/>
              <w:spacing w:after="0" w:line="143" w:lineRule="exact"/>
              <w:rPr>
                <w:sz w:val="20"/>
                <w:szCs w:val="20"/>
                <w:color w:val="auto"/>
              </w:rPr>
            </w:pPr>
            <w:r>
              <w:rPr>
                <w:rFonts w:ascii="Arial" w:cs="Arial" w:eastAsia="Arial" w:hAnsi="Arial"/>
                <w:sz w:val="14"/>
                <w:szCs w:val="14"/>
                <w:b w:val="1"/>
                <w:bCs w:val="1"/>
                <w:color w:val="auto"/>
              </w:rPr>
              <w:t>Net</w:t>
            </w:r>
          </w:p>
        </w:tc>
        <w:tc>
          <w:tcPr>
            <w:tcW w:w="1300" w:type="dxa"/>
            <w:vAlign w:val="bottom"/>
            <w:gridSpan w:val="5"/>
          </w:tcPr>
          <w:p>
            <w:pPr>
              <w:jc w:val="right"/>
              <w:ind w:right="588"/>
              <w:spacing w:after="0" w:line="143" w:lineRule="exact"/>
              <w:rPr>
                <w:sz w:val="20"/>
                <w:szCs w:val="20"/>
                <w:color w:val="auto"/>
              </w:rPr>
            </w:pPr>
            <w:r>
              <w:rPr>
                <w:rFonts w:ascii="Arial" w:cs="Arial" w:eastAsia="Arial" w:hAnsi="Arial"/>
                <w:sz w:val="14"/>
                <w:szCs w:val="14"/>
                <w:b w:val="1"/>
                <w:bCs w:val="1"/>
                <w:color w:val="auto"/>
              </w:rPr>
              <w:t>Segment</w:t>
            </w:r>
          </w:p>
        </w:tc>
        <w:tc>
          <w:tcPr>
            <w:tcW w:w="240" w:type="dxa"/>
            <w:vAlign w:val="bottom"/>
          </w:tcPr>
          <w:p>
            <w:pPr>
              <w:spacing w:after="0"/>
              <w:rPr>
                <w:sz w:val="12"/>
                <w:szCs w:val="12"/>
                <w:color w:val="auto"/>
              </w:rPr>
            </w:pPr>
          </w:p>
        </w:tc>
        <w:tc>
          <w:tcPr>
            <w:tcW w:w="880" w:type="dxa"/>
            <w:vAlign w:val="bottom"/>
          </w:tcPr>
          <w:p>
            <w:pPr>
              <w:spacing w:after="0" w:line="143" w:lineRule="exact"/>
              <w:rPr>
                <w:sz w:val="20"/>
                <w:szCs w:val="20"/>
                <w:color w:val="auto"/>
              </w:rPr>
            </w:pPr>
            <w:r>
              <w:rPr>
                <w:rFonts w:ascii="Arial" w:cs="Arial" w:eastAsia="Arial" w:hAnsi="Arial"/>
                <w:sz w:val="14"/>
                <w:szCs w:val="14"/>
                <w:b w:val="1"/>
                <w:bCs w:val="1"/>
                <w:color w:val="auto"/>
              </w:rPr>
              <w:t>Net</w:t>
            </w:r>
          </w:p>
        </w:tc>
        <w:tc>
          <w:tcPr>
            <w:tcW w:w="88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201"/>
        </w:trPr>
        <w:tc>
          <w:tcPr>
            <w:tcW w:w="4900" w:type="dxa"/>
            <w:vAlign w:val="bottom"/>
            <w:tcBorders>
              <w:bottom w:val="single" w:sz="8" w:color="D7282F"/>
            </w:tcBorders>
            <w:vMerge w:val="continue"/>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4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Sales</w:t>
            </w:r>
          </w:p>
        </w:tc>
        <w:tc>
          <w:tcPr>
            <w:tcW w:w="5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Profit</w:t>
            </w:r>
          </w:p>
        </w:tc>
        <w:tc>
          <w:tcPr>
            <w:tcW w:w="3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Sales</w:t>
            </w:r>
          </w:p>
        </w:tc>
        <w:tc>
          <w:tcPr>
            <w:tcW w:w="8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84"/>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320" w:type="dxa"/>
            <w:vAlign w:val="bottom"/>
            <w:tcBorders>
              <w:bottom w:val="single" w:sz="8" w:color="61656A"/>
            </w:tcBorders>
          </w:tcPr>
          <w:p>
            <w:pPr>
              <w:spacing w:after="0"/>
              <w:rPr>
                <w:sz w:val="15"/>
                <w:szCs w:val="15"/>
                <w:color w:val="auto"/>
              </w:rPr>
            </w:pPr>
          </w:p>
        </w:tc>
        <w:tc>
          <w:tcPr>
            <w:tcW w:w="74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46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10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7 %</w:t>
            </w:r>
          </w:p>
        </w:tc>
        <w:tc>
          <w:tcPr>
            <w:tcW w:w="220" w:type="dxa"/>
            <w:vAlign w:val="bottom"/>
            <w:tcBorders>
              <w:bottom w:val="single" w:sz="8" w:color="61656A"/>
            </w:tcBorders>
          </w:tcPr>
          <w:p>
            <w:pPr>
              <w:spacing w:after="0"/>
              <w:rPr>
                <w:sz w:val="15"/>
                <w:szCs w:val="15"/>
                <w:color w:val="auto"/>
              </w:rPr>
            </w:pPr>
          </w:p>
        </w:tc>
        <w:tc>
          <w:tcPr>
            <w:tcW w:w="18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8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5 %</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90"/>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32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4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gridSpan w:val="4"/>
          </w:tcPr>
          <w:p>
            <w:pPr>
              <w:jc w:val="right"/>
              <w:ind w:right="348"/>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3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4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 %</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8"/>
        </w:trPr>
        <w:tc>
          <w:tcPr>
            <w:tcW w:w="4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6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w:t>
            </w:r>
          </w:p>
        </w:tc>
        <w:tc>
          <w:tcPr>
            <w:tcW w:w="2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7 %</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1 %</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2023 compared to Q2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Sales decreased $21 million due to the unfavorable impact of foreign currency translation.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$25 million and segment margin percentage increased 200 basis points to 25.5% compared to 23.5% for the same period of 2022.</w:t>
      </w:r>
    </w:p>
    <w:p>
      <w:pPr>
        <w:spacing w:after="0" w:line="200" w:lineRule="exact"/>
        <w:rPr>
          <w:sz w:val="20"/>
          <w:szCs w:val="20"/>
          <w:color w:val="auto"/>
        </w:rPr>
      </w:pPr>
    </w:p>
    <w:p>
      <w:pPr>
        <w:spacing w:after="0" w:line="244"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to YTD 2022</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Sales increased $37 million due to higher organic sales of $84 million in Building Solutions primarily driven by higher sales volumes in building projects and services and higher organic sales of $51 million in Products primarily driven by increased pricing, partially offset by the unfavorable impact of foreign currency translation of $100 million.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$64 million and segment margin percentage increased 190 basis points to 25.4% compared to 23.5% for the same period of 2022.</w:t>
      </w: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color w:val="D7282F"/>
        </w:rPr>
        <w:t>PERFORMANCE MATERIALS AND TECHNOLOGIES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83185</wp:posOffset>
            </wp:positionV>
            <wp:extent cx="5957570" cy="2314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2"/>
                <w:szCs w:val="12"/>
                <w:color w:val="auto"/>
              </w:rPr>
            </w:pPr>
          </w:p>
        </w:tc>
        <w:tc>
          <w:tcPr>
            <w:tcW w:w="9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w w:val="96"/>
              </w:rPr>
              <w:t>2022</w:t>
            </w:r>
          </w:p>
        </w:tc>
        <w:tc>
          <w:tcPr>
            <w:tcW w:w="540" w:type="dxa"/>
            <w:vAlign w:val="bottom"/>
          </w:tcPr>
          <w:p>
            <w:pPr>
              <w:jc w:val="right"/>
              <w:ind w:right="148"/>
              <w:spacing w:after="0" w:line="14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2"/>
                <w:szCs w:val="12"/>
                <w:color w:val="auto"/>
              </w:rPr>
            </w:pPr>
          </w:p>
        </w:tc>
        <w:tc>
          <w:tcPr>
            <w:tcW w:w="90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860" w:type="dxa"/>
            <w:vAlign w:val="bottom"/>
          </w:tcPr>
          <w:p>
            <w:pPr>
              <w:jc w:val="right"/>
              <w:ind w:right="408"/>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490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vMerge w:val="continue"/>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vMerge w:val="continue"/>
          </w:tcPr>
          <w:p>
            <w:pPr>
              <w:spacing w:after="0"/>
              <w:rPr>
                <w:sz w:val="17"/>
                <w:szCs w:val="17"/>
                <w:color w:val="auto"/>
              </w:rPr>
            </w:pPr>
          </w:p>
        </w:tc>
        <w:tc>
          <w:tcPr>
            <w:tcW w:w="5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vMerge w:val="continue"/>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vMerge w:val="continue"/>
          </w:tcPr>
          <w:p>
            <w:pPr>
              <w:spacing w:after="0"/>
              <w:rPr>
                <w:sz w:val="17"/>
                <w:szCs w:val="17"/>
                <w:color w:val="auto"/>
              </w:rPr>
            </w:pPr>
          </w:p>
        </w:tc>
        <w:tc>
          <w:tcPr>
            <w:tcW w:w="8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2,861</w:t>
            </w:r>
          </w:p>
        </w:tc>
        <w:tc>
          <w:tcPr>
            <w:tcW w:w="2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61656A"/>
            </w:tcBorders>
          </w:tcPr>
          <w:p>
            <w:pPr>
              <w:jc w:val="right"/>
              <w:ind w:right="288"/>
              <w:spacing w:after="0"/>
              <w:rPr>
                <w:sz w:val="20"/>
                <w:szCs w:val="20"/>
                <w:color w:val="auto"/>
              </w:rPr>
            </w:pPr>
            <w:r>
              <w:rPr>
                <w:rFonts w:ascii="Arial" w:cs="Arial" w:eastAsia="Arial" w:hAnsi="Arial"/>
                <w:sz w:val="14"/>
                <w:szCs w:val="14"/>
                <w:color w:val="auto"/>
              </w:rPr>
              <w:t>2,694</w:t>
            </w:r>
          </w:p>
        </w:tc>
        <w:tc>
          <w:tcPr>
            <w:tcW w:w="540" w:type="dxa"/>
            <w:vAlign w:val="bottom"/>
            <w:tcBorders>
              <w:bottom w:val="single" w:sz="8" w:color="61656A"/>
            </w:tcBorders>
          </w:tcPr>
          <w:p>
            <w:pPr>
              <w:spacing w:after="0"/>
              <w:rPr>
                <w:sz w:val="15"/>
                <w:szCs w:val="15"/>
                <w:color w:val="auto"/>
              </w:rPr>
            </w:pP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99"/>
              </w:rPr>
              <w:t>6 %</w:t>
            </w:r>
          </w:p>
        </w:tc>
        <w:tc>
          <w:tcPr>
            <w:tcW w:w="56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5,610</w:t>
            </w:r>
          </w:p>
        </w:tc>
        <w:tc>
          <w:tcPr>
            <w:tcW w:w="2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5,147</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61656A"/>
            </w:tcBorders>
          </w:tcPr>
          <w:p>
            <w:pPr>
              <w:spacing w:after="0"/>
              <w:rPr>
                <w:sz w:val="15"/>
                <w:szCs w:val="15"/>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1,796</w:t>
            </w:r>
          </w:p>
        </w:tc>
        <w:tc>
          <w:tcPr>
            <w:tcW w:w="240" w:type="dxa"/>
            <w:vAlign w:val="bottom"/>
            <w:tcBorders>
              <w:bottom w:val="single" w:sz="8" w:color="61656A"/>
            </w:tcBorders>
          </w:tcPr>
          <w:p>
            <w:pPr>
              <w:spacing w:after="0"/>
              <w:rPr>
                <w:sz w:val="15"/>
                <w:szCs w:val="15"/>
                <w:color w:val="auto"/>
              </w:rPr>
            </w:pPr>
          </w:p>
        </w:tc>
        <w:tc>
          <w:tcPr>
            <w:tcW w:w="940" w:type="dxa"/>
            <w:vAlign w:val="bottom"/>
            <w:tcBorders>
              <w:bottom w:val="single" w:sz="8" w:color="61656A"/>
            </w:tcBorders>
          </w:tcPr>
          <w:p>
            <w:pPr>
              <w:jc w:val="right"/>
              <w:ind w:right="288"/>
              <w:spacing w:after="0"/>
              <w:rPr>
                <w:sz w:val="20"/>
                <w:szCs w:val="20"/>
                <w:color w:val="auto"/>
              </w:rPr>
            </w:pPr>
            <w:r>
              <w:rPr>
                <w:rFonts w:ascii="Arial" w:cs="Arial" w:eastAsia="Arial" w:hAnsi="Arial"/>
                <w:sz w:val="14"/>
                <w:szCs w:val="14"/>
                <w:color w:val="auto"/>
              </w:rPr>
              <w:t>1,650</w:t>
            </w:r>
          </w:p>
        </w:tc>
        <w:tc>
          <w:tcPr>
            <w:tcW w:w="540" w:type="dxa"/>
            <w:vAlign w:val="bottom"/>
            <w:tcBorders>
              <w:bottom w:val="single" w:sz="8" w:color="61656A"/>
            </w:tcBorders>
          </w:tcPr>
          <w:p>
            <w:pPr>
              <w:spacing w:after="0"/>
              <w:rPr>
                <w:sz w:val="15"/>
                <w:szCs w:val="15"/>
                <w:color w:val="auto"/>
              </w:rPr>
            </w:pPr>
          </w:p>
        </w:tc>
        <w:tc>
          <w:tcPr>
            <w:tcW w:w="260" w:type="dxa"/>
            <w:vAlign w:val="bottom"/>
            <w:tcBorders>
              <w:bottom w:val="single" w:sz="8" w:color="61656A"/>
            </w:tcBorders>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3,527</w:t>
            </w:r>
          </w:p>
        </w:tc>
        <w:tc>
          <w:tcPr>
            <w:tcW w:w="240" w:type="dxa"/>
            <w:vAlign w:val="bottom"/>
            <w:tcBorders>
              <w:bottom w:val="single" w:sz="8" w:color="61656A"/>
            </w:tcBorders>
          </w:tcPr>
          <w:p>
            <w:pPr>
              <w:spacing w:after="0"/>
              <w:rPr>
                <w:sz w:val="15"/>
                <w:szCs w:val="15"/>
                <w:color w:val="auto"/>
              </w:rPr>
            </w:pPr>
          </w:p>
        </w:tc>
        <w:tc>
          <w:tcPr>
            <w:tcW w:w="90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3,166</w:t>
            </w:r>
          </w:p>
        </w:tc>
        <w:tc>
          <w:tcPr>
            <w:tcW w:w="86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443</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color w:val="auto"/>
              </w:rPr>
              <w:t>443</w:t>
            </w:r>
          </w:p>
        </w:tc>
        <w:tc>
          <w:tcPr>
            <w:tcW w:w="54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895</w:t>
            </w:r>
          </w:p>
        </w:tc>
        <w:tc>
          <w:tcPr>
            <w:tcW w:w="24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870</w:t>
            </w:r>
          </w:p>
        </w:tc>
        <w:tc>
          <w:tcPr>
            <w:tcW w:w="8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622</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601</w:t>
            </w:r>
          </w:p>
        </w:tc>
        <w:tc>
          <w:tcPr>
            <w:tcW w:w="5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9"/>
              </w:rPr>
              <w:t>3 %</w:t>
            </w:r>
          </w:p>
        </w:tc>
        <w:tc>
          <w:tcPr>
            <w:tcW w:w="5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1,188</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1,111</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7 %</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660" w:type="dxa"/>
            <w:vAlign w:val="bottom"/>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gridSpan w:val="3"/>
          </w:tcPr>
          <w:p>
            <w:pPr>
              <w:spacing w:after="0"/>
              <w:rPr>
                <w:sz w:val="20"/>
                <w:szCs w:val="20"/>
                <w:color w:val="auto"/>
              </w:rPr>
            </w:pPr>
            <w:r>
              <w:rPr>
                <w:rFonts w:ascii="Arial" w:cs="Arial" w:eastAsia="Arial" w:hAnsi="Arial"/>
                <w:sz w:val="14"/>
                <w:szCs w:val="14"/>
                <w:b w:val="1"/>
                <w:bCs w:val="1"/>
                <w:color w:val="auto"/>
              </w:rPr>
              <w:t>2023 vs. 2022</w:t>
            </w:r>
          </w:p>
        </w:tc>
        <w:tc>
          <w:tcPr>
            <w:tcW w:w="8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660" w:type="dxa"/>
            <w:vAlign w:val="bottom"/>
          </w:tcPr>
          <w:p>
            <w:pPr>
              <w:spacing w:after="0"/>
              <w:rPr>
                <w:sz w:val="12"/>
                <w:szCs w:val="12"/>
                <w:color w:val="auto"/>
              </w:rPr>
            </w:pPr>
          </w:p>
        </w:tc>
        <w:tc>
          <w:tcPr>
            <w:tcW w:w="18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gridSpan w:val="2"/>
          </w:tcPr>
          <w:p>
            <w:pPr>
              <w:jc w:val="right"/>
              <w:ind w:right="388"/>
              <w:spacing w:after="0" w:line="14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6660" w:type="dxa"/>
            <w:vAlign w:val="bottom"/>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840" w:type="dxa"/>
            <w:vAlign w:val="bottom"/>
            <w:tcBorders>
              <w:bottom w:val="single" w:sz="8" w:color="D7282F"/>
            </w:tcBorders>
            <w:gridSpan w:val="2"/>
          </w:tcPr>
          <w:p>
            <w:pPr>
              <w:jc w:val="right"/>
              <w:ind w:right="72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740" w:type="dxa"/>
            <w:vAlign w:val="bottom"/>
          </w:tcPr>
          <w:p>
            <w:pPr>
              <w:jc w:val="center"/>
              <w:ind w:left="268"/>
              <w:spacing w:after="0" w:line="143" w:lineRule="exact"/>
              <w:rPr>
                <w:sz w:val="20"/>
                <w:szCs w:val="20"/>
                <w:color w:val="auto"/>
              </w:rPr>
            </w:pPr>
            <w:r>
              <w:rPr>
                <w:rFonts w:ascii="Arial" w:cs="Arial" w:eastAsia="Arial" w:hAnsi="Arial"/>
                <w:sz w:val="14"/>
                <w:szCs w:val="14"/>
                <w:b w:val="1"/>
                <w:bCs w:val="1"/>
                <w:color w:val="auto"/>
              </w:rPr>
              <w:t>Net</w:t>
            </w:r>
          </w:p>
        </w:tc>
        <w:tc>
          <w:tcPr>
            <w:tcW w:w="2000" w:type="dxa"/>
            <w:vAlign w:val="bottom"/>
            <w:gridSpan w:val="4"/>
          </w:tcPr>
          <w:p>
            <w:pPr>
              <w:ind w:left="580"/>
              <w:spacing w:after="0" w:line="143" w:lineRule="exact"/>
              <w:rPr>
                <w:sz w:val="20"/>
                <w:szCs w:val="20"/>
                <w:color w:val="auto"/>
              </w:rPr>
            </w:pPr>
            <w:r>
              <w:rPr>
                <w:rFonts w:ascii="Arial" w:cs="Arial" w:eastAsia="Arial" w:hAnsi="Arial"/>
                <w:sz w:val="14"/>
                <w:szCs w:val="14"/>
                <w:b w:val="1"/>
                <w:bCs w:val="1"/>
                <w:color w:val="auto"/>
              </w:rPr>
              <w:t>Segment</w:t>
            </w:r>
          </w:p>
        </w:tc>
        <w:tc>
          <w:tcPr>
            <w:tcW w:w="860" w:type="dxa"/>
            <w:vAlign w:val="bottom"/>
          </w:tcPr>
          <w:p>
            <w:pPr>
              <w:jc w:val="right"/>
              <w:ind w:right="468"/>
              <w:spacing w:after="0" w:line="143" w:lineRule="exact"/>
              <w:rPr>
                <w:sz w:val="20"/>
                <w:szCs w:val="20"/>
                <w:color w:val="auto"/>
              </w:rPr>
            </w:pPr>
            <w:r>
              <w:rPr>
                <w:rFonts w:ascii="Arial" w:cs="Arial" w:eastAsia="Arial" w:hAnsi="Arial"/>
                <w:sz w:val="14"/>
                <w:szCs w:val="14"/>
                <w:b w:val="1"/>
                <w:bCs w:val="1"/>
                <w:color w:val="auto"/>
              </w:rPr>
              <w:t>Net</w:t>
            </w:r>
          </w:p>
        </w:tc>
        <w:tc>
          <w:tcPr>
            <w:tcW w:w="98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201"/>
        </w:trPr>
        <w:tc>
          <w:tcPr>
            <w:tcW w:w="6660" w:type="dxa"/>
            <w:vAlign w:val="bottom"/>
            <w:tcBorders>
              <w:bottom w:val="single" w:sz="8" w:color="D7282F"/>
            </w:tcBorders>
            <w:vMerge w:val="continue"/>
          </w:tcPr>
          <w:p>
            <w:pPr>
              <w:spacing w:after="0"/>
              <w:rPr>
                <w:sz w:val="17"/>
                <w:szCs w:val="17"/>
                <w:color w:val="auto"/>
              </w:rPr>
            </w:pPr>
          </w:p>
        </w:tc>
        <w:tc>
          <w:tcPr>
            <w:tcW w:w="740" w:type="dxa"/>
            <w:vAlign w:val="bottom"/>
            <w:tcBorders>
              <w:bottom w:val="single" w:sz="8" w:color="D7282F"/>
            </w:tcBorders>
          </w:tcPr>
          <w:p>
            <w:pPr>
              <w:jc w:val="center"/>
              <w:ind w:left="248"/>
              <w:spacing w:after="0"/>
              <w:rPr>
                <w:sz w:val="20"/>
                <w:szCs w:val="20"/>
                <w:color w:val="auto"/>
              </w:rPr>
            </w:pPr>
            <w:r>
              <w:rPr>
                <w:rFonts w:ascii="Arial" w:cs="Arial" w:eastAsia="Arial" w:hAnsi="Arial"/>
                <w:sz w:val="14"/>
                <w:szCs w:val="14"/>
                <w:b w:val="1"/>
                <w:bCs w:val="1"/>
                <w:color w:val="auto"/>
              </w:rPr>
              <w:t>Sales</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Profit</w:t>
            </w:r>
          </w:p>
        </w:tc>
        <w:tc>
          <w:tcPr>
            <w:tcW w:w="36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w w:val="98"/>
              </w:rPr>
              <w:t>Sales</w:t>
            </w:r>
          </w:p>
        </w:tc>
        <w:tc>
          <w:tcPr>
            <w:tcW w:w="9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84"/>
        </w:trPr>
        <w:tc>
          <w:tcPr>
            <w:tcW w:w="66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740" w:type="dxa"/>
            <w:vAlign w:val="bottom"/>
            <w:tcBorders>
              <w:bottom w:val="single" w:sz="8" w:color="61656A"/>
            </w:tcBorders>
          </w:tcPr>
          <w:p>
            <w:pPr>
              <w:spacing w:after="0"/>
              <w:rPr>
                <w:sz w:val="15"/>
                <w:szCs w:val="15"/>
                <w:color w:val="auto"/>
              </w:rPr>
            </w:pPr>
          </w:p>
        </w:tc>
        <w:tc>
          <w:tcPr>
            <w:tcW w:w="1080" w:type="dxa"/>
            <w:vAlign w:val="bottom"/>
            <w:tcBorders>
              <w:bottom w:val="single" w:sz="8" w:color="61656A"/>
            </w:tcBorders>
          </w:tcPr>
          <w:p>
            <w:pPr>
              <w:jc w:val="right"/>
              <w:ind w:right="688"/>
              <w:spacing w:after="0"/>
              <w:rPr>
                <w:sz w:val="20"/>
                <w:szCs w:val="20"/>
                <w:color w:val="auto"/>
              </w:rPr>
            </w:pPr>
            <w:r>
              <w:rPr>
                <w:rFonts w:ascii="Arial" w:cs="Arial" w:eastAsia="Arial" w:hAnsi="Arial"/>
                <w:sz w:val="14"/>
                <w:szCs w:val="14"/>
                <w:color w:val="auto"/>
              </w:rPr>
              <w:t>7 %</w:t>
            </w: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4 %</w:t>
            </w:r>
          </w:p>
        </w:tc>
        <w:tc>
          <w:tcPr>
            <w:tcW w:w="220" w:type="dxa"/>
            <w:vAlign w:val="bottom"/>
            <w:tcBorders>
              <w:bottom w:val="single" w:sz="8" w:color="61656A"/>
            </w:tcBorders>
          </w:tcPr>
          <w:p>
            <w:pPr>
              <w:spacing w:after="0"/>
              <w:rPr>
                <w:sz w:val="15"/>
                <w:szCs w:val="15"/>
                <w:color w:val="auto"/>
              </w:rPr>
            </w:pPr>
          </w:p>
        </w:tc>
        <w:tc>
          <w:tcPr>
            <w:tcW w:w="340" w:type="dxa"/>
            <w:vAlign w:val="bottom"/>
            <w:tcBorders>
              <w:bottom w:val="single" w:sz="8" w:color="61656A"/>
            </w:tcBorders>
          </w:tcPr>
          <w:p>
            <w:pPr>
              <w:spacing w:after="0"/>
              <w:rPr>
                <w:sz w:val="15"/>
                <w:szCs w:val="15"/>
                <w:color w:val="auto"/>
              </w:rPr>
            </w:pPr>
          </w:p>
        </w:tc>
        <w:tc>
          <w:tcPr>
            <w:tcW w:w="8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11 %</w:t>
            </w: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0"/>
        </w:trPr>
        <w:tc>
          <w:tcPr>
            <w:tcW w:w="66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w:t>
            </w: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7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8"/>
              <w:spacing w:after="0"/>
              <w:rPr>
                <w:sz w:val="20"/>
                <w:szCs w:val="20"/>
                <w:color w:val="auto"/>
              </w:rPr>
            </w:pPr>
            <w:r>
              <w:rPr>
                <w:rFonts w:ascii="Arial" w:cs="Arial" w:eastAsia="Arial" w:hAnsi="Arial"/>
                <w:sz w:val="14"/>
                <w:szCs w:val="14"/>
                <w:color w:val="auto"/>
                <w:w w:val="98"/>
              </w:rPr>
              <w:t>— %</w:t>
            </w:r>
          </w:p>
        </w:tc>
        <w:tc>
          <w:tcPr>
            <w:tcW w:w="920" w:type="dxa"/>
            <w:vAlign w:val="bottom"/>
            <w:tcBorders>
              <w:bottom w:val="single" w:sz="8" w:color="D7282F"/>
            </w:tcBorders>
            <w:gridSpan w:val="3"/>
          </w:tcPr>
          <w:p>
            <w:pPr>
              <w:jc w:val="right"/>
              <w:ind w:right="580"/>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7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688"/>
              <w:spacing w:after="0"/>
              <w:rPr>
                <w:sz w:val="20"/>
                <w:szCs w:val="20"/>
                <w:color w:val="auto"/>
              </w:rPr>
            </w:pPr>
            <w:r>
              <w:rPr>
                <w:rFonts w:ascii="Arial" w:cs="Arial" w:eastAsia="Arial" w:hAnsi="Arial"/>
                <w:sz w:val="14"/>
                <w:szCs w:val="14"/>
                <w:b w:val="1"/>
                <w:bCs w:val="1"/>
                <w:color w:val="auto"/>
              </w:rPr>
              <w:t>6 %</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9 %</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2023 compared to Q2 2022</w:t>
      </w:r>
    </w:p>
    <w:p>
      <w:pPr>
        <w:spacing w:after="0" w:line="2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Sales increased $167 million due to higher organic sales of $129 million in Process Solutions primarily driven by increased demand in projects and lifecycle solutions and services and higher organic sales of $61 million in UOP primarily driven by growth in gas processing.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$21 million and segment margin percentage decreased 60 basis points to 21.7% compared to 22.3% for the same period of 2022.</w:t>
      </w:r>
    </w:p>
    <w:p>
      <w:pPr>
        <w:spacing w:after="0" w:line="200" w:lineRule="exact"/>
        <w:rPr>
          <w:sz w:val="20"/>
          <w:szCs w:val="20"/>
          <w:color w:val="auto"/>
        </w:rPr>
      </w:pPr>
    </w:p>
    <w:p>
      <w:pPr>
        <w:spacing w:after="0" w:line="244"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to YTD 2022</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Sales increased $463 million due to higher organic sales of $307 million in Process Solutions primarily driven by increased demand in projects and lifecycle solutions and services, higher organic sales of $150 million in UOP primarily driven by growth in gas processing and refining catalyst shipments, and higher organic sales of $93 million in Advanced Materials primarily driven by increased pricing, partially offset by the unfavorable impact of foreign currency translation of $87 million.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$77 million and segment margin percentage decreased 40 basis points to 21.2% compared to 21.6% for the same period of 2022.</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color w:val="D7282F"/>
        </w:rPr>
        <w:t>SAFETY AND PRODUCTIVITY SOLUTIONS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92075</wp:posOffset>
            </wp:positionV>
            <wp:extent cx="1628775" cy="2314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8775" cy="231457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92075</wp:posOffset>
            </wp:positionV>
            <wp:extent cx="2143125" cy="2314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431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3"/>
          </w:tcPr>
          <w:p>
            <w:pPr>
              <w:ind w:left="18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2"/>
                <w:szCs w:val="12"/>
                <w:color w:val="auto"/>
              </w:rPr>
            </w:pP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1060" w:type="dxa"/>
            <w:vAlign w:val="bottom"/>
          </w:tcPr>
          <w:p>
            <w:pPr>
              <w:jc w:val="right"/>
              <w:ind w:right="408"/>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w w:val="96"/>
              </w:rPr>
              <w:t>2022</w:t>
            </w:r>
          </w:p>
        </w:tc>
        <w:tc>
          <w:tcPr>
            <w:tcW w:w="88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6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gridSpan w:val="2"/>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vMerge w:val="continue"/>
          </w:tcPr>
          <w:p>
            <w:pPr>
              <w:spacing w:after="0"/>
              <w:rPr>
                <w:sz w:val="16"/>
                <w:szCs w:val="16"/>
                <w:color w:val="auto"/>
              </w:rPr>
            </w:pPr>
          </w:p>
        </w:tc>
        <w:tc>
          <w:tcPr>
            <w:tcW w:w="8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1,433</w:t>
            </w:r>
          </w:p>
        </w:tc>
        <w:tc>
          <w:tcPr>
            <w:tcW w:w="24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gridSpan w:val="2"/>
          </w:tcPr>
          <w:p>
            <w:pPr>
              <w:jc w:val="right"/>
              <w:ind w:right="100"/>
              <w:spacing w:after="0"/>
              <w:rPr>
                <w:sz w:val="20"/>
                <w:szCs w:val="20"/>
                <w:color w:val="auto"/>
              </w:rPr>
            </w:pPr>
            <w:r>
              <w:rPr>
                <w:rFonts w:ascii="Arial" w:cs="Arial" w:eastAsia="Arial" w:hAnsi="Arial"/>
                <w:sz w:val="14"/>
                <w:szCs w:val="14"/>
                <w:color w:val="auto"/>
              </w:rPr>
              <w:t>1,829</w:t>
            </w: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gridSpan w:val="3"/>
          </w:tcPr>
          <w:p>
            <w:pPr>
              <w:jc w:val="right"/>
              <w:ind w:right="228"/>
              <w:spacing w:after="0"/>
              <w:rPr>
                <w:sz w:val="20"/>
                <w:szCs w:val="20"/>
                <w:color w:val="auto"/>
              </w:rPr>
            </w:pPr>
            <w:r>
              <w:rPr>
                <w:rFonts w:ascii="Arial" w:cs="Arial" w:eastAsia="Arial" w:hAnsi="Arial"/>
                <w:sz w:val="14"/>
                <w:szCs w:val="14"/>
                <w:color w:val="auto"/>
              </w:rPr>
              <w:t>2,948</w:t>
            </w:r>
          </w:p>
        </w:tc>
        <w:tc>
          <w:tcPr>
            <w:tcW w:w="10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3,573</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8"/>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891</w:t>
            </w:r>
          </w:p>
        </w:tc>
        <w:tc>
          <w:tcPr>
            <w:tcW w:w="24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gridSpan w:val="2"/>
          </w:tcPr>
          <w:p>
            <w:pPr>
              <w:jc w:val="right"/>
              <w:ind w:right="100"/>
              <w:spacing w:after="0"/>
              <w:rPr>
                <w:sz w:val="20"/>
                <w:szCs w:val="20"/>
                <w:color w:val="auto"/>
              </w:rPr>
            </w:pPr>
            <w:r>
              <w:rPr>
                <w:rFonts w:ascii="Arial" w:cs="Arial" w:eastAsia="Arial" w:hAnsi="Arial"/>
                <w:sz w:val="14"/>
                <w:szCs w:val="14"/>
                <w:color w:val="auto"/>
              </w:rPr>
              <w:t>1,234</w:t>
            </w:r>
          </w:p>
        </w:tc>
        <w:tc>
          <w:tcPr>
            <w:tcW w:w="10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gridSpan w:val="3"/>
          </w:tcPr>
          <w:p>
            <w:pPr>
              <w:jc w:val="right"/>
              <w:ind w:right="228"/>
              <w:spacing w:after="0"/>
              <w:rPr>
                <w:sz w:val="20"/>
                <w:szCs w:val="20"/>
                <w:color w:val="auto"/>
              </w:rPr>
            </w:pPr>
            <w:r>
              <w:rPr>
                <w:rFonts w:ascii="Arial" w:cs="Arial" w:eastAsia="Arial" w:hAnsi="Arial"/>
                <w:sz w:val="14"/>
                <w:szCs w:val="14"/>
                <w:color w:val="auto"/>
              </w:rPr>
              <w:t>1,834</w:t>
            </w:r>
          </w:p>
        </w:tc>
        <w:tc>
          <w:tcPr>
            <w:tcW w:w="10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2,385</w:t>
            </w:r>
          </w:p>
        </w:tc>
        <w:tc>
          <w:tcPr>
            <w:tcW w:w="8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20" w:type="dxa"/>
            <w:vAlign w:val="bottom"/>
            <w:tcBorders>
              <w:bottom w:val="single" w:sz="8" w:color="D7282F"/>
            </w:tcBorders>
          </w:tcPr>
          <w:p>
            <w:pPr>
              <w:spacing w:after="0"/>
              <w:rPr>
                <w:sz w:val="15"/>
                <w:szCs w:val="15"/>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303</w:t>
            </w:r>
          </w:p>
        </w:tc>
        <w:tc>
          <w:tcPr>
            <w:tcW w:w="240" w:type="dxa"/>
            <w:vAlign w:val="bottom"/>
            <w:tcBorders>
              <w:bottom w:val="single" w:sz="8" w:color="D7282F"/>
            </w:tcBorders>
          </w:tcPr>
          <w:p>
            <w:pPr>
              <w:spacing w:after="0"/>
              <w:rPr>
                <w:sz w:val="15"/>
                <w:szCs w:val="15"/>
                <w:color w:val="auto"/>
              </w:rPr>
            </w:pPr>
          </w:p>
        </w:tc>
        <w:tc>
          <w:tcPr>
            <w:tcW w:w="700" w:type="dxa"/>
            <w:vAlign w:val="bottom"/>
            <w:tcBorders>
              <w:bottom w:val="single" w:sz="8" w:color="D7282F"/>
            </w:tcBorders>
            <w:gridSpan w:val="2"/>
          </w:tcPr>
          <w:p>
            <w:pPr>
              <w:jc w:val="right"/>
              <w:ind w:right="100"/>
              <w:spacing w:after="0"/>
              <w:rPr>
                <w:sz w:val="20"/>
                <w:szCs w:val="20"/>
                <w:color w:val="auto"/>
              </w:rPr>
            </w:pPr>
            <w:r>
              <w:rPr>
                <w:rFonts w:ascii="Arial" w:cs="Arial" w:eastAsia="Arial" w:hAnsi="Arial"/>
                <w:sz w:val="14"/>
                <w:szCs w:val="14"/>
                <w:color w:val="auto"/>
              </w:rPr>
              <w:t>364</w:t>
            </w:r>
          </w:p>
        </w:tc>
        <w:tc>
          <w:tcPr>
            <w:tcW w:w="1060" w:type="dxa"/>
            <w:vAlign w:val="bottom"/>
            <w:tcBorders>
              <w:bottom w:val="single" w:sz="8" w:color="D7282F"/>
            </w:tcBorders>
          </w:tcPr>
          <w:p>
            <w:pPr>
              <w:spacing w:after="0"/>
              <w:rPr>
                <w:sz w:val="15"/>
                <w:szCs w:val="15"/>
                <w:color w:val="auto"/>
              </w:rPr>
            </w:pPr>
          </w:p>
        </w:tc>
        <w:tc>
          <w:tcPr>
            <w:tcW w:w="220" w:type="dxa"/>
            <w:vAlign w:val="bottom"/>
            <w:tcBorders>
              <w:bottom w:val="single" w:sz="8" w:color="D7282F"/>
            </w:tcBorders>
          </w:tcPr>
          <w:p>
            <w:pPr>
              <w:spacing w:after="0"/>
              <w:rPr>
                <w:sz w:val="15"/>
                <w:szCs w:val="15"/>
                <w:color w:val="auto"/>
              </w:rPr>
            </w:pPr>
          </w:p>
        </w:tc>
        <w:tc>
          <w:tcPr>
            <w:tcW w:w="320" w:type="dxa"/>
            <w:vAlign w:val="bottom"/>
            <w:tcBorders>
              <w:bottom w:val="single" w:sz="8" w:color="D7282F"/>
            </w:tcBorders>
          </w:tcPr>
          <w:p>
            <w:pPr>
              <w:spacing w:after="0"/>
              <w:rPr>
                <w:sz w:val="15"/>
                <w:szCs w:val="15"/>
                <w:color w:val="auto"/>
              </w:rPr>
            </w:pPr>
          </w:p>
        </w:tc>
        <w:tc>
          <w:tcPr>
            <w:tcW w:w="90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D7282F"/>
            </w:tcBorders>
          </w:tcPr>
          <w:p>
            <w:pPr>
              <w:spacing w:after="0"/>
              <w:rPr>
                <w:sz w:val="15"/>
                <w:szCs w:val="15"/>
                <w:color w:val="auto"/>
              </w:rPr>
            </w:pPr>
          </w:p>
        </w:tc>
        <w:tc>
          <w:tcPr>
            <w:tcW w:w="8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704</w:t>
            </w:r>
          </w:p>
        </w:tc>
        <w:tc>
          <w:tcPr>
            <w:tcW w:w="880" w:type="dxa"/>
            <w:vAlign w:val="bottom"/>
            <w:tcBorders>
              <w:bottom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239</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gridSpan w:val="2"/>
          </w:tcPr>
          <w:p>
            <w:pPr>
              <w:jc w:val="right"/>
              <w:ind w:right="100"/>
              <w:spacing w:after="0"/>
              <w:rPr>
                <w:sz w:val="20"/>
                <w:szCs w:val="20"/>
                <w:color w:val="auto"/>
              </w:rPr>
            </w:pPr>
            <w:r>
              <w:rPr>
                <w:rFonts w:ascii="Arial" w:cs="Arial" w:eastAsia="Arial" w:hAnsi="Arial"/>
                <w:sz w:val="14"/>
                <w:szCs w:val="14"/>
                <w:b w:val="1"/>
                <w:bCs w:val="1"/>
                <w:color w:val="auto"/>
              </w:rPr>
              <w:t>231</w:t>
            </w: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499</w:t>
            </w:r>
          </w:p>
        </w:tc>
        <w:tc>
          <w:tcPr>
            <w:tcW w:w="10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484</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r>
        <w:trPr>
          <w:trHeight w:val="413"/>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6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122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2023 vs. 2022</w:t>
            </w:r>
          </w:p>
        </w:tc>
        <w:tc>
          <w:tcPr>
            <w:tcW w:w="1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8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3"/>
          </w:tcPr>
          <w:p>
            <w:pPr>
              <w:jc w:val="right"/>
              <w:spacing w:after="0" w:line="143" w:lineRule="exact"/>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388"/>
              <w:spacing w:after="0" w:line="14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2"/>
          </w:tcPr>
          <w:p>
            <w:pPr>
              <w:jc w:val="right"/>
              <w:ind w:right="72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3"/>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588"/>
              <w:spacing w:after="0" w:line="143" w:lineRule="exact"/>
              <w:rPr>
                <w:sz w:val="20"/>
                <w:szCs w:val="20"/>
                <w:color w:val="auto"/>
              </w:rPr>
            </w:pPr>
            <w:r>
              <w:rPr>
                <w:rFonts w:ascii="Arial" w:cs="Arial" w:eastAsia="Arial" w:hAnsi="Arial"/>
                <w:sz w:val="14"/>
                <w:szCs w:val="14"/>
                <w:b w:val="1"/>
                <w:bCs w:val="1"/>
                <w:color w:val="auto"/>
              </w:rPr>
              <w:t>Net</w:t>
            </w:r>
          </w:p>
        </w:tc>
        <w:tc>
          <w:tcPr>
            <w:tcW w:w="1440" w:type="dxa"/>
            <w:vAlign w:val="bottom"/>
            <w:gridSpan w:val="5"/>
          </w:tcPr>
          <w:p>
            <w:pPr>
              <w:jc w:val="right"/>
              <w:ind w:right="748"/>
              <w:spacing w:after="0" w:line="143" w:lineRule="exact"/>
              <w:rPr>
                <w:sz w:val="20"/>
                <w:szCs w:val="20"/>
                <w:color w:val="auto"/>
              </w:rPr>
            </w:pPr>
            <w:r>
              <w:rPr>
                <w:rFonts w:ascii="Arial" w:cs="Arial" w:eastAsia="Arial" w:hAnsi="Arial"/>
                <w:sz w:val="14"/>
                <w:szCs w:val="14"/>
                <w:b w:val="1"/>
                <w:bCs w:val="1"/>
                <w:color w:val="auto"/>
              </w:rPr>
              <w:t>Segment</w:t>
            </w:r>
          </w:p>
        </w:tc>
        <w:tc>
          <w:tcPr>
            <w:tcW w:w="960" w:type="dxa"/>
            <w:vAlign w:val="bottom"/>
            <w:gridSpan w:val="2"/>
          </w:tcPr>
          <w:p>
            <w:pPr>
              <w:jc w:val="right"/>
              <w:ind w:right="568"/>
              <w:spacing w:after="0" w:line="143" w:lineRule="exact"/>
              <w:rPr>
                <w:sz w:val="20"/>
                <w:szCs w:val="20"/>
                <w:color w:val="auto"/>
              </w:rPr>
            </w:pPr>
            <w:r>
              <w:rPr>
                <w:rFonts w:ascii="Arial" w:cs="Arial" w:eastAsia="Arial" w:hAnsi="Arial"/>
                <w:sz w:val="14"/>
                <w:szCs w:val="14"/>
                <w:b w:val="1"/>
                <w:bCs w:val="1"/>
                <w:color w:val="auto"/>
              </w:rPr>
              <w:t>Net</w:t>
            </w:r>
          </w:p>
        </w:tc>
        <w:tc>
          <w:tcPr>
            <w:tcW w:w="88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6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Sales</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Profit</w:t>
            </w:r>
          </w:p>
        </w:tc>
        <w:tc>
          <w:tcPr>
            <w:tcW w:w="32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Sales</w:t>
            </w:r>
          </w:p>
        </w:tc>
        <w:tc>
          <w:tcPr>
            <w:tcW w:w="8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0"/>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32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4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4 %</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(16)%</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32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4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61656A"/>
            </w:tcBorders>
            <w:gridSpan w:val="3"/>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4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6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4"/>
          </w:tcPr>
          <w:p>
            <w:pPr>
              <w:jc w:val="right"/>
              <w:ind w:right="508"/>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 %</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1"/>
        </w:trPr>
        <w:tc>
          <w:tcPr>
            <w:tcW w:w="4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3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4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(22)%</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(17)%</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2023 compared to Q2 2022</w:t>
      </w:r>
    </w:p>
    <w:p>
      <w:pPr>
        <w:spacing w:after="0" w:line="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Sales decreased $396 million due to lower organic sales of $234 million in Warehouse and Workflow Solutions primarily driven by lower demand for projects and lower organic sales of $136 million in Productivity Solutions and Services primarily driven by lower demand for products.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$8 million and segment margin percentage increased 410 basis points to 16.7% compared to 12.6% for the same period in 2022.</w:t>
      </w:r>
    </w:p>
    <w:p>
      <w:pPr>
        <w:spacing w:after="0" w:line="200" w:lineRule="exact"/>
        <w:rPr>
          <w:sz w:val="20"/>
          <w:szCs w:val="20"/>
          <w:color w:val="auto"/>
        </w:rPr>
      </w:pPr>
    </w:p>
    <w:p>
      <w:pPr>
        <w:spacing w:after="0" w:line="258"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to YTD 2022</w:t>
      </w:r>
    </w:p>
    <w:p>
      <w:pPr>
        <w:spacing w:after="0" w:line="2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Sales decreased $625 million due to lower organic sales of $360 million in Warehouse and Workflow Solutions primarily driven by lower demand for projects and lower organic sales of $180 million in Productivity Solutions and Services primarily driven by lower demand for products.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$15 million and segment margin percentage increased 340 basis points to 16.9% compared to 13.5% for the same period in 2022.</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See Note 5 Repositioning and Other Charges of Notes to Consolidated Financial Statements for a discussion of our repositioning actions and related charges incurred in the six months ended June 30, 2023, and 2022. Cash spending related to our repositioning actions was $150 million in the six months ended June 30, 2023, and was funded through operating cash flows.</w:t>
      </w:r>
    </w:p>
    <w:p>
      <w:pPr>
        <w:spacing w:after="0" w:line="200" w:lineRule="exact"/>
        <w:rPr>
          <w:sz w:val="20"/>
          <w:szCs w:val="20"/>
          <w:color w:val="auto"/>
        </w:rPr>
      </w:pPr>
    </w:p>
    <w:p>
      <w:pPr>
        <w:spacing w:after="0" w:line="219"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manage our businesses to maximize operating cash flows as the primary source of liquidity. Each of our businesses is focused on increasing operating cash flows through revenue growth, margin expansion, and improved working capital turnover. Additional sources of liquidity include U.S. cash balances, and the ability to access non-U.S. cash balances, short-term debt from the commercial paper market, long-term borrowings, committed credit lines, and access to the public debt and equity markets.</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 As of June 30, 2023, and December 31, 2022, we held $8.8 billion and $10.1 billion, respectively, of cash and cash equivalents, including our short-term investments.</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of June 30, 2023, $5.1 billion of the Company’s cash, cash equivalents, and short-term investments were held by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18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D7282F"/>
            </w:tcBorders>
          </w:tcPr>
          <w:p>
            <w:pPr>
              <w:spacing w:after="0"/>
              <w:rPr>
                <w:sz w:val="16"/>
                <w:szCs w:val="16"/>
                <w:color w:val="auto"/>
              </w:rPr>
            </w:pPr>
          </w:p>
        </w:tc>
      </w:tr>
      <w:tr>
        <w:trPr>
          <w:trHeight w:val="195"/>
        </w:trPr>
        <w:tc>
          <w:tcPr>
            <w:tcW w:w="816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94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Variance</w:t>
            </w:r>
          </w:p>
        </w:tc>
      </w:tr>
      <w:tr>
        <w:trPr>
          <w:trHeight w:val="183"/>
        </w:trPr>
        <w:tc>
          <w:tcPr>
            <w:tcW w:w="81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b w:val="1"/>
                <w:bCs w:val="1"/>
                <w:color w:val="auto"/>
              </w:rPr>
              <w:t>10,959</w:t>
            </w:r>
          </w:p>
        </w:tc>
        <w:tc>
          <w:tcPr>
            <w:tcW w:w="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(1,332)</w:t>
            </w:r>
          </w:p>
        </w:tc>
      </w:tr>
      <w:tr>
        <w:trPr>
          <w:trHeight w:val="195"/>
        </w:trPr>
        <w:tc>
          <w:tcPr>
            <w:tcW w:w="81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spacing w:after="0"/>
              <w:rPr>
                <w:sz w:val="16"/>
                <w:szCs w:val="16"/>
                <w:color w:val="auto"/>
              </w:rPr>
            </w:pPr>
          </w:p>
        </w:tc>
      </w:tr>
      <w:tr>
        <w:trPr>
          <w:trHeight w:val="183"/>
        </w:trPr>
        <w:tc>
          <w:tcPr>
            <w:tcW w:w="8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36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2,881</w:t>
            </w:r>
          </w:p>
        </w:tc>
        <w:tc>
          <w:tcPr>
            <w:tcW w:w="240" w:type="dxa"/>
            <w:vAlign w:val="bottom"/>
            <w:tcBorders>
              <w:bottom w:val="single" w:sz="8" w:color="61656A"/>
            </w:tcBorders>
          </w:tcPr>
          <w:p>
            <w:pPr>
              <w:spacing w:after="0"/>
              <w:rPr>
                <w:sz w:val="15"/>
                <w:szCs w:val="15"/>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2,395</w:t>
            </w:r>
          </w:p>
        </w:tc>
        <w:tc>
          <w:tcPr>
            <w:tcW w:w="400" w:type="dxa"/>
            <w:vAlign w:val="bottom"/>
            <w:tcBorders>
              <w:bottom w:val="single" w:sz="8" w:color="61656A"/>
            </w:tcBorders>
          </w:tcPr>
          <w:p>
            <w:pPr>
              <w:spacing w:after="0"/>
              <w:rPr>
                <w:sz w:val="15"/>
                <w:szCs w:val="15"/>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486</w:t>
            </w:r>
          </w:p>
        </w:tc>
      </w:tr>
      <w:tr>
        <w:trPr>
          <w:trHeight w:val="190"/>
        </w:trPr>
        <w:tc>
          <w:tcPr>
            <w:tcW w:w="8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Noncash adjustments</w:t>
            </w:r>
          </w:p>
        </w:tc>
        <w:tc>
          <w:tcPr>
            <w:tcW w:w="3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842</w:t>
            </w:r>
          </w:p>
        </w:tc>
        <w:tc>
          <w:tcPr>
            <w:tcW w:w="2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931</w:t>
            </w:r>
          </w:p>
        </w:tc>
        <w:tc>
          <w:tcPr>
            <w:tcW w:w="40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(89)</w:t>
            </w:r>
          </w:p>
        </w:tc>
      </w:tr>
      <w:tr>
        <w:trPr>
          <w:trHeight w:val="196"/>
        </w:trPr>
        <w:tc>
          <w:tcPr>
            <w:tcW w:w="8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working capital</w:t>
            </w:r>
          </w:p>
        </w:tc>
        <w:tc>
          <w:tcPr>
            <w:tcW w:w="36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(729)</w:t>
            </w:r>
          </w:p>
        </w:tc>
        <w:tc>
          <w:tcPr>
            <w:tcW w:w="2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(1,578)</w:t>
            </w:r>
          </w:p>
        </w:tc>
        <w:tc>
          <w:tcPr>
            <w:tcW w:w="40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849</w:t>
            </w:r>
          </w:p>
        </w:tc>
      </w:tr>
      <w:tr>
        <w:trPr>
          <w:trHeight w:val="189"/>
        </w:trPr>
        <w:tc>
          <w:tcPr>
            <w:tcW w:w="81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NARCO Buyout payment</w:t>
            </w:r>
          </w:p>
        </w:tc>
        <w:tc>
          <w:tcPr>
            <w:tcW w:w="3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(1,325)</w:t>
            </w:r>
          </w:p>
        </w:tc>
        <w:tc>
          <w:tcPr>
            <w:tcW w:w="2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0"/>
        </w:trPr>
        <w:tc>
          <w:tcPr>
            <w:tcW w:w="8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operating activities</w:t>
            </w:r>
          </w:p>
        </w:tc>
        <w:tc>
          <w:tcPr>
            <w:tcW w:w="36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(1,093)</w:t>
            </w:r>
          </w:p>
        </w:tc>
        <w:tc>
          <w:tcPr>
            <w:tcW w:w="2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(923)</w:t>
            </w:r>
          </w:p>
        </w:tc>
        <w:tc>
          <w:tcPr>
            <w:tcW w:w="40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(170)</w:t>
            </w:r>
          </w:p>
        </w:tc>
      </w:tr>
      <w:tr>
        <w:trPr>
          <w:trHeight w:val="201"/>
        </w:trPr>
        <w:tc>
          <w:tcPr>
            <w:tcW w:w="8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6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576</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825</w:t>
            </w:r>
          </w:p>
        </w:tc>
        <w:tc>
          <w:tcPr>
            <w:tcW w:w="40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(249)</w:t>
            </w:r>
          </w:p>
        </w:tc>
      </w:tr>
      <w:tr>
        <w:trPr>
          <w:trHeight w:val="183"/>
        </w:trPr>
        <w:tc>
          <w:tcPr>
            <w:tcW w:w="8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provided by (used for) investing activities</w:t>
            </w:r>
          </w:p>
        </w:tc>
        <w:tc>
          <w:tcPr>
            <w:tcW w:w="360" w:type="dxa"/>
            <w:vAlign w:val="bottom"/>
            <w:tcBorders>
              <w:bottom w:val="single" w:sz="8" w:color="61656A"/>
            </w:tcBorders>
          </w:tcPr>
          <w:p>
            <w:pPr>
              <w:spacing w:after="0"/>
              <w:rPr>
                <w:sz w:val="15"/>
                <w:szCs w:val="15"/>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(709)</w:t>
            </w:r>
          </w:p>
        </w:tc>
        <w:tc>
          <w:tcPr>
            <w:tcW w:w="240" w:type="dxa"/>
            <w:vAlign w:val="bottom"/>
            <w:tcBorders>
              <w:bottom w:val="single" w:sz="8" w:color="61656A"/>
            </w:tcBorders>
          </w:tcPr>
          <w:p>
            <w:pPr>
              <w:spacing w:after="0"/>
              <w:rPr>
                <w:sz w:val="15"/>
                <w:szCs w:val="15"/>
                <w:color w:val="auto"/>
              </w:rPr>
            </w:pP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414</w:t>
            </w:r>
          </w:p>
        </w:tc>
        <w:tc>
          <w:tcPr>
            <w:tcW w:w="400" w:type="dxa"/>
            <w:vAlign w:val="bottom"/>
            <w:tcBorders>
              <w:bottom w:val="single" w:sz="8" w:color="61656A"/>
            </w:tcBorders>
          </w:tcPr>
          <w:p>
            <w:pPr>
              <w:spacing w:after="0"/>
              <w:rPr>
                <w:sz w:val="15"/>
                <w:szCs w:val="15"/>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(1,123)</w:t>
            </w:r>
          </w:p>
        </w:tc>
      </w:tr>
      <w:tr>
        <w:trPr>
          <w:trHeight w:val="190"/>
        </w:trPr>
        <w:tc>
          <w:tcPr>
            <w:tcW w:w="8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financing activities</w:t>
            </w:r>
          </w:p>
        </w:tc>
        <w:tc>
          <w:tcPr>
            <w:tcW w:w="36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(863)</w:t>
            </w:r>
          </w:p>
        </w:tc>
        <w:tc>
          <w:tcPr>
            <w:tcW w:w="2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(3,832)</w:t>
            </w:r>
          </w:p>
        </w:tc>
        <w:tc>
          <w:tcPr>
            <w:tcW w:w="40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2,969</w:t>
            </w:r>
          </w:p>
        </w:tc>
      </w:tr>
      <w:tr>
        <w:trPr>
          <w:trHeight w:val="196"/>
        </w:trPr>
        <w:tc>
          <w:tcPr>
            <w:tcW w:w="8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(118)</w:t>
            </w:r>
          </w:p>
        </w:tc>
        <w:tc>
          <w:tcPr>
            <w:tcW w:w="40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113</w:t>
            </w:r>
          </w:p>
        </w:tc>
      </w:tr>
      <w:tr>
        <w:trPr>
          <w:trHeight w:val="188"/>
        </w:trPr>
        <w:tc>
          <w:tcPr>
            <w:tcW w:w="8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decrease in cash and cash equivalents</w:t>
            </w:r>
          </w:p>
        </w:tc>
        <w:tc>
          <w:tcPr>
            <w:tcW w:w="36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(1,001)</w:t>
            </w:r>
          </w:p>
        </w:tc>
        <w:tc>
          <w:tcPr>
            <w:tcW w:w="2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(2,711)</w:t>
            </w:r>
          </w:p>
        </w:tc>
        <w:tc>
          <w:tcPr>
            <w:tcW w:w="40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1,710</w:t>
            </w:r>
          </w:p>
        </w:tc>
      </w:tr>
      <w:tr>
        <w:trPr>
          <w:trHeight w:val="195"/>
        </w:trPr>
        <w:tc>
          <w:tcPr>
            <w:tcW w:w="8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8,626</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8,248</w:t>
            </w:r>
          </w:p>
        </w:tc>
        <w:tc>
          <w:tcPr>
            <w:tcW w:w="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378</w:t>
            </w:r>
          </w:p>
        </w:tc>
      </w:tr>
    </w:tbl>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Cash related to operating activities decreased by $249 million primarily driven by the payment pursuant to the North American Refractories Company (NARCO) Amended Buyout Agreement and payment for the settlement of UOP Matters. This was partially offset by cash generated from operations, which included a favorable impact of working capital and the HWI Net Sale Proceeds. The favorable impact of working capital was driven by a $399 million decrease in Accounts receivable, primarily due to higher cash receipts, and a $354 million increase in Accounts payable, primarily due to increased material receipts and lower disbursements. See Note 14 Commitments and Contingencies of Notes to the Consolidated Financial Statements for additional information on the NARCO Amended Buyout Agreement, HWI Net Sale Proceeds, and UOP Matters.</w:t>
      </w:r>
    </w:p>
    <w:p>
      <w:pPr>
        <w:spacing w:after="0" w:line="7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Cash related to investing activities decreased by $1,123 million primarily due to a $483 million increase in cash paid for acquisitions, $409 million cash receipts from Garrett Motion Inc. (Garrett) in 2022, and $375 million decrease in cash receipts from settlements of derivative contracts related to foreign exchange hedging, partially offset by $227 million net decrease in investments, as maturing short-term investments are moved into cash deposits.</w:t>
      </w:r>
    </w:p>
    <w:p>
      <w:pPr>
        <w:spacing w:after="0" w:line="399"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Cash related to financing activities increased by $2,969 million primarily due to a $2,965 million increase in proceeds from the issuance of long-term debt and $1,261 million decrease in repurchases of common stock, partially offset by $1,295 increase in payments of long-term debt.</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D7282F"/>
        </w:rPr>
        <w:t>CASH REQUIREMENTS AND ASSESSMENT OF CURRENT LIQUIDITY</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to our normal operating cash requirements, our principal future cash requirements will be to fund capital expenditures, share repurchases, dividends, strategic acquisitions, and debt repayments. On April 24, 2023, the Board of Directors authorized the repurchase of up to $10 billion of Honeywell common stock, including approximately $2.1 billion of remaining availability under the previously announced $10 billion share repurchase authorization. During the six months ended June 30, 2023, we repurchased common stock of $1,176 million. Refer to the section titled Liquidity and Capital Resources of our 2022 Form 10-K for a discussion of our expected capital expenditures, share repurchases, and dividends for 2023.</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continue to identify opportunities to improve our liquidity and working capital efficiency, which includes the extension of payment terms with our suppliers and transfer of our trade receivables to unaffiliated financial institutions on a true sale basis. The impact of these programs is not material to our overall liquidity.</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early 2023, we made payments of approximately $1.5 billion in connection with the NARCO Buyout and UOP Matters. Pursuant to the NARCO Amended Buyout Agreement, we are entitled to receive proceeds related to the HWI Sale. During the six months ended June 30, 2023, we received proceeds from the HWI Sale in the amount of $275 million. These payments and receipts have not materially impacted our liquidity position. See Note 11 Fair Value Measurements of Notes to Consolidated Financial Statements for additional discussion related to the fair value of future proceeds from the HWI Sale.</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See Note 8 Long-term Debt and Credit Agreements of Notes to Consolidated Financial Statements for additional discussion of items impacting our liquidity.</w:t>
      </w: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leverage a variety of debt instruments to manage our overall borrowing costs. As of June 30, 2023, and December 31, 2022, our total borrowings were $21.4 billion and $19.6 billion, respectively.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Borders>
              <w:bottom w:val="single" w:sz="8" w:color="D7282F"/>
            </w:tcBorders>
          </w:tcPr>
          <w:p>
            <w:pPr>
              <w:spacing w:after="0"/>
              <w:rPr>
                <w:sz w:val="16"/>
                <w:szCs w:val="16"/>
                <w:color w:val="auto"/>
              </w:rPr>
            </w:pPr>
          </w:p>
        </w:tc>
        <w:tc>
          <w:tcPr>
            <w:tcW w:w="296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June 30, 2023</w:t>
            </w:r>
          </w:p>
        </w:tc>
        <w:tc>
          <w:tcPr>
            <w:tcW w:w="174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0"/>
        </w:trPr>
        <w:tc>
          <w:tcPr>
            <w:tcW w:w="49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Commercial paper</w:t>
            </w:r>
          </w:p>
        </w:tc>
        <w:tc>
          <w:tcPr>
            <w:tcW w:w="2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2,826</w:t>
            </w:r>
          </w:p>
        </w:tc>
        <w:tc>
          <w:tcPr>
            <w:tcW w:w="720" w:type="dxa"/>
            <w:vAlign w:val="bottom"/>
            <w:tcBorders>
              <w:bottom w:val="single" w:sz="8" w:color="61656A"/>
            </w:tcBorders>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2,715</w:t>
            </w:r>
          </w:p>
        </w:tc>
      </w:tr>
      <w:tr>
        <w:trPr>
          <w:trHeight w:val="196"/>
        </w:trPr>
        <w:tc>
          <w:tcPr>
            <w:tcW w:w="49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Variable rate notes</w:t>
            </w:r>
          </w:p>
        </w:tc>
        <w:tc>
          <w:tcPr>
            <w:tcW w:w="29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88"/>
        </w:trPr>
        <w:tc>
          <w:tcPr>
            <w:tcW w:w="49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rate notes</w:t>
            </w:r>
          </w:p>
        </w:tc>
        <w:tc>
          <w:tcPr>
            <w:tcW w:w="296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18,834</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17,086</w:t>
            </w:r>
          </w:p>
        </w:tc>
      </w:tr>
      <w:tr>
        <w:trPr>
          <w:trHeight w:val="190"/>
        </w:trPr>
        <w:tc>
          <w:tcPr>
            <w:tcW w:w="49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w:t>
            </w:r>
          </w:p>
        </w:tc>
        <w:tc>
          <w:tcPr>
            <w:tcW w:w="296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232</w:t>
            </w:r>
          </w:p>
        </w:tc>
        <w:tc>
          <w:tcPr>
            <w:tcW w:w="72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267</w:t>
            </w:r>
          </w:p>
        </w:tc>
      </w:tr>
      <w:tr>
        <w:trPr>
          <w:trHeight w:val="196"/>
        </w:trPr>
        <w:tc>
          <w:tcPr>
            <w:tcW w:w="49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29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(285)</w:t>
            </w:r>
          </w:p>
        </w:tc>
        <w:tc>
          <w:tcPr>
            <w:tcW w:w="7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(287)</w:t>
            </w:r>
          </w:p>
        </w:tc>
      </w:tr>
      <w:tr>
        <w:trPr>
          <w:trHeight w:val="189"/>
        </w:trPr>
        <w:tc>
          <w:tcPr>
            <w:tcW w:w="49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96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(256)</w:t>
            </w:r>
          </w:p>
        </w:tc>
        <w:tc>
          <w:tcPr>
            <w:tcW w:w="72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(233)</w:t>
            </w:r>
          </w:p>
        </w:tc>
      </w:tr>
      <w:tr>
        <w:trPr>
          <w:trHeight w:val="195"/>
        </w:trPr>
        <w:tc>
          <w:tcPr>
            <w:tcW w:w="49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borrowings</w:t>
            </w:r>
          </w:p>
        </w:tc>
        <w:tc>
          <w:tcPr>
            <w:tcW w:w="2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21,373</w:t>
            </w:r>
          </w:p>
        </w:tc>
        <w:tc>
          <w:tcPr>
            <w:tcW w:w="7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19,570</w:t>
            </w:r>
          </w:p>
        </w:tc>
      </w:tr>
    </w:tbl>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primary source of liquidity is our ability to access the corporate bond markets. Through these markets, we issue a variety of long-term fixed rate notes, in a variety of currencies, to manage our overall funding costs.</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Another primary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399"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We also have the following revolving credit agreements:</w:t>
      </w:r>
    </w:p>
    <w:p>
      <w:pPr>
        <w:spacing w:after="0" w:line="113" w:lineRule="exact"/>
        <w:rPr>
          <w:sz w:val="20"/>
          <w:szCs w:val="20"/>
          <w:color w:val="auto"/>
        </w:rPr>
      </w:pPr>
    </w:p>
    <w:p>
      <w:pPr>
        <w:jc w:val="both"/>
        <w:ind w:left="200" w:hanging="192"/>
        <w:spacing w:after="0" w:line="259" w:lineRule="auto"/>
        <w:tabs>
          <w:tab w:leader="none" w:pos="200" w:val="left"/>
        </w:tabs>
        <w:numPr>
          <w:ilvl w:val="0"/>
          <w:numId w:val="52"/>
        </w:numPr>
        <w:rPr>
          <w:rFonts w:ascii="Arial" w:cs="Arial" w:eastAsia="Arial" w:hAnsi="Arial"/>
          <w:sz w:val="16"/>
          <w:szCs w:val="16"/>
          <w:color w:val="D7282F"/>
        </w:rPr>
      </w:pPr>
      <w:r>
        <w:rPr>
          <w:rFonts w:ascii="Arial" w:cs="Arial" w:eastAsia="Arial" w:hAnsi="Arial"/>
          <w:sz w:val="16"/>
          <w:szCs w:val="16"/>
          <w:color w:val="auto"/>
        </w:rPr>
        <w:t>A $1.5 billion 364-day credit agreement (the 364-Day Credit Agreement) with a syndicate of banks, dated as of March 20, 2023. Amounts borrowed under the 364-Day Credit Agreement are required to be repaid no later than March 18, 2024, unless (i) we elect to convert all then outstanding amounts into a term loan, upon which such amounts shall be repaid in full on March 18, 2025, or (ii) the 364-Day Credit Agreement is terminated earlier pursuant to its terms. The 364-Day Credit Agreement replaced the previously reported $1.5 billion 364-day credit agreement dated as of March 24, 2022, which was terminated in accordance with its terms effective March 20, 2023. As of June 30, 2023, there were no outstanding borrowings under our 364-Day Credit Agreement.</w:t>
      </w:r>
    </w:p>
    <w:p>
      <w:pPr>
        <w:spacing w:after="0" w:line="50" w:lineRule="exact"/>
        <w:rPr>
          <w:rFonts w:ascii="Arial" w:cs="Arial" w:eastAsia="Arial" w:hAnsi="Arial"/>
          <w:sz w:val="16"/>
          <w:szCs w:val="16"/>
          <w:color w:val="D7282F"/>
        </w:rPr>
      </w:pPr>
    </w:p>
    <w:p>
      <w:pPr>
        <w:jc w:val="both"/>
        <w:ind w:left="200" w:hanging="192"/>
        <w:spacing w:after="0" w:line="262" w:lineRule="auto"/>
        <w:tabs>
          <w:tab w:leader="none" w:pos="200" w:val="left"/>
        </w:tabs>
        <w:numPr>
          <w:ilvl w:val="0"/>
          <w:numId w:val="52"/>
        </w:numPr>
        <w:rPr>
          <w:rFonts w:ascii="Arial" w:cs="Arial" w:eastAsia="Arial" w:hAnsi="Arial"/>
          <w:sz w:val="16"/>
          <w:szCs w:val="16"/>
          <w:color w:val="D7282F"/>
        </w:rPr>
      </w:pPr>
      <w:r>
        <w:rPr>
          <w:rFonts w:ascii="Arial" w:cs="Arial" w:eastAsia="Arial" w:hAnsi="Arial"/>
          <w:sz w:val="16"/>
          <w:szCs w:val="16"/>
          <w:color w:val="auto"/>
        </w:rPr>
        <w:t>A $4.0 billion five-year credit agreement (the 5-Year Credit Agreement) with a syndicate of banks, dated as of March 20, 2023. Commitments under the 5-Year Credit Agreement can be increased pursuant to the terms of the 5-Year Credit Agreement to an aggregate amount not to exceed $4.5 billion. The 5-Year Credit Agreement amended and restated the previously reported $4.0 billion amended and restated five-year credit agreement dated as of March 24, 2022. As of June 30, 2023, there were no outstanding borrowings under our 5-Year Credit Agreement.</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also have a current shelf registration statement filed with the Securities and Exchange Commission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June 30, 2023, S&amp;P Global Inc. (S&amp;P), Fitch Ratings Inc. (Fitch), and Moody’s Investor Service (Moody's) have ratings on our debt set forth in the table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60" w:type="dxa"/>
            <w:vAlign w:val="bottom"/>
            <w:tcBorders>
              <w:bottom w:val="single" w:sz="8" w:color="D7282F"/>
            </w:tcBorders>
          </w:tcPr>
          <w:p>
            <w:pPr>
              <w:spacing w:after="0"/>
              <w:rPr>
                <w:sz w:val="17"/>
                <w:szCs w:val="17"/>
                <w:color w:val="auto"/>
              </w:rPr>
            </w:pPr>
          </w:p>
        </w:tc>
        <w:tc>
          <w:tcPr>
            <w:tcW w:w="4200" w:type="dxa"/>
            <w:vAlign w:val="bottom"/>
            <w:tcBorders>
              <w:bottom w:val="single" w:sz="8" w:color="D7282F"/>
            </w:tcBorders>
          </w:tcPr>
          <w:p>
            <w:pPr>
              <w:jc w:val="center"/>
              <w:ind w:left="2488"/>
              <w:spacing w:after="0"/>
              <w:rPr>
                <w:sz w:val="20"/>
                <w:szCs w:val="20"/>
                <w:color w:val="auto"/>
              </w:rPr>
            </w:pPr>
            <w:r>
              <w:rPr>
                <w:rFonts w:ascii="Arial" w:cs="Arial" w:eastAsia="Arial" w:hAnsi="Arial"/>
                <w:sz w:val="14"/>
                <w:szCs w:val="14"/>
                <w:b w:val="1"/>
                <w:bCs w:val="1"/>
                <w:color w:val="auto"/>
                <w:w w:val="97"/>
              </w:rPr>
              <w:t>S&amp;P</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Fitch</w:t>
            </w:r>
          </w:p>
        </w:tc>
        <w:tc>
          <w:tcPr>
            <w:tcW w:w="158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b w:val="1"/>
                <w:bCs w:val="1"/>
                <w:color w:val="auto"/>
              </w:rPr>
              <w:t>Moody's</w:t>
            </w:r>
          </w:p>
        </w:tc>
      </w:tr>
      <w:tr>
        <w:trPr>
          <w:trHeight w:val="191"/>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Outlook</w:t>
            </w:r>
          </w:p>
        </w:tc>
        <w:tc>
          <w:tcPr>
            <w:tcW w:w="4200" w:type="dxa"/>
            <w:vAlign w:val="bottom"/>
            <w:tcBorders>
              <w:bottom w:val="single" w:sz="8" w:color="61656A"/>
            </w:tcBorders>
          </w:tcPr>
          <w:p>
            <w:pPr>
              <w:jc w:val="center"/>
              <w:ind w:left="2488"/>
              <w:spacing w:after="0"/>
              <w:rPr>
                <w:sz w:val="20"/>
                <w:szCs w:val="20"/>
                <w:color w:val="auto"/>
              </w:rPr>
            </w:pPr>
            <w:r>
              <w:rPr>
                <w:rFonts w:ascii="Arial" w:cs="Arial" w:eastAsia="Arial" w:hAnsi="Arial"/>
                <w:sz w:val="14"/>
                <w:szCs w:val="14"/>
                <w:color w:val="auto"/>
              </w:rPr>
              <w:t>Stable</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Stable</w:t>
            </w:r>
          </w:p>
        </w:tc>
        <w:tc>
          <w:tcPr>
            <w:tcW w:w="158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Stable</w:t>
            </w:r>
          </w:p>
        </w:tc>
      </w:tr>
      <w:tr>
        <w:trPr>
          <w:trHeight w:val="188"/>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w:t>
            </w:r>
          </w:p>
        </w:tc>
        <w:tc>
          <w:tcPr>
            <w:tcW w:w="4200" w:type="dxa"/>
            <w:vAlign w:val="bottom"/>
            <w:tcBorders>
              <w:bottom w:val="single" w:sz="8" w:color="61656A"/>
            </w:tcBorders>
          </w:tcPr>
          <w:p>
            <w:pPr>
              <w:jc w:val="center"/>
              <w:ind w:left="2468"/>
              <w:spacing w:after="0"/>
              <w:rPr>
                <w:sz w:val="20"/>
                <w:szCs w:val="20"/>
                <w:color w:val="auto"/>
              </w:rPr>
            </w:pPr>
            <w:r>
              <w:rPr>
                <w:rFonts w:ascii="Arial" w:cs="Arial" w:eastAsia="Arial" w:hAnsi="Arial"/>
                <w:sz w:val="14"/>
                <w:szCs w:val="14"/>
                <w:color w:val="auto"/>
              </w:rPr>
              <w:t>A-1</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7"/>
              </w:rPr>
              <w:t>F1</w:t>
            </w:r>
          </w:p>
        </w:tc>
        <w:tc>
          <w:tcPr>
            <w:tcW w:w="158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P1</w:t>
            </w:r>
          </w:p>
        </w:tc>
      </w:tr>
      <w:tr>
        <w:trPr>
          <w:trHeight w:val="190"/>
        </w:trPr>
        <w:tc>
          <w:tcPr>
            <w:tcW w:w="3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200" w:type="dxa"/>
            <w:vAlign w:val="bottom"/>
            <w:tcBorders>
              <w:bottom w:val="single" w:sz="8" w:color="D7282F"/>
            </w:tcBorders>
          </w:tcPr>
          <w:p>
            <w:pPr>
              <w:jc w:val="center"/>
              <w:ind w:left="2488"/>
              <w:spacing w:after="0"/>
              <w:rPr>
                <w:sz w:val="20"/>
                <w:szCs w:val="20"/>
                <w:color w:val="auto"/>
              </w:rPr>
            </w:pPr>
            <w:r>
              <w:rPr>
                <w:rFonts w:ascii="Arial" w:cs="Arial" w:eastAsia="Arial" w:hAnsi="Arial"/>
                <w:sz w:val="14"/>
                <w:szCs w:val="14"/>
                <w:color w:val="auto"/>
                <w:w w:val="85"/>
              </w:rPr>
              <w:t>A</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A</w:t>
            </w:r>
          </w:p>
        </w:tc>
        <w:tc>
          <w:tcPr>
            <w:tcW w:w="158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rPr>
              <w:t>A2</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 See Note 14 Commitments and Contingencies of Notes to Consolidated Financial Statements for further discussion of environmental, asbestos, and other litigation matters.</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There have been no material changes to our Critical Accounting Estimates presented in our 2022 Annual Report on Form 10-K. For a discussion of the Company’s Critical Accounting Estimates, see the section titled Critical Accounting Estimates in our 2022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See Note 2 Summary of Significant Accounting Policies of Notes to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60"/>
        <w:spacing w:after="0" w:line="303"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2022 Annual Report on Form 10-K. As of June 30, 2023, there has been no material change in this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SEC's rules and forms, and that it is accumulated and communicated to our management, including our Chief Executive Officer, our Chief Financial Officer,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See a discussion of environmental, asbestos, and other litigation matters in </w:t>
      </w:r>
      <w:r>
        <w:rPr>
          <w:rFonts w:ascii="Arial" w:cs="Arial" w:eastAsia="Arial" w:hAnsi="Arial"/>
          <w:sz w:val="16"/>
          <w:szCs w:val="16"/>
          <w:b w:val="1"/>
          <w:bCs w:val="1"/>
          <w:color w:val="auto"/>
        </w:rPr>
        <w:t>Note 14 Commitments and Contingencies of Notes to Consolidated</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 Statements</w:t>
      </w:r>
      <w:r>
        <w:rPr>
          <w:rFonts w:ascii="Arial" w:cs="Arial" w:eastAsia="Arial" w:hAnsi="Arial"/>
          <w:sz w:val="16"/>
          <w:szCs w:val="16"/>
          <w:color w:val="auto"/>
        </w:rPr>
        <w:t>.</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200" w:lineRule="exact"/>
        <w:rPr>
          <w:sz w:val="20"/>
          <w:szCs w:val="20"/>
          <w:color w:val="auto"/>
        </w:rPr>
      </w:pP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There have been no material changes to our Risk Factors presented in our 2022 Annual Report on Form 10-K under the section titled Risk Factors. For further discussion of our Risk Factors, refer to the section titled Risk Factors in our 2022 Annual Report on Form 10-K.</w:t>
      </w:r>
    </w:p>
    <w:p>
      <w:pPr>
        <w:spacing w:after="0" w:line="295" w:lineRule="exact"/>
        <w:rPr>
          <w:sz w:val="20"/>
          <w:szCs w:val="20"/>
          <w:color w:val="auto"/>
        </w:rPr>
      </w:pPr>
    </w:p>
    <w:p>
      <w:pPr>
        <w:ind w:right="560"/>
        <w:spacing w:after="0" w:line="303"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April 24, 2023, the Board of Directors authorized the repurchase of up to $10 billion of Honeywell common stock, including approximately $2.1 billion of remaining availability under the previously announced $10 billion share repurchase authorization. The repurchase authorization does not have an expiration date and may be amended or terminated by the Board of Directors at any time without prior notice.</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7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During the quarter ended June 30, 2023, Honeywell purchased 2,430,801 shares of its common stock, par value $1 per share. As of June 30, 2023, $9.6 billion remained available for additional share repurchases. The following table summarizes our purchases of Honeywell's common stock for the quarter ended June 30, 2023:</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80" w:type="dxa"/>
            <w:vAlign w:val="bottom"/>
            <w:tcBorders>
              <w:top w:val="single" w:sz="8" w:color="D7282F"/>
            </w:tcBorders>
          </w:tcPr>
          <w:p>
            <w:pPr>
              <w:spacing w:after="0"/>
              <w:rPr>
                <w:sz w:val="12"/>
                <w:szCs w:val="12"/>
                <w:color w:val="auto"/>
              </w:rPr>
            </w:pPr>
          </w:p>
        </w:tc>
        <w:tc>
          <w:tcPr>
            <w:tcW w:w="3060" w:type="dxa"/>
            <w:vAlign w:val="bottom"/>
            <w:tcBorders>
              <w:top w:val="single" w:sz="8" w:color="D7282F"/>
            </w:tcBorders>
          </w:tcPr>
          <w:p>
            <w:pPr>
              <w:spacing w:after="0"/>
              <w:rPr>
                <w:sz w:val="12"/>
                <w:szCs w:val="12"/>
                <w:color w:val="auto"/>
              </w:rPr>
            </w:pPr>
          </w:p>
        </w:tc>
        <w:tc>
          <w:tcPr>
            <w:tcW w:w="1680" w:type="dxa"/>
            <w:vAlign w:val="bottom"/>
            <w:tcBorders>
              <w:top w:val="single" w:sz="8" w:color="D7282F"/>
            </w:tcBorders>
          </w:tcPr>
          <w:p>
            <w:pPr>
              <w:spacing w:after="0"/>
              <w:rPr>
                <w:sz w:val="12"/>
                <w:szCs w:val="12"/>
                <w:color w:val="auto"/>
              </w:rPr>
            </w:pPr>
          </w:p>
        </w:tc>
        <w:tc>
          <w:tcPr>
            <w:tcW w:w="1700" w:type="dxa"/>
            <w:vAlign w:val="bottom"/>
            <w:tcBorders>
              <w:top w:val="single" w:sz="8" w:color="D7282F"/>
            </w:tcBorders>
          </w:tcPr>
          <w:p>
            <w:pPr>
              <w:jc w:val="center"/>
              <w:ind w:left="148"/>
              <w:spacing w:after="0" w:line="144" w:lineRule="exact"/>
              <w:rPr>
                <w:sz w:val="20"/>
                <w:szCs w:val="20"/>
                <w:color w:val="auto"/>
              </w:rPr>
            </w:pPr>
            <w:r>
              <w:rPr>
                <w:rFonts w:ascii="Arial" w:cs="Arial" w:eastAsia="Arial" w:hAnsi="Arial"/>
                <w:sz w:val="14"/>
                <w:szCs w:val="14"/>
                <w:b w:val="1"/>
                <w:bCs w:val="1"/>
                <w:color w:val="auto"/>
              </w:rPr>
              <w:t>Total Number</w:t>
            </w:r>
          </w:p>
        </w:tc>
        <w:tc>
          <w:tcPr>
            <w:tcW w:w="1920" w:type="dxa"/>
            <w:vAlign w:val="bottom"/>
            <w:tcBorders>
              <w:top w:val="single" w:sz="8" w:color="D7282F"/>
            </w:tcBorders>
          </w:tcPr>
          <w:p>
            <w:pPr>
              <w:jc w:val="center"/>
              <w:ind w:left="88"/>
              <w:spacing w:after="0" w:line="144"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0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of Shares</w:t>
            </w:r>
          </w:p>
        </w:tc>
        <w:tc>
          <w:tcPr>
            <w:tcW w:w="1920" w:type="dxa"/>
            <w:vAlign w:val="bottom"/>
          </w:tcPr>
          <w:p>
            <w:pPr>
              <w:jc w:val="center"/>
              <w:ind w:left="68"/>
              <w:spacing w:after="0" w:line="13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3060" w:type="dxa"/>
            <w:vAlign w:val="bottom"/>
            <w:vMerge w:val="restart"/>
          </w:tcPr>
          <w:p>
            <w:pPr>
              <w:jc w:val="center"/>
              <w:ind w:left="1228"/>
              <w:spacing w:after="0"/>
              <w:rPr>
                <w:sz w:val="20"/>
                <w:szCs w:val="20"/>
                <w:color w:val="auto"/>
              </w:rPr>
            </w:pPr>
            <w:r>
              <w:rPr>
                <w:rFonts w:ascii="Arial" w:cs="Arial" w:eastAsia="Arial" w:hAnsi="Arial"/>
                <w:sz w:val="14"/>
                <w:szCs w:val="14"/>
                <w:b w:val="1"/>
                <w:bCs w:val="1"/>
                <w:color w:val="auto"/>
                <w:w w:val="95"/>
              </w:rPr>
              <w:t>Total</w:t>
            </w:r>
          </w:p>
        </w:tc>
        <w:tc>
          <w:tcPr>
            <w:tcW w:w="1680" w:type="dxa"/>
            <w:vAlign w:val="bottom"/>
          </w:tcPr>
          <w:p>
            <w:pPr>
              <w:spacing w:after="0"/>
              <w:rPr>
                <w:sz w:val="12"/>
                <w:szCs w:val="12"/>
                <w:color w:val="auto"/>
              </w:rPr>
            </w:pPr>
          </w:p>
        </w:tc>
        <w:tc>
          <w:tcPr>
            <w:tcW w:w="1700" w:type="dxa"/>
            <w:vAlign w:val="bottom"/>
          </w:tcPr>
          <w:p>
            <w:pPr>
              <w:jc w:val="center"/>
              <w:ind w:left="168"/>
              <w:spacing w:after="0" w:line="148" w:lineRule="exact"/>
              <w:rPr>
                <w:sz w:val="20"/>
                <w:szCs w:val="20"/>
                <w:color w:val="auto"/>
              </w:rPr>
            </w:pPr>
            <w:r>
              <w:rPr>
                <w:rFonts w:ascii="Arial" w:cs="Arial" w:eastAsia="Arial" w:hAnsi="Arial"/>
                <w:sz w:val="14"/>
                <w:szCs w:val="14"/>
                <w:b w:val="1"/>
                <w:bCs w:val="1"/>
                <w:color w:val="auto"/>
              </w:rPr>
              <w:t>Purchased as</w:t>
            </w:r>
          </w:p>
        </w:tc>
        <w:tc>
          <w:tcPr>
            <w:tcW w:w="1920" w:type="dxa"/>
            <w:vAlign w:val="bottom"/>
          </w:tcPr>
          <w:p>
            <w:pPr>
              <w:jc w:val="center"/>
              <w:ind w:left="88"/>
              <w:spacing w:after="0" w:line="148"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3060" w:type="dxa"/>
            <w:vAlign w:val="bottom"/>
            <w:vMerge w:val="continue"/>
          </w:tcPr>
          <w:p>
            <w:pPr>
              <w:spacing w:after="0"/>
              <w:rPr>
                <w:sz w:val="11"/>
                <w:szCs w:val="11"/>
                <w:color w:val="auto"/>
              </w:rPr>
            </w:pPr>
          </w:p>
        </w:tc>
        <w:tc>
          <w:tcPr>
            <w:tcW w:w="16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Part of Publicly</w:t>
            </w:r>
          </w:p>
        </w:tc>
        <w:tc>
          <w:tcPr>
            <w:tcW w:w="1920" w:type="dxa"/>
            <w:vAlign w:val="bottom"/>
          </w:tcPr>
          <w:p>
            <w:pPr>
              <w:jc w:val="center"/>
              <w:ind w:left="68"/>
              <w:spacing w:after="0" w:line="135" w:lineRule="exact"/>
              <w:rPr>
                <w:sz w:val="20"/>
                <w:szCs w:val="20"/>
                <w:color w:val="auto"/>
              </w:rPr>
            </w:pPr>
            <w:r>
              <w:rPr>
                <w:rFonts w:ascii="Arial" w:cs="Arial" w:eastAsia="Arial" w:hAnsi="Arial"/>
                <w:sz w:val="14"/>
                <w:szCs w:val="14"/>
                <w:b w:val="1"/>
                <w:bCs w:val="1"/>
                <w:color w:val="auto"/>
              </w:rPr>
              <w:t>Purchased Under Plans</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3060" w:type="dxa"/>
            <w:vAlign w:val="bottom"/>
          </w:tcPr>
          <w:p>
            <w:pPr>
              <w:jc w:val="center"/>
              <w:ind w:left="1228"/>
              <w:spacing w:after="0" w:line="149" w:lineRule="exact"/>
              <w:rPr>
                <w:sz w:val="20"/>
                <w:szCs w:val="20"/>
                <w:color w:val="auto"/>
              </w:rPr>
            </w:pPr>
            <w:r>
              <w:rPr>
                <w:rFonts w:ascii="Arial" w:cs="Arial" w:eastAsia="Arial" w:hAnsi="Arial"/>
                <w:sz w:val="14"/>
                <w:szCs w:val="14"/>
                <w:b w:val="1"/>
                <w:bCs w:val="1"/>
                <w:color w:val="auto"/>
              </w:rPr>
              <w:t>Number of</w:t>
            </w:r>
          </w:p>
        </w:tc>
        <w:tc>
          <w:tcPr>
            <w:tcW w:w="1680" w:type="dxa"/>
            <w:vAlign w:val="bottom"/>
            <w:vMerge w:val="continue"/>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Announced</w:t>
            </w:r>
          </w:p>
        </w:tc>
        <w:tc>
          <w:tcPr>
            <w:tcW w:w="19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8"/>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3060" w:type="dxa"/>
            <w:vAlign w:val="bottom"/>
          </w:tcPr>
          <w:p>
            <w:pPr>
              <w:jc w:val="center"/>
              <w:ind w:left="1228"/>
              <w:spacing w:after="0" w:line="148" w:lineRule="exact"/>
              <w:rPr>
                <w:sz w:val="20"/>
                <w:szCs w:val="20"/>
                <w:color w:val="auto"/>
              </w:rPr>
            </w:pPr>
            <w:r>
              <w:rPr>
                <w:rFonts w:ascii="Arial" w:cs="Arial" w:eastAsia="Arial" w:hAnsi="Arial"/>
                <w:sz w:val="14"/>
                <w:szCs w:val="14"/>
                <w:b w:val="1"/>
                <w:bCs w:val="1"/>
                <w:color w:val="auto"/>
              </w:rPr>
              <w:t>Shares</w:t>
            </w:r>
          </w:p>
        </w:tc>
        <w:tc>
          <w:tcPr>
            <w:tcW w:w="1680" w:type="dxa"/>
            <w:vAlign w:val="bottom"/>
          </w:tcPr>
          <w:p>
            <w:pPr>
              <w:jc w:val="center"/>
              <w:ind w:left="8"/>
              <w:spacing w:after="0" w:line="148"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ind w:left="168"/>
              <w:spacing w:after="0" w:line="148" w:lineRule="exact"/>
              <w:rPr>
                <w:sz w:val="20"/>
                <w:szCs w:val="20"/>
                <w:color w:val="auto"/>
              </w:rPr>
            </w:pPr>
            <w:r>
              <w:rPr>
                <w:rFonts w:ascii="Arial" w:cs="Arial" w:eastAsia="Arial" w:hAnsi="Arial"/>
                <w:sz w:val="14"/>
                <w:szCs w:val="14"/>
                <w:b w:val="1"/>
                <w:bCs w:val="1"/>
                <w:color w:val="auto"/>
              </w:rPr>
              <w:t>Plans</w:t>
            </w:r>
          </w:p>
        </w:tc>
        <w:tc>
          <w:tcPr>
            <w:tcW w:w="1920" w:type="dxa"/>
            <w:vAlign w:val="bottom"/>
          </w:tcPr>
          <w:p>
            <w:pPr>
              <w:jc w:val="center"/>
              <w:ind w:left="88"/>
              <w:spacing w:after="0" w:line="148"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9"/>
        </w:trPr>
        <w:tc>
          <w:tcPr>
            <w:tcW w:w="2880" w:type="dxa"/>
            <w:vAlign w:val="bottom"/>
            <w:tcBorders>
              <w:bottom w:val="single" w:sz="8" w:color="D7282F"/>
            </w:tcBorders>
            <w:vMerge w:val="continue"/>
          </w:tcPr>
          <w:p>
            <w:pPr>
              <w:spacing w:after="0"/>
              <w:rPr>
                <w:sz w:val="16"/>
                <w:szCs w:val="16"/>
                <w:color w:val="auto"/>
              </w:rPr>
            </w:pPr>
          </w:p>
        </w:tc>
        <w:tc>
          <w:tcPr>
            <w:tcW w:w="3060" w:type="dxa"/>
            <w:vAlign w:val="bottom"/>
            <w:tcBorders>
              <w:bottom w:val="single" w:sz="8" w:color="D7282F"/>
            </w:tcBorders>
          </w:tcPr>
          <w:p>
            <w:pPr>
              <w:jc w:val="center"/>
              <w:ind w:left="1208"/>
              <w:spacing w:after="0"/>
              <w:rPr>
                <w:sz w:val="20"/>
                <w:szCs w:val="20"/>
                <w:color w:val="auto"/>
              </w:rPr>
            </w:pPr>
            <w:r>
              <w:rPr>
                <w:rFonts w:ascii="Arial" w:cs="Arial" w:eastAsia="Arial" w:hAnsi="Arial"/>
                <w:sz w:val="14"/>
                <w:szCs w:val="14"/>
                <w:b w:val="1"/>
                <w:bCs w:val="1"/>
                <w:color w:val="auto"/>
              </w:rPr>
              <w:t>Purchased</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per Share</w:t>
            </w:r>
          </w:p>
        </w:tc>
        <w:tc>
          <w:tcPr>
            <w:tcW w:w="17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or Programs</w:t>
            </w:r>
          </w:p>
        </w:tc>
        <w:tc>
          <w:tcPr>
            <w:tcW w:w="192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90"/>
        </w:trPr>
        <w:tc>
          <w:tcPr>
            <w:tcW w:w="2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April 1-30, 2023</w:t>
            </w:r>
          </w:p>
        </w:tc>
        <w:tc>
          <w:tcPr>
            <w:tcW w:w="3060" w:type="dxa"/>
            <w:vAlign w:val="bottom"/>
            <w:tcBorders>
              <w:bottom w:val="single" w:sz="8" w:color="61656A"/>
            </w:tcBorders>
          </w:tcPr>
          <w:p>
            <w:pPr>
              <w:jc w:val="center"/>
              <w:ind w:left="1228"/>
              <w:spacing w:after="0"/>
              <w:rPr>
                <w:sz w:val="20"/>
                <w:szCs w:val="20"/>
                <w:color w:val="auto"/>
              </w:rPr>
            </w:pPr>
            <w:r>
              <w:rPr>
                <w:rFonts w:ascii="Arial" w:cs="Arial" w:eastAsia="Arial" w:hAnsi="Arial"/>
                <w:sz w:val="14"/>
                <w:szCs w:val="14"/>
                <w:color w:val="auto"/>
              </w:rPr>
              <w:t>686,048</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$193.84</w:t>
            </w:r>
          </w:p>
        </w:tc>
        <w:tc>
          <w:tcPr>
            <w:tcW w:w="1700" w:type="dxa"/>
            <w:vAlign w:val="bottom"/>
            <w:tcBorders>
              <w:bottom w:val="single" w:sz="8" w:color="61656A"/>
            </w:tcBorders>
          </w:tcPr>
          <w:p>
            <w:pPr>
              <w:jc w:val="center"/>
              <w:ind w:left="148"/>
              <w:spacing w:after="0"/>
              <w:rPr>
                <w:sz w:val="20"/>
                <w:szCs w:val="20"/>
                <w:color w:val="auto"/>
              </w:rPr>
            </w:pPr>
            <w:r>
              <w:rPr>
                <w:rFonts w:ascii="Arial" w:cs="Arial" w:eastAsia="Arial" w:hAnsi="Arial"/>
                <w:sz w:val="14"/>
                <w:szCs w:val="14"/>
                <w:color w:val="auto"/>
              </w:rPr>
              <w:t>686,048</w:t>
            </w:r>
          </w:p>
        </w:tc>
        <w:tc>
          <w:tcPr>
            <w:tcW w:w="192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$9,986</w:t>
            </w:r>
          </w:p>
        </w:tc>
        <w:tc>
          <w:tcPr>
            <w:tcW w:w="0" w:type="dxa"/>
            <w:vAlign w:val="bottom"/>
          </w:tcPr>
          <w:p>
            <w:pPr>
              <w:spacing w:after="0"/>
              <w:rPr>
                <w:sz w:val="1"/>
                <w:szCs w:val="1"/>
                <w:color w:val="auto"/>
              </w:rPr>
            </w:pPr>
          </w:p>
        </w:tc>
      </w:tr>
      <w:tr>
        <w:trPr>
          <w:trHeight w:val="188"/>
        </w:trPr>
        <w:tc>
          <w:tcPr>
            <w:tcW w:w="2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May 1-31, 2023</w:t>
            </w:r>
          </w:p>
        </w:tc>
        <w:tc>
          <w:tcPr>
            <w:tcW w:w="3060" w:type="dxa"/>
            <w:vAlign w:val="bottom"/>
            <w:tcBorders>
              <w:bottom w:val="single" w:sz="8" w:color="61656A"/>
            </w:tcBorders>
          </w:tcPr>
          <w:p>
            <w:pPr>
              <w:jc w:val="center"/>
              <w:ind w:left="1228"/>
              <w:spacing w:after="0"/>
              <w:rPr>
                <w:sz w:val="20"/>
                <w:szCs w:val="20"/>
                <w:color w:val="auto"/>
              </w:rPr>
            </w:pPr>
            <w:r>
              <w:rPr>
                <w:rFonts w:ascii="Arial" w:cs="Arial" w:eastAsia="Arial" w:hAnsi="Arial"/>
                <w:sz w:val="14"/>
                <w:szCs w:val="14"/>
                <w:color w:val="auto"/>
              </w:rPr>
              <w:t>887,293</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$196.05</w:t>
            </w:r>
          </w:p>
        </w:tc>
        <w:tc>
          <w:tcPr>
            <w:tcW w:w="1700" w:type="dxa"/>
            <w:vAlign w:val="bottom"/>
            <w:tcBorders>
              <w:bottom w:val="single" w:sz="8" w:color="61656A"/>
            </w:tcBorders>
          </w:tcPr>
          <w:p>
            <w:pPr>
              <w:jc w:val="center"/>
              <w:ind w:left="148"/>
              <w:spacing w:after="0"/>
              <w:rPr>
                <w:sz w:val="20"/>
                <w:szCs w:val="20"/>
                <w:color w:val="auto"/>
              </w:rPr>
            </w:pPr>
            <w:r>
              <w:rPr>
                <w:rFonts w:ascii="Arial" w:cs="Arial" w:eastAsia="Arial" w:hAnsi="Arial"/>
                <w:sz w:val="14"/>
                <w:szCs w:val="14"/>
                <w:color w:val="auto"/>
              </w:rPr>
              <w:t>887,293</w:t>
            </w:r>
          </w:p>
        </w:tc>
        <w:tc>
          <w:tcPr>
            <w:tcW w:w="192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$9,812</w:t>
            </w:r>
          </w:p>
        </w:tc>
        <w:tc>
          <w:tcPr>
            <w:tcW w:w="0" w:type="dxa"/>
            <w:vAlign w:val="bottom"/>
          </w:tcPr>
          <w:p>
            <w:pPr>
              <w:spacing w:after="0"/>
              <w:rPr>
                <w:sz w:val="1"/>
                <w:szCs w:val="1"/>
                <w:color w:val="auto"/>
              </w:rPr>
            </w:pPr>
          </w:p>
        </w:tc>
      </w:tr>
      <w:tr>
        <w:trPr>
          <w:trHeight w:val="190"/>
        </w:trPr>
        <w:tc>
          <w:tcPr>
            <w:tcW w:w="2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June 1-30, 2023</w:t>
            </w:r>
          </w:p>
        </w:tc>
        <w:tc>
          <w:tcPr>
            <w:tcW w:w="3060" w:type="dxa"/>
            <w:vAlign w:val="bottom"/>
            <w:tcBorders>
              <w:bottom w:val="single" w:sz="8" w:color="D7282F"/>
            </w:tcBorders>
          </w:tcPr>
          <w:p>
            <w:pPr>
              <w:jc w:val="center"/>
              <w:ind w:left="1228"/>
              <w:spacing w:after="0"/>
              <w:rPr>
                <w:sz w:val="20"/>
                <w:szCs w:val="20"/>
                <w:color w:val="auto"/>
              </w:rPr>
            </w:pPr>
            <w:r>
              <w:rPr>
                <w:rFonts w:ascii="Arial" w:cs="Arial" w:eastAsia="Arial" w:hAnsi="Arial"/>
                <w:sz w:val="14"/>
                <w:szCs w:val="14"/>
                <w:color w:val="auto"/>
              </w:rPr>
              <w:t>857,460</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$198.17</w:t>
            </w:r>
          </w:p>
        </w:tc>
        <w:tc>
          <w:tcPr>
            <w:tcW w:w="170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color w:val="auto"/>
              </w:rPr>
              <w:t>857,460</w:t>
            </w:r>
          </w:p>
        </w:tc>
        <w:tc>
          <w:tcPr>
            <w:tcW w:w="192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rPr>
              <w:t>$9,642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0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5. OTHER INFORMATION</w:t>
      </w: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D7282F"/>
        </w:rPr>
        <w:t>EQUITY TRADING PLAN ELECTIONS</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Certain executive officers and directors of the Company may execute purchases and sales of the Company's common stock through 10b5-1 and non-Rule 10b5-1 equity trading plans. The following table describes equity trading plans adopted by our executive officers and directors during the three months ended June 30, 2023: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Arial" w:cs="Arial" w:eastAsia="Arial" w:hAnsi="Arial"/>
                <w:sz w:val="14"/>
                <w:szCs w:val="14"/>
                <w:b w:val="1"/>
                <w:bCs w:val="1"/>
                <w:color w:val="auto"/>
              </w:rPr>
              <w:t>Date of adoption of</w:t>
            </w:r>
          </w:p>
        </w:tc>
        <w:tc>
          <w:tcPr>
            <w:tcW w:w="1460" w:type="dxa"/>
            <w:vAlign w:val="bottom"/>
          </w:tcPr>
          <w:p>
            <w:pPr>
              <w:jc w:val="center"/>
              <w:ind w:right="8"/>
              <w:spacing w:after="0"/>
              <w:rPr>
                <w:sz w:val="20"/>
                <w:szCs w:val="20"/>
                <w:color w:val="auto"/>
              </w:rPr>
            </w:pPr>
            <w:r>
              <w:rPr>
                <w:rFonts w:ascii="Arial" w:cs="Arial" w:eastAsia="Arial" w:hAnsi="Arial"/>
                <w:sz w:val="14"/>
                <w:szCs w:val="14"/>
                <w:b w:val="1"/>
                <w:bCs w:val="1"/>
                <w:color w:val="auto"/>
              </w:rPr>
              <w:t>Scheduled</w:t>
            </w:r>
          </w:p>
        </w:tc>
        <w:tc>
          <w:tcPr>
            <w:tcW w:w="4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title</w:t>
            </w:r>
          </w:p>
        </w:tc>
        <w:tc>
          <w:tcPr>
            <w:tcW w:w="126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rPr>
              <w:t>Action</w:t>
            </w:r>
          </w:p>
        </w:tc>
        <w:tc>
          <w:tcPr>
            <w:tcW w:w="114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Plan Type</w:t>
            </w:r>
          </w:p>
        </w:tc>
        <w:tc>
          <w:tcPr>
            <w:tcW w:w="1460" w:type="dxa"/>
            <w:vAlign w:val="bottom"/>
          </w:tcPr>
          <w:p>
            <w:pPr>
              <w:jc w:val="center"/>
              <w:ind w:left="8"/>
              <w:spacing w:after="0" w:line="148" w:lineRule="exact"/>
              <w:rPr>
                <w:sz w:val="20"/>
                <w:szCs w:val="20"/>
                <w:color w:val="auto"/>
              </w:rPr>
            </w:pPr>
            <w:r>
              <w:rPr>
                <w:rFonts w:ascii="Arial" w:cs="Arial" w:eastAsia="Arial" w:hAnsi="Arial"/>
                <w:sz w:val="14"/>
                <w:szCs w:val="14"/>
                <w:b w:val="1"/>
                <w:bCs w:val="1"/>
                <w:color w:val="auto"/>
              </w:rPr>
              <w:t>Rule 10b5-1 trading</w:t>
            </w:r>
          </w:p>
        </w:tc>
        <w:tc>
          <w:tcPr>
            <w:tcW w:w="1460" w:type="dxa"/>
            <w:vAlign w:val="bottom"/>
          </w:tcPr>
          <w:p>
            <w:pPr>
              <w:jc w:val="center"/>
              <w:ind w:right="8"/>
              <w:spacing w:after="0" w:line="148" w:lineRule="exact"/>
              <w:rPr>
                <w:sz w:val="20"/>
                <w:szCs w:val="20"/>
                <w:color w:val="auto"/>
              </w:rPr>
            </w:pPr>
            <w:r>
              <w:rPr>
                <w:rFonts w:ascii="Arial" w:cs="Arial" w:eastAsia="Arial" w:hAnsi="Arial"/>
                <w:sz w:val="14"/>
                <w:szCs w:val="14"/>
                <w:b w:val="1"/>
                <w:bCs w:val="1"/>
                <w:color w:val="auto"/>
              </w:rPr>
              <w:t>expiration of Rule</w:t>
            </w:r>
          </w:p>
        </w:tc>
        <w:tc>
          <w:tcPr>
            <w:tcW w:w="44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Aggregate number of securities to be purchased or sold</w:t>
            </w:r>
          </w:p>
        </w:tc>
        <w:tc>
          <w:tcPr>
            <w:tcW w:w="0" w:type="dxa"/>
            <w:vAlign w:val="bottom"/>
          </w:tcPr>
          <w:p>
            <w:pPr>
              <w:spacing w:after="0"/>
              <w:rPr>
                <w:sz w:val="1"/>
                <w:szCs w:val="1"/>
                <w:color w:val="auto"/>
              </w:rPr>
            </w:pPr>
          </w:p>
        </w:tc>
      </w:tr>
      <w:tr>
        <w:trPr>
          <w:trHeight w:val="189"/>
        </w:trPr>
        <w:tc>
          <w:tcPr>
            <w:tcW w:w="1460" w:type="dxa"/>
            <w:vAlign w:val="bottom"/>
            <w:tcBorders>
              <w:bottom w:val="single" w:sz="8" w:color="D7282F"/>
            </w:tcBorders>
            <w:vMerge w:val="continue"/>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1140" w:type="dxa"/>
            <w:vAlign w:val="bottom"/>
            <w:tcBorders>
              <w:bottom w:val="single" w:sz="8" w:color="D7282F"/>
            </w:tcBorders>
            <w:vMerge w:val="continue"/>
          </w:tcPr>
          <w:p>
            <w:pPr>
              <w:spacing w:after="0"/>
              <w:rPr>
                <w:sz w:val="16"/>
                <w:szCs w:val="16"/>
                <w:color w:val="auto"/>
              </w:rPr>
            </w:pPr>
          </w:p>
        </w:tc>
        <w:tc>
          <w:tcPr>
            <w:tcW w:w="146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plan</w:t>
            </w:r>
          </w:p>
        </w:tc>
        <w:tc>
          <w:tcPr>
            <w:tcW w:w="146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rPr>
              <w:t>10b5-1 trading plan</w:t>
            </w:r>
          </w:p>
        </w:tc>
        <w:tc>
          <w:tcPr>
            <w:tcW w:w="44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460" w:type="dxa"/>
            <w:vAlign w:val="bottom"/>
          </w:tcPr>
          <w:p>
            <w:pPr>
              <w:ind w:left="20"/>
              <w:spacing w:after="0" w:line="151" w:lineRule="exact"/>
              <w:rPr>
                <w:sz w:val="20"/>
                <w:szCs w:val="20"/>
                <w:color w:val="auto"/>
              </w:rPr>
            </w:pPr>
            <w:r>
              <w:rPr>
                <w:rFonts w:ascii="Arial" w:cs="Arial" w:eastAsia="Arial" w:hAnsi="Arial"/>
                <w:sz w:val="14"/>
                <w:szCs w:val="14"/>
                <w:color w:val="auto"/>
              </w:rPr>
              <w:t>Kevin Burke</w:t>
            </w:r>
          </w:p>
        </w:tc>
        <w:tc>
          <w:tcPr>
            <w:tcW w:w="1260" w:type="dxa"/>
            <w:vAlign w:val="bottom"/>
          </w:tcPr>
          <w:p>
            <w:pPr>
              <w:jc w:val="center"/>
              <w:ind w:left="148"/>
              <w:spacing w:after="0" w:line="151" w:lineRule="exact"/>
              <w:rPr>
                <w:sz w:val="20"/>
                <w:szCs w:val="20"/>
                <w:color w:val="auto"/>
              </w:rPr>
            </w:pPr>
            <w:r>
              <w:rPr>
                <w:rFonts w:ascii="Arial" w:cs="Arial" w:eastAsia="Arial" w:hAnsi="Arial"/>
                <w:sz w:val="14"/>
                <w:szCs w:val="14"/>
                <w:color w:val="auto"/>
              </w:rPr>
              <w:t>Adoption</w:t>
            </w:r>
          </w:p>
        </w:tc>
        <w:tc>
          <w:tcPr>
            <w:tcW w:w="1140" w:type="dxa"/>
            <w:vAlign w:val="bottom"/>
          </w:tcPr>
          <w:p>
            <w:pPr>
              <w:jc w:val="center"/>
              <w:ind w:left="68"/>
              <w:spacing w:after="0" w:line="151" w:lineRule="exact"/>
              <w:rPr>
                <w:sz w:val="20"/>
                <w:szCs w:val="20"/>
                <w:color w:val="auto"/>
              </w:rPr>
            </w:pPr>
            <w:r>
              <w:rPr>
                <w:rFonts w:ascii="Arial" w:cs="Arial" w:eastAsia="Arial" w:hAnsi="Arial"/>
                <w:sz w:val="14"/>
                <w:szCs w:val="14"/>
                <w:color w:val="auto"/>
              </w:rPr>
              <w:t>Rule 10b5-1</w:t>
            </w:r>
          </w:p>
        </w:tc>
        <w:tc>
          <w:tcPr>
            <w:tcW w:w="1460" w:type="dxa"/>
            <w:vAlign w:val="bottom"/>
          </w:tcPr>
          <w:p>
            <w:pPr>
              <w:jc w:val="center"/>
              <w:spacing w:after="0" w:line="151" w:lineRule="exact"/>
              <w:rPr>
                <w:sz w:val="20"/>
                <w:szCs w:val="20"/>
                <w:color w:val="auto"/>
              </w:rPr>
            </w:pPr>
            <w:r>
              <w:rPr>
                <w:rFonts w:ascii="Arial" w:cs="Arial" w:eastAsia="Arial" w:hAnsi="Arial"/>
                <w:sz w:val="14"/>
                <w:szCs w:val="14"/>
                <w:color w:val="auto"/>
              </w:rPr>
              <w:t>5/30/2023</w:t>
            </w:r>
          </w:p>
        </w:tc>
        <w:tc>
          <w:tcPr>
            <w:tcW w:w="1460" w:type="dxa"/>
            <w:vAlign w:val="bottom"/>
          </w:tcPr>
          <w:p>
            <w:pPr>
              <w:jc w:val="center"/>
              <w:ind w:right="8"/>
              <w:spacing w:after="0" w:line="151" w:lineRule="exact"/>
              <w:rPr>
                <w:sz w:val="20"/>
                <w:szCs w:val="20"/>
                <w:color w:val="auto"/>
              </w:rPr>
            </w:pPr>
            <w:r>
              <w:rPr>
                <w:rFonts w:ascii="Arial" w:cs="Arial" w:eastAsia="Arial" w:hAnsi="Arial"/>
                <w:sz w:val="14"/>
                <w:szCs w:val="14"/>
                <w:color w:val="auto"/>
                <w:w w:val="99"/>
              </w:rPr>
              <w:t>11/30/2024</w:t>
            </w:r>
          </w:p>
        </w:tc>
        <w:tc>
          <w:tcPr>
            <w:tcW w:w="4460" w:type="dxa"/>
            <w:vAlign w:val="bottom"/>
          </w:tcPr>
          <w:p>
            <w:pPr>
              <w:jc w:val="center"/>
              <w:ind w:right="8"/>
              <w:spacing w:after="0" w:line="151" w:lineRule="exact"/>
              <w:rPr>
                <w:sz w:val="20"/>
                <w:szCs w:val="20"/>
                <w:color w:val="auto"/>
              </w:rPr>
            </w:pPr>
            <w:r>
              <w:rPr>
                <w:rFonts w:ascii="Arial" w:cs="Arial" w:eastAsia="Arial" w:hAnsi="Arial"/>
                <w:sz w:val="14"/>
                <w:szCs w:val="14"/>
                <w:color w:val="auto"/>
              </w:rPr>
              <w:t>5,732 stock options and associated sale of shares to cover option</w:t>
            </w:r>
          </w:p>
        </w:tc>
        <w:tc>
          <w:tcPr>
            <w:tcW w:w="0" w:type="dxa"/>
            <w:vAlign w:val="bottom"/>
          </w:tcPr>
          <w:p>
            <w:pPr>
              <w:spacing w:after="0"/>
              <w:rPr>
                <w:sz w:val="1"/>
                <w:szCs w:val="1"/>
                <w:color w:val="auto"/>
              </w:rPr>
            </w:pPr>
          </w:p>
        </w:tc>
      </w:tr>
      <w:tr>
        <w:trPr>
          <w:trHeight w:val="181"/>
        </w:trPr>
        <w:tc>
          <w:tcPr>
            <w:tcW w:w="14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Director</w:t>
            </w:r>
          </w:p>
        </w:tc>
        <w:tc>
          <w:tcPr>
            <w:tcW w:w="1260" w:type="dxa"/>
            <w:vAlign w:val="bottom"/>
            <w:tcBorders>
              <w:bottom w:val="single" w:sz="8" w:color="D7282F"/>
            </w:tcBorders>
          </w:tcPr>
          <w:p>
            <w:pPr>
              <w:spacing w:after="0"/>
              <w:rPr>
                <w:sz w:val="15"/>
                <w:szCs w:val="15"/>
                <w:color w:val="auto"/>
              </w:rPr>
            </w:pPr>
          </w:p>
        </w:tc>
        <w:tc>
          <w:tcPr>
            <w:tcW w:w="1140" w:type="dxa"/>
            <w:vAlign w:val="bottom"/>
            <w:tcBorders>
              <w:bottom w:val="single" w:sz="8" w:color="D7282F"/>
            </w:tcBorders>
          </w:tcPr>
          <w:p>
            <w:pPr>
              <w:spacing w:after="0"/>
              <w:rPr>
                <w:sz w:val="15"/>
                <w:szCs w:val="15"/>
                <w:color w:val="auto"/>
              </w:rPr>
            </w:pPr>
          </w:p>
        </w:tc>
        <w:tc>
          <w:tcPr>
            <w:tcW w:w="1460" w:type="dxa"/>
            <w:vAlign w:val="bottom"/>
            <w:tcBorders>
              <w:bottom w:val="single" w:sz="8" w:color="D7282F"/>
            </w:tcBorders>
          </w:tcPr>
          <w:p>
            <w:pPr>
              <w:spacing w:after="0"/>
              <w:rPr>
                <w:sz w:val="15"/>
                <w:szCs w:val="15"/>
                <w:color w:val="auto"/>
              </w:rPr>
            </w:pPr>
          </w:p>
        </w:tc>
        <w:tc>
          <w:tcPr>
            <w:tcW w:w="1460" w:type="dxa"/>
            <w:vAlign w:val="bottom"/>
            <w:tcBorders>
              <w:bottom w:val="single" w:sz="8" w:color="D7282F"/>
            </w:tcBorders>
          </w:tcPr>
          <w:p>
            <w:pPr>
              <w:spacing w:after="0"/>
              <w:rPr>
                <w:sz w:val="15"/>
                <w:szCs w:val="15"/>
                <w:color w:val="auto"/>
              </w:rPr>
            </w:pPr>
          </w:p>
        </w:tc>
        <w:tc>
          <w:tcPr>
            <w:tcW w:w="4460" w:type="dxa"/>
            <w:vAlign w:val="bottom"/>
            <w:tcBorders>
              <w:bottom w:val="single" w:sz="8" w:color="D7282F"/>
            </w:tcBorders>
          </w:tcPr>
          <w:p>
            <w:pPr>
              <w:jc w:val="center"/>
              <w:ind w:right="8"/>
              <w:spacing w:after="0"/>
              <w:rPr>
                <w:sz w:val="20"/>
                <w:szCs w:val="20"/>
                <w:color w:val="auto"/>
              </w:rPr>
            </w:pPr>
            <w:r>
              <w:rPr>
                <w:rFonts w:ascii="Arial" w:cs="Arial" w:eastAsia="Arial" w:hAnsi="Arial"/>
                <w:sz w:val="14"/>
                <w:szCs w:val="14"/>
                <w:color w:val="auto"/>
              </w:rPr>
              <w:t>exercise costs and tax obligations.</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months ended June 30, 2023, none of our executive officers or directors terminated or modified a 10b5-1 equity trading plan, or adopted, terminated, or modified any non-Rule 10b5-1 equity trading arrangement (as defined in Item 408(c) of Regulation S-K).</w:t>
      </w:r>
    </w:p>
    <w:p>
      <w:pPr>
        <w:spacing w:after="0" w:line="381"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120" w:type="dxa"/>
            <w:vAlign w:val="bottom"/>
            <w:tcBorders>
              <w:bottom w:val="single" w:sz="8" w:color="D7282F"/>
            </w:tcBorders>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31.1</w:t>
            </w:r>
          </w:p>
        </w:tc>
        <w:tc>
          <w:tcPr>
            <w:tcW w:w="1012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31.2</w:t>
            </w:r>
          </w:p>
        </w:tc>
        <w:tc>
          <w:tcPr>
            <w:tcW w:w="1012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8"/>
        </w:trPr>
        <w:tc>
          <w:tcPr>
            <w:tcW w:w="1080" w:type="dxa"/>
            <w:vAlign w:val="bottom"/>
          </w:tcPr>
          <w:p>
            <w:pPr>
              <w:ind w:left="20"/>
              <w:spacing w:after="0" w:line="148" w:lineRule="exact"/>
              <w:rPr>
                <w:sz w:val="20"/>
                <w:szCs w:val="20"/>
                <w:color w:val="auto"/>
              </w:rPr>
            </w:pPr>
            <w:r>
              <w:rPr>
                <w:rFonts w:ascii="Arial" w:cs="Arial" w:eastAsia="Arial" w:hAnsi="Arial"/>
                <w:sz w:val="14"/>
                <w:szCs w:val="14"/>
                <w:color w:val="auto"/>
              </w:rPr>
              <w:t>32.1</w:t>
            </w:r>
          </w:p>
        </w:tc>
        <w:tc>
          <w:tcPr>
            <w:tcW w:w="10120" w:type="dxa"/>
            <w:vAlign w:val="bottom"/>
          </w:tcPr>
          <w:p>
            <w:pPr>
              <w:ind w:left="320"/>
              <w:spacing w:after="0" w:line="148"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6"/>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(furnished herewith)</w:t>
            </w:r>
          </w:p>
        </w:tc>
      </w:tr>
      <w:tr>
        <w:trPr>
          <w:trHeight w:val="154"/>
        </w:trPr>
        <w:tc>
          <w:tcPr>
            <w:tcW w:w="1080" w:type="dxa"/>
            <w:vAlign w:val="bottom"/>
          </w:tcPr>
          <w:p>
            <w:pPr>
              <w:ind w:left="20"/>
              <w:spacing w:after="0" w:line="154" w:lineRule="exact"/>
              <w:rPr>
                <w:sz w:val="20"/>
                <w:szCs w:val="20"/>
                <w:color w:val="auto"/>
              </w:rPr>
            </w:pPr>
            <w:r>
              <w:rPr>
                <w:rFonts w:ascii="Arial" w:cs="Arial" w:eastAsia="Arial" w:hAnsi="Arial"/>
                <w:sz w:val="14"/>
                <w:szCs w:val="14"/>
                <w:color w:val="auto"/>
              </w:rPr>
              <w:t>32.2</w:t>
            </w:r>
          </w:p>
        </w:tc>
        <w:tc>
          <w:tcPr>
            <w:tcW w:w="10120" w:type="dxa"/>
            <w:vAlign w:val="bottom"/>
          </w:tcPr>
          <w:p>
            <w:pPr>
              <w:ind w:left="320"/>
              <w:spacing w:after="0" w:line="154"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1"/>
        </w:trPr>
        <w:tc>
          <w:tcPr>
            <w:tcW w:w="1080" w:type="dxa"/>
            <w:vAlign w:val="bottom"/>
            <w:tcBorders>
              <w:bottom w:val="single" w:sz="8" w:color="61656A"/>
            </w:tcBorders>
          </w:tcPr>
          <w:p>
            <w:pPr>
              <w:spacing w:after="0"/>
              <w:rPr>
                <w:sz w:val="15"/>
                <w:szCs w:val="15"/>
                <w:color w:val="auto"/>
              </w:rPr>
            </w:pPr>
          </w:p>
        </w:tc>
        <w:tc>
          <w:tcPr>
            <w:tcW w:w="1012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(furnished herewith)</w:t>
            </w:r>
          </w:p>
        </w:tc>
      </w:tr>
      <w:tr>
        <w:trPr>
          <w:trHeight w:val="190"/>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95</w:t>
            </w:r>
          </w:p>
        </w:tc>
        <w:tc>
          <w:tcPr>
            <w:tcW w:w="1012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Mine Safety Disclosures (filed herewith)</w:t>
            </w:r>
          </w:p>
        </w:tc>
      </w:tr>
      <w:tr>
        <w:trPr>
          <w:trHeight w:val="156"/>
        </w:trPr>
        <w:tc>
          <w:tcPr>
            <w:tcW w:w="1080" w:type="dxa"/>
            <w:vAlign w:val="bottom"/>
          </w:tcPr>
          <w:p>
            <w:pPr>
              <w:ind w:left="20"/>
              <w:spacing w:after="0" w:line="156" w:lineRule="exact"/>
              <w:rPr>
                <w:sz w:val="20"/>
                <w:szCs w:val="20"/>
                <w:color w:val="auto"/>
              </w:rPr>
            </w:pPr>
            <w:r>
              <w:rPr>
                <w:rFonts w:ascii="Arial" w:cs="Arial" w:eastAsia="Arial" w:hAnsi="Arial"/>
                <w:sz w:val="14"/>
                <w:szCs w:val="14"/>
                <w:color w:val="auto"/>
              </w:rPr>
              <w:t>101.INS</w:t>
            </w:r>
          </w:p>
        </w:tc>
        <w:tc>
          <w:tcPr>
            <w:tcW w:w="10120" w:type="dxa"/>
            <w:vAlign w:val="bottom"/>
          </w:tcPr>
          <w:p>
            <w:pPr>
              <w:ind w:left="320"/>
              <w:spacing w:after="0" w:line="156"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w:t>
            </w:r>
          </w:p>
        </w:tc>
      </w:tr>
      <w:tr>
        <w:trPr>
          <w:trHeight w:val="181"/>
        </w:trPr>
        <w:tc>
          <w:tcPr>
            <w:tcW w:w="1080" w:type="dxa"/>
            <w:vAlign w:val="bottom"/>
            <w:tcBorders>
              <w:bottom w:val="single" w:sz="8" w:color="61656A"/>
            </w:tcBorders>
          </w:tcPr>
          <w:p>
            <w:pPr>
              <w:spacing w:after="0"/>
              <w:rPr>
                <w:sz w:val="15"/>
                <w:szCs w:val="15"/>
                <w:color w:val="auto"/>
              </w:rPr>
            </w:pPr>
          </w:p>
        </w:tc>
        <w:tc>
          <w:tcPr>
            <w:tcW w:w="1012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Inline XBRL document)</w:t>
            </w:r>
          </w:p>
        </w:tc>
      </w:tr>
      <w:tr>
        <w:trPr>
          <w:trHeight w:val="190"/>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101.SCH</w:t>
            </w:r>
          </w:p>
        </w:tc>
        <w:tc>
          <w:tcPr>
            <w:tcW w:w="1012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101.CAL</w:t>
            </w:r>
          </w:p>
        </w:tc>
        <w:tc>
          <w:tcPr>
            <w:tcW w:w="1012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89"/>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101.DEF</w:t>
            </w:r>
          </w:p>
        </w:tc>
        <w:tc>
          <w:tcPr>
            <w:tcW w:w="1012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0"/>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101.LAB</w:t>
            </w:r>
          </w:p>
        </w:tc>
        <w:tc>
          <w:tcPr>
            <w:tcW w:w="1012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101.PRE</w:t>
            </w:r>
          </w:p>
        </w:tc>
        <w:tc>
          <w:tcPr>
            <w:tcW w:w="1012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Inline XBRL Taxonomy Extension Presentation Linkbase (filed herewith)</w:t>
            </w:r>
          </w:p>
        </w:tc>
      </w:tr>
      <w:tr>
        <w:trPr>
          <w:trHeight w:val="188"/>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104</w:t>
            </w:r>
          </w:p>
        </w:tc>
        <w:tc>
          <w:tcPr>
            <w:tcW w:w="10120" w:type="dxa"/>
            <w:vAlign w:val="bottom"/>
            <w:tcBorders>
              <w:bottom w:val="single" w:sz="8" w:color="D7282F"/>
            </w:tcBorders>
          </w:tcPr>
          <w:p>
            <w:pPr>
              <w:ind w:left="32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0" w:hanging="392"/>
        <w:spacing w:after="0"/>
        <w:tabs>
          <w:tab w:leader="none" w:pos="400" w:val="left"/>
        </w:tabs>
        <w:numPr>
          <w:ilvl w:val="0"/>
          <w:numId w:val="5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200" w:lineRule="exact"/>
        <w:rPr>
          <w:sz w:val="20"/>
          <w:szCs w:val="20"/>
          <w:color w:val="auto"/>
        </w:rPr>
      </w:pPr>
    </w:p>
    <w:p>
      <w:pPr>
        <w:spacing w:after="0" w:line="20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July 27,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18415</wp:posOffset>
            </wp:positionV>
            <wp:extent cx="24428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ectPr>
          <w:pgSz w:w="11900" w:h="16838" w:orient="portrait"/>
          <w:cols w:equalWidth="0" w:num="1">
            <w:col w:w="11240"/>
          </w:cols>
          <w:pgMar w:left="320" w:top="1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Vimal Kapur, certify that:</w:t>
      </w:r>
    </w:p>
    <w:p>
      <w:pPr>
        <w:spacing w:after="0" w:line="266" w:lineRule="exact"/>
        <w:rPr>
          <w:sz w:val="20"/>
          <w:szCs w:val="20"/>
          <w:color w:val="auto"/>
        </w:rPr>
      </w:pPr>
    </w:p>
    <w:p>
      <w:pPr>
        <w:ind w:left="400" w:hanging="374"/>
        <w:spacing w:after="0"/>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65" w:lineRule="exact"/>
        <w:rPr>
          <w:rFonts w:ascii="Arial" w:cs="Arial" w:eastAsia="Arial" w:hAnsi="Arial"/>
          <w:sz w:val="18"/>
          <w:szCs w:val="18"/>
          <w:color w:val="auto"/>
        </w:rPr>
      </w:pPr>
    </w:p>
    <w:p>
      <w:pPr>
        <w:jc w:val="both"/>
        <w:ind w:left="400" w:right="60" w:hanging="374"/>
        <w:spacing w:after="0" w:line="224"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Arial" w:cs="Arial" w:eastAsia="Arial" w:hAnsi="Arial"/>
          <w:sz w:val="18"/>
          <w:szCs w:val="18"/>
          <w:color w:val="auto"/>
        </w:rPr>
      </w:pPr>
    </w:p>
    <w:p>
      <w:pPr>
        <w:jc w:val="both"/>
        <w:ind w:left="400" w:right="60" w:hanging="374"/>
        <w:spacing w:after="0" w:line="234"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4" w:lineRule="exact"/>
        <w:rPr>
          <w:rFonts w:ascii="Arial" w:cs="Arial" w:eastAsia="Arial" w:hAnsi="Arial"/>
          <w:sz w:val="18"/>
          <w:szCs w:val="18"/>
          <w:color w:val="auto"/>
        </w:rPr>
      </w:pPr>
    </w:p>
    <w:p>
      <w:pPr>
        <w:jc w:val="both"/>
        <w:ind w:left="400" w:right="60" w:hanging="374"/>
        <w:spacing w:after="0" w:line="218"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40" w:lineRule="exact"/>
        <w:rPr>
          <w:rFonts w:ascii="Arial" w:cs="Arial" w:eastAsia="Arial" w:hAnsi="Arial"/>
          <w:sz w:val="18"/>
          <w:szCs w:val="18"/>
          <w:color w:val="auto"/>
        </w:rPr>
      </w:pPr>
    </w:p>
    <w:p>
      <w:pPr>
        <w:jc w:val="both"/>
        <w:ind w:left="1400" w:right="60" w:hanging="600"/>
        <w:spacing w:after="0" w:line="229"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4" w:lineRule="exact"/>
        <w:rPr>
          <w:rFonts w:ascii="Arial" w:cs="Arial" w:eastAsia="Arial" w:hAnsi="Arial"/>
          <w:sz w:val="18"/>
          <w:szCs w:val="18"/>
          <w:color w:val="auto"/>
        </w:rPr>
      </w:pPr>
    </w:p>
    <w:p>
      <w:pPr>
        <w:jc w:val="both"/>
        <w:ind w:left="1400" w:right="60" w:hanging="600"/>
        <w:spacing w:after="0" w:line="224"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Arial" w:cs="Arial" w:eastAsia="Arial" w:hAnsi="Arial"/>
          <w:sz w:val="18"/>
          <w:szCs w:val="18"/>
          <w:color w:val="auto"/>
        </w:rPr>
      </w:pPr>
    </w:p>
    <w:p>
      <w:pPr>
        <w:jc w:val="both"/>
        <w:ind w:left="1400" w:right="60" w:hanging="595"/>
        <w:spacing w:after="0" w:line="229"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8"/>
          <w:szCs w:val="18"/>
          <w:color w:val="auto"/>
        </w:rPr>
      </w:pPr>
    </w:p>
    <w:p>
      <w:pPr>
        <w:jc w:val="both"/>
        <w:ind w:left="1400" w:right="60" w:hanging="600"/>
        <w:spacing w:after="0" w:line="229"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4" w:lineRule="exact"/>
        <w:rPr>
          <w:rFonts w:ascii="Arial" w:cs="Arial" w:eastAsia="Arial" w:hAnsi="Arial"/>
          <w:sz w:val="18"/>
          <w:szCs w:val="18"/>
          <w:color w:val="auto"/>
        </w:rPr>
      </w:pPr>
    </w:p>
    <w:p>
      <w:pPr>
        <w:jc w:val="both"/>
        <w:ind w:left="400" w:right="60" w:hanging="374"/>
        <w:spacing w:after="0" w:line="224"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3" w:lineRule="exact"/>
        <w:rPr>
          <w:rFonts w:ascii="Arial" w:cs="Arial" w:eastAsia="Arial" w:hAnsi="Arial"/>
          <w:sz w:val="18"/>
          <w:szCs w:val="18"/>
          <w:color w:val="auto"/>
        </w:rPr>
      </w:pPr>
    </w:p>
    <w:p>
      <w:pPr>
        <w:jc w:val="both"/>
        <w:ind w:left="1400" w:right="60" w:hanging="600"/>
        <w:spacing w:after="0" w:line="224"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3" w:lineRule="exact"/>
        <w:rPr>
          <w:rFonts w:ascii="Arial" w:cs="Arial" w:eastAsia="Arial" w:hAnsi="Arial"/>
          <w:sz w:val="18"/>
          <w:szCs w:val="18"/>
          <w:color w:val="auto"/>
        </w:rPr>
      </w:pPr>
    </w:p>
    <w:p>
      <w:pPr>
        <w:ind w:left="1400" w:right="60" w:hanging="600"/>
        <w:spacing w:after="0" w:line="234"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20"/>
        <w:spacing w:after="0"/>
        <w:tabs>
          <w:tab w:leader="none" w:pos="5500" w:val="left"/>
          <w:tab w:leader="none" w:pos="6160" w:val="left"/>
        </w:tabs>
        <w:rPr>
          <w:sz w:val="20"/>
          <w:szCs w:val="20"/>
          <w:color w:val="auto"/>
        </w:rPr>
      </w:pPr>
      <w:r>
        <w:rPr>
          <w:rFonts w:ascii="Arial" w:cs="Arial" w:eastAsia="Arial" w:hAnsi="Arial"/>
          <w:sz w:val="18"/>
          <w:szCs w:val="18"/>
          <w:color w:val="auto"/>
        </w:rPr>
        <w:t>Date: July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13970</wp:posOffset>
            </wp:positionV>
            <wp:extent cx="32232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Vimal Kapur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8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66" w:lineRule="exact"/>
        <w:rPr>
          <w:sz w:val="20"/>
          <w:szCs w:val="20"/>
          <w:color w:val="auto"/>
        </w:rPr>
      </w:pPr>
    </w:p>
    <w:p>
      <w:pPr>
        <w:ind w:left="400" w:hanging="374"/>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65" w:lineRule="exact"/>
        <w:rPr>
          <w:rFonts w:ascii="Arial" w:cs="Arial" w:eastAsia="Arial" w:hAnsi="Arial"/>
          <w:sz w:val="18"/>
          <w:szCs w:val="18"/>
          <w:color w:val="auto"/>
        </w:rPr>
      </w:pPr>
    </w:p>
    <w:p>
      <w:pPr>
        <w:jc w:val="both"/>
        <w:ind w:left="400" w:right="60" w:hanging="374"/>
        <w:spacing w:after="0" w:line="224" w:lineRule="auto"/>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Arial" w:cs="Arial" w:eastAsia="Arial" w:hAnsi="Arial"/>
          <w:sz w:val="18"/>
          <w:szCs w:val="18"/>
          <w:color w:val="auto"/>
        </w:rPr>
      </w:pPr>
    </w:p>
    <w:p>
      <w:pPr>
        <w:jc w:val="both"/>
        <w:ind w:left="400" w:right="60" w:hanging="374"/>
        <w:spacing w:after="0" w:line="234" w:lineRule="auto"/>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4" w:lineRule="exact"/>
        <w:rPr>
          <w:rFonts w:ascii="Arial" w:cs="Arial" w:eastAsia="Arial" w:hAnsi="Arial"/>
          <w:sz w:val="18"/>
          <w:szCs w:val="18"/>
          <w:color w:val="auto"/>
        </w:rPr>
      </w:pPr>
    </w:p>
    <w:p>
      <w:pPr>
        <w:jc w:val="both"/>
        <w:ind w:left="400" w:right="60" w:hanging="374"/>
        <w:spacing w:after="0" w:line="218" w:lineRule="auto"/>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40" w:lineRule="exact"/>
        <w:rPr>
          <w:rFonts w:ascii="Arial" w:cs="Arial" w:eastAsia="Arial" w:hAnsi="Arial"/>
          <w:sz w:val="18"/>
          <w:szCs w:val="18"/>
          <w:color w:val="auto"/>
        </w:rPr>
      </w:pPr>
    </w:p>
    <w:p>
      <w:pPr>
        <w:jc w:val="both"/>
        <w:ind w:left="1400" w:right="60" w:hanging="600"/>
        <w:spacing w:after="0" w:line="229" w:lineRule="auto"/>
        <w:tabs>
          <w:tab w:leader="none" w:pos="14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4" w:lineRule="exact"/>
        <w:rPr>
          <w:rFonts w:ascii="Arial" w:cs="Arial" w:eastAsia="Arial" w:hAnsi="Arial"/>
          <w:sz w:val="18"/>
          <w:szCs w:val="18"/>
          <w:color w:val="auto"/>
        </w:rPr>
      </w:pPr>
    </w:p>
    <w:p>
      <w:pPr>
        <w:jc w:val="both"/>
        <w:ind w:left="1400" w:right="60" w:hanging="600"/>
        <w:spacing w:after="0" w:line="224" w:lineRule="auto"/>
        <w:tabs>
          <w:tab w:leader="none" w:pos="14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Arial" w:cs="Arial" w:eastAsia="Arial" w:hAnsi="Arial"/>
          <w:sz w:val="18"/>
          <w:szCs w:val="18"/>
          <w:color w:val="auto"/>
        </w:rPr>
      </w:pPr>
    </w:p>
    <w:p>
      <w:pPr>
        <w:jc w:val="both"/>
        <w:ind w:left="1400" w:right="60" w:hanging="595"/>
        <w:spacing w:after="0" w:line="229" w:lineRule="auto"/>
        <w:tabs>
          <w:tab w:leader="none" w:pos="14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8"/>
          <w:szCs w:val="18"/>
          <w:color w:val="auto"/>
        </w:rPr>
      </w:pPr>
    </w:p>
    <w:p>
      <w:pPr>
        <w:jc w:val="both"/>
        <w:ind w:left="1400" w:right="60" w:hanging="600"/>
        <w:spacing w:after="0" w:line="229" w:lineRule="auto"/>
        <w:tabs>
          <w:tab w:leader="none" w:pos="14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4" w:lineRule="exact"/>
        <w:rPr>
          <w:rFonts w:ascii="Arial" w:cs="Arial" w:eastAsia="Arial" w:hAnsi="Arial"/>
          <w:sz w:val="18"/>
          <w:szCs w:val="18"/>
          <w:color w:val="auto"/>
        </w:rPr>
      </w:pPr>
    </w:p>
    <w:p>
      <w:pPr>
        <w:jc w:val="both"/>
        <w:ind w:left="400" w:right="60" w:hanging="374"/>
        <w:spacing w:after="0" w:line="224" w:lineRule="auto"/>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3" w:lineRule="exact"/>
        <w:rPr>
          <w:rFonts w:ascii="Arial" w:cs="Arial" w:eastAsia="Arial" w:hAnsi="Arial"/>
          <w:sz w:val="18"/>
          <w:szCs w:val="18"/>
          <w:color w:val="auto"/>
        </w:rPr>
      </w:pPr>
    </w:p>
    <w:p>
      <w:pPr>
        <w:jc w:val="both"/>
        <w:ind w:left="1400" w:right="60" w:hanging="600"/>
        <w:spacing w:after="0" w:line="224" w:lineRule="auto"/>
        <w:tabs>
          <w:tab w:leader="none" w:pos="14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3" w:lineRule="exact"/>
        <w:rPr>
          <w:rFonts w:ascii="Arial" w:cs="Arial" w:eastAsia="Arial" w:hAnsi="Arial"/>
          <w:sz w:val="18"/>
          <w:szCs w:val="18"/>
          <w:color w:val="auto"/>
        </w:rPr>
      </w:pPr>
    </w:p>
    <w:p>
      <w:pPr>
        <w:ind w:left="1400" w:right="60" w:hanging="600"/>
        <w:spacing w:after="0" w:line="234" w:lineRule="auto"/>
        <w:tabs>
          <w:tab w:leader="none" w:pos="14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20"/>
        <w:spacing w:after="0"/>
        <w:tabs>
          <w:tab w:leader="none" w:pos="5500" w:val="left"/>
          <w:tab w:leader="none" w:pos="6160" w:val="left"/>
        </w:tabs>
        <w:rPr>
          <w:sz w:val="20"/>
          <w:szCs w:val="20"/>
          <w:color w:val="auto"/>
        </w:rPr>
      </w:pPr>
      <w:r>
        <w:rPr>
          <w:rFonts w:ascii="Arial" w:cs="Arial" w:eastAsia="Arial" w:hAnsi="Arial"/>
          <w:sz w:val="18"/>
          <w:szCs w:val="18"/>
          <w:color w:val="auto"/>
        </w:rPr>
        <w:t>Date: July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13970</wp:posOffset>
            </wp:positionV>
            <wp:extent cx="32232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Gregory P. Lewis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55" w:name="page56"/>
    <w:bookmarkEnd w:id="55"/>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2023 as filed with the Securities and Exchange Commission on the date hereof (the Report), I, Vimal Kapur, Chief Executive Officer of the Company, certify, pursuant to 18 U.S.C. Section 1350, as adopted pursuant to Section 906 of the Sarbanes-Oxley Act of 2002, that:</w:t>
      </w:r>
    </w:p>
    <w:p>
      <w:pPr>
        <w:spacing w:after="0" w:line="184" w:lineRule="exact"/>
        <w:rPr>
          <w:sz w:val="20"/>
          <w:szCs w:val="20"/>
          <w:color w:val="auto"/>
        </w:rPr>
      </w:pPr>
    </w:p>
    <w:p>
      <w:pPr>
        <w:ind w:left="820" w:hanging="326"/>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3" w:lineRule="exact"/>
        <w:rPr>
          <w:sz w:val="20"/>
          <w:szCs w:val="20"/>
          <w:color w:val="auto"/>
        </w:rPr>
      </w:pPr>
    </w:p>
    <w:p>
      <w:pPr>
        <w:ind w:left="180"/>
        <w:spacing w:after="0"/>
        <w:tabs>
          <w:tab w:leader="none" w:pos="5580" w:val="left"/>
          <w:tab w:leader="none" w:pos="6220" w:val="left"/>
        </w:tabs>
        <w:rPr>
          <w:sz w:val="20"/>
          <w:szCs w:val="20"/>
          <w:color w:val="auto"/>
        </w:rPr>
      </w:pPr>
      <w:r>
        <w:rPr>
          <w:rFonts w:ascii="Arial" w:cs="Arial" w:eastAsia="Arial" w:hAnsi="Arial"/>
          <w:sz w:val="18"/>
          <w:szCs w:val="18"/>
          <w:color w:val="auto"/>
        </w:rPr>
        <w:t>Date: July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13970</wp:posOffset>
            </wp:positionV>
            <wp:extent cx="31718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Vimal Kapur</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86" w:right="339" w:bottom="1440" w:gutter="0" w:footer="0" w:header="0"/>
        </w:sectPr>
      </w:pPr>
    </w:p>
    <w:bookmarkStart w:id="56" w:name="page57"/>
    <w:bookmarkEnd w:id="56"/>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2023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90" w:lineRule="exact"/>
        <w:rPr>
          <w:sz w:val="20"/>
          <w:szCs w:val="20"/>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3" w:lineRule="exact"/>
        <w:rPr>
          <w:sz w:val="20"/>
          <w:szCs w:val="20"/>
          <w:color w:val="auto"/>
        </w:rPr>
      </w:pPr>
    </w:p>
    <w:p>
      <w:pPr>
        <w:ind w:left="180"/>
        <w:spacing w:after="0"/>
        <w:tabs>
          <w:tab w:leader="none" w:pos="5580" w:val="left"/>
          <w:tab w:leader="none" w:pos="6220" w:val="left"/>
        </w:tabs>
        <w:rPr>
          <w:sz w:val="20"/>
          <w:szCs w:val="20"/>
          <w:color w:val="auto"/>
        </w:rPr>
      </w:pPr>
      <w:r>
        <w:rPr>
          <w:rFonts w:ascii="Arial" w:cs="Arial" w:eastAsia="Arial" w:hAnsi="Arial"/>
          <w:sz w:val="18"/>
          <w:szCs w:val="18"/>
          <w:color w:val="auto"/>
        </w:rPr>
        <w:t>Date: July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13970</wp:posOffset>
            </wp:positionV>
            <wp:extent cx="31718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Gregory P. Lewis</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43"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84" w:lineRule="exact"/>
        <w:rPr>
          <w:sz w:val="20"/>
          <w:szCs w:val="20"/>
          <w:color w:val="auto"/>
        </w:rPr>
      </w:pPr>
    </w:p>
    <w:p>
      <w:pPr>
        <w:jc w:val="both"/>
        <w:ind w:firstLine="365"/>
        <w:spacing w:after="0" w:line="255" w:lineRule="auto"/>
        <w:rPr>
          <w:sz w:val="20"/>
          <w:szCs w:val="20"/>
          <w:color w:val="auto"/>
        </w:rPr>
      </w:pPr>
      <w:r>
        <w:rPr>
          <w:rFonts w:ascii="Arial" w:cs="Arial" w:eastAsia="Arial" w:hAnsi="Arial"/>
          <w:sz w:val="18"/>
          <w:szCs w:val="18"/>
          <w:color w:val="auto"/>
        </w:rPr>
        <w:t>During the quarter ended June 30, 2023,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84"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In addition, during the quarter ended June 30, 2023,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bullet"/>
      <w:start w:val="1"/>
    </w:lvl>
  </w:abstractNum>
  <w:abstractNum w:abstractNumId="3">
    <w:nsid w:val="4516DDE9"/>
    <w:multiLevelType w:val="hybridMultilevel"/>
    <w:lvl w:ilvl="0">
      <w:lvlJc w:val="left"/>
      <w:lvlText w:val="2"/>
      <w:numFmt w:val="bullet"/>
      <w:start w:val="1"/>
    </w:lvl>
  </w:abstractNum>
  <w:abstractNum w:abstractNumId="4">
    <w:nsid w:val="3006C83E"/>
    <w:multiLevelType w:val="hybridMultilevel"/>
    <w:lvl w:ilvl="0">
      <w:lvlJc w:val="left"/>
      <w:lvlText w:val="3"/>
      <w:numFmt w:val="bullet"/>
      <w:start w:val="1"/>
    </w:lvl>
  </w:abstractNum>
  <w:abstractNum w:abstractNumId="5">
    <w:nsid w:val="614FD4A1"/>
    <w:multiLevelType w:val="hybridMultilevel"/>
    <w:lvl w:ilvl="0">
      <w:lvlJc w:val="left"/>
      <w:lvlText w:val="4"/>
      <w:numFmt w:val="bullet"/>
      <w:start w:val="1"/>
    </w:lvl>
  </w:abstractNum>
  <w:abstractNum w:abstractNumId="6">
    <w:nsid w:val="419AC241"/>
    <w:multiLevelType w:val="hybridMultilevel"/>
    <w:lvl w:ilvl="0">
      <w:lvlJc w:val="left"/>
      <w:lvlText w:val="5"/>
      <w:numFmt w:val="bullet"/>
      <w:start w:val="1"/>
    </w:lvl>
  </w:abstractNum>
  <w:abstractNum w:abstractNumId="7">
    <w:nsid w:val="5577F8E1"/>
    <w:multiLevelType w:val="hybridMultilevel"/>
    <w:lvl w:ilvl="0">
      <w:lvlJc w:val="left"/>
      <w:lvlText w:val="6"/>
      <w:numFmt w:val="bullet"/>
      <w:start w:val="1"/>
    </w:lvl>
  </w:abstractNum>
  <w:abstractNum w:abstractNumId="8">
    <w:nsid w:val="440BADFC"/>
    <w:multiLevelType w:val="hybridMultilevel"/>
    <w:lvl w:ilvl="0">
      <w:lvlJc w:val="left"/>
      <w:lvlText w:val="7"/>
      <w:numFmt w:val="bullet"/>
      <w:start w:val="1"/>
    </w:lvl>
  </w:abstractNum>
  <w:abstractNum w:abstractNumId="9">
    <w:nsid w:val="5072367"/>
    <w:multiLevelType w:val="hybridMultilevel"/>
    <w:lvl w:ilvl="0">
      <w:lvlJc w:val="left"/>
      <w:lvlText w:val="8"/>
      <w:numFmt w:val="bullet"/>
      <w:start w:val="1"/>
    </w:lvl>
  </w:abstractNum>
  <w:abstractNum w:abstractNumId="10">
    <w:nsid w:val="3804823E"/>
    <w:multiLevelType w:val="hybridMultilevel"/>
    <w:lvl w:ilvl="0">
      <w:lvlJc w:val="left"/>
      <w:lvlText w:val="9"/>
      <w:numFmt w:val="bullet"/>
      <w:start w:val="1"/>
    </w:lvl>
  </w:abstractNum>
  <w:abstractNum w:abstractNumId="11">
    <w:nsid w:val="77465F01"/>
    <w:multiLevelType w:val="hybridMultilevel"/>
    <w:lvl w:ilvl="0">
      <w:lvlJc w:val="left"/>
      <w:lvlText w:val="%1"/>
      <w:numFmt w:val="decimal"/>
      <w:start w:val="10"/>
    </w:lvl>
  </w:abstractNum>
  <w:abstractNum w:abstractNumId="12">
    <w:nsid w:val="7724C67E"/>
    <w:multiLevelType w:val="hybridMultilevel"/>
    <w:lvl w:ilvl="0">
      <w:lvlJc w:val="left"/>
      <w:lvlText w:val="%1"/>
      <w:numFmt w:val="decimal"/>
      <w:start w:val="12"/>
    </w:lvl>
  </w:abstractNum>
  <w:abstractNum w:abstractNumId="13">
    <w:nsid w:val="5C482A97"/>
    <w:multiLevelType w:val="hybridMultilevel"/>
    <w:lvl w:ilvl="0">
      <w:lvlJc w:val="left"/>
      <w:lvlText w:val="%1"/>
      <w:numFmt w:val="decimal"/>
      <w:start w:val="14"/>
    </w:lvl>
  </w:abstractNum>
  <w:abstractNum w:abstractNumId="14">
    <w:nsid w:val="2463B9EA"/>
    <w:multiLevelType w:val="hybridMultilevel"/>
    <w:lvl w:ilvl="0">
      <w:lvlJc w:val="left"/>
      <w:lvlText w:val="%1"/>
      <w:numFmt w:val="decimal"/>
      <w:start w:val="15"/>
    </w:lvl>
  </w:abstractNum>
  <w:abstractNum w:abstractNumId="15">
    <w:nsid w:val="5E884ADC"/>
    <w:multiLevelType w:val="hybridMultilevel"/>
    <w:lvl w:ilvl="0">
      <w:lvlJc w:val="left"/>
      <w:lvlText w:val="%1"/>
      <w:numFmt w:val="decimal"/>
      <w:start w:val="18"/>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decimal"/>
      <w:start w:val="21"/>
    </w:lvl>
  </w:abstractNum>
  <w:abstractNum w:abstractNumId="18">
    <w:nsid w:val="580BD78F"/>
    <w:multiLevelType w:val="hybridMultilevel"/>
    <w:lvl w:ilvl="0">
      <w:lvlJc w:val="left"/>
      <w:lvlText w:val="%1"/>
      <w:numFmt w:val="decimal"/>
      <w:start w:val="22"/>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decimal"/>
      <w:start w:val="25"/>
    </w:lvl>
  </w:abstractNum>
  <w:abstractNum w:abstractNumId="21">
    <w:nsid w:val="70A64E2A"/>
    <w:multiLevelType w:val="hybridMultilevel"/>
    <w:lvl w:ilvl="0">
      <w:lvlJc w:val="left"/>
      <w:lvlText w:val="%1"/>
      <w:numFmt w:val="decimal"/>
      <w:start w:val="26"/>
    </w:lvl>
  </w:abstractNum>
  <w:abstractNum w:abstractNumId="22">
    <w:nsid w:val="6A2342EC"/>
    <w:multiLevelType w:val="hybridMultilevel"/>
    <w:lvl w:ilvl="0">
      <w:lvlJc w:val="left"/>
      <w:lvlText w:val="%1"/>
      <w:numFmt w:val="decimal"/>
      <w:start w:val="28"/>
    </w:lvl>
  </w:abstractNum>
  <w:abstractNum w:abstractNumId="23">
    <w:nsid w:val="2A487CB0"/>
    <w:multiLevelType w:val="hybridMultilevel"/>
    <w:lvl w:ilvl="0">
      <w:lvlJc w:val="left"/>
      <w:lvlText w:val="(%1)"/>
      <w:numFmt w:val="lowerLetter"/>
      <w:start w:val="1"/>
    </w:lvl>
  </w:abstractNum>
  <w:abstractNum w:abstractNumId="24">
    <w:nsid w:val="1D4ED43B"/>
    <w:multiLevelType w:val="hybridMultilevel"/>
    <w:lvl w:ilvl="0">
      <w:lvlJc w:val="left"/>
      <w:lvlText w:val="%1"/>
      <w:numFmt w:val="decimal"/>
      <w:start w:val="29"/>
    </w:lvl>
  </w:abstractNum>
  <w:abstractNum w:abstractNumId="25">
    <w:nsid w:val="725A06FB"/>
    <w:multiLevelType w:val="hybridMultilevel"/>
    <w:lvl w:ilvl="0">
      <w:lvlJc w:val="left"/>
      <w:lvlText w:val="%1"/>
      <w:numFmt w:val="decimal"/>
      <w:start w:val="30"/>
    </w:lvl>
  </w:abstractNum>
  <w:abstractNum w:abstractNumId="26">
    <w:nsid w:val="2CD89A32"/>
    <w:multiLevelType w:val="hybridMultilevel"/>
    <w:lvl w:ilvl="0">
      <w:lvlJc w:val="left"/>
      <w:lvlText w:val="%1"/>
      <w:numFmt w:val="decimal"/>
      <w:start w:val="31"/>
    </w:lvl>
  </w:abstractNum>
  <w:abstractNum w:abstractNumId="27">
    <w:nsid w:val="57E4CCAF"/>
    <w:multiLevelType w:val="hybridMultilevel"/>
    <w:lvl w:ilvl="0">
      <w:lvlJc w:val="left"/>
      <w:lvlText w:val="%1"/>
      <w:numFmt w:val="decimal"/>
      <w:start w:val="32"/>
    </w:lvl>
  </w:abstractNum>
  <w:abstractNum w:abstractNumId="28">
    <w:nsid w:val="7A6D8D3C"/>
    <w:multiLevelType w:val="hybridMultilevel"/>
    <w:lvl w:ilvl="0">
      <w:lvlJc w:val="left"/>
      <w:lvlText w:val="%1"/>
      <w:numFmt w:val="decimal"/>
      <w:start w:val="33"/>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decimal"/>
      <w:start w:val="34"/>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decimal"/>
      <w:start w:val="35"/>
    </w:lvl>
  </w:abstractNum>
  <w:abstractNum w:abstractNumId="35">
    <w:nsid w:val="684A481A"/>
    <w:multiLevelType w:val="hybridMultilevel"/>
    <w:lvl w:ilvl="0">
      <w:lvlJc w:val="left"/>
      <w:lvlText w:val="%1"/>
      <w:numFmt w:val="decimal"/>
      <w:start w:val="36"/>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1"/>
      <w:numFmt w:val="decimal"/>
      <w:start w:val="37"/>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decimal"/>
      <w:start w:val="38"/>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decimal"/>
      <w:start w:val="39"/>
    </w:lvl>
  </w:abstractNum>
  <w:abstractNum w:abstractNumId="45">
    <w:nsid w:val="374A3FE6"/>
    <w:multiLevelType w:val="hybridMultilevel"/>
    <w:lvl w:ilvl="0">
      <w:lvlJc w:val="left"/>
      <w:lvlText w:val="%1"/>
      <w:numFmt w:val="decimal"/>
      <w:start w:val="40"/>
    </w:lvl>
  </w:abstractNum>
  <w:abstractNum w:abstractNumId="46">
    <w:nsid w:val="4F4EF005"/>
    <w:multiLevelType w:val="hybridMultilevel"/>
    <w:lvl w:ilvl="0">
      <w:lvlJc w:val="left"/>
      <w:lvlText w:val="%1"/>
      <w:numFmt w:val="decimal"/>
      <w:start w:val="41"/>
    </w:lvl>
  </w:abstractNum>
  <w:abstractNum w:abstractNumId="47">
    <w:nsid w:val="23F9C13C"/>
    <w:multiLevelType w:val="hybridMultilevel"/>
    <w:lvl w:ilvl="0">
      <w:lvlJc w:val="left"/>
      <w:lvlText w:val="%1"/>
      <w:numFmt w:val="decimal"/>
      <w:start w:val="42"/>
    </w:lvl>
  </w:abstractNum>
  <w:abstractNum w:abstractNumId="48">
    <w:nsid w:val="649BB77C"/>
    <w:multiLevelType w:val="hybridMultilevel"/>
    <w:lvl w:ilvl="0">
      <w:lvlJc w:val="left"/>
      <w:lvlText w:val="%1"/>
      <w:numFmt w:val="decimal"/>
      <w:start w:val="43"/>
    </w:lvl>
  </w:abstractNum>
  <w:abstractNum w:abstractNumId="49">
    <w:nsid w:val="275AC794"/>
    <w:multiLevelType w:val="hybridMultilevel"/>
    <w:lvl w:ilvl="0">
      <w:lvlJc w:val="left"/>
      <w:lvlText w:val="%1"/>
      <w:numFmt w:val="decimal"/>
      <w:start w:val="44"/>
    </w:lvl>
  </w:abstractNum>
  <w:abstractNum w:abstractNumId="50">
    <w:nsid w:val="39386575"/>
    <w:multiLevelType w:val="hybridMultilevel"/>
    <w:lvl w:ilvl="0">
      <w:lvlJc w:val="left"/>
      <w:lvlText w:val="%1"/>
      <w:numFmt w:val="decimal"/>
      <w:start w:val="45"/>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decimal"/>
      <w:start w:val="46"/>
    </w:lvl>
  </w:abstractNum>
  <w:abstractNum w:abstractNumId="53">
    <w:nsid w:val="235BA861"/>
    <w:multiLevelType w:val="hybridMultilevel"/>
    <w:lvl w:ilvl="0">
      <w:lvlJc w:val="left"/>
      <w:lvlText w:val="%1"/>
      <w:numFmt w:val="decimal"/>
      <w:start w:val="47"/>
    </w:lvl>
  </w:abstractNum>
  <w:abstractNum w:abstractNumId="54">
    <w:nsid w:val="47398C89"/>
    <w:multiLevelType w:val="hybridMultilevel"/>
    <w:lvl w:ilvl="0">
      <w:lvlJc w:val="left"/>
      <w:lvlText w:val="%1"/>
      <w:numFmt w:val="decimal"/>
      <w:start w:val="48"/>
    </w:lvl>
  </w:abstractNum>
  <w:abstractNum w:abstractNumId="55">
    <w:nsid w:val="354FE9F9"/>
    <w:multiLevelType w:val="hybridMultilevel"/>
    <w:lvl w:ilvl="0">
      <w:lvlJc w:val="left"/>
      <w:lvlText w:val="%1"/>
      <w:numFmt w:val="decimal"/>
      <w:start w:val="49"/>
    </w:lvl>
  </w:abstractNum>
  <w:abstractNum w:abstractNumId="56">
    <w:nsid w:val="15B5AF5C"/>
    <w:multiLevelType w:val="hybridMultilevel"/>
    <w:lvl w:ilvl="0">
      <w:lvlJc w:val="left"/>
      <w:lvlText w:val="%1"/>
      <w:numFmt w:val="decimal"/>
      <w:start w:val="50"/>
    </w:lvl>
  </w:abstractNum>
  <w:abstractNum w:abstractNumId="57">
    <w:nsid w:val="741226BB"/>
    <w:multiLevelType w:val="hybridMultilevel"/>
    <w:lvl w:ilvl="0">
      <w:lvlJc w:val="left"/>
      <w:lvlText w:val="%1"/>
      <w:numFmt w:val="decimal"/>
      <w:start w:val="5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2023-07-27T08:11:04Z</dcterms:created>
  <dcterms:modified xsi:type="dcterms:W3CDTF">2023-07-27T08:11:04Z</dcterms:modified>
</cp:coreProperties>
</file>