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both"/>
        <w:ind w:left="3980" w:right="3980" w:firstLine="37"/>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September 30, 2022</w:t>
      </w:r>
    </w:p>
    <w:p>
      <w:pPr>
        <w:jc w:val="center"/>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Charlotte, NC</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1.300% Senior Notes due 2023</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23A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0.000% Senior Notes due 2024</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24A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 The common stock is also listed on the London Stock Exchange</w:t>
      </w:r>
    </w:p>
    <w:p>
      <w:pPr>
        <w:spacing w:after="0" w:line="69"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80" w:type="dxa"/>
            <w:vAlign w:val="bottom"/>
          </w:tcPr>
          <w:p>
            <w:pPr>
              <w:ind w:left="420"/>
              <w:spacing w:after="0"/>
              <w:rPr>
                <w:sz w:val="20"/>
                <w:szCs w:val="20"/>
                <w:color w:val="auto"/>
              </w:rPr>
            </w:pPr>
            <w:r>
              <w:rPr>
                <w:rFonts w:ascii="Arial" w:cs="Arial" w:eastAsia="Arial" w:hAnsi="Arial"/>
                <w:sz w:val="14"/>
                <w:szCs w:val="14"/>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19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7"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highlight w:val="black"/>
        </w:rPr>
        <w:t>☐</w:t>
      </w:r>
    </w:p>
    <w:p>
      <w:pPr>
        <w:spacing w:after="0" w:line="18" w:lineRule="exact"/>
        <w:rPr>
          <w:sz w:val="24"/>
          <w:szCs w:val="24"/>
          <w:color w:val="auto"/>
        </w:rPr>
      </w:pPr>
    </w:p>
    <w:p>
      <w:pPr>
        <w:ind w:right="3160"/>
        <w:spacing w:after="0" w:line="24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There were 672,322,232 shares of Common Stock outstanding at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76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Financial Information</w:t>
            </w:r>
          </w:p>
        </w:tc>
        <w:tc>
          <w:tcPr>
            <w:tcW w:w="72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Financial Statements and Supplementary Data (unaudited):</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Operations (unaudited) – Three and Nine Months Ended September 30, 2022 and 2021</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Comprehensive Income (unaudited) – Three and Nine Months Ended September 30, 2022 and 2021</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Balance Sheet (unaudited) – September 30, 2022 and December 31, 2021</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Cash Flows (unaudited) – Nine Months Ended September 30, 2022 and 2021</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Shareowners' Equity (unaudited) – Three and Nine Months Ended September 30, 2022 and 2021</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 – Basis of Presentation</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2 – Summary of Significant Accounting Policies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3 – Acquisitions and Divestitures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4 – Revenue Recognition and Contracts with Customers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8</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5 – Repositioning and Other Charges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11</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6 – Income Taxes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7 – Inventories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8 – Long-term Debt and Credit Agreements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14</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9 – Leases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15</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10 – Derivative Instruments and Hedging Transactions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16</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11 – Fair Value Measurements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19</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12 – Earnings Per Share</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21</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13 – Accumulated Other Comprehensive Income (Loss)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14 – Commitments and Contingencies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09"/>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15 – Pension Benefits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16 – Other (Income) Expense</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28</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17 – Segment Financial Data</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28</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18 – Subsequent Events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30</w:t>
            </w: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2</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31</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3</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Quantitative and Qualitative Disclosures About Market Risks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51</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760" w:type="dxa"/>
            <w:vAlign w:val="bottom"/>
            <w:tcBorders>
              <w:bottom w:val="single" w:sz="8" w:color="D7282F"/>
            </w:tcBorders>
          </w:tcPr>
          <w:p>
            <w:pPr>
              <w:ind w:left="80"/>
              <w:spacing w:after="0"/>
              <w:rPr>
                <w:sz w:val="20"/>
                <w:szCs w:val="20"/>
                <w:color w:val="auto"/>
              </w:rPr>
            </w:pPr>
            <w:r>
              <w:rPr>
                <w:rFonts w:ascii="Arial" w:cs="Arial" w:eastAsia="Arial" w:hAnsi="Arial"/>
                <w:sz w:val="16"/>
                <w:szCs w:val="16"/>
                <w:color w:val="auto"/>
              </w:rPr>
              <w:t>Controls and Procedures</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52</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76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Other Information</w:t>
            </w:r>
          </w:p>
        </w:tc>
        <w:tc>
          <w:tcPr>
            <w:tcW w:w="720" w:type="dxa"/>
            <w:vAlign w:val="bottom"/>
            <w:tcBorders>
              <w:bottom w:val="single" w:sz="8" w:color="D7282F"/>
            </w:tcBorders>
          </w:tcPr>
          <w:p>
            <w:pPr>
              <w:spacing w:after="0"/>
              <w:rPr>
                <w:sz w:val="18"/>
                <w:szCs w:val="18"/>
                <w:color w:val="auto"/>
              </w:rPr>
            </w:pP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Legal Proceedings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53</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Risk Factors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53</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2</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54</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4</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Mine Safety Disclosures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55</w:t>
            </w: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6</w:t>
            </w: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Exhibits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56</w:t>
            </w:r>
          </w:p>
        </w:tc>
      </w:tr>
      <w:tr>
        <w:trPr>
          <w:trHeight w:val="210"/>
        </w:trPr>
        <w:tc>
          <w:tcPr>
            <w:tcW w:w="760" w:type="dxa"/>
            <w:vAlign w:val="bottom"/>
            <w:tcBorders>
              <w:bottom w:val="single" w:sz="8" w:color="BCBDC0"/>
            </w:tcBorders>
          </w:tcPr>
          <w:p>
            <w:pPr>
              <w:spacing w:after="0"/>
              <w:rPr>
                <w:sz w:val="18"/>
                <w:szCs w:val="18"/>
                <w:color w:val="auto"/>
              </w:rPr>
            </w:pPr>
          </w:p>
        </w:tc>
        <w:tc>
          <w:tcPr>
            <w:tcW w:w="976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Signatures</w:t>
            </w:r>
          </w:p>
        </w:tc>
        <w:tc>
          <w:tcPr>
            <w:tcW w:w="72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57</w:t>
            </w:r>
          </w:p>
        </w:tc>
      </w:tr>
      <w:tr>
        <w:trPr>
          <w:trHeight w:val="2201"/>
        </w:trPr>
        <w:tc>
          <w:tcPr>
            <w:tcW w:w="76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and the Russia-Ukraine conflict, that can affect our performance in both the near- and long-term.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or the Company) invents and commercializes technologies that address some of the world’s most critical challenges around energy, safety, security, air travel, productivity, and global urbanization. We are a leading software-industrial company committed to introducing state of the art technology solutions to improve efficiency, productivity, sustainability, and safety in high growth businesses in broad-based, attractive industrial end markets.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website (honeywell.com) under the heading Investors (see SEC Filings) immediately after they are filed with, or furnished to, the SEC. Honeywell uses our Investor Relations website, investor.honeywell.com,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financial statements and related notes as of September 30, 2022, should be read in conjunction with the financial statements for the year ended December 31, 2021, contained in the Company's 2021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6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420" w:type="dxa"/>
            <w:vAlign w:val="bottom"/>
          </w:tcPr>
          <w:p>
            <w:pPr>
              <w:spacing w:after="0"/>
              <w:rPr>
                <w:sz w:val="20"/>
                <w:szCs w:val="20"/>
                <w:color w:val="auto"/>
              </w:rPr>
            </w:pPr>
          </w:p>
        </w:tc>
        <w:tc>
          <w:tcPr>
            <w:tcW w:w="140" w:type="dxa"/>
            <w:vAlign w:val="bottom"/>
            <w:tcBorders>
              <w:top w:val="single" w:sz="8" w:color="D7282F"/>
              <w:bottom w:val="single" w:sz="8" w:color="D7282F"/>
            </w:tcBorders>
          </w:tcPr>
          <w:p>
            <w:pPr>
              <w:spacing w:after="0"/>
              <w:rPr>
                <w:sz w:val="20"/>
                <w:szCs w:val="20"/>
                <w:color w:val="auto"/>
              </w:rPr>
            </w:pPr>
          </w:p>
        </w:tc>
        <w:tc>
          <w:tcPr>
            <w:tcW w:w="7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D7282F"/>
              <w:bottom w:val="single" w:sz="8" w:color="D7282F"/>
            </w:tcBorders>
          </w:tcPr>
          <w:p>
            <w:pPr>
              <w:spacing w:after="0"/>
              <w:rPr>
                <w:sz w:val="20"/>
                <w:szCs w:val="20"/>
                <w:color w:val="auto"/>
              </w:rPr>
            </w:pPr>
          </w:p>
        </w:tc>
        <w:tc>
          <w:tcPr>
            <w:tcW w:w="620" w:type="dxa"/>
            <w:vAlign w:val="bottom"/>
            <w:tcBorders>
              <w:top w:val="single" w:sz="8" w:color="D7282F"/>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4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D7282F"/>
              <w:bottom w:val="single" w:sz="8" w:color="D7282F"/>
            </w:tcBorders>
          </w:tcPr>
          <w:p>
            <w:pPr>
              <w:spacing w:after="0"/>
              <w:rPr>
                <w:sz w:val="20"/>
                <w:szCs w:val="20"/>
                <w:color w:val="auto"/>
              </w:rPr>
            </w:pPr>
          </w:p>
        </w:tc>
        <w:tc>
          <w:tcPr>
            <w:tcW w:w="620" w:type="dxa"/>
            <w:vAlign w:val="bottom"/>
            <w:tcBorders>
              <w:top w:val="single" w:sz="8" w:color="D7282F"/>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2021</w:t>
            </w:r>
          </w:p>
        </w:tc>
      </w:tr>
      <w:tr>
        <w:trPr>
          <w:trHeight w:val="196"/>
        </w:trPr>
        <w:tc>
          <w:tcPr>
            <w:tcW w:w="74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3680" w:type="dxa"/>
            <w:vAlign w:val="bottom"/>
            <w:tcBorders>
              <w:bottom w:val="single" w:sz="8" w:color="D7282F"/>
            </w:tcBorders>
            <w:gridSpan w:val="8"/>
          </w:tcPr>
          <w:p>
            <w:pPr>
              <w:jc w:val="right"/>
              <w:ind w:right="248"/>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193"/>
        </w:trPr>
        <w:tc>
          <w:tcPr>
            <w:tcW w:w="7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 sales</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6,588</w:t>
            </w:r>
          </w:p>
        </w:tc>
        <w:tc>
          <w:tcPr>
            <w:tcW w:w="2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6,233</w:t>
            </w:r>
          </w:p>
        </w:tc>
        <w:tc>
          <w:tcPr>
            <w:tcW w:w="22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19,404</w:t>
            </w:r>
          </w:p>
        </w:tc>
        <w:tc>
          <w:tcPr>
            <w:tcW w:w="2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19,281</w:t>
            </w:r>
          </w:p>
        </w:tc>
      </w:tr>
      <w:tr>
        <w:trPr>
          <w:trHeight w:val="196"/>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2,363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2,240</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6,876</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6,454</w:t>
            </w:r>
          </w:p>
        </w:tc>
      </w:tr>
      <w:tr>
        <w:trPr>
          <w:trHeight w:val="199"/>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8,951</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8,473</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26,280</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25,735</w:t>
            </w:r>
          </w:p>
        </w:tc>
      </w:tr>
      <w:tr>
        <w:trPr>
          <w:trHeight w:val="193"/>
        </w:trPr>
        <w:tc>
          <w:tcPr>
            <w:tcW w:w="7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Costs, expenses and other</w:t>
            </w:r>
          </w:p>
        </w:tc>
        <w:tc>
          <w:tcPr>
            <w:tcW w:w="1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7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spacing w:after="0"/>
              <w:rPr>
                <w:sz w:val="16"/>
                <w:szCs w:val="16"/>
                <w:color w:val="auto"/>
              </w:rPr>
            </w:pPr>
          </w:p>
        </w:tc>
      </w:tr>
      <w:tr>
        <w:trPr>
          <w:trHeight w:val="196"/>
        </w:trPr>
        <w:tc>
          <w:tcPr>
            <w:tcW w:w="7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Cost of products sold</w:t>
            </w:r>
          </w:p>
        </w:tc>
        <w:tc>
          <w:tcPr>
            <w:tcW w:w="1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4,630</w:t>
            </w:r>
          </w:p>
        </w:tc>
        <w:tc>
          <w:tcPr>
            <w:tcW w:w="28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4,463</w:t>
            </w:r>
          </w:p>
        </w:tc>
        <w:tc>
          <w:tcPr>
            <w:tcW w:w="22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13,676</w:t>
            </w:r>
          </w:p>
        </w:tc>
        <w:tc>
          <w:tcPr>
            <w:tcW w:w="28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13,748</w:t>
            </w:r>
          </w:p>
        </w:tc>
      </w:tr>
      <w:tr>
        <w:trPr>
          <w:trHeight w:val="196"/>
        </w:trPr>
        <w:tc>
          <w:tcPr>
            <w:tcW w:w="7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Cost of services sold</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1,351</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1,283</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4,025</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3,710</w:t>
            </w:r>
          </w:p>
        </w:tc>
      </w:tr>
      <w:tr>
        <w:trPr>
          <w:trHeight w:val="199"/>
        </w:trPr>
        <w:tc>
          <w:tcPr>
            <w:tcW w:w="74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5,981</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5,746</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17,701</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17,458</w:t>
            </w:r>
          </w:p>
        </w:tc>
      </w:tr>
      <w:tr>
        <w:trPr>
          <w:trHeight w:val="193"/>
        </w:trPr>
        <w:tc>
          <w:tcPr>
            <w:tcW w:w="7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1,228</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1,152</w:t>
            </w:r>
          </w:p>
        </w:tc>
        <w:tc>
          <w:tcPr>
            <w:tcW w:w="22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3,965</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3,595</w:t>
            </w:r>
          </w:p>
        </w:tc>
      </w:tr>
      <w:tr>
        <w:trPr>
          <w:trHeight w:val="196"/>
        </w:trPr>
        <w:tc>
          <w:tcPr>
            <w:tcW w:w="7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Other (income) expense</w:t>
            </w:r>
          </w:p>
        </w:tc>
        <w:tc>
          <w:tcPr>
            <w:tcW w:w="1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(337)</w:t>
            </w:r>
          </w:p>
        </w:tc>
        <w:tc>
          <w:tcPr>
            <w:tcW w:w="28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(215)</w:t>
            </w:r>
          </w:p>
        </w:tc>
        <w:tc>
          <w:tcPr>
            <w:tcW w:w="22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(846)</w:t>
            </w:r>
          </w:p>
        </w:tc>
        <w:tc>
          <w:tcPr>
            <w:tcW w:w="28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(1,023)</w:t>
            </w:r>
          </w:p>
        </w:tc>
      </w:tr>
      <w:tr>
        <w:trPr>
          <w:trHeight w:val="196"/>
        </w:trPr>
        <w:tc>
          <w:tcPr>
            <w:tcW w:w="7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Interest and other financial charges</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98</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90</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270</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263</w:t>
            </w:r>
          </w:p>
        </w:tc>
      </w:tr>
      <w:tr>
        <w:trPr>
          <w:trHeight w:val="199"/>
        </w:trPr>
        <w:tc>
          <w:tcPr>
            <w:tcW w:w="74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6,970</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6,773</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21,090</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20,293</w:t>
            </w:r>
          </w:p>
        </w:tc>
      </w:tr>
      <w:tr>
        <w:trPr>
          <w:trHeight w:val="193"/>
        </w:trPr>
        <w:tc>
          <w:tcPr>
            <w:tcW w:w="7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Income before taxes</w:t>
            </w:r>
          </w:p>
        </w:tc>
        <w:tc>
          <w:tcPr>
            <w:tcW w:w="1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1,981</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1,700</w:t>
            </w:r>
          </w:p>
        </w:tc>
        <w:tc>
          <w:tcPr>
            <w:tcW w:w="22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5,190</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5,442</w:t>
            </w:r>
          </w:p>
        </w:tc>
      </w:tr>
      <w:tr>
        <w:trPr>
          <w:trHeight w:val="196"/>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432</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427</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1,244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1,274</w:t>
            </w:r>
          </w:p>
        </w:tc>
      </w:tr>
      <w:tr>
        <w:trPr>
          <w:trHeight w:val="199"/>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1,549</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1,273</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3,946</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4,168</w:t>
            </w:r>
          </w:p>
        </w:tc>
      </w:tr>
      <w:tr>
        <w:trPr>
          <w:trHeight w:val="193"/>
        </w:trPr>
        <w:tc>
          <w:tcPr>
            <w:tcW w:w="74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Less: Net income (loss) attributable to the noncontrolling interest</w:t>
            </w:r>
          </w:p>
        </w:tc>
        <w:tc>
          <w:tcPr>
            <w:tcW w:w="1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r>
      <w:tr>
        <w:trPr>
          <w:trHeight w:val="199"/>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1,552</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1,257</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3,947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4,114</w:t>
            </w:r>
          </w:p>
        </w:tc>
      </w:tr>
      <w:tr>
        <w:trPr>
          <w:trHeight w:val="196"/>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 basic</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1.82</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5.81</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5.93</w:t>
            </w:r>
          </w:p>
        </w:tc>
      </w:tr>
      <w:tr>
        <w:trPr>
          <w:trHeight w:val="196"/>
        </w:trPr>
        <w:tc>
          <w:tcPr>
            <w:tcW w:w="742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Earnings per share of common stock - assuming dilution</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C202E"/>
            </w:tcBorders>
          </w:tcPr>
          <w:p>
            <w:pPr>
              <w:jc w:val="right"/>
              <w:ind w:right="108"/>
              <w:spacing w:after="0"/>
              <w:rPr>
                <w:sz w:val="20"/>
                <w:szCs w:val="20"/>
                <w:color w:val="auto"/>
              </w:rPr>
            </w:pPr>
            <w:r>
              <w:rPr>
                <w:rFonts w:ascii="Arial" w:cs="Arial" w:eastAsia="Arial" w:hAnsi="Arial"/>
                <w:sz w:val="14"/>
                <w:szCs w:val="14"/>
                <w:b w:val="1"/>
                <w:bCs w:val="1"/>
                <w:color w:val="auto"/>
              </w:rPr>
              <w:t>2.28</w:t>
            </w: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1.80</w:t>
            </w:r>
          </w:p>
        </w:tc>
        <w:tc>
          <w:tcPr>
            <w:tcW w:w="220" w:type="dxa"/>
            <w:vAlign w:val="bottom"/>
            <w:tcBorders>
              <w:bottom w:val="single" w:sz="8" w:color="DC202E"/>
            </w:tcBorders>
          </w:tcPr>
          <w:p>
            <w:pPr>
              <w:spacing w:after="0"/>
              <w:rPr>
                <w:sz w:val="17"/>
                <w:szCs w:val="17"/>
                <w:color w:val="auto"/>
              </w:rPr>
            </w:pP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C202E"/>
            </w:tcBorders>
          </w:tcPr>
          <w:p>
            <w:pPr>
              <w:jc w:val="right"/>
              <w:ind w:right="108"/>
              <w:spacing w:after="0"/>
              <w:rPr>
                <w:sz w:val="20"/>
                <w:szCs w:val="20"/>
                <w:color w:val="auto"/>
              </w:rPr>
            </w:pPr>
            <w:r>
              <w:rPr>
                <w:rFonts w:ascii="Arial" w:cs="Arial" w:eastAsia="Arial" w:hAnsi="Arial"/>
                <w:sz w:val="14"/>
                <w:szCs w:val="14"/>
                <w:b w:val="1"/>
                <w:bCs w:val="1"/>
                <w:color w:val="auto"/>
              </w:rPr>
              <w:t>5.76</w:t>
            </w: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5.86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6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420" w:type="dxa"/>
            <w:vAlign w:val="bottom"/>
          </w:tcPr>
          <w:p>
            <w:pPr>
              <w:spacing w:after="0"/>
              <w:rPr>
                <w:sz w:val="20"/>
                <w:szCs w:val="20"/>
                <w:color w:val="auto"/>
              </w:rPr>
            </w:pPr>
          </w:p>
        </w:tc>
        <w:tc>
          <w:tcPr>
            <w:tcW w:w="140" w:type="dxa"/>
            <w:vAlign w:val="bottom"/>
            <w:tcBorders>
              <w:top w:val="single" w:sz="8" w:color="D7282F"/>
              <w:bottom w:val="single" w:sz="8" w:color="D7282F"/>
            </w:tcBorders>
          </w:tcPr>
          <w:p>
            <w:pPr>
              <w:spacing w:after="0"/>
              <w:rPr>
                <w:sz w:val="20"/>
                <w:szCs w:val="20"/>
                <w:color w:val="auto"/>
              </w:rPr>
            </w:pPr>
          </w:p>
        </w:tc>
        <w:tc>
          <w:tcPr>
            <w:tcW w:w="7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D7282F"/>
              <w:bottom w:val="single" w:sz="8" w:color="D7282F"/>
            </w:tcBorders>
          </w:tcPr>
          <w:p>
            <w:pPr>
              <w:spacing w:after="0"/>
              <w:rPr>
                <w:sz w:val="20"/>
                <w:szCs w:val="20"/>
                <w:color w:val="auto"/>
              </w:rPr>
            </w:pPr>
          </w:p>
        </w:tc>
        <w:tc>
          <w:tcPr>
            <w:tcW w:w="620" w:type="dxa"/>
            <w:vAlign w:val="bottom"/>
            <w:tcBorders>
              <w:top w:val="single" w:sz="8" w:color="D7282F"/>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4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D7282F"/>
              <w:bottom w:val="single" w:sz="8" w:color="D7282F"/>
            </w:tcBorders>
          </w:tcPr>
          <w:p>
            <w:pPr>
              <w:spacing w:after="0"/>
              <w:rPr>
                <w:sz w:val="20"/>
                <w:szCs w:val="20"/>
                <w:color w:val="auto"/>
              </w:rPr>
            </w:pPr>
          </w:p>
        </w:tc>
        <w:tc>
          <w:tcPr>
            <w:tcW w:w="620" w:type="dxa"/>
            <w:vAlign w:val="bottom"/>
            <w:tcBorders>
              <w:top w:val="single" w:sz="8" w:color="D7282F"/>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2021</w:t>
            </w:r>
          </w:p>
        </w:tc>
      </w:tr>
      <w:tr>
        <w:trPr>
          <w:trHeight w:val="196"/>
        </w:trPr>
        <w:tc>
          <w:tcPr>
            <w:tcW w:w="74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4"/>
          </w:tcPr>
          <w:p>
            <w:pPr>
              <w:jc w:val="right"/>
              <w:ind w:right="268"/>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3"/>
        </w:trPr>
        <w:tc>
          <w:tcPr>
            <w:tcW w:w="7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1,549</w:t>
            </w:r>
          </w:p>
        </w:tc>
        <w:tc>
          <w:tcPr>
            <w:tcW w:w="2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1,273</w:t>
            </w:r>
          </w:p>
        </w:tc>
        <w:tc>
          <w:tcPr>
            <w:tcW w:w="22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3,946</w:t>
            </w:r>
          </w:p>
        </w:tc>
        <w:tc>
          <w:tcPr>
            <w:tcW w:w="2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4,168</w:t>
            </w:r>
          </w:p>
        </w:tc>
      </w:tr>
      <w:tr>
        <w:trPr>
          <w:trHeight w:val="196"/>
        </w:trPr>
        <w:tc>
          <w:tcPr>
            <w:tcW w:w="74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9"/>
        </w:trPr>
        <w:tc>
          <w:tcPr>
            <w:tcW w:w="742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Foreign exchange translation adjustment</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(423)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(93)</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(399)</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250</w:t>
            </w:r>
          </w:p>
        </w:tc>
      </w:tr>
      <w:tr>
        <w:trPr>
          <w:trHeight w:val="193"/>
        </w:trPr>
        <w:tc>
          <w:tcPr>
            <w:tcW w:w="7420" w:type="dxa"/>
            <w:vAlign w:val="bottom"/>
            <w:tcBorders>
              <w:bottom w:val="single" w:sz="8" w:color="BCBDC0"/>
            </w:tcBorders>
          </w:tcPr>
          <w:p>
            <w:pPr>
              <w:ind w:left="460"/>
              <w:spacing w:after="0"/>
              <w:rPr>
                <w:sz w:val="20"/>
                <w:szCs w:val="20"/>
                <w:color w:val="auto"/>
              </w:rPr>
            </w:pPr>
            <w:r>
              <w:rPr>
                <w:rFonts w:ascii="Arial" w:cs="Arial" w:eastAsia="Arial" w:hAnsi="Arial"/>
                <w:sz w:val="14"/>
                <w:szCs w:val="14"/>
                <w:color w:val="auto"/>
              </w:rPr>
              <w:t>Actuarial (gains) losses recognized during year</w:t>
            </w:r>
          </w:p>
        </w:tc>
        <w:tc>
          <w:tcPr>
            <w:tcW w:w="1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42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Prior service (credit) cost recognized</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w:t>
            </w:r>
          </w:p>
        </w:tc>
      </w:tr>
      <w:tr>
        <w:trPr>
          <w:trHeight w:val="199"/>
        </w:trPr>
        <w:tc>
          <w:tcPr>
            <w:tcW w:w="742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w:t>
            </w:r>
          </w:p>
        </w:tc>
      </w:tr>
      <w:tr>
        <w:trPr>
          <w:trHeight w:val="196"/>
        </w:trPr>
        <w:tc>
          <w:tcPr>
            <w:tcW w:w="742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r>
      <w:tr>
        <w:trPr>
          <w:trHeight w:val="193"/>
        </w:trPr>
        <w:tc>
          <w:tcPr>
            <w:tcW w:w="7420" w:type="dxa"/>
            <w:vAlign w:val="bottom"/>
            <w:tcBorders>
              <w:bottom w:val="single" w:sz="8" w:color="BCBDC0"/>
            </w:tcBorders>
          </w:tcPr>
          <w:p>
            <w:pPr>
              <w:ind w:left="520"/>
              <w:spacing w:after="0"/>
              <w:rPr>
                <w:sz w:val="20"/>
                <w:szCs w:val="20"/>
                <w:color w:val="auto"/>
              </w:rPr>
            </w:pPr>
            <w:r>
              <w:rPr>
                <w:rFonts w:ascii="Arial" w:cs="Arial" w:eastAsia="Arial" w:hAnsi="Arial"/>
                <w:sz w:val="14"/>
                <w:szCs w:val="14"/>
                <w:color w:val="auto"/>
              </w:rPr>
              <w:t>Cash flow hedges recognized in other comprehensive income (loss)</w:t>
            </w:r>
          </w:p>
        </w:tc>
        <w:tc>
          <w:tcPr>
            <w:tcW w:w="1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66</w:t>
            </w:r>
          </w:p>
        </w:tc>
        <w:tc>
          <w:tcPr>
            <w:tcW w:w="28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7420" w:type="dxa"/>
            <w:vAlign w:val="bottom"/>
            <w:tcBorders>
              <w:bottom w:val="single" w:sz="8" w:color="D7282F"/>
            </w:tcBorders>
          </w:tcPr>
          <w:p>
            <w:pPr>
              <w:ind w:left="520"/>
              <w:spacing w:after="0"/>
              <w:rPr>
                <w:sz w:val="20"/>
                <w:szCs w:val="20"/>
                <w:color w:val="auto"/>
              </w:rPr>
            </w:pPr>
            <w:r>
              <w:rPr>
                <w:rFonts w:ascii="Arial" w:cs="Arial" w:eastAsia="Arial" w:hAnsi="Arial"/>
                <w:sz w:val="14"/>
                <w:szCs w:val="14"/>
                <w:color w:val="auto"/>
              </w:rPr>
              <w:t>Less: Reclassification adjustment for gains (losses) included in net income</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38</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742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Changes in fair value of cash flow hedges</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3"/>
        </w:trPr>
        <w:tc>
          <w:tcPr>
            <w:tcW w:w="74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(427)</w:t>
            </w:r>
          </w:p>
        </w:tc>
        <w:tc>
          <w:tcPr>
            <w:tcW w:w="28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(422)</w:t>
            </w:r>
          </w:p>
        </w:tc>
        <w:tc>
          <w:tcPr>
            <w:tcW w:w="28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184</w:t>
            </w:r>
          </w:p>
        </w:tc>
      </w:tr>
      <w:tr>
        <w:trPr>
          <w:trHeight w:val="199"/>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1,122</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1,154</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3,524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4,352</w:t>
            </w:r>
          </w:p>
        </w:tc>
      </w:tr>
      <w:tr>
        <w:trPr>
          <w:trHeight w:val="193"/>
        </w:trPr>
        <w:tc>
          <w:tcPr>
            <w:tcW w:w="7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r>
      <w:tr>
        <w:trPr>
          <w:trHeight w:val="199"/>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1,139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1,139</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3,546</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56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3540" w:type="dxa"/>
            <w:vAlign w:val="bottom"/>
            <w:tcBorders>
              <w:bottom w:val="single" w:sz="8" w:color="D7282F"/>
            </w:tcBorders>
            <w:gridSpan w:val="3"/>
          </w:tcPr>
          <w:p>
            <w:pPr>
              <w:jc w:val="right"/>
              <w:ind w:right="1108"/>
              <w:spacing w:after="0"/>
              <w:rPr>
                <w:sz w:val="20"/>
                <w:szCs w:val="20"/>
                <w:color w:val="auto"/>
              </w:rPr>
            </w:pPr>
            <w:r>
              <w:rPr>
                <w:rFonts w:ascii="Arial" w:cs="Arial" w:eastAsia="Arial" w:hAnsi="Arial"/>
                <w:sz w:val="14"/>
                <w:szCs w:val="14"/>
                <w:b w:val="1"/>
                <w:bCs w:val="1"/>
                <w:color w:val="auto"/>
              </w:rPr>
              <w:t>(Dollars in millions)</w:t>
            </w:r>
          </w:p>
        </w:tc>
      </w:tr>
      <w:tr>
        <w:trPr>
          <w:trHeight w:val="223"/>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BCBDC0"/>
            </w:tcBorders>
          </w:tcPr>
          <w:p>
            <w:pPr>
              <w:spacing w:after="0"/>
              <w:rPr>
                <w:sz w:val="19"/>
                <w:szCs w:val="19"/>
                <w:color w:val="auto"/>
              </w:rPr>
            </w:pPr>
          </w:p>
        </w:tc>
        <w:tc>
          <w:tcPr>
            <w:tcW w:w="1700" w:type="dxa"/>
            <w:vAlign w:val="bottom"/>
            <w:tcBorders>
              <w:bottom w:val="single" w:sz="8" w:color="BCBDC0"/>
            </w:tcBorders>
          </w:tcPr>
          <w:p>
            <w:pPr>
              <w:spacing w:after="0"/>
              <w:rPr>
                <w:sz w:val="19"/>
                <w:szCs w:val="19"/>
                <w:color w:val="auto"/>
              </w:rPr>
            </w:pPr>
          </w:p>
        </w:tc>
        <w:tc>
          <w:tcPr>
            <w:tcW w:w="260" w:type="dxa"/>
            <w:vAlign w:val="bottom"/>
            <w:tcBorders>
              <w:bottom w:val="single" w:sz="8" w:color="BCBDC0"/>
            </w:tcBorders>
          </w:tcPr>
          <w:p>
            <w:pPr>
              <w:spacing w:after="0"/>
              <w:rPr>
                <w:sz w:val="19"/>
                <w:szCs w:val="19"/>
                <w:color w:val="auto"/>
              </w:rPr>
            </w:pPr>
          </w:p>
        </w:tc>
        <w:tc>
          <w:tcPr>
            <w:tcW w:w="1580" w:type="dxa"/>
            <w:vAlign w:val="bottom"/>
            <w:tcBorders>
              <w:bottom w:val="single" w:sz="8" w:color="BCBDC0"/>
            </w:tcBorders>
          </w:tcPr>
          <w:p>
            <w:pPr>
              <w:spacing w:after="0"/>
              <w:rPr>
                <w:sz w:val="19"/>
                <w:szCs w:val="19"/>
                <w:color w:val="auto"/>
              </w:rPr>
            </w:pPr>
          </w:p>
        </w:tc>
      </w:tr>
      <w:tr>
        <w:trPr>
          <w:trHeight w:val="220"/>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Borders>
              <w:bottom w:val="single" w:sz="8" w:color="BCBDC0"/>
            </w:tcBorders>
          </w:tcPr>
          <w:p>
            <w:pPr>
              <w:spacing w:after="0"/>
              <w:rPr>
                <w:sz w:val="19"/>
                <w:szCs w:val="19"/>
                <w:color w:val="auto"/>
              </w:rPr>
            </w:pPr>
          </w:p>
        </w:tc>
        <w:tc>
          <w:tcPr>
            <w:tcW w:w="1700" w:type="dxa"/>
            <w:vAlign w:val="bottom"/>
            <w:tcBorders>
              <w:bottom w:val="single" w:sz="8" w:color="BCBDC0"/>
            </w:tcBorders>
          </w:tcPr>
          <w:p>
            <w:pPr>
              <w:spacing w:after="0"/>
              <w:rPr>
                <w:sz w:val="19"/>
                <w:szCs w:val="19"/>
                <w:color w:val="auto"/>
              </w:rPr>
            </w:pPr>
          </w:p>
        </w:tc>
        <w:tc>
          <w:tcPr>
            <w:tcW w:w="260" w:type="dxa"/>
            <w:vAlign w:val="bottom"/>
            <w:tcBorders>
              <w:bottom w:val="single" w:sz="8" w:color="BCBDC0"/>
            </w:tcBorders>
          </w:tcPr>
          <w:p>
            <w:pPr>
              <w:spacing w:after="0"/>
              <w:rPr>
                <w:sz w:val="19"/>
                <w:szCs w:val="19"/>
                <w:color w:val="auto"/>
              </w:rPr>
            </w:pPr>
          </w:p>
        </w:tc>
        <w:tc>
          <w:tcPr>
            <w:tcW w:w="1580" w:type="dxa"/>
            <w:vAlign w:val="bottom"/>
            <w:tcBorders>
              <w:bottom w:val="single" w:sz="8" w:color="BCBDC0"/>
            </w:tcBorders>
          </w:tcPr>
          <w:p>
            <w:pPr>
              <w:spacing w:after="0"/>
              <w:rPr>
                <w:sz w:val="19"/>
                <w:szCs w:val="19"/>
                <w:color w:val="auto"/>
              </w:rPr>
            </w:pPr>
          </w:p>
        </w:tc>
      </w:tr>
      <w:tr>
        <w:trPr>
          <w:trHeight w:val="196"/>
        </w:trPr>
        <w:tc>
          <w:tcPr>
            <w:tcW w:w="756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7,449</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10,959</w:t>
            </w:r>
          </w:p>
        </w:tc>
      </w:tr>
      <w:tr>
        <w:trPr>
          <w:trHeight w:val="196"/>
        </w:trPr>
        <w:tc>
          <w:tcPr>
            <w:tcW w:w="756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516</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564</w:t>
            </w:r>
          </w:p>
        </w:tc>
      </w:tr>
      <w:tr>
        <w:trPr>
          <w:trHeight w:val="196"/>
        </w:trPr>
        <w:tc>
          <w:tcPr>
            <w:tcW w:w="756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Accounts receivable, less allowances of $349 and $177, respectively</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7,363</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6,830</w:t>
            </w:r>
          </w:p>
        </w:tc>
      </w:tr>
      <w:tr>
        <w:trPr>
          <w:trHeight w:val="196"/>
        </w:trPr>
        <w:tc>
          <w:tcPr>
            <w:tcW w:w="756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5,501</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5,138</w:t>
            </w:r>
          </w:p>
        </w:tc>
      </w:tr>
      <w:tr>
        <w:trPr>
          <w:trHeight w:val="196"/>
        </w:trPr>
        <w:tc>
          <w:tcPr>
            <w:tcW w:w="756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1,696</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1,881</w:t>
            </w:r>
          </w:p>
        </w:tc>
      </w:tr>
      <w:tr>
        <w:trPr>
          <w:trHeight w:val="199"/>
        </w:trPr>
        <w:tc>
          <w:tcPr>
            <w:tcW w:w="756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22,525</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25,372</w:t>
            </w:r>
          </w:p>
        </w:tc>
      </w:tr>
      <w:tr>
        <w:trPr>
          <w:trHeight w:val="193"/>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40" w:type="dxa"/>
            <w:vAlign w:val="bottom"/>
            <w:tcBorders>
              <w:bottom w:val="single" w:sz="8" w:color="BCBDC0"/>
            </w:tcBorders>
          </w:tcPr>
          <w:p>
            <w:pPr>
              <w:spacing w:after="0"/>
              <w:rPr>
                <w:sz w:val="16"/>
                <w:szCs w:val="16"/>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807</w:t>
            </w:r>
          </w:p>
        </w:tc>
        <w:tc>
          <w:tcPr>
            <w:tcW w:w="260" w:type="dxa"/>
            <w:vAlign w:val="bottom"/>
            <w:tcBorders>
              <w:bottom w:val="single" w:sz="8" w:color="BCBDC0"/>
            </w:tcBorders>
          </w:tcPr>
          <w:p>
            <w:pPr>
              <w:spacing w:after="0"/>
              <w:rPr>
                <w:sz w:val="16"/>
                <w:szCs w:val="16"/>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1,222</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Property, plant and equipment - net</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5,339</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5,562</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16,974</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17,756</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intangible assets - net</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3,220</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3,613</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Insurance recoveries for asbestos related liabilities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238</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322</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437</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489</w:t>
            </w:r>
          </w:p>
        </w:tc>
      </w:tr>
      <w:tr>
        <w:trPr>
          <w:trHeight w:val="196"/>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10,747</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10,134</w:t>
            </w:r>
          </w:p>
        </w:tc>
      </w:tr>
      <w:tr>
        <w:trPr>
          <w:trHeight w:val="199"/>
        </w:trPr>
        <w:tc>
          <w:tcPr>
            <w:tcW w:w="756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60,287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64,470</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spacing w:after="0"/>
              <w:rPr>
                <w:sz w:val="17"/>
                <w:szCs w:val="17"/>
                <w:color w:val="auto"/>
              </w:rPr>
            </w:pPr>
          </w:p>
        </w:tc>
      </w:tr>
      <w:tr>
        <w:trPr>
          <w:trHeight w:val="193"/>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Borders>
              <w:bottom w:val="single" w:sz="8" w:color="BCBDC0"/>
            </w:tcBorders>
          </w:tcPr>
          <w:p>
            <w:pPr>
              <w:spacing w:after="0"/>
              <w:rPr>
                <w:sz w:val="16"/>
                <w:szCs w:val="16"/>
                <w:color w:val="auto"/>
              </w:rPr>
            </w:pPr>
          </w:p>
        </w:tc>
        <w:tc>
          <w:tcPr>
            <w:tcW w:w="170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1580" w:type="dxa"/>
            <w:vAlign w:val="bottom"/>
            <w:tcBorders>
              <w:bottom w:val="single" w:sz="8" w:color="BCBDC0"/>
            </w:tcBorders>
          </w:tcPr>
          <w:p>
            <w:pPr>
              <w:spacing w:after="0"/>
              <w:rPr>
                <w:sz w:val="16"/>
                <w:szCs w:val="16"/>
                <w:color w:val="auto"/>
              </w:rPr>
            </w:pPr>
          </w:p>
        </w:tc>
      </w:tr>
      <w:tr>
        <w:trPr>
          <w:trHeight w:val="196"/>
        </w:trPr>
        <w:tc>
          <w:tcPr>
            <w:tcW w:w="756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6,118</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6,484</w:t>
            </w:r>
          </w:p>
        </w:tc>
      </w:tr>
      <w:tr>
        <w:trPr>
          <w:trHeight w:val="196"/>
        </w:trPr>
        <w:tc>
          <w:tcPr>
            <w:tcW w:w="756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Commercial paper and other short-term borrowings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3,434</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3,542</w:t>
            </w:r>
          </w:p>
        </w:tc>
      </w:tr>
      <w:tr>
        <w:trPr>
          <w:trHeight w:val="196"/>
        </w:trPr>
        <w:tc>
          <w:tcPr>
            <w:tcW w:w="756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1,315</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1,803</w:t>
            </w:r>
          </w:p>
        </w:tc>
      </w:tr>
      <w:tr>
        <w:trPr>
          <w:trHeight w:val="196"/>
        </w:trPr>
        <w:tc>
          <w:tcPr>
            <w:tcW w:w="756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7,242</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7,679</w:t>
            </w:r>
          </w:p>
        </w:tc>
      </w:tr>
      <w:tr>
        <w:trPr>
          <w:trHeight w:val="199"/>
        </w:trPr>
        <w:tc>
          <w:tcPr>
            <w:tcW w:w="756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18,109</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19,508</w:t>
            </w:r>
          </w:p>
        </w:tc>
      </w:tr>
      <w:tr>
        <w:trPr>
          <w:trHeight w:val="193"/>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BCBDC0"/>
            </w:tcBorders>
          </w:tcPr>
          <w:p>
            <w:pPr>
              <w:spacing w:after="0"/>
              <w:rPr>
                <w:sz w:val="16"/>
                <w:szCs w:val="16"/>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12,236</w:t>
            </w:r>
          </w:p>
        </w:tc>
        <w:tc>
          <w:tcPr>
            <w:tcW w:w="260" w:type="dxa"/>
            <w:vAlign w:val="bottom"/>
            <w:tcBorders>
              <w:bottom w:val="single" w:sz="8" w:color="BCBDC0"/>
            </w:tcBorders>
          </w:tcPr>
          <w:p>
            <w:pPr>
              <w:spacing w:after="0"/>
              <w:rPr>
                <w:sz w:val="16"/>
                <w:szCs w:val="16"/>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14,254</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2,406</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2,364</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203</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208</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1,693</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1,800</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7,303</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7,087</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spacing w:after="0"/>
              <w:rPr>
                <w:sz w:val="17"/>
                <w:szCs w:val="17"/>
                <w:color w:val="auto"/>
              </w:rPr>
            </w:pPr>
          </w:p>
        </w:tc>
      </w:tr>
      <w:tr>
        <w:trPr>
          <w:trHeight w:val="193"/>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Capital - common stock issued</w:t>
            </w:r>
          </w:p>
        </w:tc>
        <w:tc>
          <w:tcPr>
            <w:tcW w:w="140" w:type="dxa"/>
            <w:vAlign w:val="bottom"/>
            <w:tcBorders>
              <w:bottom w:val="single" w:sz="8" w:color="BCBDC0"/>
            </w:tcBorders>
          </w:tcPr>
          <w:p>
            <w:pPr>
              <w:spacing w:after="0"/>
              <w:rPr>
                <w:sz w:val="16"/>
                <w:szCs w:val="16"/>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958</w:t>
            </w:r>
          </w:p>
        </w:tc>
        <w:tc>
          <w:tcPr>
            <w:tcW w:w="260" w:type="dxa"/>
            <w:vAlign w:val="bottom"/>
            <w:tcBorders>
              <w:bottom w:val="single" w:sz="8" w:color="BCBDC0"/>
            </w:tcBorders>
          </w:tcPr>
          <w:p>
            <w:pPr>
              <w:spacing w:after="0"/>
              <w:rPr>
                <w:sz w:val="16"/>
                <w:szCs w:val="16"/>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560" w:type="dxa"/>
            <w:vAlign w:val="bottom"/>
            <w:tcBorders>
              <w:bottom w:val="single" w:sz="8" w:color="BCBDC0"/>
            </w:tcBorders>
          </w:tcPr>
          <w:p>
            <w:pPr>
              <w:ind w:left="500"/>
              <w:spacing w:after="0"/>
              <w:rPr>
                <w:sz w:val="20"/>
                <w:szCs w:val="20"/>
                <w:color w:val="auto"/>
              </w:rPr>
            </w:pPr>
            <w:r>
              <w:rPr>
                <w:rFonts w:ascii="Arial" w:cs="Arial" w:eastAsia="Arial" w:hAnsi="Arial"/>
                <w:sz w:val="14"/>
                <w:szCs w:val="14"/>
                <w:color w:val="auto"/>
              </w:rPr>
              <w:t>- additional paid-in capital</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8,460</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8,141</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(33,182)</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(30,462)</w:t>
            </w:r>
          </w:p>
        </w:tc>
      </w:tr>
      <w:tr>
        <w:trPr>
          <w:trHeight w:val="196"/>
        </w:trPr>
        <w:tc>
          <w:tcPr>
            <w:tcW w:w="75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BCBDC0"/>
            </w:tcBorders>
          </w:tcPr>
          <w:p>
            <w:pPr>
              <w:spacing w:after="0"/>
              <w:rPr>
                <w:sz w:val="17"/>
                <w:szCs w:val="17"/>
                <w:color w:val="auto"/>
              </w:rPr>
            </w:pPr>
          </w:p>
        </w:tc>
        <w:tc>
          <w:tcPr>
            <w:tcW w:w="17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(3,296)</w:t>
            </w:r>
          </w:p>
        </w:tc>
        <w:tc>
          <w:tcPr>
            <w:tcW w:w="260" w:type="dxa"/>
            <w:vAlign w:val="bottom"/>
            <w:tcBorders>
              <w:bottom w:val="single" w:sz="8" w:color="BCBDC0"/>
            </w:tcBorders>
          </w:tcPr>
          <w:p>
            <w:pPr>
              <w:spacing w:after="0"/>
              <w:rPr>
                <w:sz w:val="17"/>
                <w:szCs w:val="17"/>
                <w:color w:val="auto"/>
              </w:rPr>
            </w:pPr>
          </w:p>
        </w:tc>
        <w:tc>
          <w:tcPr>
            <w:tcW w:w="1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(2,895)</w:t>
            </w:r>
          </w:p>
        </w:tc>
      </w:tr>
      <w:tr>
        <w:trPr>
          <w:trHeight w:val="196"/>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44,767</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42,827</w:t>
            </w:r>
          </w:p>
        </w:tc>
      </w:tr>
      <w:tr>
        <w:trPr>
          <w:trHeight w:val="199"/>
        </w:trPr>
        <w:tc>
          <w:tcPr>
            <w:tcW w:w="756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Honeywell shareowners’ equity</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17,707</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18,569</w:t>
            </w:r>
          </w:p>
        </w:tc>
      </w:tr>
      <w:tr>
        <w:trPr>
          <w:trHeight w:val="193"/>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D7282F"/>
            </w:tcBorders>
          </w:tcPr>
          <w:p>
            <w:pPr>
              <w:spacing w:after="0"/>
              <w:rPr>
                <w:sz w:val="16"/>
                <w:szCs w:val="16"/>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623</w:t>
            </w:r>
          </w:p>
        </w:tc>
        <w:tc>
          <w:tcPr>
            <w:tcW w:w="26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673</w:t>
            </w:r>
          </w:p>
        </w:tc>
      </w:tr>
      <w:tr>
        <w:trPr>
          <w:trHeight w:val="199"/>
        </w:trPr>
        <w:tc>
          <w:tcPr>
            <w:tcW w:w="756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shareowners’ equity</w:t>
            </w:r>
          </w:p>
        </w:tc>
        <w:tc>
          <w:tcPr>
            <w:tcW w:w="14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18,330</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19,242</w:t>
            </w:r>
          </w:p>
        </w:tc>
      </w:tr>
      <w:tr>
        <w:trPr>
          <w:trHeight w:val="196"/>
        </w:trPr>
        <w:tc>
          <w:tcPr>
            <w:tcW w:w="756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60,287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Pr>
          <w:p>
            <w:pPr>
              <w:spacing w:after="0"/>
              <w:rPr>
                <w:sz w:val="17"/>
                <w:szCs w:val="17"/>
                <w:color w:val="auto"/>
              </w:rPr>
            </w:pPr>
          </w:p>
        </w:tc>
        <w:tc>
          <w:tcPr>
            <w:tcW w:w="2920" w:type="dxa"/>
            <w:vAlign w:val="bottom"/>
            <w:tcBorders>
              <w:bottom w:val="single" w:sz="8" w:color="D7282F"/>
            </w:tcBorders>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320" w:type="dxa"/>
            <w:vAlign w:val="bottom"/>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D7282F"/>
            </w:tcBorders>
          </w:tcPr>
          <w:p>
            <w:pPr>
              <w:spacing w:after="0"/>
              <w:rPr>
                <w:sz w:val="17"/>
                <w:szCs w:val="17"/>
                <w:color w:val="auto"/>
              </w:rPr>
            </w:pPr>
          </w:p>
        </w:tc>
        <w:tc>
          <w:tcPr>
            <w:tcW w:w="240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r>
      <w:tr>
        <w:trPr>
          <w:trHeight w:val="193"/>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BCBDC0"/>
            </w:tcBorders>
          </w:tcPr>
          <w:p>
            <w:pPr>
              <w:jc w:val="right"/>
              <w:ind w:right="6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3,946</w:t>
            </w:r>
          </w:p>
        </w:tc>
        <w:tc>
          <w:tcPr>
            <w:tcW w:w="940" w:type="dxa"/>
            <w:vAlign w:val="bottom"/>
            <w:tcBorders>
              <w:bottom w:val="single" w:sz="8" w:color="BCBDC0"/>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4,168</w:t>
            </w:r>
          </w:p>
        </w:tc>
      </w:tr>
      <w:tr>
        <w:trPr>
          <w:trHeight w:val="196"/>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Less: Net income (loss) attributable to the noncontrolling interest</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r>
      <w:tr>
        <w:trPr>
          <w:trHeight w:val="199"/>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Net income attributable to Honeywell</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3,947</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4,114</w:t>
            </w:r>
          </w:p>
        </w:tc>
      </w:tr>
      <w:tr>
        <w:trPr>
          <w:trHeight w:val="193"/>
        </w:trPr>
        <w:tc>
          <w:tcPr>
            <w:tcW w:w="832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820" w:type="dxa"/>
            <w:vAlign w:val="bottom"/>
            <w:tcBorders>
              <w:bottom w:val="single" w:sz="8" w:color="BCBDC0"/>
            </w:tcBorders>
          </w:tcPr>
          <w:p>
            <w:pPr>
              <w:spacing w:after="0"/>
              <w:rPr>
                <w:sz w:val="16"/>
                <w:szCs w:val="16"/>
                <w:color w:val="auto"/>
              </w:rPr>
            </w:pPr>
          </w:p>
        </w:tc>
        <w:tc>
          <w:tcPr>
            <w:tcW w:w="64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spacing w:after="0"/>
              <w:rPr>
                <w:sz w:val="16"/>
                <w:szCs w:val="16"/>
                <w:color w:val="auto"/>
              </w:rPr>
            </w:pP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Depreciation</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494</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506</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Amortization</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411</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427</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Gain on sale of non-strategic businesses and assets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Repositioning and other charges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714</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338</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Net payments for repositioning and other charges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(316)</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(505)</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Pension and other postretirement income</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(778)</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(862)</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Pension and other postretirement benefit payments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Stock compensation expense</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163</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172</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Deferred income taxes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208</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189</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200</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(106)</w:t>
            </w:r>
          </w:p>
        </w:tc>
      </w:tr>
      <w:tr>
        <w:trPr>
          <w:trHeight w:val="196"/>
        </w:trPr>
        <w:tc>
          <w:tcPr>
            <w:tcW w:w="83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r>
      <w:tr>
        <w:trPr>
          <w:trHeight w:val="196"/>
        </w:trPr>
        <w:tc>
          <w:tcPr>
            <w:tcW w:w="83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Accounts receivable</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(660)</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(419)</w:t>
            </w:r>
          </w:p>
        </w:tc>
      </w:tr>
      <w:tr>
        <w:trPr>
          <w:trHeight w:val="196"/>
        </w:trPr>
        <w:tc>
          <w:tcPr>
            <w:tcW w:w="83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Inventories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(390)</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(516)</w:t>
            </w:r>
          </w:p>
        </w:tc>
      </w:tr>
      <w:tr>
        <w:trPr>
          <w:trHeight w:val="196"/>
        </w:trPr>
        <w:tc>
          <w:tcPr>
            <w:tcW w:w="83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Other current assets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125</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(324)</w:t>
            </w:r>
          </w:p>
        </w:tc>
      </w:tr>
      <w:tr>
        <w:trPr>
          <w:trHeight w:val="196"/>
        </w:trPr>
        <w:tc>
          <w:tcPr>
            <w:tcW w:w="83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Accounts payable</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(365)</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379</w:t>
            </w:r>
          </w:p>
        </w:tc>
      </w:tr>
      <w:tr>
        <w:trPr>
          <w:trHeight w:val="196"/>
        </w:trPr>
        <w:tc>
          <w:tcPr>
            <w:tcW w:w="8320" w:type="dxa"/>
            <w:vAlign w:val="bottom"/>
            <w:tcBorders>
              <w:bottom w:val="single" w:sz="8" w:color="D7282F"/>
            </w:tcBorders>
          </w:tcPr>
          <w:p>
            <w:pPr>
              <w:ind w:left="680"/>
              <w:spacing w:after="0"/>
              <w:rPr>
                <w:sz w:val="20"/>
                <w:szCs w:val="20"/>
                <w:color w:val="auto"/>
              </w:rPr>
            </w:pPr>
            <w:r>
              <w:rPr>
                <w:rFonts w:ascii="Arial" w:cs="Arial" w:eastAsia="Arial" w:hAnsi="Arial"/>
                <w:sz w:val="14"/>
                <w:szCs w:val="14"/>
                <w:color w:val="auto"/>
              </w:rPr>
              <w:t>Accrued liabilities</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(821)</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106</w:t>
            </w:r>
          </w:p>
        </w:tc>
      </w:tr>
      <w:tr>
        <w:trPr>
          <w:trHeight w:val="199"/>
        </w:trPr>
        <w:tc>
          <w:tcPr>
            <w:tcW w:w="83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2,908</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3,375</w:t>
            </w:r>
          </w:p>
        </w:tc>
      </w:tr>
      <w:tr>
        <w:trPr>
          <w:trHeight w:val="196"/>
        </w:trPr>
        <w:tc>
          <w:tcPr>
            <w:tcW w:w="83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r>
      <w:tr>
        <w:trPr>
          <w:trHeight w:val="193"/>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Expenditures for property, plant and equipment</w:t>
            </w:r>
          </w:p>
        </w:tc>
        <w:tc>
          <w:tcPr>
            <w:tcW w:w="820" w:type="dxa"/>
            <w:vAlign w:val="bottom"/>
            <w:tcBorders>
              <w:bottom w:val="single" w:sz="8" w:color="BCBDC0"/>
            </w:tcBorders>
          </w:tcPr>
          <w:p>
            <w:pPr>
              <w:spacing w:after="0"/>
              <w:rPr>
                <w:sz w:val="16"/>
                <w:szCs w:val="16"/>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(525)</w:t>
            </w:r>
          </w:p>
        </w:tc>
        <w:tc>
          <w:tcPr>
            <w:tcW w:w="94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(614)</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disposals of property, plant and equipment</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Increase in investments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(834)</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(1,989)</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Decrease in investments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884</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1,906</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Receipts from Garrett Motion Inc.</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409</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375</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Receipts from settlements of derivative contracts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773</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88</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paid for acquisitions, net of cash acquired</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(178)</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(1,334)</w:t>
            </w:r>
          </w:p>
        </w:tc>
      </w:tr>
      <w:tr>
        <w:trPr>
          <w:trHeight w:val="196"/>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Proceeds from sales of businesses, net of fees paid</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203</w:t>
            </w:r>
          </w:p>
        </w:tc>
      </w:tr>
      <w:tr>
        <w:trPr>
          <w:trHeight w:val="199"/>
        </w:trPr>
        <w:tc>
          <w:tcPr>
            <w:tcW w:w="83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provided by (used for) investing activities</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540</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(1,347)</w:t>
            </w:r>
          </w:p>
        </w:tc>
      </w:tr>
      <w:tr>
        <w:trPr>
          <w:trHeight w:val="196"/>
        </w:trPr>
        <w:tc>
          <w:tcPr>
            <w:tcW w:w="83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r>
      <w:tr>
        <w:trPr>
          <w:trHeight w:val="193"/>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20" w:type="dxa"/>
            <w:vAlign w:val="bottom"/>
            <w:tcBorders>
              <w:bottom w:val="single" w:sz="8" w:color="BCBDC0"/>
            </w:tcBorders>
          </w:tcPr>
          <w:p>
            <w:pPr>
              <w:spacing w:after="0"/>
              <w:rPr>
                <w:sz w:val="16"/>
                <w:szCs w:val="16"/>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5,310</w:t>
            </w:r>
          </w:p>
        </w:tc>
        <w:tc>
          <w:tcPr>
            <w:tcW w:w="94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3,640</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Payments of commercial paper and other short-term borrowings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(5,324)</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(3,637)</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121</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171</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2,509</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Payments of long-term debt</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(1,818)</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(3,355)</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Repurchases of common stock</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(2,827)</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(2,499)</w:t>
            </w:r>
          </w:p>
        </w:tc>
      </w:tr>
      <w:tr>
        <w:trPr>
          <w:trHeight w:val="196"/>
        </w:trPr>
        <w:tc>
          <w:tcPr>
            <w:tcW w:w="83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dividends paid</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(2,028)</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(1,950)</w:t>
            </w:r>
          </w:p>
        </w:tc>
      </w:tr>
      <w:tr>
        <w:trPr>
          <w:trHeight w:val="196"/>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(45)</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w:t>
            </w:r>
          </w:p>
        </w:tc>
      </w:tr>
      <w:tr>
        <w:trPr>
          <w:trHeight w:val="199"/>
        </w:trPr>
        <w:tc>
          <w:tcPr>
            <w:tcW w:w="83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used for financing activities</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(6,609)</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(5,195)</w:t>
            </w:r>
          </w:p>
        </w:tc>
      </w:tr>
      <w:tr>
        <w:trPr>
          <w:trHeight w:val="193"/>
        </w:trPr>
        <w:tc>
          <w:tcPr>
            <w:tcW w:w="8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20" w:type="dxa"/>
            <w:vAlign w:val="bottom"/>
            <w:tcBorders>
              <w:bottom w:val="single" w:sz="8" w:color="BCBDC0"/>
            </w:tcBorders>
          </w:tcPr>
          <w:p>
            <w:pPr>
              <w:spacing w:after="0"/>
              <w:rPr>
                <w:sz w:val="16"/>
                <w:szCs w:val="16"/>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(349)</w:t>
            </w:r>
          </w:p>
        </w:tc>
        <w:tc>
          <w:tcPr>
            <w:tcW w:w="94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8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82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(3,510)</w:t>
            </w:r>
          </w:p>
        </w:tc>
        <w:tc>
          <w:tcPr>
            <w:tcW w:w="94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(3,188)</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10,959</w:t>
            </w:r>
          </w:p>
        </w:tc>
        <w:tc>
          <w:tcPr>
            <w:tcW w:w="94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14,275</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20" w:type="dxa"/>
            <w:vAlign w:val="bottom"/>
            <w:tcBorders>
              <w:bottom w:val="single" w:sz="8" w:color="D7282F"/>
            </w:tcBorders>
          </w:tcPr>
          <w:p>
            <w:pPr>
              <w:jc w:val="right"/>
              <w:ind w:right="6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7,449</w:t>
            </w:r>
          </w:p>
        </w:tc>
        <w:tc>
          <w:tcPr>
            <w:tcW w:w="940" w:type="dxa"/>
            <w:vAlign w:val="bottom"/>
            <w:tcBorders>
              <w:bottom w:val="single" w:sz="8" w:color="D7282F"/>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11,087</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31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1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1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D7282F"/>
            </w:tcBorders>
          </w:tcPr>
          <w:p>
            <w:pPr>
              <w:spacing w:after="0"/>
              <w:rPr>
                <w:sz w:val="18"/>
                <w:szCs w:val="18"/>
                <w:color w:val="auto"/>
              </w:rPr>
            </w:pPr>
          </w:p>
        </w:tc>
        <w:tc>
          <w:tcPr>
            <w:tcW w:w="1120" w:type="dxa"/>
            <w:vAlign w:val="bottom"/>
            <w:tcBorders>
              <w:bottom w:val="single" w:sz="8" w:color="D7282F"/>
            </w:tcBorders>
          </w:tcPr>
          <w:p>
            <w:pPr>
              <w:spacing w:after="0"/>
              <w:rPr>
                <w:sz w:val="18"/>
                <w:szCs w:val="18"/>
                <w:color w:val="auto"/>
              </w:rPr>
            </w:pPr>
          </w:p>
        </w:tc>
        <w:tc>
          <w:tcPr>
            <w:tcW w:w="800" w:type="dxa"/>
            <w:vAlign w:val="bottom"/>
            <w:tcBorders>
              <w:bottom w:val="single" w:sz="8" w:color="D7282F"/>
            </w:tcBorders>
          </w:tcPr>
          <w:p>
            <w:pPr>
              <w:spacing w:after="0"/>
              <w:rPr>
                <w:sz w:val="18"/>
                <w:szCs w:val="18"/>
                <w:color w:val="auto"/>
              </w:rPr>
            </w:pPr>
          </w:p>
        </w:tc>
        <w:tc>
          <w:tcPr>
            <w:tcW w:w="400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8"/>
                <w:szCs w:val="18"/>
                <w:color w:val="auto"/>
              </w:rPr>
            </w:pPr>
          </w:p>
        </w:tc>
        <w:tc>
          <w:tcPr>
            <w:tcW w:w="620" w:type="dxa"/>
            <w:vAlign w:val="bottom"/>
            <w:tcBorders>
              <w:bottom w:val="single" w:sz="8" w:color="D7282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2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958</w:t>
            </w:r>
          </w:p>
        </w:tc>
        <w:tc>
          <w:tcPr>
            <w:tcW w:w="1220" w:type="dxa"/>
            <w:vAlign w:val="bottom"/>
            <w:tcBorders>
              <w:bottom w:val="single" w:sz="8" w:color="BCBDC0"/>
            </w:tcBorders>
          </w:tcPr>
          <w:p>
            <w:pPr>
              <w:jc w:val="right"/>
              <w:ind w:right="388"/>
              <w:spacing w:after="0"/>
              <w:rPr>
                <w:sz w:val="20"/>
                <w:szCs w:val="20"/>
                <w:color w:val="auto"/>
              </w:rPr>
            </w:pPr>
            <w:r>
              <w:rPr>
                <w:rFonts w:ascii="Arial" w:cs="Arial" w:eastAsia="Arial" w:hAnsi="Arial"/>
                <w:sz w:val="14"/>
                <w:szCs w:val="14"/>
                <w:color w:val="auto"/>
              </w:rPr>
              <w:t>957.6</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8,397</w:t>
            </w:r>
          </w:p>
        </w:tc>
        <w:tc>
          <w:tcPr>
            <w:tcW w:w="1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7,566</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8,141</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7,292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12</w:t>
            </w: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146</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51</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173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8,460</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7,612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8,460</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7,612</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(283.9)</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(32,814)</w:t>
            </w:r>
          </w:p>
        </w:tc>
        <w:tc>
          <w:tcPr>
            <w:tcW w:w="1220" w:type="dxa"/>
            <w:vAlign w:val="bottom"/>
            <w:tcBorders>
              <w:bottom w:val="single" w:sz="8" w:color="BCBDC0"/>
            </w:tcBorders>
          </w:tcPr>
          <w:p>
            <w:pPr>
              <w:jc w:val="right"/>
              <w:ind w:right="348"/>
              <w:spacing w:after="0"/>
              <w:rPr>
                <w:sz w:val="20"/>
                <w:szCs w:val="20"/>
                <w:color w:val="auto"/>
              </w:rPr>
            </w:pPr>
            <w:r>
              <w:rPr>
                <w:rFonts w:ascii="Arial" w:cs="Arial" w:eastAsia="Arial" w:hAnsi="Arial"/>
                <w:sz w:val="14"/>
                <w:szCs w:val="14"/>
                <w:color w:val="auto"/>
              </w:rPr>
              <w:t>(267.2)</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(28,978)</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(272.8)</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(30,462)</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(260.8)</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(27,229)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2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(2.1)</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(390)</w:t>
            </w:r>
          </w:p>
        </w:tc>
        <w:tc>
          <w:tcPr>
            <w:tcW w:w="1220" w:type="dxa"/>
            <w:vAlign w:val="bottom"/>
            <w:tcBorders>
              <w:bottom w:val="single" w:sz="8" w:color="BCBDC0"/>
            </w:tcBorders>
          </w:tcPr>
          <w:p>
            <w:pPr>
              <w:jc w:val="right"/>
              <w:ind w:right="348"/>
              <w:spacing w:after="0"/>
              <w:rPr>
                <w:sz w:val="20"/>
                <w:szCs w:val="20"/>
                <w:color w:val="auto"/>
              </w:rPr>
            </w:pPr>
            <w:r>
              <w:rPr>
                <w:rFonts w:ascii="Arial" w:cs="Arial" w:eastAsia="Arial" w:hAnsi="Arial"/>
                <w:sz w:val="14"/>
                <w:szCs w:val="14"/>
                <w:color w:val="auto"/>
              </w:rPr>
              <w:t>(2.9)</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(650)</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(15.1)</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(2,827)</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(11.5)</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22</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0.9</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2.6</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107</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3.1</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(285.3)</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(33,182)</w:t>
            </w:r>
          </w:p>
        </w:tc>
        <w:tc>
          <w:tcPr>
            <w:tcW w:w="12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(269.2)</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(29,614)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(285.3)</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(33,182)</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(269.2)</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(29,614)</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43,883</w:t>
            </w:r>
          </w:p>
        </w:tc>
        <w:tc>
          <w:tcPr>
            <w:tcW w:w="1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41,467</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42,827</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39,905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1,552</w:t>
            </w: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1,257</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3,947</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4,114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(668)</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(2,007)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44,767</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42,079</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44,767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42,079</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(2,883)</w:t>
            </w:r>
          </w:p>
        </w:tc>
        <w:tc>
          <w:tcPr>
            <w:tcW w:w="1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(3,075)</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(2,895)</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(3,377)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(409)</w:t>
            </w: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(92)</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(378)</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0" w:lineRule="exact"/>
              <w:rPr>
                <w:sz w:val="20"/>
                <w:szCs w:val="20"/>
                <w:color w:val="auto"/>
              </w:rPr>
            </w:pPr>
            <w:r>
              <w:rPr>
                <w:rFonts w:ascii="Arial" w:cs="Arial" w:eastAsia="Arial" w:hAnsi="Arial"/>
                <w:sz w:val="14"/>
                <w:szCs w:val="14"/>
                <w:color w:val="auto"/>
              </w:rPr>
              <w:t>Pension and other postretirement benefit</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(10)</w:t>
            </w:r>
          </w:p>
        </w:tc>
        <w:tc>
          <w:tcPr>
            <w:tcW w:w="1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(44)</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adjustments</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vMerge w:val="continue"/>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Pr>
          <w:p>
            <w:pPr>
              <w:ind w:left="140"/>
              <w:spacing w:after="0" w:line="147" w:lineRule="exact"/>
              <w:rPr>
                <w:sz w:val="20"/>
                <w:szCs w:val="20"/>
                <w:color w:val="auto"/>
              </w:rPr>
            </w:pPr>
            <w:r>
              <w:rPr>
                <w:rFonts w:ascii="Arial" w:cs="Arial" w:eastAsia="Arial" w:hAnsi="Arial"/>
                <w:sz w:val="14"/>
                <w:szCs w:val="14"/>
                <w:color w:val="auto"/>
              </w:rPr>
              <w:t>Changes in fair value of available for sale</w:t>
            </w:r>
          </w:p>
        </w:tc>
        <w:tc>
          <w:tcPr>
            <w:tcW w:w="112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w:t>
            </w:r>
          </w:p>
        </w:tc>
        <w:tc>
          <w:tcPr>
            <w:tcW w:w="122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(7)</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investments</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gridSpan w:val="2"/>
            <w:vMerge w:val="continue"/>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w:t>
            </w:r>
          </w:p>
        </w:tc>
        <w:tc>
          <w:tcPr>
            <w:tcW w:w="122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28</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(3,296)</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(3,193)</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(3,296)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649</w:t>
            </w:r>
          </w:p>
        </w:tc>
        <w:tc>
          <w:tcPr>
            <w:tcW w:w="1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264</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673</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Acquisitions, divestitures, and other</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1" w:lineRule="exact"/>
              <w:rPr>
                <w:sz w:val="20"/>
                <w:szCs w:val="20"/>
                <w:color w:val="auto"/>
              </w:rPr>
            </w:pPr>
            <w:r>
              <w:rPr>
                <w:rFonts w:ascii="Arial" w:cs="Arial" w:eastAsia="Arial" w:hAnsi="Arial"/>
                <w:sz w:val="14"/>
                <w:szCs w:val="14"/>
                <w:color w:val="auto"/>
              </w:rPr>
              <w:t>Net income (loss) attributable to noncontrolling</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(3)</w:t>
            </w:r>
          </w:p>
        </w:tc>
        <w:tc>
          <w:tcPr>
            <w:tcW w:w="1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interest</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vMerge w:val="continue"/>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(14)</w:t>
            </w:r>
          </w:p>
        </w:tc>
        <w:tc>
          <w:tcPr>
            <w:tcW w:w="1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(21)</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Dividends paid</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(9)</w:t>
            </w:r>
          </w:p>
        </w:tc>
        <w:tc>
          <w:tcPr>
            <w:tcW w:w="1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(42)</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623</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623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672.3</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18,330</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688.4</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18,114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672.3</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18,330</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688.4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18,114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0.980</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0.930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2.940</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consisting only of normal recurring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and nine months ended September 30, 2022 and 2021, were October 1, 2022, and October 2, 2021,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accounting policies of the Company are set forth in Note 1 to the Company's Consolidated Financial Statements contained in the Company’s 2021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have been reclassified to conform to the current year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Obligations</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is effective on January 1, 2023, except for the rollforward, which is effective on January 1, 2024. The Company is currently evaluating the impacts of this guidance on the Company’s Consolidated Financial Statements.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to expand the scope of this guidance to include derivatives. The guidance was effective upon issuance and may be applied prospectively to contract modifications made and hedging relationships entered into on or before December 31, 2022. The Company will apply the guidance to impacted transactions during the transition period. The adoption of this standard does not have a material impact on the Company’s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Contract Assets and Contract Liabilities from Contracts</w:t>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contract assets and contract liabilities acquired in a business combination to be recognized and measured by the acquirer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date in accordance with ASC 606, Revenue from Contracts with Customers. This ASU should be applied prospectively to acquisitions occurring on or after the effective date of December 15, 2022, and early adoption is permitted. The Company adopted this guidance on January 1, 2022. The adoption of this standard does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January 18, 2022, the Company acquired 100% of the issued and outstanding shares of US Digital Design, Inc., a leading provider of technologies for first responders, for total consideration of $186 million. The business is included within the Honeywell Building Technologies segment. The assets and liabilities acquired with US Digital Designs, Inc. are included in the Consolidated Balance Sheet as of September 30, 2022, including $53 million of intangible assets and $129 million allocated to goodwill, which is deductible for tax purposes. The purchase accounting is subject to final adjustment, primarily for the valuation of intangible assets, amounts allocated to goodwill, and tax balances.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conjunction with the wind down of our businesses and operations in Russia (the Wind down), on September 2, 2022, the Company completed the sale of an entity domiciled in Russia in exchange for gross cash consideration of less than $1 million. The Company recognized a pre-tax gain of $10 million, which was recorded in Other (income) expense in the Consolidated Statement of Operations, driven by a favorable foreign currency cumulative translation adjustment at the time of sale. The financial results of the entity were previously included in the Performance Materials and Technologies reportable business segment.</w:t>
      </w: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October 2022, the Company completed the sale of two additional entities domiciled in Russia for an immaterial amount. The financial results of the two additional entities are included in the Performance Materials and Technologies, Honeywell Building Technologies, and Safety and Productivity Solutions reportable business segments. The impact of the two additional sales will be reported in fourth quarter 2022 results.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2022, the Company had no material adjustments for acquisitions or divestitures completed during 2021. See Note 2 Acquisitions and Divestitures of Notes to Consolidated Financial Statements in the Company's 2021 Annual Report on Form 10-K for discussion of acquisitions and divestitures during 2021.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Honeywell generates revenue from a comprehensive offering of products and services, including software and technologies, that are sold to a variety of customers in multiple end markets. See the following table and related discussions by reportable business segment for details.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16"/>
                <w:szCs w:val="16"/>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Aviation Original Equipment</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538</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415</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1,543</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1,282</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Aviation Aftermarket</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1,339</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1,083</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3,715</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3,008</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Defense and Space</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1,099</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1,234</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3,365</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3,840</w:t>
            </w: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2,976</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2,732</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8,623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8,130</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915</w:t>
            </w:r>
          </w:p>
        </w:tc>
        <w:tc>
          <w:tcPr>
            <w:tcW w:w="24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787</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2,730</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2,383</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Building Solutions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611</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583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1,756</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1,752</w:t>
            </w: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1,526</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1,370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4,486</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UOP</w:t>
            </w:r>
          </w:p>
        </w:tc>
        <w:tc>
          <w:tcPr>
            <w:tcW w:w="3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633</w:t>
            </w:r>
          </w:p>
        </w:tc>
        <w:tc>
          <w:tcPr>
            <w:tcW w:w="24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600</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1,677</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1,698</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Process Solutions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1,141</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1,160</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3,472</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3,422</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Advanced Materials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946</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750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2,718</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2,288</w:t>
            </w: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2,720</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2,510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7,867</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7,408</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Sensing and Safety Technologies</w:t>
            </w:r>
          </w:p>
        </w:tc>
        <w:tc>
          <w:tcPr>
            <w:tcW w:w="3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736</w:t>
            </w:r>
          </w:p>
        </w:tc>
        <w:tc>
          <w:tcPr>
            <w:tcW w:w="24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748</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2,237</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2,520</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Productivity Solutions and Services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401</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411</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1,234</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1,144</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Warehouse and Workflow Solutions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590</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702</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1,829</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2,398</w:t>
            </w: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1,727</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1,861</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5,300</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6,062</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8,951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8,473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26,280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25,735</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July 2022, the Company realigned certain business units within the Safety and Productivity Solutions reportable business segment. The Safety and Retail business unit, which included our gas detection and safety business, combined with the Advanced Sensing and Technologies business unit to form the Sensing and Safety Technologies business unit. The Company recast historical periods to reflect this realignment.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Aerospace </w:t>
      </w:r>
      <w:r>
        <w:rPr>
          <w:rFonts w:ascii="Arial" w:cs="Arial" w:eastAsia="Arial" w:hAnsi="Arial"/>
          <w:sz w:val="16"/>
          <w:szCs w:val="16"/>
          <w:color w:val="auto"/>
        </w:rPr>
        <w:t>– A global supplier of products, software and services for aircrafts that it sells to OEM and other customers in a variety of end markets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the Company's customers as tools to turn data into predictive maintenance and predictive analytics to enable better fleet management and make flight operations more efficient.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Honeywell Building Technologies </w:t>
      </w:r>
      <w:r>
        <w:rPr>
          <w:rFonts w:ascii="Arial" w:cs="Arial" w:eastAsia="Arial" w:hAnsi="Arial"/>
          <w:sz w:val="16"/>
          <w:szCs w:val="16"/>
          <w:color w:val="auto"/>
        </w:rPr>
        <w:t>– A global provider of products, software, solutions, and technologies that enable building owners and occupants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Performance Materials and Technologies </w:t>
      </w:r>
      <w:r>
        <w:rPr>
          <w:rFonts w:ascii="Arial" w:cs="Arial" w:eastAsia="Arial" w:hAnsi="Arial"/>
          <w:sz w:val="16"/>
          <w:szCs w:val="16"/>
          <w:color w:val="auto"/>
        </w:rPr>
        <w:t>– A global provider in developing and manufacturing high-quality performance chemicals and materials,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Safety and Productivity Solutions </w:t>
      </w:r>
      <w:r>
        <w:rPr>
          <w:rFonts w:ascii="Arial" w:cs="Arial" w:eastAsia="Arial" w:hAnsi="Arial"/>
          <w:sz w:val="16"/>
          <w:szCs w:val="16"/>
          <w:color w:val="auto"/>
        </w:rPr>
        <w:t>– A global provider of products and software that improve productivity, workplace safety and asset performance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around the globe. Sensing and Safety Technologies products include PPE, apparel, gear, and footwear; gas detection technology; custom-engineered sensors, switches and controls for sensing and productivity solutions; and cloud-based notification and emergency messaging. Productivity Solutions products and services include mobile devices and software for computing, data collection, and thermal printing; supply chain and warehouse automation equipment, software and solutions; and software-based data and asset management productivity solutions. Honeywell Forge solutions digitally automate processes to improve efficiency while reducing downtime and safety costs.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segment, refer to Note 17 Segment Financial Data.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revenue from performance obligations to customers that are satisfied at a point in time and over time. The disaggregation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Company's revenue based off timing of recognition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42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 September</w:t>
            </w:r>
          </w:p>
        </w:tc>
      </w:tr>
      <w:tr>
        <w:trPr>
          <w:trHeight w:val="185"/>
        </w:trPr>
        <w:tc>
          <w:tcPr>
            <w:tcW w:w="6620" w:type="dxa"/>
            <w:vAlign w:val="bottom"/>
          </w:tcPr>
          <w:p>
            <w:pPr>
              <w:spacing w:after="0"/>
              <w:rPr>
                <w:sz w:val="16"/>
                <w:szCs w:val="16"/>
                <w:color w:val="auto"/>
              </w:rPr>
            </w:pPr>
          </w:p>
        </w:tc>
        <w:tc>
          <w:tcPr>
            <w:tcW w:w="2420" w:type="dxa"/>
            <w:vAlign w:val="bottom"/>
            <w:gridSpan w:val="3"/>
          </w:tcPr>
          <w:p>
            <w:pPr>
              <w:ind w:left="60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rPr>
              <w:t>30,</w:t>
            </w:r>
          </w:p>
        </w:tc>
        <w:tc>
          <w:tcPr>
            <w:tcW w:w="860" w:type="dxa"/>
            <w:vAlign w:val="bottom"/>
          </w:tcPr>
          <w:p>
            <w:pPr>
              <w:spacing w:after="0"/>
              <w:rPr>
                <w:sz w:val="16"/>
                <w:szCs w:val="16"/>
                <w:color w:val="auto"/>
              </w:rPr>
            </w:pPr>
          </w:p>
        </w:tc>
      </w:tr>
      <w:tr>
        <w:trPr>
          <w:trHeight w:val="195"/>
        </w:trPr>
        <w:tc>
          <w:tcPr>
            <w:tcW w:w="6620" w:type="dxa"/>
            <w:vAlign w:val="bottom"/>
            <w:tcBorders>
              <w:bottom w:val="single" w:sz="8" w:color="D7282F"/>
            </w:tcBorders>
          </w:tcPr>
          <w:p>
            <w:pPr>
              <w:spacing w:after="0"/>
              <w:rPr>
                <w:sz w:val="16"/>
                <w:szCs w:val="16"/>
                <w:color w:val="auto"/>
              </w:rPr>
            </w:pPr>
          </w:p>
        </w:tc>
        <w:tc>
          <w:tcPr>
            <w:tcW w:w="1280" w:type="dxa"/>
            <w:vAlign w:val="bottom"/>
            <w:tcBorders>
              <w:top w:val="single" w:sz="8" w:color="D7282F"/>
              <w:bottom w:val="single" w:sz="8" w:color="D7282F"/>
            </w:tcBorders>
          </w:tcPr>
          <w:p>
            <w:pPr>
              <w:ind w:left="38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7282F"/>
            </w:tcBorders>
          </w:tcPr>
          <w:p>
            <w:pPr>
              <w:spacing w:after="0"/>
              <w:rPr>
                <w:sz w:val="16"/>
                <w:szCs w:val="16"/>
                <w:color w:val="auto"/>
              </w:rPr>
            </w:pPr>
          </w:p>
        </w:tc>
        <w:tc>
          <w:tcPr>
            <w:tcW w:w="1340" w:type="dxa"/>
            <w:vAlign w:val="bottom"/>
            <w:tcBorders>
              <w:top w:val="single" w:sz="8" w:color="D7282F"/>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top w:val="single" w:sz="8" w:color="D7282F"/>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193"/>
        </w:trPr>
        <w:tc>
          <w:tcPr>
            <w:tcW w:w="66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61 %</w:t>
            </w: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58 %</w:t>
            </w:r>
          </w:p>
        </w:tc>
        <w:tc>
          <w:tcPr>
            <w:tcW w:w="240" w:type="dxa"/>
            <w:vAlign w:val="bottom"/>
            <w:tcBorders>
              <w:bottom w:val="single" w:sz="8" w:color="BCBDC0"/>
            </w:tcBorders>
          </w:tcPr>
          <w:p>
            <w:pPr>
              <w:spacing w:after="0"/>
              <w:rPr>
                <w:sz w:val="16"/>
                <w:szCs w:val="16"/>
                <w:color w:val="auto"/>
              </w:rPr>
            </w:pPr>
          </w:p>
        </w:tc>
        <w:tc>
          <w:tcPr>
            <w:tcW w:w="13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60 %</w:t>
            </w: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58 %</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13</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14</w:t>
            </w: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r>
      <w:tr>
        <w:trPr>
          <w:trHeight w:val="199"/>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product sales</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74</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74</w:t>
            </w: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w:t>
            </w:r>
          </w:p>
        </w:tc>
      </w:tr>
      <w:tr>
        <w:trPr>
          <w:trHeight w:val="193"/>
        </w:trPr>
        <w:tc>
          <w:tcPr>
            <w:tcW w:w="66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80" w:type="dxa"/>
            <w:vAlign w:val="bottom"/>
            <w:tcBorders>
              <w:bottom w:val="single" w:sz="8" w:color="BCBDC0"/>
            </w:tcBorders>
          </w:tcPr>
          <w:p>
            <w:pPr>
              <w:jc w:val="right"/>
              <w:ind w:right="308"/>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BCBDC0"/>
            </w:tcBorders>
          </w:tcPr>
          <w:p>
            <w:pPr>
              <w:spacing w:after="0"/>
              <w:rPr>
                <w:sz w:val="16"/>
                <w:szCs w:val="16"/>
                <w:color w:val="auto"/>
              </w:rPr>
            </w:pPr>
          </w:p>
        </w:tc>
        <w:tc>
          <w:tcPr>
            <w:tcW w:w="134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8</w:t>
            </w:r>
          </w:p>
        </w:tc>
        <w:tc>
          <w:tcPr>
            <w:tcW w:w="8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19</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18</w:t>
            </w: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r>
      <w:tr>
        <w:trPr>
          <w:trHeight w:val="199"/>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service sales</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26</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26</w:t>
            </w: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100 %</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100 %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records progress on satisfying performance obligations to customers, and the related billings and cash collections,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Unbilled receivable balance increases when the revenue associated with the contract is recognized prior to billing and decreases when billed in accordance with the terms of the contract. Contract liabilities increase when customers remit contractual cash payments in advance of the Company satisfying performance obligations under contractual arrangements, including those with performance obligations to be satisfied over a period of time. Contract liabilities decrease when revenue is recorded, either when a milestone is met triggering the contractual right to bill or when the performance obligation is satisfied.</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6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Contract assets - January 1</w:t>
            </w:r>
          </w:p>
        </w:tc>
        <w:tc>
          <w:tcPr>
            <w:tcW w:w="31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2,060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1,618</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 - September 30</w:t>
            </w: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2,239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2,087</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469</w:t>
            </w:r>
          </w:p>
        </w:tc>
      </w:tr>
      <w:tr>
        <w:trPr>
          <w:trHeight w:val="193"/>
        </w:trPr>
        <w:tc>
          <w:tcPr>
            <w:tcW w:w="6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Contract liabilities - January 1</w:t>
            </w:r>
          </w:p>
        </w:tc>
        <w:tc>
          <w:tcPr>
            <w:tcW w:w="31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(4,290)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(4,033)</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 - September 30</w:t>
            </w: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(4,177)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(3,840)</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Change in contract liabilities - decrease (increase)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193</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change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662</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and nine months ended September 30, 2022, the Company recognized revenue of $362 million and $1,633 million, respectively, that was previously included in the beginning balance of contract liabilities. For the three and nine months ended September 30, 2021, the Company recognized revenue of $225 million and $1,786 million, respectively, that was previously included in the beginning balance of contract liabilities.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Contract assets include $2,208 million and $2,035 million of unbilled balances under long-term contracts as of September 30, 2022 and December 31, 2021, respectively. These amounts are billed in accordance with the terms of customer contracts to which they relate.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40" w:type="dxa"/>
            <w:vAlign w:val="bottom"/>
            <w:tcBorders>
              <w:bottom w:val="single" w:sz="8" w:color="D7282F"/>
            </w:tcBorders>
          </w:tcPr>
          <w:p>
            <w:pPr>
              <w:spacing w:after="0"/>
              <w:rPr>
                <w:sz w:val="17"/>
                <w:szCs w:val="17"/>
                <w:color w:val="auto"/>
              </w:rPr>
            </w:pPr>
          </w:p>
        </w:tc>
        <w:tc>
          <w:tcPr>
            <w:tcW w:w="5100" w:type="dxa"/>
            <w:vAlign w:val="bottom"/>
            <w:tcBorders>
              <w:bottom w:val="single" w:sz="8" w:color="D7282F"/>
            </w:tcBorders>
            <w:gridSpan w:val="2"/>
          </w:tcPr>
          <w:p>
            <w:pPr>
              <w:ind w:left="3500"/>
              <w:spacing w:after="0"/>
              <w:rPr>
                <w:sz w:val="20"/>
                <w:szCs w:val="20"/>
                <w:color w:val="auto"/>
              </w:rPr>
            </w:pPr>
            <w:r>
              <w:rPr>
                <w:rFonts w:ascii="Arial" w:cs="Arial" w:eastAsia="Arial" w:hAnsi="Arial"/>
                <w:sz w:val="14"/>
                <w:szCs w:val="14"/>
                <w:b w:val="1"/>
                <w:bCs w:val="1"/>
                <w:color w:val="auto"/>
              </w:rPr>
              <w:t>September 30, 2022</w:t>
            </w:r>
          </w:p>
        </w:tc>
      </w:tr>
      <w:tr>
        <w:trPr>
          <w:trHeight w:val="193"/>
        </w:trPr>
        <w:tc>
          <w:tcPr>
            <w:tcW w:w="61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Aerospace</w:t>
            </w:r>
          </w:p>
        </w:tc>
        <w:tc>
          <w:tcPr>
            <w:tcW w:w="4080" w:type="dxa"/>
            <w:vAlign w:val="bottom"/>
            <w:tcBorders>
              <w:bottom w:val="single" w:sz="8" w:color="939598"/>
            </w:tcBorders>
          </w:tcPr>
          <w:p>
            <w:pPr>
              <w:ind w:left="35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10,974</w:t>
            </w:r>
          </w:p>
        </w:tc>
      </w:tr>
      <w:tr>
        <w:trPr>
          <w:trHeight w:val="196"/>
        </w:trPr>
        <w:tc>
          <w:tcPr>
            <w:tcW w:w="61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4080" w:type="dxa"/>
            <w:vAlign w:val="bottom"/>
            <w:tcBorders>
              <w:bottom w:val="single" w:sz="8" w:color="939598"/>
            </w:tcBorders>
          </w:tcPr>
          <w:p>
            <w:pPr>
              <w:spacing w:after="0"/>
              <w:rPr>
                <w:sz w:val="17"/>
                <w:szCs w:val="17"/>
                <w:color w:val="auto"/>
              </w:rPr>
            </w:pP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7,082</w:t>
            </w:r>
          </w:p>
        </w:tc>
      </w:tr>
      <w:tr>
        <w:trPr>
          <w:trHeight w:val="196"/>
        </w:trPr>
        <w:tc>
          <w:tcPr>
            <w:tcW w:w="61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4080" w:type="dxa"/>
            <w:vAlign w:val="bottom"/>
            <w:tcBorders>
              <w:bottom w:val="single" w:sz="8" w:color="939598"/>
            </w:tcBorders>
          </w:tcPr>
          <w:p>
            <w:pPr>
              <w:spacing w:after="0"/>
              <w:rPr>
                <w:sz w:val="17"/>
                <w:szCs w:val="17"/>
                <w:color w:val="auto"/>
              </w:rPr>
            </w:pP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7,811</w:t>
            </w:r>
          </w:p>
        </w:tc>
      </w:tr>
      <w:tr>
        <w:trPr>
          <w:trHeight w:val="196"/>
        </w:trPr>
        <w:tc>
          <w:tcPr>
            <w:tcW w:w="61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4080" w:type="dxa"/>
            <w:vAlign w:val="bottom"/>
            <w:tcBorders>
              <w:bottom w:val="single" w:sz="8" w:color="939598"/>
            </w:tcBorders>
          </w:tcPr>
          <w:p>
            <w:pPr>
              <w:spacing w:after="0"/>
              <w:rPr>
                <w:sz w:val="17"/>
                <w:szCs w:val="17"/>
                <w:color w:val="auto"/>
              </w:rPr>
            </w:pP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3,270</w:t>
            </w:r>
          </w:p>
        </w:tc>
      </w:tr>
      <w:tr>
        <w:trPr>
          <w:trHeight w:val="200"/>
        </w:trPr>
        <w:tc>
          <w:tcPr>
            <w:tcW w:w="614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Corporate and All Other</w:t>
            </w:r>
            <w:r>
              <w:rPr>
                <w:rFonts w:ascii="Arial" w:cs="Arial" w:eastAsia="Arial" w:hAnsi="Arial"/>
                <w:sz w:val="18"/>
                <w:szCs w:val="18"/>
                <w:color w:val="auto"/>
                <w:vertAlign w:val="superscript"/>
              </w:rPr>
              <w:t>(1)</w:t>
            </w:r>
          </w:p>
        </w:tc>
        <w:tc>
          <w:tcPr>
            <w:tcW w:w="408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614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b w:val="1"/>
                <w:bCs w:val="1"/>
                <w:color w:val="auto"/>
              </w:rPr>
              <w:t>Total Performance Obligations</w:t>
            </w:r>
            <w:r>
              <w:rPr>
                <w:rFonts w:ascii="Arial" w:cs="Arial" w:eastAsia="Arial" w:hAnsi="Arial"/>
                <w:sz w:val="18"/>
                <w:szCs w:val="18"/>
                <w:b w:val="1"/>
                <w:bCs w:val="1"/>
                <w:color w:val="auto"/>
                <w:vertAlign w:val="superscript"/>
              </w:rPr>
              <w:t>(2)</w:t>
            </w:r>
          </w:p>
        </w:tc>
        <w:tc>
          <w:tcPr>
            <w:tcW w:w="4080" w:type="dxa"/>
            <w:vAlign w:val="bottom"/>
            <w:tcBorders>
              <w:bottom w:val="single" w:sz="8" w:color="D7282F"/>
            </w:tcBorders>
          </w:tcPr>
          <w:p>
            <w:pPr>
              <w:ind w:left="350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29,141</w:t>
            </w:r>
          </w:p>
        </w:tc>
      </w:tr>
    </w:tbl>
    <w:p>
      <w:pPr>
        <w:spacing w:after="0" w:line="18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remaining performance obligations within Corporate and All Other relate to the Quantinuum business.</w:t>
      </w:r>
    </w:p>
    <w:p>
      <w:pPr>
        <w:spacing w:after="0" w:line="11" w:lineRule="exact"/>
        <w:rPr>
          <w:rFonts w:ascii="Arial" w:cs="Arial" w:eastAsia="Arial" w:hAnsi="Arial"/>
          <w:sz w:val="13"/>
          <w:szCs w:val="13"/>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Effective March 31, 2022, performance obligations exclude contracts with customers related to Russia as collectability is not reasonably assured.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September 30, 2022,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62% and 38%, respectively.</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the Company may be entitled to receive an advance payment.</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repositioning and other charges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1740" w:type="dxa"/>
            <w:vAlign w:val="bottom"/>
            <w:tcBorders>
              <w:bottom w:val="single" w:sz="8" w:color="D7282F"/>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68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Severance</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43</w:t>
            </w:r>
          </w:p>
        </w:tc>
        <w:tc>
          <w:tcPr>
            <w:tcW w:w="640" w:type="dxa"/>
            <w:vAlign w:val="bottom"/>
            <w:tcBorders>
              <w:bottom w:val="single" w:sz="8" w:color="BCBDC0"/>
            </w:tcBorders>
          </w:tcPr>
          <w:p>
            <w:pPr>
              <w:jc w:val="right"/>
              <w:ind w:right="3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Asset impairments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w:t>
            </w:r>
          </w:p>
        </w:tc>
        <w:tc>
          <w:tcPr>
            <w:tcW w:w="6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153</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107</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Exit costs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w:t>
            </w:r>
          </w:p>
        </w:tc>
        <w:tc>
          <w:tcPr>
            <w:tcW w:w="6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110</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6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66</w:t>
            </w:r>
          </w:p>
        </w:tc>
        <w:tc>
          <w:tcPr>
            <w:tcW w:w="6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72</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262</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Asbestos related litigation charges, net of insurance and reimbursements</w:t>
            </w:r>
          </w:p>
        </w:tc>
        <w:tc>
          <w:tcPr>
            <w:tcW w:w="68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29</w:t>
            </w:r>
          </w:p>
        </w:tc>
        <w:tc>
          <w:tcPr>
            <w:tcW w:w="64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115</w:t>
            </w: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68</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w:t>
            </w:r>
          </w:p>
        </w:tc>
        <w:tc>
          <w:tcPr>
            <w:tcW w:w="6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6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328</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w w:val="94"/>
              </w:rPr>
              <w:t>100</w:t>
            </w:r>
          </w:p>
        </w:tc>
        <w:tc>
          <w:tcPr>
            <w:tcW w:w="6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96</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714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1740" w:type="dxa"/>
            <w:vAlign w:val="bottom"/>
            <w:tcBorders>
              <w:bottom w:val="single" w:sz="8" w:color="D7282F"/>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68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85</w:t>
            </w:r>
          </w:p>
        </w:tc>
        <w:tc>
          <w:tcPr>
            <w:tcW w:w="640" w:type="dxa"/>
            <w:vAlign w:val="bottom"/>
            <w:tcBorders>
              <w:bottom w:val="single" w:sz="8" w:color="BCBDC0"/>
            </w:tcBorders>
          </w:tcPr>
          <w:p>
            <w:pPr>
              <w:jc w:val="right"/>
              <w:ind w:right="3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429</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248</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24</w:t>
            </w:r>
          </w:p>
        </w:tc>
        <w:tc>
          <w:tcPr>
            <w:tcW w:w="6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237</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w:t>
            </w:r>
          </w:p>
        </w:tc>
        <w:tc>
          <w:tcPr>
            <w:tcW w:w="64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0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w w:val="94"/>
              </w:rPr>
              <w:t>100</w:t>
            </w:r>
          </w:p>
        </w:tc>
        <w:tc>
          <w:tcPr>
            <w:tcW w:w="6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96</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714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338</w:t>
            </w:r>
          </w:p>
        </w:tc>
      </w:tr>
    </w:tbl>
    <w:p>
      <w:pPr>
        <w:spacing w:after="0" w:line="364" w:lineRule="exact"/>
        <w:rPr>
          <w:sz w:val="20"/>
          <w:szCs w:val="20"/>
          <w:color w:val="auto"/>
        </w:rPr>
      </w:pPr>
    </w:p>
    <w:p>
      <w:pPr>
        <w:jc w:val="both"/>
        <w:ind w:right="60"/>
        <w:spacing w:after="0" w:line="304" w:lineRule="auto"/>
        <w:rPr>
          <w:sz w:val="20"/>
          <w:szCs w:val="20"/>
          <w:color w:val="auto"/>
        </w:rPr>
      </w:pPr>
      <w:r>
        <w:rPr>
          <w:rFonts w:ascii="Arial" w:cs="Arial" w:eastAsia="Arial" w:hAnsi="Arial"/>
          <w:sz w:val="16"/>
          <w:szCs w:val="16"/>
          <w:color w:val="auto"/>
        </w:rPr>
        <w:t>The following table summarizes the pretax impact of total net repositioning and other charges by segment. These amounts are excluded from segment profit as described in Note 17 Segment Financial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1740" w:type="dxa"/>
            <w:vAlign w:val="bottom"/>
            <w:tcBorders>
              <w:bottom w:val="single" w:sz="8" w:color="D7282F"/>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68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Aerospace</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w:t>
            </w:r>
          </w:p>
        </w:tc>
        <w:tc>
          <w:tcPr>
            <w:tcW w:w="640" w:type="dxa"/>
            <w:vAlign w:val="bottom"/>
            <w:tcBorders>
              <w:bottom w:val="single" w:sz="8" w:color="BCBDC0"/>
            </w:tcBorders>
          </w:tcPr>
          <w:p>
            <w:pPr>
              <w:jc w:val="right"/>
              <w:ind w:right="3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55</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w:t>
            </w:r>
          </w:p>
        </w:tc>
        <w:tc>
          <w:tcPr>
            <w:tcW w:w="6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w:t>
            </w:r>
          </w:p>
        </w:tc>
        <w:tc>
          <w:tcPr>
            <w:tcW w:w="6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262</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68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55</w:t>
            </w:r>
          </w:p>
        </w:tc>
        <w:tc>
          <w:tcPr>
            <w:tcW w:w="64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197</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w:t>
            </w:r>
          </w:p>
        </w:tc>
        <w:tc>
          <w:tcPr>
            <w:tcW w:w="6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48</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174</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126</w:t>
            </w:r>
          </w:p>
        </w:tc>
      </w:tr>
      <w:tr>
        <w:trPr>
          <w:trHeight w:val="199"/>
        </w:trPr>
        <w:tc>
          <w:tcPr>
            <w:tcW w:w="70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w w:val="94"/>
              </w:rPr>
              <w:t>100</w:t>
            </w:r>
          </w:p>
        </w:tc>
        <w:tc>
          <w:tcPr>
            <w:tcW w:w="6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96</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714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three months ended September 30, 2022, the Company recognized gross repositioning charges totaling $68 million, including severance costs of $43 million related to workforce reductions of 1,276 manufacturing and administrative positions primarily in the Company's Safety and Productivity Solutions reportable business segment. The workforce reductions were related to our productivity and ongoing functional transformation initiatives. The repositioning charge included asset impairments of $5 million related to the write-down of certain manufacturing equipment. The repositioning charge also included exit costs of $20 million related to current period costs incurred for closure obligations associated with site transitions in the Company's Safety and Productivity Solutions and Aerospace reportable business segments.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three months ended September 30, 2021, the Company recognized gross repositioning charges totaling $69 million, including severance costs of $3 million related to workforce reductions of 603 manufacturing and administrative positions mainly in the Company's Safety and Productivity Solutions reportable business segment. The workforce reductions were primarily related to the re-alignment of a product line in the Company's Safety and Productivity Solutions reportable business segment and to our productivity and ongoing functional transformation initiatives. The repositioning charge included asset impairments of $20 million related to the write-down of certain manufacturing equipment. The repositioning charge also included exit costs of $46 million for current period costs incurred for, closure obligations associated with site transitions, and lease obligations for equipment.</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nine months ended September 30, 2022, the Company recognized gross repositioning charges totaling $306 million including asset impairments of $153 million for the write-down of certain manufacturing equipment, primarily related to closing and relocating the production of certain respiratory manufacturing from a U.S.-based facility to a non-U.S. facility in the Company's Safety Productivity and Solutions reportable business segment. The repositioning charge included exit costs of $78 million primarily related to current period exit costs incurred for new and previously approved repositioning projects and closure obligations associated with site transitions in the Company's Performance Materials and Technologies and Aerospace reportable business segments. The repositioning charge also included severance costs of $75 million related to workforce reductions of 2,940 manufacturing and administrative positions across our segments. The workforce reductions related to cost savings actions taken in connection with our productivity and ongoing functional transformation initiatives and to site transitions to more cost-effective locations. Also, $54 million of previously established reserves, primarily for severance, were returned to income due to higher than expected voluntary exits and adjustments to the scope of previously announced repositioning actions.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nine months ended September 30, 2021, the Company recognized gross repositioning charges totaling $280 million including severance costs of $63 million related to workforce reductions of 5,252 manufacturing and administrative positions mainly in the Company's Safety and Productivity Solutions and Aerospace reportable business segments. The workforce reductions were primarily related to the re-alignment of a product line in the Company's Safety and Productivity Solutions reportable business segment, site transitions, mainly in the Company's Aerospace reportable business segment, to more cost-effective locations, and our productivity and ongoing functional transformation initiatives. The repositioning charge included asset impairments of $107 million related to the write-down of certain manufacturing and other equipment. The repositioning charge included exit costs of $110 million for current period costs incurred for closure obligations associated with site transitions, and lease obligations for equipment. Also, $18 million of previously established reserves, primarily for severance, were returned to income due to adjustments to the scope of previously announced repositioning actions.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Arial" w:cs="Arial" w:eastAsia="Arial" w:hAnsi="Arial"/>
                <w:sz w:val="14"/>
                <w:szCs w:val="14"/>
                <w:b w:val="1"/>
                <w:bCs w:val="1"/>
                <w:color w:val="auto"/>
              </w:rPr>
              <w:t>Exit</w:t>
            </w:r>
          </w:p>
        </w:tc>
        <w:tc>
          <w:tcPr>
            <w:tcW w:w="260" w:type="dxa"/>
            <w:vAlign w:val="bottom"/>
          </w:tcPr>
          <w:p>
            <w:pPr>
              <w:spacing w:after="0"/>
              <w:rPr>
                <w:sz w:val="14"/>
                <w:szCs w:val="14"/>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40" w:type="dxa"/>
            <w:vAlign w:val="bottom"/>
            <w:tcBorders>
              <w:bottom w:val="single" w:sz="8" w:color="D7282F"/>
            </w:tcBorders>
          </w:tcPr>
          <w:p>
            <w:pPr>
              <w:spacing w:after="0"/>
              <w:rPr>
                <w:sz w:val="16"/>
                <w:szCs w:val="16"/>
                <w:color w:val="auto"/>
              </w:rPr>
            </w:pPr>
          </w:p>
        </w:tc>
        <w:tc>
          <w:tcPr>
            <w:tcW w:w="25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Costs</w:t>
            </w:r>
          </w:p>
        </w:tc>
        <w:tc>
          <w:tcPr>
            <w:tcW w:w="116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Costs</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289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193"/>
        </w:trPr>
        <w:tc>
          <w:tcPr>
            <w:tcW w:w="45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Charges</w:t>
            </w:r>
          </w:p>
        </w:tc>
        <w:tc>
          <w:tcPr>
            <w:tcW w:w="25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75</w:t>
            </w:r>
          </w:p>
        </w:tc>
        <w:tc>
          <w:tcPr>
            <w:tcW w:w="28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153</w:t>
            </w:r>
          </w:p>
        </w:tc>
        <w:tc>
          <w:tcPr>
            <w:tcW w:w="24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Usage - cash</w:t>
            </w:r>
          </w:p>
        </w:tc>
        <w:tc>
          <w:tcPr>
            <w:tcW w:w="25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(120)</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(86)</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Usage - noncash</w:t>
            </w:r>
          </w:p>
        </w:tc>
        <w:tc>
          <w:tcPr>
            <w:tcW w:w="25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5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(18)</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5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9"/>
        </w:trPr>
        <w:tc>
          <w:tcPr>
            <w:tcW w:w="4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2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186</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nine months ended September 30, 2022 and 2021, were $46 million and $30 million, respectively.</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three months ended September 30, 2022, the Company recognized a net reduction of Other charges previously recognized of $16 million. The Other charges include costs incurred related to the Wind down of our operations in Russia. The reduction of Other charges primarily relates to a favorable foreign exchange revaluation on an intercompany loan with a Russian affiliate, in addition to the recovery of outstanding accounts receivable previously reserved against, recorded to Other (income) expense and Selling, general and administrative expense on the Consolidated Statement of Operations, respectively. This was partially offset by the recognition of an additional expense for called guarantees recorded to Other (income) expense on the Consolidated Statement of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nine months ended September 30, 2022, the Company recognized $291 million of Other charges. The Other charges include costs incurred related to the initial suspension (the Suspension) and Wind down of our businesses and operations in Russia. These costs impacted all reportable business segments, with the most significant impact within the Performance Materials and Technologies reportable business segment. The Other charges include costs recorded in Cost of products sold, Selling, general and administrative expenses, or Other (income) expense on the Consolidated Statement of Operations. For the nine months ended September 30, 2022, Cost of products and services sold includes $60 million primarily related to inventory reserves and the write-down of other assets, Selling, general and administrative includes $183 million primarily related to reserves against outstanding accounts receivable and contract assets, impairment of intangible assets, the write-down of other assets, and employee severance, and Other (income) expense includes $48 million related to foreign exchange revaluation on an intercompany loan with a Russian affiliate, impairment of property, plant and equipment, and expenses for called guarantees. For the nine months ended September 30, 2022, the Other charges does not include a $2 million tax valuation allowance recorded to Tax expense on the Consolidated Statement of Operations, directly attributable to our Wind down of businesses and operations in Russia.</w:t>
      </w:r>
    </w:p>
    <w:p>
      <w:pPr>
        <w:spacing w:after="0" w:line="2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Given the uncertainty inherent in the Company's remaining obligations related to our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14 Commitments and Contingencies for a discussion of the recognition and measurement of estimate for contingencies.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was higher than the U.S. federal statutory rate of 21% and increased during 2022 compared to 2021 primarily due to charges and accrual of reserves directly attributable to the initial Suspension and Wind down of our businesses and operations in Russia without corresponding tax benefit, an expense related to UOP matters without corresponding tax benefit, lower tax benefits for employee share-based compensation, and incremental tax reserves and state taxes, partially offset by the favorable resolution of certain foreign tax matters.</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D7282F"/>
            </w:tcBorders>
          </w:tcPr>
          <w:p>
            <w:pPr>
              <w:spacing w:after="0"/>
              <w:rPr>
                <w:sz w:val="17"/>
                <w:szCs w:val="17"/>
                <w:color w:val="auto"/>
              </w:rPr>
            </w:pPr>
          </w:p>
        </w:tc>
        <w:tc>
          <w:tcPr>
            <w:tcW w:w="5000" w:type="dxa"/>
            <w:vAlign w:val="bottom"/>
            <w:tcBorders>
              <w:bottom w:val="single" w:sz="8" w:color="D7282F"/>
            </w:tcBorders>
            <w:gridSpan w:val="2"/>
          </w:tcPr>
          <w:p>
            <w:pPr>
              <w:ind w:left="3320"/>
              <w:spacing w:after="0"/>
              <w:rPr>
                <w:sz w:val="20"/>
                <w:szCs w:val="20"/>
                <w:color w:val="auto"/>
              </w:rPr>
            </w:pPr>
            <w:r>
              <w:rPr>
                <w:rFonts w:ascii="Arial" w:cs="Arial" w:eastAsia="Arial" w:hAnsi="Arial"/>
                <w:sz w:val="14"/>
                <w:szCs w:val="14"/>
                <w:b w:val="1"/>
                <w:bCs w:val="1"/>
                <w:color w:val="auto"/>
              </w:rPr>
              <w:t>September 30, 2022</w:t>
            </w: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4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Raw materials</w:t>
            </w:r>
          </w:p>
        </w:tc>
        <w:tc>
          <w:tcPr>
            <w:tcW w:w="3940" w:type="dxa"/>
            <w:vAlign w:val="bottom"/>
            <w:tcBorders>
              <w:bottom w:val="single" w:sz="8" w:color="BCBDC0"/>
            </w:tcBorders>
          </w:tcPr>
          <w:p>
            <w:pPr>
              <w:ind w:left="33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1,394</w:t>
            </w:r>
          </w:p>
        </w:tc>
        <w:tc>
          <w:tcPr>
            <w:tcW w:w="780" w:type="dxa"/>
            <w:vAlign w:val="bottom"/>
            <w:tcBorders>
              <w:bottom w:val="single" w:sz="8" w:color="BCBDC0"/>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1,352</w:t>
            </w:r>
          </w:p>
        </w:tc>
      </w:tr>
      <w:tr>
        <w:trPr>
          <w:trHeight w:val="196"/>
        </w:trPr>
        <w:tc>
          <w:tcPr>
            <w:tcW w:w="4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Work in process</w:t>
            </w:r>
          </w:p>
        </w:tc>
        <w:tc>
          <w:tcPr>
            <w:tcW w:w="3940" w:type="dxa"/>
            <w:vAlign w:val="bottom"/>
            <w:tcBorders>
              <w:bottom w:val="single" w:sz="8" w:color="BCBDC0"/>
            </w:tcBorders>
          </w:tcPr>
          <w:p>
            <w:pPr>
              <w:spacing w:after="0"/>
              <w:rPr>
                <w:sz w:val="17"/>
                <w:szCs w:val="17"/>
                <w:color w:val="auto"/>
              </w:rPr>
            </w:pPr>
          </w:p>
        </w:tc>
        <w:tc>
          <w:tcPr>
            <w:tcW w:w="10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1,041</w:t>
            </w:r>
          </w:p>
        </w:tc>
        <w:tc>
          <w:tcPr>
            <w:tcW w:w="780" w:type="dxa"/>
            <w:vAlign w:val="bottom"/>
            <w:tcBorders>
              <w:bottom w:val="single" w:sz="8" w:color="BCBDC0"/>
            </w:tcBorders>
          </w:tcPr>
          <w:p>
            <w:pPr>
              <w:spacing w:after="0"/>
              <w:rPr>
                <w:sz w:val="17"/>
                <w:szCs w:val="17"/>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861</w:t>
            </w:r>
          </w:p>
        </w:tc>
      </w:tr>
      <w:tr>
        <w:trPr>
          <w:trHeight w:val="196"/>
        </w:trPr>
        <w:tc>
          <w:tcPr>
            <w:tcW w:w="4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94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3,066</w:t>
            </w:r>
          </w:p>
        </w:tc>
        <w:tc>
          <w:tcPr>
            <w:tcW w:w="7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2,925</w:t>
            </w:r>
          </w:p>
        </w:tc>
      </w:tr>
      <w:tr>
        <w:trPr>
          <w:trHeight w:val="199"/>
        </w:trPr>
        <w:tc>
          <w:tcPr>
            <w:tcW w:w="4480" w:type="dxa"/>
            <w:vAlign w:val="bottom"/>
            <w:tcBorders>
              <w:bottom w:val="single" w:sz="8" w:color="DC202E"/>
            </w:tcBorders>
          </w:tcPr>
          <w:p>
            <w:pPr>
              <w:spacing w:after="0"/>
              <w:rPr>
                <w:sz w:val="17"/>
                <w:szCs w:val="17"/>
                <w:color w:val="auto"/>
              </w:rPr>
            </w:pPr>
          </w:p>
        </w:tc>
        <w:tc>
          <w:tcPr>
            <w:tcW w:w="3940" w:type="dxa"/>
            <w:vAlign w:val="bottom"/>
            <w:tcBorders>
              <w:bottom w:val="single" w:sz="8" w:color="DC202E"/>
            </w:tcBorders>
          </w:tcPr>
          <w:p>
            <w:pPr>
              <w:ind w:left="330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C202E"/>
            </w:tcBorders>
          </w:tcPr>
          <w:p>
            <w:pPr>
              <w:jc w:val="right"/>
              <w:ind w:right="88"/>
              <w:spacing w:after="0"/>
              <w:rPr>
                <w:sz w:val="20"/>
                <w:szCs w:val="20"/>
                <w:color w:val="auto"/>
              </w:rPr>
            </w:pPr>
            <w:r>
              <w:rPr>
                <w:rFonts w:ascii="Arial" w:cs="Arial" w:eastAsia="Arial" w:hAnsi="Arial"/>
                <w:sz w:val="14"/>
                <w:szCs w:val="14"/>
                <w:b w:val="1"/>
                <w:bCs w:val="1"/>
                <w:color w:val="auto"/>
              </w:rPr>
              <w:t>5,501</w:t>
            </w:r>
          </w:p>
        </w:tc>
        <w:tc>
          <w:tcPr>
            <w:tcW w:w="780" w:type="dxa"/>
            <w:vAlign w:val="bottom"/>
            <w:tcBorders>
              <w:bottom w:val="single" w:sz="8" w:color="DC202E"/>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5,138</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LONG-TERM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Borders>
              <w:bottom w:val="single" w:sz="8" w:color="D7282F"/>
            </w:tcBorders>
          </w:tcPr>
          <w:p>
            <w:pPr>
              <w:spacing w:after="0"/>
              <w:rPr>
                <w:sz w:val="17"/>
                <w:szCs w:val="17"/>
                <w:color w:val="auto"/>
              </w:rPr>
            </w:pPr>
          </w:p>
        </w:tc>
        <w:tc>
          <w:tcPr>
            <w:tcW w:w="2020" w:type="dxa"/>
            <w:vAlign w:val="bottom"/>
            <w:tcBorders>
              <w:bottom w:val="single" w:sz="8" w:color="D7282F"/>
            </w:tcBorders>
            <w:gridSpan w:val="2"/>
          </w:tcPr>
          <w:p>
            <w:pPr>
              <w:ind w:left="320"/>
              <w:spacing w:after="0"/>
              <w:rPr>
                <w:sz w:val="20"/>
                <w:szCs w:val="20"/>
                <w:color w:val="auto"/>
              </w:rPr>
            </w:pPr>
            <w:r>
              <w:rPr>
                <w:rFonts w:ascii="Arial" w:cs="Arial" w:eastAsia="Arial" w:hAnsi="Arial"/>
                <w:sz w:val="14"/>
                <w:szCs w:val="14"/>
                <w:b w:val="1"/>
                <w:bCs w:val="1"/>
                <w:color w:val="auto"/>
              </w:rPr>
              <w:t>September 30, 2022</w:t>
            </w:r>
          </w:p>
        </w:tc>
        <w:tc>
          <w:tcPr>
            <w:tcW w:w="17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0.483% notes due 2022</w:t>
            </w:r>
          </w:p>
        </w:tc>
        <w:tc>
          <w:tcPr>
            <w:tcW w:w="900" w:type="dxa"/>
            <w:vAlign w:val="bottom"/>
            <w:tcBorders>
              <w:bottom w:val="single" w:sz="8" w:color="BCBDC0"/>
            </w:tcBorders>
          </w:tcPr>
          <w:p>
            <w:pPr>
              <w:ind w:left="3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2.15% notes due 2022</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Floating rate notes due 2022</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1.30% Euro notes due 2023</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1,218</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1,416</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3.35% notes due 2023</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300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0.00% Euro notes due 2024</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487</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566</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2.30% notes due 2024</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1.35% notes due 2025</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1,250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2.50% notes due 2026</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1,500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1.10% notes due 2027</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2.25% Euro notes due 2028</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731</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849</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2.70% notes due 2029</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1.95% notes due 2030</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1,000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1.75% notes due 2031</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1,500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0.75% Euro notes due 2032</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487</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566</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5.70% notes due 2036</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441</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5.70% notes due 2037</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462</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5.375% notes due 2041</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417</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3.812% notes due 2047</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445</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2.80% notes due 2050</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22</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6.625% debentures due 2028</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201</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9.065% debentures due 2033</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51</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(including capitalized leases), 7.9% weighted average interest rate maturing at various dates through 2029</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282</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272</w:t>
            </w:r>
          </w:p>
        </w:tc>
      </w:tr>
      <w:tr>
        <w:trPr>
          <w:trHeight w:val="196"/>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(294)</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9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(199)</w:t>
            </w:r>
          </w:p>
        </w:tc>
        <w:tc>
          <w:tcPr>
            <w:tcW w:w="72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748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b w:val="1"/>
                <w:bCs w:val="1"/>
                <w:color w:val="auto"/>
              </w:rPr>
              <w:t>13,551</w:t>
            </w:r>
          </w:p>
        </w:tc>
        <w:tc>
          <w:tcPr>
            <w:tcW w:w="72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b w:val="1"/>
                <w:bCs w:val="1"/>
                <w:color w:val="auto"/>
              </w:rPr>
              <w:t>16,057</w:t>
            </w:r>
          </w:p>
        </w:tc>
      </w:tr>
      <w:tr>
        <w:trPr>
          <w:trHeight w:val="193"/>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Less-current portion</w:t>
            </w:r>
          </w:p>
        </w:tc>
        <w:tc>
          <w:tcPr>
            <w:tcW w:w="90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(1,315)</w:t>
            </w:r>
          </w:p>
        </w:tc>
        <w:tc>
          <w:tcPr>
            <w:tcW w:w="72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(1,803)</w:t>
            </w:r>
          </w:p>
        </w:tc>
      </w:tr>
      <w:tr>
        <w:trPr>
          <w:trHeight w:val="199"/>
        </w:trPr>
        <w:tc>
          <w:tcPr>
            <w:tcW w:w="74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12,236</w:t>
            </w:r>
          </w:p>
        </w:tc>
        <w:tc>
          <w:tcPr>
            <w:tcW w:w="7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14,254</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8, 2022, the Company repaid its 2.15% and its Floating rate notes due 2022. On August 19, 2022, the Company repaid its 0.483% notes due 2022.</w:t>
      </w: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March 24, 2022, the Company entered into a $4.0 billion Amended and Restated Five Year Credit Agreement (the 5-Year Credit Agreement) and a $1.5 billion 364-Day Credit Agreement (the 364-Day Credit Agreement). The 5-Year Credit Agreement amended and restated the previously reported $4.0 billion amended and restated five-year credit agreement dated as of March 31, 2021. Commitments under the 5-Year Credit Agreement can be increased pursuant to the terms of the 5-Year Credit Agreement to an aggregate amount not to exceed $4.5 billion. The 364-Day Credit Agreement replaced the $1.5 billion 364-day credit agreement dated as of March 31, 2021, which was terminated in accordance with its terms effective March 24, 2022. Amounts borrowed under the 364-Day Credit Agreement are required to be repaid no later than March 23, 2023, unless (i) Honeywell elects to convert all then outstanding amounts into a term loan, upon which such amounts shall be repaid in full on March 23, 2024, or (ii) the 364-Day Credit Agreement is terminated earlier pursuant to its terms. The 5-Year Credit Agreement and the 364-Day Credit Agreement are maintained for general corporate purposes.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there were no outstanding borrowings under the 5-Year Credit Agreement or the 364-Day Credit Agreement.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LEASES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2021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D7282F"/>
            </w:tcBorders>
          </w:tcPr>
          <w:p>
            <w:pPr>
              <w:spacing w:after="0"/>
              <w:rPr>
                <w:sz w:val="17"/>
                <w:szCs w:val="17"/>
                <w:color w:val="auto"/>
              </w:rPr>
            </w:pPr>
          </w:p>
        </w:tc>
        <w:tc>
          <w:tcPr>
            <w:tcW w:w="7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D7282F"/>
              <w:bottom w:val="single" w:sz="8" w:color="D7282F"/>
            </w:tcBorders>
          </w:tcPr>
          <w:p>
            <w:pPr>
              <w:spacing w:after="0"/>
              <w:rPr>
                <w:sz w:val="17"/>
                <w:szCs w:val="17"/>
                <w:color w:val="auto"/>
              </w:rPr>
            </w:pPr>
          </w:p>
        </w:tc>
        <w:tc>
          <w:tcPr>
            <w:tcW w:w="240" w:type="dxa"/>
            <w:vAlign w:val="bottom"/>
            <w:tcBorders>
              <w:top w:val="single" w:sz="8" w:color="D7282F"/>
              <w:bottom w:val="single" w:sz="8" w:color="D7282F"/>
            </w:tcBorders>
          </w:tcPr>
          <w:p>
            <w:pPr>
              <w:spacing w:after="0"/>
              <w:rPr>
                <w:sz w:val="17"/>
                <w:szCs w:val="17"/>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5"/>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Net right-of-use assets obtained in exchange for lease obligations:</w:t>
            </w:r>
          </w:p>
        </w:tc>
        <w:tc>
          <w:tcPr>
            <w:tcW w:w="7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3"/>
        </w:trPr>
        <w:tc>
          <w:tcPr>
            <w:tcW w:w="9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Operating leases</w:t>
            </w:r>
          </w:p>
        </w:tc>
        <w:tc>
          <w:tcPr>
            <w:tcW w:w="72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86</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290</w:t>
            </w:r>
          </w:p>
        </w:tc>
      </w:tr>
      <w:tr>
        <w:trPr>
          <w:trHeight w:val="196"/>
        </w:trPr>
        <w:tc>
          <w:tcPr>
            <w:tcW w:w="924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Finance leases</w:t>
            </w:r>
          </w:p>
        </w:tc>
        <w:tc>
          <w:tcPr>
            <w:tcW w:w="7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84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6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spacing w:after="0"/>
              <w:rPr>
                <w:sz w:val="17"/>
                <w:szCs w:val="17"/>
                <w:color w:val="auto"/>
              </w:rPr>
            </w:pPr>
          </w:p>
        </w:tc>
        <w:tc>
          <w:tcPr>
            <w:tcW w:w="980" w:type="dxa"/>
            <w:vAlign w:val="bottom"/>
            <w:tcBorders>
              <w:bottom w:val="single" w:sz="8" w:color="BCBDC0"/>
            </w:tcBorders>
          </w:tcPr>
          <w:p>
            <w:pPr>
              <w:spacing w:after="0"/>
              <w:rPr>
                <w:sz w:val="17"/>
                <w:szCs w:val="17"/>
                <w:color w:val="auto"/>
              </w:rPr>
            </w:pPr>
          </w:p>
        </w:tc>
      </w:tr>
      <w:tr>
        <w:trPr>
          <w:trHeight w:val="193"/>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66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874</w:t>
            </w:r>
          </w:p>
        </w:tc>
        <w:tc>
          <w:tcPr>
            <w:tcW w:w="86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947</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Accrued liabilities</w:t>
            </w:r>
          </w:p>
        </w:tc>
        <w:tc>
          <w:tcPr>
            <w:tcW w:w="660" w:type="dxa"/>
            <w:vAlign w:val="bottom"/>
            <w:tcBorders>
              <w:bottom w:val="single" w:sz="8" w:color="B1B3B3"/>
            </w:tcBorders>
          </w:tcPr>
          <w:p>
            <w:pPr>
              <w:spacing w:after="0"/>
              <w:rPr>
                <w:sz w:val="17"/>
                <w:szCs w:val="17"/>
                <w:color w:val="auto"/>
              </w:rPr>
            </w:pPr>
          </w:p>
        </w:tc>
        <w:tc>
          <w:tcPr>
            <w:tcW w:w="96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191</w:t>
            </w:r>
          </w:p>
        </w:tc>
        <w:tc>
          <w:tcPr>
            <w:tcW w:w="860" w:type="dxa"/>
            <w:vAlign w:val="bottom"/>
            <w:tcBorders>
              <w:bottom w:val="single" w:sz="8" w:color="BCBDC0"/>
            </w:tcBorders>
          </w:tcPr>
          <w:p>
            <w:pPr>
              <w:spacing w:after="0"/>
              <w:rPr>
                <w:sz w:val="17"/>
                <w:szCs w:val="17"/>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185</w:t>
            </w:r>
          </w:p>
        </w:tc>
      </w:tr>
      <w:tr>
        <w:trPr>
          <w:trHeight w:val="196"/>
        </w:trPr>
        <w:tc>
          <w:tcPr>
            <w:tcW w:w="77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liabilities</w:t>
            </w:r>
          </w:p>
        </w:tc>
        <w:tc>
          <w:tcPr>
            <w:tcW w:w="6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771</w:t>
            </w:r>
          </w:p>
        </w:tc>
        <w:tc>
          <w:tcPr>
            <w:tcW w:w="8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847</w:t>
            </w:r>
          </w:p>
        </w:tc>
      </w:tr>
      <w:tr>
        <w:trPr>
          <w:trHeight w:val="199"/>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66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962</w:t>
            </w:r>
          </w:p>
        </w:tc>
        <w:tc>
          <w:tcPr>
            <w:tcW w:w="86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Financing leases</w:t>
            </w:r>
          </w:p>
        </w:tc>
        <w:tc>
          <w:tcPr>
            <w:tcW w:w="66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tcPr>
          <w:p>
            <w:pPr>
              <w:spacing w:after="0"/>
              <w:rPr>
                <w:sz w:val="17"/>
                <w:szCs w:val="17"/>
                <w:color w:val="auto"/>
              </w:rPr>
            </w:pPr>
          </w:p>
        </w:tc>
        <w:tc>
          <w:tcPr>
            <w:tcW w:w="980" w:type="dxa"/>
            <w:vAlign w:val="bottom"/>
            <w:tcBorders>
              <w:bottom w:val="single" w:sz="8" w:color="BCBDC0"/>
            </w:tcBorders>
          </w:tcPr>
          <w:p>
            <w:pPr>
              <w:spacing w:after="0"/>
              <w:rPr>
                <w:sz w:val="17"/>
                <w:szCs w:val="17"/>
                <w:color w:val="auto"/>
              </w:rPr>
            </w:pPr>
          </w:p>
        </w:tc>
      </w:tr>
      <w:tr>
        <w:trPr>
          <w:trHeight w:val="193"/>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Property, plant and equipment</w:t>
            </w:r>
          </w:p>
        </w:tc>
        <w:tc>
          <w:tcPr>
            <w:tcW w:w="660" w:type="dxa"/>
            <w:vAlign w:val="bottom"/>
            <w:tcBorders>
              <w:bottom w:val="single" w:sz="8" w:color="BCBDC0"/>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382</w:t>
            </w:r>
          </w:p>
        </w:tc>
        <w:tc>
          <w:tcPr>
            <w:tcW w:w="860" w:type="dxa"/>
            <w:vAlign w:val="bottom"/>
            <w:tcBorders>
              <w:bottom w:val="single" w:sz="8" w:color="BCBDC0"/>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77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Accumulated depreciation</w:t>
            </w:r>
          </w:p>
        </w:tc>
        <w:tc>
          <w:tcPr>
            <w:tcW w:w="6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(160)</w:t>
            </w:r>
          </w:p>
        </w:tc>
        <w:tc>
          <w:tcPr>
            <w:tcW w:w="8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w:t>
            </w:r>
          </w:p>
        </w:tc>
      </w:tr>
      <w:tr>
        <w:trPr>
          <w:trHeight w:val="199"/>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Property, plant and equipment - net</w:t>
            </w:r>
          </w:p>
        </w:tc>
        <w:tc>
          <w:tcPr>
            <w:tcW w:w="66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222</w:t>
            </w:r>
          </w:p>
        </w:tc>
        <w:tc>
          <w:tcPr>
            <w:tcW w:w="86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w:t>
            </w:r>
          </w:p>
        </w:tc>
      </w:tr>
      <w:tr>
        <w:trPr>
          <w:trHeight w:val="193"/>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Current maturities of long-term debt</w:t>
            </w:r>
          </w:p>
        </w:tc>
        <w:tc>
          <w:tcPr>
            <w:tcW w:w="66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73</w:t>
            </w:r>
          </w:p>
        </w:tc>
        <w:tc>
          <w:tcPr>
            <w:tcW w:w="860" w:type="dxa"/>
            <w:vAlign w:val="bottom"/>
            <w:tcBorders>
              <w:bottom w:val="single" w:sz="8" w:color="BCBDC0"/>
            </w:tcBorders>
          </w:tcPr>
          <w:p>
            <w:pPr>
              <w:spacing w:after="0"/>
              <w:rPr>
                <w:sz w:val="16"/>
                <w:szCs w:val="16"/>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57</w:t>
            </w:r>
          </w:p>
        </w:tc>
      </w:tr>
      <w:tr>
        <w:trPr>
          <w:trHeight w:val="196"/>
        </w:trPr>
        <w:tc>
          <w:tcPr>
            <w:tcW w:w="77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Long-term debt</w:t>
            </w:r>
          </w:p>
        </w:tc>
        <w:tc>
          <w:tcPr>
            <w:tcW w:w="6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152</w:t>
            </w:r>
          </w:p>
        </w:tc>
        <w:tc>
          <w:tcPr>
            <w:tcW w:w="8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99</w:t>
            </w:r>
          </w:p>
        </w:tc>
      </w:tr>
      <w:tr>
        <w:trPr>
          <w:trHeight w:val="199"/>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financing lease liabilities</w:t>
            </w:r>
          </w:p>
        </w:tc>
        <w:tc>
          <w:tcPr>
            <w:tcW w:w="66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225</w:t>
            </w:r>
          </w:p>
        </w:tc>
        <w:tc>
          <w:tcPr>
            <w:tcW w:w="86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156</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10. DERIVATIVE INSTRUMENTS AND HEDGING TRANSACTIONS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Honeywell's credit, market, foreign currency, and interest rate risk management policies are described in Note 11 Derivative Instruments and Hedging Transactions of Notes to Consolidated Financial Statements in the Company's 2021 Annual Report on Form 10-K. All derivative assets are presented in Other current assets or Other assets. All derivative liabilities are presented in Accrued liabilities or Other liabilities.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March 2022, the Company entered into various contracts to mitigate commodity price volatility. The Company's operations subject us to risk related to the price volatility of certain commodities. To mitigate the commodity price risk associated with the Company's operations, the Company enters into commodity derivative instruments. The Company elected to apply hedge accounting to these contracts.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 as of September 30, 2022, and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Notional</w:t>
            </w:r>
          </w:p>
        </w:tc>
        <w:tc>
          <w:tcPr>
            <w:tcW w:w="8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Fair Value Asset</w:t>
            </w:r>
          </w:p>
        </w:tc>
        <w:tc>
          <w:tcPr>
            <w:tcW w:w="3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Fair Value (Liability)</w:t>
            </w:r>
          </w:p>
        </w:tc>
        <w:tc>
          <w:tcPr>
            <w:tcW w:w="4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Derivatives in Fair Value Hedging</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4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3,768</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3,150</w:t>
            </w:r>
          </w:p>
        </w:tc>
        <w:tc>
          <w:tcPr>
            <w:tcW w:w="2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BCBDC0"/>
            </w:tcBorders>
          </w:tcPr>
          <w:p>
            <w:pPr>
              <w:jc w:val="right"/>
              <w:ind w:right="4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(294)</w:t>
            </w:r>
          </w:p>
        </w:tc>
        <w:tc>
          <w:tcPr>
            <w:tcW w:w="76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1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Derivatives in Cash Flow Hedging</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785</w:t>
            </w:r>
          </w:p>
        </w:tc>
        <w:tc>
          <w:tcPr>
            <w:tcW w:w="34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647</w:t>
            </w:r>
          </w:p>
        </w:tc>
        <w:tc>
          <w:tcPr>
            <w:tcW w:w="2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46</w:t>
            </w:r>
          </w:p>
        </w:tc>
        <w:tc>
          <w:tcPr>
            <w:tcW w:w="8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Commodity contracts</w:t>
            </w: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BCBDC0"/>
            </w:tcBorders>
          </w:tcPr>
          <w:p>
            <w:pPr>
              <w:spacing w:after="0"/>
              <w:rPr>
                <w:sz w:val="17"/>
                <w:szCs w:val="17"/>
                <w:color w:val="auto"/>
              </w:rPr>
            </w:pPr>
          </w:p>
        </w:tc>
        <w:tc>
          <w:tcPr>
            <w:tcW w:w="108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w:t>
            </w:r>
          </w:p>
        </w:tc>
        <w:tc>
          <w:tcPr>
            <w:tcW w:w="76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1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Derivatives in Net Investment Hedging</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700</w:t>
            </w:r>
          </w:p>
        </w:tc>
        <w:tc>
          <w:tcPr>
            <w:tcW w:w="34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746</w:t>
            </w:r>
          </w:p>
        </w:tc>
        <w:tc>
          <w:tcPr>
            <w:tcW w:w="2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156</w:t>
            </w:r>
          </w:p>
        </w:tc>
        <w:tc>
          <w:tcPr>
            <w:tcW w:w="8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92</w:t>
            </w:r>
          </w:p>
        </w:tc>
        <w:tc>
          <w:tcPr>
            <w:tcW w:w="2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Cross currency swap agreements</w:t>
            </w:r>
          </w:p>
        </w:tc>
        <w:tc>
          <w:tcPr>
            <w:tcW w:w="4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1,200</w:t>
            </w:r>
          </w:p>
        </w:tc>
        <w:tc>
          <w:tcPr>
            <w:tcW w:w="3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1,200</w:t>
            </w:r>
          </w:p>
        </w:tc>
        <w:tc>
          <w:tcPr>
            <w:tcW w:w="2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203</w:t>
            </w:r>
          </w:p>
        </w:tc>
        <w:tc>
          <w:tcPr>
            <w:tcW w:w="8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c>
          <w:tcPr>
            <w:tcW w:w="22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16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Total Derivatives Designated as Hedging</w:t>
            </w:r>
          </w:p>
        </w:tc>
        <w:tc>
          <w:tcPr>
            <w:tcW w:w="40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6,458</w:t>
            </w:r>
          </w:p>
        </w:tc>
        <w:tc>
          <w:tcPr>
            <w:tcW w:w="34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5,743</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405</w:t>
            </w:r>
          </w:p>
        </w:tc>
        <w:tc>
          <w:tcPr>
            <w:tcW w:w="8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195</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(300)</w:t>
            </w:r>
          </w:p>
        </w:tc>
        <w:tc>
          <w:tcPr>
            <w:tcW w:w="760" w:type="dxa"/>
            <w:vAlign w:val="bottom"/>
          </w:tcPr>
          <w:p>
            <w:pPr>
              <w:spacing w:after="0"/>
              <w:rPr>
                <w:sz w:val="12"/>
                <w:szCs w:val="12"/>
                <w:color w:val="auto"/>
              </w:rPr>
            </w:pPr>
          </w:p>
        </w:tc>
        <w:tc>
          <w:tcPr>
            <w:tcW w:w="4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Derivatives Not Designated as Hedging</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Instruments:</w:t>
            </w: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10,627</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11,278</w:t>
            </w:r>
          </w:p>
        </w:tc>
        <w:tc>
          <w:tcPr>
            <w:tcW w:w="2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485</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278</w:t>
            </w:r>
          </w:p>
        </w:tc>
        <w:tc>
          <w:tcPr>
            <w:tcW w:w="22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(493)</w:t>
            </w:r>
          </w:p>
        </w:tc>
        <w:tc>
          <w:tcPr>
            <w:tcW w:w="7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ind w:left="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Derivatives at Fair Value</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17,085</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17,021</w:t>
            </w:r>
          </w:p>
        </w:tc>
        <w:tc>
          <w:tcPr>
            <w:tcW w:w="2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890</w:t>
            </w:r>
          </w:p>
        </w:tc>
        <w:tc>
          <w:tcPr>
            <w:tcW w:w="8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473</w:t>
            </w:r>
          </w:p>
        </w:tc>
        <w:tc>
          <w:tcPr>
            <w:tcW w:w="22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(793)</w:t>
            </w:r>
          </w:p>
        </w:tc>
        <w:tc>
          <w:tcPr>
            <w:tcW w:w="7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(282)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the derivative instruments listed above,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$3,505 million and $4,074 million as of September 30, 2022, and December 31, 2021,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on the Consolidated Balance Sheet related to cumulative basis adjustments for fair value hedges: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Carrying Amount of the Hedged Item</w:t>
            </w:r>
          </w:p>
        </w:tc>
        <w:tc>
          <w:tcPr>
            <w:tcW w:w="240" w:type="dxa"/>
            <w:vAlign w:val="bottom"/>
            <w:vMerge w:val="restart"/>
          </w:tcPr>
          <w:p>
            <w:pPr>
              <w:spacing w:after="0"/>
              <w:rPr>
                <w:sz w:val="12"/>
                <w:szCs w:val="12"/>
                <w:color w:val="auto"/>
              </w:rPr>
            </w:pPr>
          </w:p>
        </w:tc>
        <w:tc>
          <w:tcPr>
            <w:tcW w:w="25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16"/>
                <w:szCs w:val="16"/>
                <w:color w:val="auto"/>
              </w:rPr>
            </w:pPr>
          </w:p>
        </w:tc>
        <w:tc>
          <w:tcPr>
            <w:tcW w:w="2560" w:type="dxa"/>
            <w:vAlign w:val="bottom"/>
            <w:tcBorders>
              <w:bottom w:val="single" w:sz="8" w:color="D7282F"/>
            </w:tcBorders>
            <w:gridSpan w:val="4"/>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560" w:type="dxa"/>
            <w:vAlign w:val="bottom"/>
            <w:tcBorders>
              <w:bottom w:val="single" w:sz="8" w:color="D7282F"/>
            </w:tcBorders>
            <w:gridSpan w:val="4"/>
          </w:tcPr>
          <w:p>
            <w:pPr>
              <w:jc w:val="center"/>
              <w:spacing w:after="0"/>
              <w:rPr>
                <w:sz w:val="20"/>
                <w:szCs w:val="20"/>
                <w:color w:val="auto"/>
              </w:rPr>
            </w:pPr>
            <w:r>
              <w:rPr>
                <w:rFonts w:ascii="Arial" w:cs="Arial" w:eastAsia="Arial" w:hAnsi="Arial"/>
                <w:sz w:val="14"/>
                <w:szCs w:val="14"/>
                <w:b w:val="1"/>
                <w:bCs w:val="1"/>
                <w:color w:val="auto"/>
              </w:rPr>
              <w:t>Carrying Amount of the Hedged Item</w:t>
            </w:r>
          </w:p>
        </w:tc>
        <w:tc>
          <w:tcPr>
            <w:tcW w:w="0" w:type="dxa"/>
            <w:vAlign w:val="bottom"/>
          </w:tcPr>
          <w:p>
            <w:pPr>
              <w:spacing w:after="0"/>
              <w:rPr>
                <w:sz w:val="1"/>
                <w:szCs w:val="1"/>
                <w:color w:val="auto"/>
              </w:rPr>
            </w:pPr>
          </w:p>
        </w:tc>
      </w:tr>
      <w:tr>
        <w:trPr>
          <w:trHeight w:val="173"/>
        </w:trPr>
        <w:tc>
          <w:tcPr>
            <w:tcW w:w="5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88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5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3,474</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3,210</w:t>
            </w:r>
          </w:p>
        </w:tc>
        <w:tc>
          <w:tcPr>
            <w:tcW w:w="2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(294)</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3600" w:type="dxa"/>
            <w:vAlign w:val="bottom"/>
            <w:tcBorders>
              <w:bottom w:val="single" w:sz="8" w:color="D7282F"/>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 2022</w:t>
            </w:r>
          </w:p>
        </w:tc>
        <w:tc>
          <w:tcPr>
            <w:tcW w:w="18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gridSpan w:val="2"/>
          </w:tcPr>
          <w:p>
            <w:pPr>
              <w:jc w:val="center"/>
              <w:ind w:right="148"/>
              <w:spacing w:after="0" w:line="147" w:lineRule="exact"/>
              <w:rPr>
                <w:sz w:val="20"/>
                <w:szCs w:val="20"/>
                <w:color w:val="auto"/>
              </w:rPr>
            </w:pPr>
            <w:r>
              <w:rPr>
                <w:rFonts w:ascii="Arial" w:cs="Arial" w:eastAsia="Arial" w:hAnsi="Arial"/>
                <w:sz w:val="14"/>
                <w:szCs w:val="14"/>
                <w:b w:val="1"/>
                <w:bCs w:val="1"/>
                <w:color w:val="auto"/>
              </w:rPr>
              <w:t>Selling, general</w:t>
            </w:r>
          </w:p>
        </w:tc>
        <w:tc>
          <w:tcPr>
            <w:tcW w:w="18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3"/>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104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40" w:type="dxa"/>
            <w:vAlign w:val="bottom"/>
            <w:gridSpan w:val="2"/>
          </w:tcPr>
          <w:p>
            <w:pPr>
              <w:jc w:val="center"/>
              <w:ind w:right="148"/>
              <w:spacing w:after="0" w:line="145" w:lineRule="exact"/>
              <w:rPr>
                <w:sz w:val="20"/>
                <w:szCs w:val="20"/>
                <w:color w:val="auto"/>
              </w:rPr>
            </w:pPr>
            <w:r>
              <w:rPr>
                <w:rFonts w:ascii="Arial" w:cs="Arial" w:eastAsia="Arial" w:hAnsi="Arial"/>
                <w:sz w:val="14"/>
                <w:szCs w:val="14"/>
                <w:b w:val="1"/>
                <w:bCs w:val="1"/>
                <w:color w:val="auto"/>
              </w:rPr>
              <w:t>administrative</w:t>
            </w:r>
          </w:p>
        </w:tc>
        <w:tc>
          <w:tcPr>
            <w:tcW w:w="1140" w:type="dxa"/>
            <w:vAlign w:val="bottom"/>
            <w:gridSpan w:val="2"/>
          </w:tcPr>
          <w:p>
            <w:pPr>
              <w:jc w:val="center"/>
              <w:ind w:right="228"/>
              <w:spacing w:after="0" w:line="145"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72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440" w:type="dxa"/>
            <w:vAlign w:val="bottom"/>
            <w:tcBorders>
              <w:bottom w:val="single" w:sz="8" w:color="D7282F"/>
            </w:tcBorders>
            <w:gridSpan w:val="2"/>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1140" w:type="dxa"/>
            <w:vAlign w:val="bottom"/>
            <w:tcBorders>
              <w:bottom w:val="single" w:sz="8" w:color="D7282F"/>
            </w:tcBorders>
            <w:gridSpan w:val="2"/>
          </w:tcPr>
          <w:p>
            <w:pPr>
              <w:jc w:val="center"/>
              <w:ind w:right="228"/>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8,951</w:t>
            </w: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4,630</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1,351</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1,228</w:t>
            </w:r>
          </w:p>
        </w:tc>
        <w:tc>
          <w:tcPr>
            <w:tcW w:w="1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(337)</w:t>
            </w:r>
          </w:p>
        </w:tc>
        <w:tc>
          <w:tcPr>
            <w:tcW w:w="840" w:type="dxa"/>
            <w:vAlign w:val="bottom"/>
            <w:tcBorders>
              <w:bottom w:val="single" w:sz="8" w:color="BCBDC0"/>
            </w:tcBorders>
            <w:gridSpan w:val="2"/>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spacing w:after="0"/>
              <w:rPr>
                <w:sz w:val="17"/>
                <w:szCs w:val="17"/>
                <w:color w:val="auto"/>
              </w:rPr>
            </w:pP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3"/>
                <w:szCs w:val="13"/>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vMerge w:val="continue"/>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186</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DC0"/>
            </w:tcBorders>
            <w:gridSpan w:val="3"/>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spacing w:after="0"/>
              <w:rPr>
                <w:sz w:val="17"/>
                <w:szCs w:val="17"/>
                <w:color w:val="auto"/>
              </w:rPr>
            </w:pP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recognized in earnings using an amortization</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vMerge w:val="continue"/>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C202E"/>
            </w:tcBorders>
          </w:tcPr>
          <w:p>
            <w:pPr>
              <w:spacing w:after="0"/>
              <w:rPr>
                <w:sz w:val="16"/>
                <w:szCs w:val="16"/>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780" w:type="dxa"/>
            <w:vAlign w:val="bottom"/>
          </w:tcPr>
          <w:p>
            <w:pPr>
              <w:spacing w:after="0"/>
              <w:rPr>
                <w:sz w:val="24"/>
                <w:szCs w:val="24"/>
                <w:color w:val="auto"/>
              </w:rPr>
            </w:pPr>
          </w:p>
        </w:tc>
        <w:tc>
          <w:tcPr>
            <w:tcW w:w="560" w:type="dxa"/>
            <w:vAlign w:val="bottom"/>
            <w:tcBorders>
              <w:bottom w:val="single" w:sz="8" w:color="D7282F"/>
            </w:tcBorders>
          </w:tcPr>
          <w:p>
            <w:pPr>
              <w:spacing w:after="0"/>
              <w:rPr>
                <w:sz w:val="24"/>
                <w:szCs w:val="24"/>
                <w:color w:val="auto"/>
              </w:rPr>
            </w:pPr>
          </w:p>
        </w:tc>
        <w:tc>
          <w:tcPr>
            <w:tcW w:w="70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3600" w:type="dxa"/>
            <w:vAlign w:val="bottom"/>
            <w:tcBorders>
              <w:bottom w:val="single" w:sz="8" w:color="D7282F"/>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 2021</w:t>
            </w:r>
          </w:p>
        </w:tc>
        <w:tc>
          <w:tcPr>
            <w:tcW w:w="18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gridSpan w:val="2"/>
          </w:tcPr>
          <w:p>
            <w:pPr>
              <w:jc w:val="center"/>
              <w:ind w:right="148"/>
              <w:spacing w:after="0" w:line="147" w:lineRule="exact"/>
              <w:rPr>
                <w:sz w:val="20"/>
                <w:szCs w:val="20"/>
                <w:color w:val="auto"/>
              </w:rPr>
            </w:pPr>
            <w:r>
              <w:rPr>
                <w:rFonts w:ascii="Arial" w:cs="Arial" w:eastAsia="Arial" w:hAnsi="Arial"/>
                <w:sz w:val="14"/>
                <w:szCs w:val="14"/>
                <w:b w:val="1"/>
                <w:bCs w:val="1"/>
                <w:color w:val="auto"/>
              </w:rPr>
              <w:t>Selling, general</w:t>
            </w:r>
          </w:p>
        </w:tc>
        <w:tc>
          <w:tcPr>
            <w:tcW w:w="18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3"/>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1040" w:type="dxa"/>
            <w:vAlign w:val="bottom"/>
          </w:tcPr>
          <w:p>
            <w:pPr>
              <w:jc w:val="center"/>
              <w:ind w:right="548"/>
              <w:spacing w:after="0" w:line="145"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rPr>
              <w:t>administrative</w:t>
            </w:r>
          </w:p>
        </w:tc>
        <w:tc>
          <w:tcPr>
            <w:tcW w:w="114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7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440" w:type="dxa"/>
            <w:vAlign w:val="bottom"/>
            <w:tcBorders>
              <w:bottom w:val="single" w:sz="8" w:color="D7282F"/>
            </w:tcBorders>
            <w:gridSpan w:val="2"/>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1140" w:type="dxa"/>
            <w:vAlign w:val="bottom"/>
            <w:tcBorders>
              <w:bottom w:val="single" w:sz="8" w:color="D7282F"/>
            </w:tcBorders>
            <w:gridSpan w:val="2"/>
          </w:tcPr>
          <w:p>
            <w:pPr>
              <w:jc w:val="center"/>
              <w:ind w:right="228"/>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8,473</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4,463</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1,283</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1,152</w:t>
            </w:r>
          </w:p>
        </w:tc>
        <w:tc>
          <w:tcPr>
            <w:tcW w:w="1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(215)</w:t>
            </w:r>
          </w:p>
        </w:tc>
        <w:tc>
          <w:tcPr>
            <w:tcW w:w="840" w:type="dxa"/>
            <w:vAlign w:val="bottom"/>
            <w:tcBorders>
              <w:bottom w:val="single" w:sz="8" w:color="BCBDC0"/>
            </w:tcBorders>
            <w:gridSpan w:val="2"/>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spacing w:after="0"/>
              <w:rPr>
                <w:sz w:val="17"/>
                <w:szCs w:val="17"/>
                <w:color w:val="auto"/>
              </w:rPr>
            </w:pP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3"/>
                <w:szCs w:val="13"/>
                <w:color w:val="auto"/>
              </w:rPr>
            </w:pP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vMerge w:val="continue"/>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tcPr>
          <w:p>
            <w:pPr>
              <w:spacing w:after="0"/>
              <w:rPr>
                <w:sz w:val="17"/>
                <w:szCs w:val="17"/>
                <w:color w:val="auto"/>
              </w:rPr>
            </w:pPr>
          </w:p>
        </w:tc>
        <w:tc>
          <w:tcPr>
            <w:tcW w:w="1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gridSpan w:val="2"/>
          </w:tcPr>
          <w:p>
            <w:pPr>
              <w:ind w:left="360"/>
              <w:spacing w:after="0" w:line="145" w:lineRule="exact"/>
              <w:rPr>
                <w:sz w:val="20"/>
                <w:szCs w:val="20"/>
                <w:color w:val="auto"/>
              </w:rPr>
            </w:pPr>
            <w:r>
              <w:rPr>
                <w:rFonts w:ascii="Arial" w:cs="Arial" w:eastAsia="Arial" w:hAnsi="Arial"/>
                <w:sz w:val="14"/>
                <w:szCs w:val="14"/>
                <w:color w:val="auto"/>
              </w:rPr>
              <w:t>recognized in earnings using an amortization</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vMerge w:val="continue"/>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40" w:type="dxa"/>
            <w:vAlign w:val="bottom"/>
            <w:tcBorders>
              <w:bottom w:val="single" w:sz="8" w:color="BCBDC0"/>
            </w:tcBorders>
          </w:tcPr>
          <w:p>
            <w:pPr>
              <w:spacing w:after="0"/>
              <w:rPr>
                <w:sz w:val="16"/>
                <w:szCs w:val="16"/>
                <w:color w:val="auto"/>
              </w:rPr>
            </w:pPr>
          </w:p>
        </w:tc>
        <w:tc>
          <w:tcPr>
            <w:tcW w:w="1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3580" w:type="dxa"/>
            <w:vAlign w:val="bottom"/>
            <w:tcBorders>
              <w:bottom w:val="single" w:sz="8" w:color="D7282F"/>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 2022</w:t>
            </w:r>
          </w:p>
        </w:tc>
        <w:tc>
          <w:tcPr>
            <w:tcW w:w="2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gridSpan w:val="2"/>
          </w:tcPr>
          <w:p>
            <w:pPr>
              <w:jc w:val="center"/>
              <w:ind w:right="128"/>
              <w:spacing w:after="0" w:line="147" w:lineRule="exact"/>
              <w:rPr>
                <w:sz w:val="20"/>
                <w:szCs w:val="20"/>
                <w:color w:val="auto"/>
              </w:rPr>
            </w:pPr>
            <w:r>
              <w:rPr>
                <w:rFonts w:ascii="Arial" w:cs="Arial" w:eastAsia="Arial" w:hAnsi="Arial"/>
                <w:sz w:val="14"/>
                <w:szCs w:val="14"/>
                <w:b w:val="1"/>
                <w:bCs w:val="1"/>
                <w:color w:val="auto"/>
              </w:rPr>
              <w:t>Selling, general</w:t>
            </w:r>
          </w:p>
        </w:tc>
        <w:tc>
          <w:tcPr>
            <w:tcW w:w="20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1020" w:type="dxa"/>
            <w:vAlign w:val="bottom"/>
          </w:tcPr>
          <w:p>
            <w:pPr>
              <w:jc w:val="center"/>
              <w:ind w:right="528"/>
              <w:spacing w:after="0" w:line="145" w:lineRule="exact"/>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rPr>
              <w:t>administrative</w:t>
            </w:r>
          </w:p>
        </w:tc>
        <w:tc>
          <w:tcPr>
            <w:tcW w:w="116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420" w:type="dxa"/>
            <w:vAlign w:val="bottom"/>
            <w:tcBorders>
              <w:bottom w:val="single" w:sz="8" w:color="D7282F"/>
            </w:tcBorders>
            <w:gridSpan w:val="2"/>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1160" w:type="dxa"/>
            <w:vAlign w:val="bottom"/>
            <w:tcBorders>
              <w:bottom w:val="single" w:sz="8" w:color="D7282F"/>
            </w:tcBorders>
            <w:gridSpan w:val="2"/>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26,280</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13,676</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4,025</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3,965</w:t>
            </w:r>
          </w:p>
        </w:tc>
        <w:tc>
          <w:tcPr>
            <w:tcW w:w="2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(846)</w:t>
            </w:r>
          </w:p>
        </w:tc>
        <w:tc>
          <w:tcPr>
            <w:tcW w:w="840" w:type="dxa"/>
            <w:vAlign w:val="bottom"/>
            <w:tcBorders>
              <w:bottom w:val="single" w:sz="8" w:color="BCBDC0"/>
            </w:tcBorders>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270</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spacing w:after="0"/>
              <w:rPr>
                <w:sz w:val="17"/>
                <w:szCs w:val="17"/>
                <w:color w:val="auto"/>
              </w:rPr>
            </w:pP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0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400" w:type="dxa"/>
            <w:vAlign w:val="bottom"/>
          </w:tcPr>
          <w:p>
            <w:pPr>
              <w:spacing w:after="0"/>
              <w:rPr>
                <w:sz w:val="13"/>
                <w:szCs w:val="13"/>
                <w:color w:val="auto"/>
              </w:rPr>
            </w:pP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vMerge w:val="continue"/>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354</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spacing w:after="0"/>
              <w:rPr>
                <w:sz w:val="17"/>
                <w:szCs w:val="17"/>
                <w:color w:val="auto"/>
              </w:rPr>
            </w:pP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0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00" w:type="dxa"/>
            <w:vAlign w:val="bottom"/>
            <w:gridSpan w:val="2"/>
          </w:tcPr>
          <w:p>
            <w:pPr>
              <w:ind w:left="360"/>
              <w:spacing w:after="0" w:line="145" w:lineRule="exact"/>
              <w:rPr>
                <w:sz w:val="20"/>
                <w:szCs w:val="20"/>
                <w:color w:val="auto"/>
              </w:rPr>
            </w:pPr>
            <w:r>
              <w:rPr>
                <w:rFonts w:ascii="Arial" w:cs="Arial" w:eastAsia="Arial" w:hAnsi="Arial"/>
                <w:sz w:val="14"/>
                <w:szCs w:val="14"/>
                <w:color w:val="auto"/>
              </w:rPr>
              <w:t>recognized in earnings using an amortization</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vMerge w:val="continue"/>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0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749</w:t>
            </w:r>
          </w:p>
        </w:tc>
        <w:tc>
          <w:tcPr>
            <w:tcW w:w="8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780" w:type="dxa"/>
            <w:vAlign w:val="bottom"/>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74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3580" w:type="dxa"/>
            <w:vAlign w:val="bottom"/>
            <w:tcBorders>
              <w:bottom w:val="single" w:sz="8" w:color="D7282F"/>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20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gridSpan w:val="2"/>
          </w:tcPr>
          <w:p>
            <w:pPr>
              <w:jc w:val="center"/>
              <w:ind w:right="128"/>
              <w:spacing w:after="0" w:line="143" w:lineRule="exact"/>
              <w:rPr>
                <w:sz w:val="20"/>
                <w:szCs w:val="20"/>
                <w:color w:val="auto"/>
              </w:rPr>
            </w:pPr>
            <w:r>
              <w:rPr>
                <w:rFonts w:ascii="Arial" w:cs="Arial" w:eastAsia="Arial" w:hAnsi="Arial"/>
                <w:sz w:val="14"/>
                <w:szCs w:val="14"/>
                <w:b w:val="1"/>
                <w:bCs w:val="1"/>
                <w:color w:val="auto"/>
              </w:rPr>
              <w:t>Selling, general</w:t>
            </w:r>
          </w:p>
        </w:tc>
        <w:tc>
          <w:tcPr>
            <w:tcW w:w="20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1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rPr>
              <w:t>administrative</w:t>
            </w:r>
          </w:p>
        </w:tc>
        <w:tc>
          <w:tcPr>
            <w:tcW w:w="116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420" w:type="dxa"/>
            <w:vAlign w:val="bottom"/>
            <w:tcBorders>
              <w:bottom w:val="single" w:sz="8" w:color="D7282F"/>
            </w:tcBorders>
            <w:gridSpan w:val="2"/>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1160" w:type="dxa"/>
            <w:vAlign w:val="bottom"/>
            <w:tcBorders>
              <w:bottom w:val="single" w:sz="8" w:color="D7282F"/>
            </w:tcBorders>
            <w:gridSpan w:val="2"/>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25,735</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13,748</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3,710</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3,595</w:t>
            </w:r>
          </w:p>
        </w:tc>
        <w:tc>
          <w:tcPr>
            <w:tcW w:w="2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(1,023)</w:t>
            </w:r>
          </w:p>
        </w:tc>
        <w:tc>
          <w:tcPr>
            <w:tcW w:w="840" w:type="dxa"/>
            <w:vAlign w:val="bottom"/>
            <w:tcBorders>
              <w:bottom w:val="single" w:sz="8" w:color="BCBDC0"/>
            </w:tcBorders>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263</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spacing w:after="0"/>
              <w:rPr>
                <w:sz w:val="17"/>
                <w:szCs w:val="17"/>
                <w:color w:val="auto"/>
              </w:rPr>
            </w:pP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360"/>
              <w:spacing w:after="0" w:line="146" w:lineRule="exact"/>
              <w:rPr>
                <w:sz w:val="20"/>
                <w:szCs w:val="20"/>
                <w:color w:val="auto"/>
              </w:rPr>
            </w:pPr>
            <w:r>
              <w:rPr>
                <w:rFonts w:ascii="Arial" w:cs="Arial" w:eastAsia="Arial" w:hAnsi="Arial"/>
                <w:sz w:val="14"/>
                <w:szCs w:val="14"/>
                <w:color w:val="auto"/>
              </w:rPr>
              <w:t>Amount reclassified from accumulated other</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1020" w:type="dxa"/>
            <w:vAlign w:val="bottom"/>
            <w:vMerge w:val="restart"/>
          </w:tcPr>
          <w:p>
            <w:pPr>
              <w:jc w:val="right"/>
              <w:ind w:right="188"/>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vMerge w:val="continue"/>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spacing w:after="0"/>
              <w:rPr>
                <w:sz w:val="17"/>
                <w:szCs w:val="17"/>
                <w:color w:val="auto"/>
              </w:rPr>
            </w:pPr>
          </w:p>
        </w:tc>
        <w:tc>
          <w:tcPr>
            <w:tcW w:w="2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360"/>
              <w:spacing w:after="0" w:line="146" w:lineRule="exact"/>
              <w:rPr>
                <w:sz w:val="20"/>
                <w:szCs w:val="20"/>
                <w:color w:val="auto"/>
              </w:rPr>
            </w:pPr>
            <w:r>
              <w:rPr>
                <w:rFonts w:ascii="Arial" w:cs="Arial" w:eastAsia="Arial" w:hAnsi="Arial"/>
                <w:sz w:val="14"/>
                <w:szCs w:val="14"/>
                <w:color w:val="auto"/>
              </w:rPr>
              <w:t>Amount excluded from effectiveness testing</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00" w:type="dxa"/>
            <w:vAlign w:val="bottom"/>
            <w:gridSpan w:val="2"/>
          </w:tcPr>
          <w:p>
            <w:pPr>
              <w:ind w:left="360"/>
              <w:spacing w:after="0" w:line="139" w:lineRule="exact"/>
              <w:rPr>
                <w:sz w:val="20"/>
                <w:szCs w:val="20"/>
                <w:color w:val="auto"/>
              </w:rPr>
            </w:pPr>
            <w:r>
              <w:rPr>
                <w:rFonts w:ascii="Arial" w:cs="Arial" w:eastAsia="Arial" w:hAnsi="Arial"/>
                <w:sz w:val="14"/>
                <w:szCs w:val="14"/>
                <w:color w:val="auto"/>
              </w:rPr>
              <w:t>recognized in earnings using an amortization</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4"/>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vMerge w:val="continue"/>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or (loss) on derivatives not designated as</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1020" w:type="dxa"/>
            <w:vAlign w:val="bottom"/>
            <w:tcBorders>
              <w:bottom w:val="single" w:sz="8" w:color="BCBDC0"/>
            </w:tcBorders>
          </w:tcPr>
          <w:p>
            <w:pPr>
              <w:spacing w:after="0"/>
              <w:rPr>
                <w:sz w:val="16"/>
                <w:szCs w:val="16"/>
                <w:color w:val="auto"/>
              </w:rPr>
            </w:pPr>
          </w:p>
        </w:tc>
        <w:tc>
          <w:tcPr>
            <w:tcW w:w="2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92</w:t>
            </w:r>
          </w:p>
        </w:tc>
        <w:tc>
          <w:tcPr>
            <w:tcW w:w="8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3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320" w:type="dxa"/>
            <w:vAlign w:val="bottom"/>
            <w:tcBorders>
              <w:top w:val="single" w:sz="8" w:color="D7282F"/>
              <w:bottom w:val="single" w:sz="8" w:color="D7282F"/>
            </w:tcBorders>
          </w:tcPr>
          <w:p>
            <w:pPr>
              <w:spacing w:after="0"/>
              <w:rPr>
                <w:sz w:val="20"/>
                <w:szCs w:val="20"/>
                <w:color w:val="auto"/>
              </w:rPr>
            </w:pPr>
          </w:p>
        </w:tc>
        <w:tc>
          <w:tcPr>
            <w:tcW w:w="760" w:type="dxa"/>
            <w:vAlign w:val="bottom"/>
            <w:tcBorders>
              <w:top w:val="single" w:sz="8" w:color="D7282F"/>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32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20"/>
                <w:szCs w:val="20"/>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207</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474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202</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94</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Cross currency swap</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97</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177</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exchange contracts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62</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accounted for at fair value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50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D7282F"/>
            </w:tcBorders>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10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223"/>
        </w:trPr>
        <w:tc>
          <w:tcPr>
            <w:tcW w:w="5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760" w:type="dxa"/>
            <w:vAlign w:val="bottom"/>
            <w:tcBorders>
              <w:bottom w:val="single" w:sz="8" w:color="BCBDC0"/>
            </w:tcBorders>
          </w:tcPr>
          <w:p>
            <w:pPr>
              <w:spacing w:after="0"/>
              <w:rPr>
                <w:sz w:val="19"/>
                <w:szCs w:val="19"/>
                <w:color w:val="auto"/>
              </w:rPr>
            </w:pPr>
          </w:p>
        </w:tc>
        <w:tc>
          <w:tcPr>
            <w:tcW w:w="320" w:type="dxa"/>
            <w:vAlign w:val="bottom"/>
            <w:tcBorders>
              <w:bottom w:val="single" w:sz="8" w:color="BCBDC0"/>
            </w:tcBorders>
          </w:tcPr>
          <w:p>
            <w:pPr>
              <w:spacing w:after="0"/>
              <w:rPr>
                <w:sz w:val="19"/>
                <w:szCs w:val="19"/>
                <w:color w:val="auto"/>
              </w:rPr>
            </w:pPr>
          </w:p>
        </w:tc>
        <w:tc>
          <w:tcPr>
            <w:tcW w:w="360" w:type="dxa"/>
            <w:vAlign w:val="bottom"/>
            <w:tcBorders>
              <w:bottom w:val="single" w:sz="8" w:color="BCBDC0"/>
            </w:tcBorders>
          </w:tcPr>
          <w:p>
            <w:pPr>
              <w:spacing w:after="0"/>
              <w:rPr>
                <w:sz w:val="19"/>
                <w:szCs w:val="19"/>
                <w:color w:val="auto"/>
              </w:rPr>
            </w:pPr>
          </w:p>
        </w:tc>
        <w:tc>
          <w:tcPr>
            <w:tcW w:w="760" w:type="dxa"/>
            <w:vAlign w:val="bottom"/>
            <w:tcBorders>
              <w:bottom w:val="single" w:sz="8" w:color="BCBDC0"/>
            </w:tcBorders>
          </w:tcPr>
          <w:p>
            <w:pPr>
              <w:spacing w:after="0"/>
              <w:rPr>
                <w:sz w:val="19"/>
                <w:szCs w:val="19"/>
                <w:color w:val="auto"/>
              </w:rPr>
            </w:pPr>
          </w:p>
        </w:tc>
        <w:tc>
          <w:tcPr>
            <w:tcW w:w="120" w:type="dxa"/>
            <w:vAlign w:val="bottom"/>
            <w:tcBorders>
              <w:bottom w:val="single" w:sz="8" w:color="BCBDC0"/>
            </w:tcBorders>
          </w:tcPr>
          <w:p>
            <w:pPr>
              <w:spacing w:after="0"/>
              <w:rPr>
                <w:sz w:val="19"/>
                <w:szCs w:val="19"/>
                <w:color w:val="auto"/>
              </w:rPr>
            </w:pPr>
          </w:p>
        </w:tc>
        <w:tc>
          <w:tcPr>
            <w:tcW w:w="680" w:type="dxa"/>
            <w:vAlign w:val="bottom"/>
            <w:tcBorders>
              <w:bottom w:val="single" w:sz="8" w:color="BCBDC0"/>
            </w:tcBorders>
          </w:tcPr>
          <w:p>
            <w:pPr>
              <w:spacing w:after="0"/>
              <w:rPr>
                <w:sz w:val="19"/>
                <w:szCs w:val="19"/>
                <w:color w:val="auto"/>
              </w:rPr>
            </w:pPr>
          </w:p>
        </w:tc>
        <w:tc>
          <w:tcPr>
            <w:tcW w:w="220" w:type="dxa"/>
            <w:vAlign w:val="bottom"/>
            <w:tcBorders>
              <w:bottom w:val="single" w:sz="8" w:color="BCBDC0"/>
            </w:tcBorders>
          </w:tcPr>
          <w:p>
            <w:pPr>
              <w:spacing w:after="0"/>
              <w:rPr>
                <w:sz w:val="19"/>
                <w:szCs w:val="19"/>
                <w:color w:val="auto"/>
              </w:rPr>
            </w:pPr>
          </w:p>
        </w:tc>
        <w:tc>
          <w:tcPr>
            <w:tcW w:w="520" w:type="dxa"/>
            <w:vAlign w:val="bottom"/>
            <w:tcBorders>
              <w:bottom w:val="single" w:sz="8" w:color="BCBDC0"/>
            </w:tcBorders>
          </w:tcPr>
          <w:p>
            <w:pPr>
              <w:spacing w:after="0"/>
              <w:rPr>
                <w:sz w:val="19"/>
                <w:szCs w:val="19"/>
                <w:color w:val="auto"/>
              </w:rPr>
            </w:pPr>
          </w:p>
        </w:tc>
        <w:tc>
          <w:tcPr>
            <w:tcW w:w="580" w:type="dxa"/>
            <w:vAlign w:val="bottom"/>
            <w:tcBorders>
              <w:bottom w:val="single" w:sz="8" w:color="BCBDC0"/>
            </w:tcBorders>
          </w:tcPr>
          <w:p>
            <w:pPr>
              <w:spacing w:after="0"/>
              <w:rPr>
                <w:sz w:val="19"/>
                <w:szCs w:val="19"/>
                <w:color w:val="auto"/>
              </w:rPr>
            </w:pPr>
          </w:p>
        </w:tc>
        <w:tc>
          <w:tcPr>
            <w:tcW w:w="360" w:type="dxa"/>
            <w:vAlign w:val="bottom"/>
            <w:tcBorders>
              <w:bottom w:val="single" w:sz="8" w:color="BCBDC0"/>
            </w:tcBorders>
          </w:tcPr>
          <w:p>
            <w:pPr>
              <w:spacing w:after="0"/>
              <w:rPr>
                <w:sz w:val="19"/>
                <w:szCs w:val="19"/>
                <w:color w:val="auto"/>
              </w:rPr>
            </w:pPr>
          </w:p>
        </w:tc>
        <w:tc>
          <w:tcPr>
            <w:tcW w:w="740" w:type="dxa"/>
            <w:vAlign w:val="bottom"/>
            <w:tcBorders>
              <w:bottom w:val="single" w:sz="8" w:color="BCBDC0"/>
            </w:tcBorders>
          </w:tcPr>
          <w:p>
            <w:pPr>
              <w:spacing w:after="0"/>
              <w:rPr>
                <w:sz w:val="19"/>
                <w:szCs w:val="19"/>
                <w:color w:val="auto"/>
              </w:rPr>
            </w:pPr>
          </w:p>
        </w:tc>
        <w:tc>
          <w:tcPr>
            <w:tcW w:w="140" w:type="dxa"/>
            <w:vAlign w:val="bottom"/>
            <w:tcBorders>
              <w:bottom w:val="single" w:sz="8" w:color="BCBDC0"/>
            </w:tcBorders>
          </w:tcPr>
          <w:p>
            <w:pPr>
              <w:spacing w:after="0"/>
              <w:rPr>
                <w:sz w:val="19"/>
                <w:szCs w:val="19"/>
                <w:color w:val="auto"/>
              </w:rPr>
            </w:pPr>
          </w:p>
        </w:tc>
        <w:tc>
          <w:tcPr>
            <w:tcW w:w="660" w:type="dxa"/>
            <w:vAlign w:val="bottom"/>
            <w:tcBorders>
              <w:bottom w:val="single" w:sz="8" w:color="BCBDC0"/>
            </w:tcBorders>
          </w:tcPr>
          <w:p>
            <w:pPr>
              <w:spacing w:after="0"/>
              <w:rPr>
                <w:sz w:val="19"/>
                <w:szCs w:val="19"/>
                <w:color w:val="auto"/>
              </w:rPr>
            </w:pPr>
          </w:p>
        </w:tc>
      </w:tr>
      <w:tr>
        <w:trPr>
          <w:trHeight w:val="193"/>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687</w:t>
            </w:r>
          </w:p>
        </w:tc>
        <w:tc>
          <w:tcPr>
            <w:tcW w:w="1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687</w:t>
            </w:r>
          </w:p>
        </w:tc>
        <w:tc>
          <w:tcPr>
            <w:tcW w:w="22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374</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374</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Available for sale investments</w:t>
            </w:r>
          </w:p>
        </w:tc>
        <w:tc>
          <w:tcPr>
            <w:tcW w:w="76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w w:val="89"/>
              </w:rPr>
              <w:t>83</w:t>
            </w:r>
          </w:p>
        </w:tc>
        <w:tc>
          <w:tcPr>
            <w:tcW w:w="3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581</w:t>
            </w:r>
          </w:p>
        </w:tc>
        <w:tc>
          <w:tcPr>
            <w:tcW w:w="1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664</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176</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566</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742</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76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Cross currency swap agreements</w:t>
            </w:r>
          </w:p>
        </w:tc>
        <w:tc>
          <w:tcPr>
            <w:tcW w:w="76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203</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5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Investments in equity securities</w:t>
            </w:r>
          </w:p>
        </w:tc>
        <w:tc>
          <w:tcPr>
            <w:tcW w:w="7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w w:val="89"/>
              </w:rPr>
              <w:t>16</w:t>
            </w:r>
          </w:p>
        </w:tc>
        <w:tc>
          <w:tcPr>
            <w:tcW w:w="3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w:t>
            </w:r>
          </w:p>
        </w:tc>
        <w:tc>
          <w:tcPr>
            <w:tcW w:w="3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7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89"/>
              </w:rPr>
              <w:t>99</w:t>
            </w:r>
          </w:p>
        </w:tc>
        <w:tc>
          <w:tcPr>
            <w:tcW w:w="3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1,495</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1,594</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1,062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1,272</w:t>
            </w:r>
          </w:p>
        </w:tc>
      </w:tr>
      <w:tr>
        <w:trPr>
          <w:trHeight w:val="196"/>
        </w:trPr>
        <w:tc>
          <w:tcPr>
            <w:tcW w:w="5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76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spacing w:after="0"/>
              <w:rPr>
                <w:sz w:val="17"/>
                <w:szCs w:val="17"/>
                <w:color w:val="auto"/>
              </w:rPr>
            </w:pP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498</w:t>
            </w:r>
          </w:p>
        </w:tc>
        <w:tc>
          <w:tcPr>
            <w:tcW w:w="22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282</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282</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76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208"/>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294</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Commodity contracts</w:t>
            </w:r>
          </w:p>
        </w:tc>
        <w:tc>
          <w:tcPr>
            <w:tcW w:w="7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7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w:t>
            </w:r>
          </w:p>
        </w:tc>
        <w:tc>
          <w:tcPr>
            <w:tcW w:w="36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793</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793</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282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282</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foreign currency exchange contracts, interest rate swap agreements, cross currency swap agreements and commodity contracts are valued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as well as investments in equity securities, which includes holdings of Garrett Motion Inc. (Garrett) Series A Preferred Stock. These investments are valued using published prices based off observable market data. As such, these investments are classified within level 2.</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which includes holdings of Garrett common stock. These investments are valued utilizing published prices based on quoted market pricing, which are classified within level 1.</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short-term borrowings approximates fair value.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the Company does not consider any assets or liabilities measured at fair value as level 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3"/>
          </w:tcPr>
          <w:p>
            <w:pPr>
              <w:jc w:val="right"/>
              <w:ind w:right="288"/>
              <w:spacing w:after="0"/>
              <w:rPr>
                <w:sz w:val="20"/>
                <w:szCs w:val="20"/>
                <w:color w:val="auto"/>
              </w:rPr>
            </w:pPr>
            <w:r>
              <w:rPr>
                <w:rFonts w:ascii="Arial" w:cs="Arial" w:eastAsia="Arial" w:hAnsi="Arial"/>
                <w:sz w:val="14"/>
                <w:szCs w:val="14"/>
                <w:b w:val="1"/>
                <w:bCs w:val="1"/>
                <w:color w:val="auto"/>
              </w:rPr>
              <w:t>December 31, 2021</w:t>
            </w:r>
          </w:p>
        </w:tc>
      </w:tr>
      <w:tr>
        <w:trPr>
          <w:trHeight w:val="147"/>
        </w:trPr>
        <w:tc>
          <w:tcPr>
            <w:tcW w:w="7020" w:type="dxa"/>
            <w:vAlign w:val="bottom"/>
          </w:tcPr>
          <w:p>
            <w:pPr>
              <w:spacing w:after="0"/>
              <w:rPr>
                <w:sz w:val="12"/>
                <w:szCs w:val="12"/>
                <w:color w:val="auto"/>
              </w:rPr>
            </w:pPr>
          </w:p>
        </w:tc>
        <w:tc>
          <w:tcPr>
            <w:tcW w:w="1080" w:type="dxa"/>
            <w:vAlign w:val="bottom"/>
            <w:gridSpan w:val="2"/>
          </w:tcPr>
          <w:p>
            <w:pPr>
              <w:jc w:val="right"/>
              <w:ind w:right="208"/>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8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right"/>
              <w:ind w:right="228"/>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660" w:type="dxa"/>
            <w:vAlign w:val="bottom"/>
          </w:tcPr>
          <w:p>
            <w:pPr>
              <w:jc w:val="right"/>
              <w:ind w:right="28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0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140" w:type="dxa"/>
            <w:vAlign w:val="bottom"/>
            <w:tcBorders>
              <w:bottom w:val="single" w:sz="8" w:color="D7282F"/>
            </w:tcBorders>
            <w:gridSpan w:val="3"/>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1100" w:type="dxa"/>
            <w:vAlign w:val="bottom"/>
            <w:tcBorders>
              <w:bottom w:val="single" w:sz="8" w:color="D7282F"/>
            </w:tcBorders>
            <w:gridSpan w:val="2"/>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90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Value</w:t>
            </w:r>
          </w:p>
        </w:tc>
      </w:tr>
      <w:tr>
        <w:trPr>
          <w:trHeight w:val="195"/>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3"/>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Short-term investment</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Long-term receivables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159</w:t>
            </w:r>
          </w:p>
        </w:tc>
        <w:tc>
          <w:tcPr>
            <w:tcW w:w="2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129</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170</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152</w:t>
            </w:r>
          </w:p>
        </w:tc>
      </w:tr>
      <w:tr>
        <w:trPr>
          <w:trHeight w:val="196"/>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Long-term investment</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366</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366</w:t>
            </w:r>
          </w:p>
        </w:tc>
      </w:tr>
      <w:tr>
        <w:trPr>
          <w:trHeight w:val="199"/>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Long-term debt and related current maturities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13,551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15,572</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16,057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17,022</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values of these receivables are considered level 2.</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April 30, 2021, the Company received shares of Garrett Series B Preferred Stock in full and final satisfaction of the Garrett Indemnity and Tax Matters Agreement. As of December 31, 2021, the fair value of the short-term and long-term investments were based on the present value of the mandatory redemptions as reflected within Garrett's Second and Amended and Restated Series B Preferred Stock (Series B Preferred Stock) Certificate of Designation. The present value reflected amortized cost determined by the present value of the mandatory redemptions discounted at 7.25%, which was the rate reflected in the Second Amended and Restated Series B Preferred Stock Certificate of Designation. The discount accreted to interest income over the mandatory redemption period. The investment was designated as held to maturity and was initially recognized at fair value. The fair value of Garrett's Series B Preferred Stock was determined using observable market data and was considered level 2. Fair Value of the Series B Preferred Stock was not impacted by early redemptions until receipt of payment.</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18, 2022, Garrett early redeemed $197 million of the Series B Preferred Stock, pursuant to the terms and conditions of the Second Amended and Restated Series B Preferred Stock Certificate of Designation. Immediately following the early redemption, the fair value of the Series B Preferred Stock was $207 million.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June 28, 2022, Garrett early redeemed all remaining shares of the Series B Preferred Stock in the amount of $212 million, pursuant to the terms and conditions of the Second Amended and Restated Series B Preferred Stock Certificate of Designation. Following the redemption, the Series B Preferred Stock were no longer outstanding.</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12. EARNINGS PER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32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16"/>
                <w:szCs w:val="16"/>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1,552</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1,257</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3,947</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4,114</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674.1</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690.6</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679.3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693.6</w:t>
            </w:r>
          </w:p>
        </w:tc>
      </w:tr>
      <w:tr>
        <w:trPr>
          <w:trHeight w:val="199"/>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 basic</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1.82</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5.81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5.93</w:t>
            </w:r>
          </w:p>
        </w:tc>
      </w:tr>
      <w:tr>
        <w:trPr>
          <w:trHeight w:val="386"/>
        </w:trPr>
        <w:tc>
          <w:tcPr>
            <w:tcW w:w="7020" w:type="dxa"/>
            <w:vAlign w:val="bottom"/>
          </w:tcPr>
          <w:p>
            <w:pPr>
              <w:spacing w:after="0"/>
              <w:rPr>
                <w:sz w:val="24"/>
                <w:szCs w:val="2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32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16"/>
                <w:szCs w:val="16"/>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1,552</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1,257</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3,947</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4,114</w:t>
            </w:r>
          </w:p>
        </w:tc>
      </w:tr>
      <w:tr>
        <w:trPr>
          <w:trHeight w:val="199"/>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674.1</w:t>
            </w:r>
          </w:p>
        </w:tc>
        <w:tc>
          <w:tcPr>
            <w:tcW w:w="24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690.6</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679.3</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693.6</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 - stock plans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6.0</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w:t>
            </w:r>
          </w:p>
        </w:tc>
      </w:tr>
      <w:tr>
        <w:trPr>
          <w:trHeight w:val="199"/>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679.6</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698.9</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685.3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702.0</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 assuming dilution</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5.76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5.86</w:t>
            </w: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diluted earnings per share calculations exclude the effect of stock options when the options’ exercise price exceed the average market price of the common shares during the period. For the three and nine months ended September 30, 2022, the weighted average number of stock options excluded from the computations were 5.5 million and 3.6 million, respectively. For the three and nine months ended September 30, 2021, the weighted average number of stock options excluded from the computations were 1.9 million and 1.6 million, respectively.</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September 30, 2022 and 2021, the total shares outstanding were 672.3 million and 688.4 million, respectively, and as of September 30, 2022 and 2021, total shares issued were 957.6 million.</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13.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0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and Other</w:t>
            </w:r>
          </w:p>
        </w:tc>
        <w:tc>
          <w:tcPr>
            <w:tcW w:w="88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Value of</w:t>
            </w:r>
          </w:p>
        </w:tc>
        <w:tc>
          <w:tcPr>
            <w:tcW w:w="3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Exchange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Postretirement</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w:t>
            </w:r>
          </w:p>
        </w:tc>
        <w:tc>
          <w:tcPr>
            <w:tcW w:w="12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98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Benefits</w:t>
            </w:r>
          </w:p>
        </w:tc>
        <w:tc>
          <w:tcPr>
            <w:tcW w:w="8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2"/>
                <w:szCs w:val="12"/>
                <w:color w:val="auto"/>
              </w:rPr>
            </w:pPr>
          </w:p>
        </w:tc>
        <w:tc>
          <w:tcPr>
            <w:tcW w:w="12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gridSpan w:val="2"/>
          </w:tcPr>
          <w:p>
            <w:pPr>
              <w:jc w:val="center"/>
              <w:ind w:left="188"/>
              <w:spacing w:after="0"/>
              <w:rPr>
                <w:sz w:val="20"/>
                <w:szCs w:val="20"/>
                <w:color w:val="auto"/>
              </w:rPr>
            </w:pPr>
            <w:r>
              <w:rPr>
                <w:rFonts w:ascii="Arial" w:cs="Arial" w:eastAsia="Arial" w:hAnsi="Arial"/>
                <w:sz w:val="14"/>
                <w:szCs w:val="14"/>
                <w:b w:val="1"/>
                <w:bCs w:val="1"/>
                <w:color w:val="auto"/>
              </w:rPr>
              <w:t>Adjustment</w:t>
            </w: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Hedges</w:t>
            </w:r>
          </w:p>
        </w:tc>
        <w:tc>
          <w:tcPr>
            <w:tcW w:w="40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(2,478)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(415)</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0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c>
          <w:tcPr>
            <w:tcW w:w="0" w:type="dxa"/>
            <w:vAlign w:val="bottom"/>
          </w:tcPr>
          <w:p>
            <w:pPr>
              <w:spacing w:after="0"/>
              <w:rPr>
                <w:sz w:val="1"/>
                <w:szCs w:val="1"/>
                <w:color w:val="auto"/>
              </w:rPr>
            </w:pPr>
          </w:p>
        </w:tc>
      </w:tr>
      <w:tr>
        <w:trPr>
          <w:trHeight w:val="193"/>
        </w:trPr>
        <w:tc>
          <w:tcPr>
            <w:tcW w:w="508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Other comprehensive income (loss) before reclassifications</w:t>
            </w:r>
          </w:p>
        </w:tc>
        <w:tc>
          <w:tcPr>
            <w:tcW w:w="80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(375)</w:t>
            </w:r>
          </w:p>
        </w:tc>
        <w:tc>
          <w:tcPr>
            <w:tcW w:w="280" w:type="dxa"/>
            <w:vAlign w:val="bottom"/>
            <w:tcBorders>
              <w:bottom w:val="single" w:sz="8" w:color="BCBDC0"/>
            </w:tcBorders>
          </w:tcPr>
          <w:p>
            <w:pPr>
              <w:spacing w:after="0"/>
              <w:rPr>
                <w:sz w:val="16"/>
                <w:szCs w:val="16"/>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66</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Amounts reclassified from accumulated other comprehensive income</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w w:val="96"/>
              </w:rPr>
              <w:t>(38)</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Net current period other comprehensive income (loss)</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(378)</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(2,856)</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(459)</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w:t>
            </w:r>
          </w:p>
        </w:tc>
        <w:tc>
          <w:tcPr>
            <w:tcW w:w="80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(3,296)</w:t>
            </w:r>
          </w:p>
        </w:tc>
        <w:tc>
          <w:tcPr>
            <w:tcW w:w="0" w:type="dxa"/>
            <w:vAlign w:val="bottom"/>
          </w:tcPr>
          <w:p>
            <w:pPr>
              <w:spacing w:after="0"/>
              <w:rPr>
                <w:sz w:val="1"/>
                <w:szCs w:val="1"/>
                <w:color w:val="auto"/>
              </w:rPr>
            </w:pPr>
          </w:p>
        </w:tc>
      </w:tr>
      <w:tr>
        <w:trPr>
          <w:trHeight w:val="363"/>
        </w:trPr>
        <w:tc>
          <w:tcPr>
            <w:tcW w:w="5080" w:type="dxa"/>
            <w:vAlign w:val="bottom"/>
          </w:tcPr>
          <w:p>
            <w:pPr>
              <w:spacing w:after="0"/>
              <w:rPr>
                <w:sz w:val="24"/>
                <w:szCs w:val="24"/>
                <w:color w:val="auto"/>
              </w:rPr>
            </w:pPr>
          </w:p>
        </w:tc>
        <w:tc>
          <w:tcPr>
            <w:tcW w:w="150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24"/>
                <w:szCs w:val="24"/>
                <w:color w:val="auto"/>
              </w:rPr>
            </w:pPr>
          </w:p>
        </w:tc>
        <w:tc>
          <w:tcPr>
            <w:tcW w:w="980" w:type="dxa"/>
            <w:vAlign w:val="bottom"/>
          </w:tcPr>
          <w:p>
            <w:pPr>
              <w:jc w:val="center"/>
              <w:ind w:right="308"/>
              <w:spacing w:after="0"/>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and Other</w:t>
            </w:r>
          </w:p>
        </w:tc>
        <w:tc>
          <w:tcPr>
            <w:tcW w:w="88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Value of</w:t>
            </w: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Exchange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Postretirement</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w:t>
            </w:r>
          </w:p>
        </w:tc>
        <w:tc>
          <w:tcPr>
            <w:tcW w:w="12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500" w:type="dxa"/>
            <w:vAlign w:val="bottom"/>
            <w:gridSpan w:val="2"/>
          </w:tcPr>
          <w:p>
            <w:pPr>
              <w:jc w:val="center"/>
              <w:ind w:left="188"/>
              <w:spacing w:after="0" w:line="135"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1"/>
                <w:szCs w:val="11"/>
                <w:color w:val="auto"/>
              </w:rPr>
            </w:pPr>
          </w:p>
        </w:tc>
        <w:tc>
          <w:tcPr>
            <w:tcW w:w="98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rPr>
              <w:t>Benefits</w:t>
            </w:r>
          </w:p>
        </w:tc>
        <w:tc>
          <w:tcPr>
            <w:tcW w:w="8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1"/>
                <w:szCs w:val="11"/>
                <w:color w:val="auto"/>
              </w:rPr>
            </w:pPr>
          </w:p>
        </w:tc>
        <w:tc>
          <w:tcPr>
            <w:tcW w:w="120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1"/>
                <w:szCs w:val="11"/>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gridSpan w:val="2"/>
          </w:tcPr>
          <w:p>
            <w:pPr>
              <w:jc w:val="center"/>
              <w:ind w:left="188"/>
              <w:spacing w:after="0"/>
              <w:rPr>
                <w:sz w:val="20"/>
                <w:szCs w:val="20"/>
                <w:color w:val="auto"/>
              </w:rPr>
            </w:pPr>
            <w:r>
              <w:rPr>
                <w:rFonts w:ascii="Arial" w:cs="Arial" w:eastAsia="Arial" w:hAnsi="Arial"/>
                <w:sz w:val="14"/>
                <w:szCs w:val="14"/>
                <w:b w:val="1"/>
                <w:bCs w:val="1"/>
                <w:color w:val="auto"/>
              </w:rPr>
              <w:t>Adjustment</w:t>
            </w:r>
          </w:p>
        </w:tc>
        <w:tc>
          <w:tcPr>
            <w:tcW w:w="126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Hedges</w:t>
            </w:r>
          </w:p>
        </w:tc>
        <w:tc>
          <w:tcPr>
            <w:tcW w:w="40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(2,780)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(601)</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80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(3,377)</w:t>
            </w:r>
          </w:p>
        </w:tc>
        <w:tc>
          <w:tcPr>
            <w:tcW w:w="0" w:type="dxa"/>
            <w:vAlign w:val="bottom"/>
          </w:tcPr>
          <w:p>
            <w:pPr>
              <w:spacing w:after="0"/>
              <w:rPr>
                <w:sz w:val="1"/>
                <w:szCs w:val="1"/>
                <w:color w:val="auto"/>
              </w:rPr>
            </w:pPr>
          </w:p>
        </w:tc>
      </w:tr>
      <w:tr>
        <w:trPr>
          <w:trHeight w:val="193"/>
        </w:trPr>
        <w:tc>
          <w:tcPr>
            <w:tcW w:w="508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Other comprehensive income (loss) before reclassifications</w:t>
            </w:r>
          </w:p>
        </w:tc>
        <w:tc>
          <w:tcPr>
            <w:tcW w:w="80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250</w:t>
            </w:r>
          </w:p>
        </w:tc>
        <w:tc>
          <w:tcPr>
            <w:tcW w:w="280" w:type="dxa"/>
            <w:vAlign w:val="bottom"/>
            <w:tcBorders>
              <w:bottom w:val="single" w:sz="8" w:color="BCBDC0"/>
            </w:tcBorders>
          </w:tcPr>
          <w:p>
            <w:pPr>
              <w:spacing w:after="0"/>
              <w:rPr>
                <w:sz w:val="16"/>
                <w:szCs w:val="16"/>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Amounts reclassified from accumulated other comprehensive income</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w w:val="96"/>
              </w:rPr>
              <w:t>(14)</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Net current period other comprehensive income (loss)</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250</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(2,530)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(666)</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0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(3,193)</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14. COMMITMENTS AND CONTINGENCIES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described in Note 19 Commitments and Contingencies of Notes to Consolidated Financial Statements in the Company's 2021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900" w:type="dxa"/>
            <w:vAlign w:val="bottom"/>
            <w:tcBorders>
              <w:top w:val="single" w:sz="8" w:color="D7282F"/>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D7282F"/>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618</w:t>
            </w:r>
          </w:p>
        </w:tc>
      </w:tr>
      <w:tr>
        <w:trPr>
          <w:trHeight w:val="193"/>
        </w:trPr>
        <w:tc>
          <w:tcPr>
            <w:tcW w:w="78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00" w:type="dxa"/>
            <w:vAlign w:val="bottom"/>
            <w:tcBorders>
              <w:bottom w:val="single" w:sz="8" w:color="BCBDC0"/>
            </w:tcBorders>
          </w:tcPr>
          <w:p>
            <w:pPr>
              <w:spacing w:after="0"/>
              <w:rPr>
                <w:sz w:val="16"/>
                <w:szCs w:val="16"/>
                <w:color w:val="auto"/>
              </w:rPr>
            </w:pPr>
          </w:p>
        </w:tc>
        <w:tc>
          <w:tcPr>
            <w:tcW w:w="500" w:type="dxa"/>
            <w:vAlign w:val="bottom"/>
            <w:tcBorders>
              <w:bottom w:val="single" w:sz="8" w:color="BCBDC0"/>
            </w:tcBorders>
          </w:tcPr>
          <w:p>
            <w:pPr>
              <w:jc w:val="center"/>
              <w:ind w:left="68"/>
              <w:spacing w:after="0"/>
              <w:rPr>
                <w:sz w:val="20"/>
                <w:szCs w:val="20"/>
                <w:color w:val="auto"/>
              </w:rPr>
            </w:pPr>
            <w:r>
              <w:rPr>
                <w:rFonts w:ascii="Arial" w:cs="Arial" w:eastAsia="Arial" w:hAnsi="Arial"/>
                <w:sz w:val="14"/>
                <w:szCs w:val="14"/>
                <w:color w:val="auto"/>
              </w:rPr>
              <w:t>156</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0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w w:val="97"/>
              </w:rPr>
              <w:t>(111)</w:t>
            </w:r>
          </w:p>
        </w:tc>
      </w:tr>
      <w:tr>
        <w:trPr>
          <w:trHeight w:val="199"/>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2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663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60" w:type="dxa"/>
            <w:vAlign w:val="bottom"/>
            <w:tcBorders>
              <w:bottom w:val="single" w:sz="8" w:color="D7282F"/>
            </w:tcBorders>
          </w:tcPr>
          <w:p>
            <w:pPr>
              <w:spacing w:after="0"/>
              <w:rPr>
                <w:sz w:val="17"/>
                <w:szCs w:val="17"/>
                <w:color w:val="auto"/>
              </w:rPr>
            </w:pPr>
          </w:p>
        </w:tc>
        <w:tc>
          <w:tcPr>
            <w:tcW w:w="5020" w:type="dxa"/>
            <w:vAlign w:val="bottom"/>
            <w:tcBorders>
              <w:bottom w:val="single" w:sz="8" w:color="D7282F"/>
            </w:tcBorders>
            <w:gridSpan w:val="2"/>
          </w:tcPr>
          <w:p>
            <w:pPr>
              <w:ind w:left="3340"/>
              <w:spacing w:after="0"/>
              <w:rPr>
                <w:sz w:val="20"/>
                <w:szCs w:val="20"/>
                <w:color w:val="auto"/>
              </w:rPr>
            </w:pPr>
            <w:r>
              <w:rPr>
                <w:rFonts w:ascii="Arial" w:cs="Arial" w:eastAsia="Arial" w:hAnsi="Arial"/>
                <w:sz w:val="14"/>
                <w:szCs w:val="14"/>
                <w:b w:val="1"/>
                <w:bCs w:val="1"/>
                <w:color w:val="auto"/>
              </w:rPr>
              <w:t>September 30, 2022</w:t>
            </w: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44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Accrued liabilities</w:t>
            </w:r>
          </w:p>
        </w:tc>
        <w:tc>
          <w:tcPr>
            <w:tcW w:w="4020" w:type="dxa"/>
            <w:vAlign w:val="bottom"/>
            <w:tcBorders>
              <w:bottom w:val="single" w:sz="8" w:color="BCBDC0"/>
            </w:tcBorders>
          </w:tcPr>
          <w:p>
            <w:pPr>
              <w:ind w:left="33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217</w:t>
            </w:r>
          </w:p>
        </w:tc>
        <w:tc>
          <w:tcPr>
            <w:tcW w:w="840" w:type="dxa"/>
            <w:vAlign w:val="bottom"/>
            <w:tcBorders>
              <w:bottom w:val="single" w:sz="8" w:color="BCBDC0"/>
            </w:tcBorders>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225</w:t>
            </w:r>
          </w:p>
        </w:tc>
      </w:tr>
      <w:tr>
        <w:trPr>
          <w:trHeight w:val="196"/>
        </w:trPr>
        <w:tc>
          <w:tcPr>
            <w:tcW w:w="44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446</w:t>
            </w:r>
          </w:p>
        </w:tc>
        <w:tc>
          <w:tcPr>
            <w:tcW w:w="8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393</w:t>
            </w:r>
          </w:p>
        </w:tc>
      </w:tr>
      <w:tr>
        <w:trPr>
          <w:trHeight w:val="199"/>
        </w:trPr>
        <w:tc>
          <w:tcPr>
            <w:tcW w:w="4460" w:type="dxa"/>
            <w:vAlign w:val="bottom"/>
            <w:tcBorders>
              <w:bottom w:val="single" w:sz="8" w:color="D7282F"/>
            </w:tcBorders>
          </w:tcPr>
          <w:p>
            <w:pPr>
              <w:spacing w:after="0"/>
              <w:rPr>
                <w:sz w:val="17"/>
                <w:szCs w:val="17"/>
                <w:color w:val="auto"/>
              </w:rPr>
            </w:pPr>
          </w:p>
        </w:tc>
        <w:tc>
          <w:tcPr>
            <w:tcW w:w="4020" w:type="dxa"/>
            <w:vAlign w:val="bottom"/>
            <w:tcBorders>
              <w:bottom w:val="single" w:sz="8" w:color="D7282F"/>
            </w:tcBorders>
          </w:tcPr>
          <w:p>
            <w:pPr>
              <w:ind w:left="33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663</w:t>
            </w:r>
          </w:p>
        </w:tc>
        <w:tc>
          <w:tcPr>
            <w:tcW w:w="84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618</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$35 million and $105 million in the three and nine months ended September 30, 2022, respectively,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nine months ended September 30, 2022, was $116 million. As of September 30, 2022, Other current assets and Other assets included $140 million and $468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D7282F"/>
            </w:tcBorders>
          </w:tcPr>
          <w:p>
            <w:pPr>
              <w:spacing w:after="0"/>
              <w:rPr>
                <w:sz w:val="17"/>
                <w:szCs w:val="17"/>
                <w:color w:val="auto"/>
              </w:rPr>
            </w:pPr>
          </w:p>
        </w:tc>
        <w:tc>
          <w:tcPr>
            <w:tcW w:w="3760" w:type="dxa"/>
            <w:vAlign w:val="bottom"/>
            <w:tcBorders>
              <w:bottom w:val="single" w:sz="8" w:color="D7282F"/>
            </w:tcBorders>
            <w:gridSpan w:val="2"/>
          </w:tcPr>
          <w:p>
            <w:pPr>
              <w:ind w:left="292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3120" w:type="dxa"/>
            <w:vAlign w:val="bottom"/>
            <w:tcBorders>
              <w:bottom w:val="single" w:sz="8" w:color="D7282F"/>
            </w:tcBorders>
          </w:tcPr>
          <w:p>
            <w:pPr>
              <w:ind w:left="29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1,372</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2,061</w:t>
            </w:r>
          </w:p>
        </w:tc>
      </w:tr>
      <w:tr>
        <w:trPr>
          <w:trHeight w:val="193"/>
        </w:trPr>
        <w:tc>
          <w:tcPr>
            <w:tcW w:w="5580" w:type="dxa"/>
            <w:vAlign w:val="bottom"/>
            <w:tcBorders>
              <w:bottom w:val="single" w:sz="8" w:color="98989A"/>
            </w:tcBorders>
          </w:tcPr>
          <w:p>
            <w:pPr>
              <w:ind w:left="40"/>
              <w:spacing w:after="0"/>
              <w:rPr>
                <w:sz w:val="20"/>
                <w:szCs w:val="20"/>
                <w:color w:val="auto"/>
              </w:rPr>
            </w:pPr>
            <w:r>
              <w:rPr>
                <w:rFonts w:ascii="Arial" w:cs="Arial" w:eastAsia="Arial" w:hAnsi="Arial"/>
                <w:sz w:val="14"/>
                <w:szCs w:val="14"/>
                <w:color w:val="auto"/>
              </w:rPr>
              <w:t>Accrual for update to estimated liability</w:t>
            </w:r>
          </w:p>
        </w:tc>
        <w:tc>
          <w:tcPr>
            <w:tcW w:w="3120" w:type="dxa"/>
            <w:vAlign w:val="bottom"/>
            <w:tcBorders>
              <w:bottom w:val="single" w:sz="8" w:color="98989A"/>
            </w:tcBorders>
          </w:tcPr>
          <w:p>
            <w:pPr>
              <w:spacing w:after="0"/>
              <w:rPr>
                <w:sz w:val="16"/>
                <w:szCs w:val="16"/>
                <w:color w:val="auto"/>
              </w:rPr>
            </w:pPr>
          </w:p>
        </w:tc>
        <w:tc>
          <w:tcPr>
            <w:tcW w:w="640" w:type="dxa"/>
            <w:vAlign w:val="bottom"/>
            <w:tcBorders>
              <w:bottom w:val="single" w:sz="8" w:color="98989A"/>
            </w:tcBorders>
          </w:tcPr>
          <w:p>
            <w:pPr>
              <w:jc w:val="right"/>
              <w:ind w:right="88"/>
              <w:spacing w:after="0"/>
              <w:rPr>
                <w:sz w:val="20"/>
                <w:szCs w:val="20"/>
                <w:color w:val="auto"/>
              </w:rPr>
            </w:pPr>
            <w:r>
              <w:rPr>
                <w:rFonts w:ascii="Arial" w:cs="Arial" w:eastAsia="Arial" w:hAnsi="Arial"/>
                <w:sz w:val="14"/>
                <w:szCs w:val="14"/>
                <w:color w:val="auto"/>
              </w:rPr>
              <w:t>39</w:t>
            </w:r>
          </w:p>
        </w:tc>
        <w:tc>
          <w:tcPr>
            <w:tcW w:w="420" w:type="dxa"/>
            <w:vAlign w:val="bottom"/>
            <w:tcBorders>
              <w:bottom w:val="single" w:sz="8" w:color="98989A"/>
            </w:tcBorders>
          </w:tcPr>
          <w:p>
            <w:pPr>
              <w:spacing w:after="0"/>
              <w:rPr>
                <w:sz w:val="16"/>
                <w:szCs w:val="16"/>
                <w:color w:val="auto"/>
              </w:rPr>
            </w:pPr>
          </w:p>
        </w:tc>
        <w:tc>
          <w:tcPr>
            <w:tcW w:w="600" w:type="dxa"/>
            <w:vAlign w:val="bottom"/>
            <w:tcBorders>
              <w:bottom w:val="single" w:sz="8" w:color="98989A"/>
            </w:tcBorders>
          </w:tcPr>
          <w:p>
            <w:pPr>
              <w:jc w:val="right"/>
              <w:ind w:right="108"/>
              <w:spacing w:after="0"/>
              <w:rPr>
                <w:sz w:val="20"/>
                <w:szCs w:val="20"/>
                <w:color w:val="auto"/>
              </w:rPr>
            </w:pPr>
            <w:r>
              <w:rPr>
                <w:rFonts w:ascii="Arial" w:cs="Arial" w:eastAsia="Arial" w:hAnsi="Arial"/>
                <w:sz w:val="14"/>
                <w:szCs w:val="14"/>
                <w:color w:val="auto"/>
              </w:rPr>
              <w:t>48</w:t>
            </w:r>
          </w:p>
        </w:tc>
        <w:tc>
          <w:tcPr>
            <w:tcW w:w="220" w:type="dxa"/>
            <w:vAlign w:val="bottom"/>
            <w:tcBorders>
              <w:bottom w:val="single" w:sz="8" w:color="98989A"/>
            </w:tcBorders>
          </w:tcPr>
          <w:p>
            <w:pPr>
              <w:spacing w:after="0"/>
              <w:rPr>
                <w:sz w:val="16"/>
                <w:szCs w:val="16"/>
                <w:color w:val="auto"/>
              </w:rPr>
            </w:pPr>
          </w:p>
        </w:tc>
        <w:tc>
          <w:tcPr>
            <w:tcW w:w="660" w:type="dxa"/>
            <w:vAlign w:val="bottom"/>
            <w:tcBorders>
              <w:bottom w:val="single" w:sz="8" w:color="98989A"/>
            </w:tcBorders>
          </w:tcPr>
          <w:p>
            <w:pPr>
              <w:jc w:val="right"/>
              <w:spacing w:after="0"/>
              <w:rPr>
                <w:sz w:val="20"/>
                <w:szCs w:val="20"/>
                <w:color w:val="auto"/>
              </w:rPr>
            </w:pPr>
            <w:r>
              <w:rPr>
                <w:rFonts w:ascii="Arial" w:cs="Arial" w:eastAsia="Arial" w:hAnsi="Arial"/>
                <w:sz w:val="14"/>
                <w:szCs w:val="14"/>
                <w:color w:val="auto"/>
              </w:rPr>
              <w:t>87</w:t>
            </w:r>
          </w:p>
        </w:tc>
      </w:tr>
      <w:tr>
        <w:trPr>
          <w:trHeight w:val="196"/>
        </w:trPr>
        <w:tc>
          <w:tcPr>
            <w:tcW w:w="5580" w:type="dxa"/>
            <w:vAlign w:val="bottom"/>
            <w:tcBorders>
              <w:bottom w:val="single" w:sz="8" w:color="98989A"/>
            </w:tcBorders>
          </w:tcPr>
          <w:p>
            <w:pPr>
              <w:ind w:left="40"/>
              <w:spacing w:after="0"/>
              <w:rPr>
                <w:sz w:val="20"/>
                <w:szCs w:val="20"/>
                <w:color w:val="auto"/>
              </w:rPr>
            </w:pPr>
            <w:r>
              <w:rPr>
                <w:rFonts w:ascii="Arial" w:cs="Arial" w:eastAsia="Arial" w:hAnsi="Arial"/>
                <w:sz w:val="14"/>
                <w:szCs w:val="14"/>
                <w:color w:val="auto"/>
              </w:rPr>
              <w:t>Change in estimated cost of future claims</w:t>
            </w:r>
          </w:p>
        </w:tc>
        <w:tc>
          <w:tcPr>
            <w:tcW w:w="3120" w:type="dxa"/>
            <w:vAlign w:val="bottom"/>
            <w:tcBorders>
              <w:bottom w:val="single" w:sz="8" w:color="98989A"/>
            </w:tcBorders>
          </w:tcPr>
          <w:p>
            <w:pPr>
              <w:spacing w:after="0"/>
              <w:rPr>
                <w:sz w:val="17"/>
                <w:szCs w:val="17"/>
                <w:color w:val="auto"/>
              </w:rPr>
            </w:pPr>
          </w:p>
        </w:tc>
        <w:tc>
          <w:tcPr>
            <w:tcW w:w="640" w:type="dxa"/>
            <w:vAlign w:val="bottom"/>
            <w:tcBorders>
              <w:bottom w:val="single" w:sz="8" w:color="98989A"/>
            </w:tcBorders>
          </w:tcPr>
          <w:p>
            <w:pPr>
              <w:jc w:val="right"/>
              <w:ind w:right="88"/>
              <w:spacing w:after="0"/>
              <w:rPr>
                <w:sz w:val="20"/>
                <w:szCs w:val="20"/>
                <w:color w:val="auto"/>
              </w:rPr>
            </w:pPr>
            <w:r>
              <w:rPr>
                <w:rFonts w:ascii="Arial" w:cs="Arial" w:eastAsia="Arial" w:hAnsi="Arial"/>
                <w:sz w:val="14"/>
                <w:szCs w:val="14"/>
                <w:color w:val="auto"/>
              </w:rPr>
              <w:t>23</w:t>
            </w:r>
          </w:p>
        </w:tc>
        <w:tc>
          <w:tcPr>
            <w:tcW w:w="420" w:type="dxa"/>
            <w:vAlign w:val="bottom"/>
            <w:tcBorders>
              <w:bottom w:val="single" w:sz="8" w:color="98989A"/>
            </w:tcBorders>
          </w:tcPr>
          <w:p>
            <w:pPr>
              <w:spacing w:after="0"/>
              <w:rPr>
                <w:sz w:val="17"/>
                <w:szCs w:val="17"/>
                <w:color w:val="auto"/>
              </w:rPr>
            </w:pPr>
          </w:p>
        </w:tc>
        <w:tc>
          <w:tcPr>
            <w:tcW w:w="600" w:type="dxa"/>
            <w:vAlign w:val="bottom"/>
            <w:tcBorders>
              <w:bottom w:val="single" w:sz="8" w:color="98989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8989A"/>
            </w:tcBorders>
          </w:tcPr>
          <w:p>
            <w:pPr>
              <w:spacing w:after="0"/>
              <w:rPr>
                <w:sz w:val="17"/>
                <w:szCs w:val="17"/>
                <w:color w:val="auto"/>
              </w:rPr>
            </w:pPr>
          </w:p>
        </w:tc>
        <w:tc>
          <w:tcPr>
            <w:tcW w:w="660" w:type="dxa"/>
            <w:vAlign w:val="bottom"/>
            <w:tcBorders>
              <w:bottom w:val="single" w:sz="8" w:color="98989A"/>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558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Asbestos-related liability payments</w:t>
            </w:r>
          </w:p>
        </w:tc>
        <w:tc>
          <w:tcPr>
            <w:tcW w:w="3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(147)</w:t>
            </w:r>
          </w:p>
        </w:tc>
        <w:tc>
          <w:tcPr>
            <w:tcW w:w="4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(189)</w:t>
            </w:r>
          </w:p>
        </w:tc>
      </w:tr>
      <w:tr>
        <w:trPr>
          <w:trHeight w:val="199"/>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2022</w:t>
            </w:r>
          </w:p>
        </w:tc>
        <w:tc>
          <w:tcPr>
            <w:tcW w:w="3120" w:type="dxa"/>
            <w:vAlign w:val="bottom"/>
            <w:tcBorders>
              <w:bottom w:val="single" w:sz="8" w:color="D7282F"/>
            </w:tcBorders>
          </w:tcPr>
          <w:p>
            <w:pPr>
              <w:ind w:left="29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1,287</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1,982</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0" w:type="dxa"/>
            <w:vAlign w:val="bottom"/>
            <w:tcBorders>
              <w:bottom w:val="single" w:sz="8" w:color="D7282F"/>
            </w:tcBorders>
          </w:tcPr>
          <w:p>
            <w:pPr>
              <w:spacing w:after="0"/>
              <w:rPr>
                <w:sz w:val="17"/>
                <w:szCs w:val="17"/>
                <w:color w:val="auto"/>
              </w:rPr>
            </w:pPr>
          </w:p>
        </w:tc>
        <w:tc>
          <w:tcPr>
            <w:tcW w:w="3540" w:type="dxa"/>
            <w:vAlign w:val="bottom"/>
            <w:tcBorders>
              <w:bottom w:val="single" w:sz="8" w:color="D7282F"/>
            </w:tcBorders>
            <w:gridSpan w:val="2"/>
          </w:tcPr>
          <w:p>
            <w:pPr>
              <w:ind w:left="270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2960" w:type="dxa"/>
            <w:vAlign w:val="bottom"/>
            <w:tcBorders>
              <w:bottom w:val="single" w:sz="8" w:color="D7282F"/>
            </w:tcBorders>
          </w:tcPr>
          <w:p>
            <w:pPr>
              <w:ind w:left="27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w:t>
            </w:r>
          </w:p>
        </w:tc>
      </w:tr>
      <w:tr>
        <w:trPr>
          <w:trHeight w:val="193"/>
        </w:trPr>
        <w:tc>
          <w:tcPr>
            <w:tcW w:w="5800" w:type="dxa"/>
            <w:vAlign w:val="bottom"/>
            <w:tcBorders>
              <w:bottom w:val="single" w:sz="8" w:color="B1B3B3"/>
            </w:tcBorders>
          </w:tcPr>
          <w:p>
            <w:pPr>
              <w:ind w:left="40"/>
              <w:spacing w:after="0"/>
              <w:rPr>
                <w:sz w:val="20"/>
                <w:szCs w:val="20"/>
                <w:color w:val="auto"/>
              </w:rPr>
            </w:pPr>
            <w:r>
              <w:rPr>
                <w:rFonts w:ascii="Arial" w:cs="Arial" w:eastAsia="Arial" w:hAnsi="Arial"/>
                <w:sz w:val="14"/>
                <w:szCs w:val="14"/>
                <w:color w:val="auto"/>
              </w:rPr>
              <w:t>Insurance receipts for asbestos-related liabilities</w:t>
            </w:r>
          </w:p>
        </w:tc>
        <w:tc>
          <w:tcPr>
            <w:tcW w:w="2960" w:type="dxa"/>
            <w:vAlign w:val="bottom"/>
            <w:tcBorders>
              <w:bottom w:val="single" w:sz="8" w:color="B1B3B3"/>
            </w:tcBorders>
          </w:tcPr>
          <w:p>
            <w:pPr>
              <w:spacing w:after="0"/>
              <w:rPr>
                <w:sz w:val="16"/>
                <w:szCs w:val="16"/>
                <w:color w:val="auto"/>
              </w:rPr>
            </w:pPr>
          </w:p>
        </w:tc>
        <w:tc>
          <w:tcPr>
            <w:tcW w:w="580" w:type="dxa"/>
            <w:vAlign w:val="bottom"/>
            <w:tcBorders>
              <w:bottom w:val="single" w:sz="8" w:color="B1B3B3"/>
            </w:tcBorders>
          </w:tcPr>
          <w:p>
            <w:pPr>
              <w:jc w:val="right"/>
              <w:ind w:right="48"/>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B1B3B3"/>
            </w:tcBorders>
          </w:tcPr>
          <w:p>
            <w:pPr>
              <w:spacing w:after="0"/>
              <w:rPr>
                <w:sz w:val="16"/>
                <w:szCs w:val="16"/>
                <w:color w:val="auto"/>
              </w:rPr>
            </w:pPr>
          </w:p>
        </w:tc>
        <w:tc>
          <w:tcPr>
            <w:tcW w:w="60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B1B3B3"/>
            </w:tcBorders>
          </w:tcPr>
          <w:p>
            <w:pPr>
              <w:spacing w:after="0"/>
              <w:rPr>
                <w:sz w:val="16"/>
                <w:szCs w:val="16"/>
                <w:color w:val="auto"/>
              </w:rPr>
            </w:pPr>
          </w:p>
        </w:tc>
        <w:tc>
          <w:tcPr>
            <w:tcW w:w="66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580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Insurance receivables settlements</w:t>
            </w:r>
          </w:p>
        </w:tc>
        <w:tc>
          <w:tcPr>
            <w:tcW w:w="29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(68)</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w:t>
            </w:r>
          </w:p>
        </w:tc>
      </w:tr>
      <w:tr>
        <w:trPr>
          <w:trHeight w:val="199"/>
        </w:trPr>
        <w:tc>
          <w:tcPr>
            <w:tcW w:w="5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2022</w:t>
            </w:r>
          </w:p>
        </w:tc>
        <w:tc>
          <w:tcPr>
            <w:tcW w:w="2960" w:type="dxa"/>
            <w:vAlign w:val="bottom"/>
            <w:tcBorders>
              <w:bottom w:val="single" w:sz="8" w:color="D7282F"/>
            </w:tcBorders>
          </w:tcPr>
          <w:p>
            <w:pPr>
              <w:ind w:left="27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138</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Borders>
              <w:bottom w:val="single" w:sz="8" w:color="D7282F"/>
            </w:tcBorders>
          </w:tcPr>
          <w:p>
            <w:pPr>
              <w:spacing w:after="0"/>
              <w:rPr>
                <w:sz w:val="17"/>
                <w:szCs w:val="17"/>
                <w:color w:val="auto"/>
              </w:rPr>
            </w:pPr>
          </w:p>
        </w:tc>
        <w:tc>
          <w:tcPr>
            <w:tcW w:w="3960" w:type="dxa"/>
            <w:vAlign w:val="bottom"/>
            <w:tcBorders>
              <w:bottom w:val="single" w:sz="8" w:color="D7282F"/>
            </w:tcBorders>
            <w:gridSpan w:val="2"/>
          </w:tcPr>
          <w:p>
            <w:pPr>
              <w:ind w:left="2280"/>
              <w:spacing w:after="0"/>
              <w:rPr>
                <w:sz w:val="20"/>
                <w:szCs w:val="20"/>
                <w:color w:val="auto"/>
              </w:rPr>
            </w:pPr>
            <w:r>
              <w:rPr>
                <w:rFonts w:ascii="Arial" w:cs="Arial" w:eastAsia="Arial" w:hAnsi="Arial"/>
                <w:sz w:val="14"/>
                <w:szCs w:val="14"/>
                <w:b w:val="1"/>
                <w:bCs w:val="1"/>
                <w:color w:val="auto"/>
              </w:rPr>
              <w:t>September 30, 2022</w:t>
            </w:r>
          </w:p>
        </w:tc>
        <w:tc>
          <w:tcPr>
            <w:tcW w:w="176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55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current assets</w:t>
            </w:r>
          </w:p>
        </w:tc>
        <w:tc>
          <w:tcPr>
            <w:tcW w:w="2900" w:type="dxa"/>
            <w:vAlign w:val="bottom"/>
            <w:tcBorders>
              <w:bottom w:val="single" w:sz="8" w:color="BCBDC0"/>
            </w:tcBorders>
          </w:tcPr>
          <w:p>
            <w:pPr>
              <w:ind w:left="22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41</w:t>
            </w:r>
          </w:p>
        </w:tc>
        <w:tc>
          <w:tcPr>
            <w:tcW w:w="780" w:type="dxa"/>
            <w:vAlign w:val="bottom"/>
            <w:tcBorders>
              <w:bottom w:val="single" w:sz="8" w:color="BCBDC0"/>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9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238</w:t>
            </w:r>
          </w:p>
        </w:tc>
        <w:tc>
          <w:tcPr>
            <w:tcW w:w="7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322</w:t>
            </w:r>
          </w:p>
        </w:tc>
      </w:tr>
      <w:tr>
        <w:trPr>
          <w:trHeight w:val="199"/>
        </w:trPr>
        <w:tc>
          <w:tcPr>
            <w:tcW w:w="5520" w:type="dxa"/>
            <w:vAlign w:val="bottom"/>
            <w:tcBorders>
              <w:bottom w:val="single" w:sz="8" w:color="D7282F"/>
            </w:tcBorders>
          </w:tcPr>
          <w:p>
            <w:pPr>
              <w:spacing w:after="0"/>
              <w:rPr>
                <w:sz w:val="17"/>
                <w:szCs w:val="17"/>
                <w:color w:val="auto"/>
              </w:rPr>
            </w:pPr>
          </w:p>
        </w:tc>
        <w:tc>
          <w:tcPr>
            <w:tcW w:w="2900" w:type="dxa"/>
            <w:vAlign w:val="bottom"/>
            <w:tcBorders>
              <w:bottom w:val="single" w:sz="8" w:color="D7282F"/>
            </w:tcBorders>
          </w:tcPr>
          <w:p>
            <w:pPr>
              <w:ind w:left="226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279</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w:t>
            </w:r>
          </w:p>
        </w:tc>
      </w:tr>
      <w:tr>
        <w:trPr>
          <w:trHeight w:val="193"/>
        </w:trPr>
        <w:tc>
          <w:tcPr>
            <w:tcW w:w="55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Accrued liabilities</w:t>
            </w:r>
          </w:p>
        </w:tc>
        <w:tc>
          <w:tcPr>
            <w:tcW w:w="2900" w:type="dxa"/>
            <w:vAlign w:val="bottom"/>
            <w:tcBorders>
              <w:bottom w:val="single" w:sz="8" w:color="BCBDC0"/>
            </w:tcBorders>
          </w:tcPr>
          <w:p>
            <w:pPr>
              <w:ind w:left="22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289</w:t>
            </w:r>
          </w:p>
        </w:tc>
        <w:tc>
          <w:tcPr>
            <w:tcW w:w="780" w:type="dxa"/>
            <w:vAlign w:val="bottom"/>
            <w:tcBorders>
              <w:bottom w:val="single" w:sz="8" w:color="BCBDC0"/>
            </w:tcBorders>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261</w:t>
            </w: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9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1,693</w:t>
            </w:r>
          </w:p>
        </w:tc>
        <w:tc>
          <w:tcPr>
            <w:tcW w:w="7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1,800</w:t>
            </w:r>
          </w:p>
        </w:tc>
      </w:tr>
      <w:tr>
        <w:trPr>
          <w:trHeight w:val="199"/>
        </w:trPr>
        <w:tc>
          <w:tcPr>
            <w:tcW w:w="5520" w:type="dxa"/>
            <w:vAlign w:val="bottom"/>
            <w:tcBorders>
              <w:bottom w:val="single" w:sz="8" w:color="D7282F"/>
            </w:tcBorders>
          </w:tcPr>
          <w:p>
            <w:pPr>
              <w:spacing w:after="0"/>
              <w:rPr>
                <w:sz w:val="17"/>
                <w:szCs w:val="17"/>
                <w:color w:val="auto"/>
              </w:rPr>
            </w:pPr>
          </w:p>
        </w:tc>
        <w:tc>
          <w:tcPr>
            <w:tcW w:w="2900" w:type="dxa"/>
            <w:vAlign w:val="bottom"/>
            <w:tcBorders>
              <w:bottom w:val="single" w:sz="8" w:color="D7282F"/>
            </w:tcBorders>
          </w:tcPr>
          <w:p>
            <w:pPr>
              <w:ind w:left="226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1,982</w:t>
            </w:r>
          </w:p>
        </w:tc>
        <w:tc>
          <w:tcPr>
            <w:tcW w:w="78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2,061</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(TA) and the NARCO Trust Distribution Procedures (TDP) set forth the structure and operating rules of the Trust, and established Honeywell’s evergreen funding obligations.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accordance with the TA, the Trust is eligible to receive cash dividends from Harbison-Walker International Inc. (HWI), the reorganized and renamed entity that emerged from the NARCO bankruptcy. HWI cash dividends are required to be used to pay asbestos-related claims which qualify for payment under the TDP (Annual Contribution Claims) until those funds are exhausted, at which point the Company’s funding obligation, subject to an annual cap of $145 million, is triggered. The Trust received dividend payments from HWI in 2021 and 2022.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 There is no annual funding cap relative to Pre-Established Unliquidated Claims.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operating rules per the TDP define criteria claimants must meet for a claim to be considered valid and paid, which include adequate medical evidence of the claimant’s asbestos-related condition and credible evidence of exposure to a specific NARCO asbestos-containing product. The TDP allows Honeywell to audit claim support documents against these criteria. Once operational in 2014, the Trust began to receive, process and pay claims. The Company identified several issues with the way the Trust was adhering to the TDP in audits subsequent to the Trust becoming operational. The Company consistently raised with the Trust concern that the Trust adopted an improper practice of paying claimants who have not demonstrated the requisite exposure. The Trust refused to alter its practices for payment of claims, and in September 2021, Honeywell filed suit against the Trust in the United States Bankruptcy Court for the Western District of Pennsylvania (Bankruptcy Court) alleging that the Trust has breached its duties in managing the Trust, including breaches of certain provisions of the TA and TDP. Honeywell's lawsuit seeks appropriate relief preventing the Trust from continuing these practices. The Trust also filed suit against Honeywell, alleging Honeywell has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the Bankruptcy Court's ruling is pending. At this time, the Company cannot predict the outcome of these matters, or the potential impact on the asbestos-related liabilities.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and the Trust are discussing a potential settlement of Honeywell’s remaining obligations to the Trust. The potential settlement contemplates, among other things, a lump sum cash payment to the Trust in return for elimination of and Honeywell’s full release from any future obligations to fund (i) claims against the Trust, which comprise Honeywell's NARCO asbestos-related liability, and (ii) the Trust’s annual operating expenses. Material terms and conditions of the potential settlement remain unresolved, and no assurance can be given that a settlement will be reached. Any such settlement would be contingent on (i) approval of the Bankruptcy Court, and (ii) a final Bankruptcy Court order that (A) the Channeling Injunction will remain in effect, and (B) Honeywell shall be released from any and all liabilities for any current or future claims based on exposure to NARCO asbestos-containing products without regard to ongoing solvency of the Trust. In the event a final settlement approved by the Bankruptcy Court is reached, the Company would remove the NARCO asbestos-related liability from the Company’s consolidated balance sheet. In the event a final settlement is not reached, the Company will continue to preserve all its available rights. The Company anticipates the amount of the potential lump-sum payment would exceed the currently reserved NARCO asbestos-related liability. Based on available information to date, the Company does not expect the impact of any settlement would be material with respect to the Company’s consolidated financial position.</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Due to the bankruptcy filing in 2002, claimants were not permitted to file additional claims until the Trust became operative in 2014. As a consequence, there was a large backlog of claims filed with the Trust upon it becoming operative in 2014 through December 31, 2017, the date by which these claims had to be filed or else be barred by the expiration of the statute of limitations. Therefore, the claims filing rate did not start to normalize until 2018 and thereafter. As a result, between 2002 and 2018, the Company lacked a history of sufficiently reliable claims data to derive a reasonable estimate of its NARCO asbestos-related liability, and the Company continued to update its original estimate, as appropriate, using all available information.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Beginning in 2020, with three years of sufficiently reliable claims data, the Company updated its estimate of the NARCO asbestos-related liability. The estimate for the resolution of asserted Annual Contribution Claims and Pre-Established Unliquidated Claims uses average payment values for the relevant historical period. The estimate for unasserted claims is based on historic and anticipated claims filing experience and payment rates, disease classifications and type of claim, and average payment values by the Trust for the relevant historical period. The Company utilizes an asbestos liability valuation specialist to support the preparation of the NARCO asbestos-related liability estimates during the fourth quarter each year. The Company's estimates, which involve significant management judgment, and consider multiple scenarios, include all years of epidemiological disease projection through 2059.</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NARCO asbestos-related liability reflects an estimate for the resolution of Annual Contribution Claims and Pre-Established Unliquidated Claims filed with the Trust, as well as for unasserted Annual Contribution Claims and Pre-Established Unliquidated Claims. The NARCO asbestos-related liability excludes the annual operating expenses of the Trust which are expensed as they are incurred (approximately $21 million in 2021).</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NARCO-related insurance receivable reflects coverage which reimburses Honeywell for portions of NARCO-related claims and defense costs. This coverage is provided by a large number of insurance policies written by dozens of insurance companies in both the domestic insurance market and the London excess market. Honeywell's NARCO-related insurance receivable is an estimate of the probable amount of insurance that is recoverable for asbestos claims. The Company's judgments related to the Company's insurance carriers and insurance coverages are reasonable and consistent with Honeywell's historical dealings and Honeywell's knowledge of any pertinent solvency issues surrounding insurers.</w:t>
      </w:r>
    </w:p>
    <w:p>
      <w:pPr>
        <w:spacing w:after="0" w:line="8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74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Years Ended</w:t>
            </w:r>
          </w:p>
        </w:tc>
        <w:tc>
          <w:tcPr>
            <w:tcW w:w="1180" w:type="dxa"/>
            <w:vAlign w:val="bottom"/>
          </w:tcPr>
          <w:p>
            <w:pPr>
              <w:spacing w:after="0"/>
              <w:rPr>
                <w:sz w:val="14"/>
                <w:szCs w:val="14"/>
                <w:color w:val="auto"/>
              </w:rPr>
            </w:pPr>
          </w:p>
        </w:tc>
      </w:tr>
      <w:tr>
        <w:trPr>
          <w:trHeight w:val="185"/>
        </w:trPr>
        <w:tc>
          <w:tcPr>
            <w:tcW w:w="5660" w:type="dxa"/>
            <w:vAlign w:val="bottom"/>
          </w:tcPr>
          <w:p>
            <w:pPr>
              <w:spacing w:after="0"/>
              <w:rPr>
                <w:sz w:val="16"/>
                <w:szCs w:val="16"/>
                <w:color w:val="auto"/>
              </w:rPr>
            </w:pPr>
          </w:p>
        </w:tc>
        <w:tc>
          <w:tcPr>
            <w:tcW w:w="274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spacing w:after="0"/>
              <w:rPr>
                <w:sz w:val="16"/>
                <w:szCs w:val="16"/>
                <w:color w:val="auto"/>
              </w:rPr>
            </w:pPr>
          </w:p>
        </w:tc>
      </w:tr>
      <w:tr>
        <w:trPr>
          <w:trHeight w:val="195"/>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Activity</w:t>
            </w:r>
          </w:p>
        </w:tc>
        <w:tc>
          <w:tcPr>
            <w:tcW w:w="1420" w:type="dxa"/>
            <w:vAlign w:val="bottom"/>
            <w:tcBorders>
              <w:top w:val="single" w:sz="8" w:color="D7282F"/>
              <w:bottom w:val="single" w:sz="8" w:color="D7282F"/>
            </w:tcBorders>
          </w:tcPr>
          <w:p>
            <w:pPr>
              <w:jc w:val="center"/>
              <w:ind w:left="30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D7282F"/>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720" w:type="dxa"/>
            <w:vAlign w:val="bottom"/>
            <w:tcBorders>
              <w:top w:val="single" w:sz="8" w:color="D7282F"/>
              <w:bottom w:val="single" w:sz="8" w:color="D7282F"/>
            </w:tcBorders>
          </w:tcPr>
          <w:p>
            <w:pPr>
              <w:spacing w:after="0"/>
              <w:rPr>
                <w:sz w:val="16"/>
                <w:szCs w:val="16"/>
                <w:color w:val="auto"/>
              </w:rPr>
            </w:pPr>
          </w:p>
        </w:tc>
        <w:tc>
          <w:tcPr>
            <w:tcW w:w="1660" w:type="dxa"/>
            <w:vAlign w:val="bottom"/>
            <w:tcBorders>
              <w:top w:val="single" w:sz="8" w:color="D7282F"/>
              <w:bottom w:val="single" w:sz="8" w:color="D7282F"/>
            </w:tcBorders>
            <w:gridSpan w:val="2"/>
          </w:tcPr>
          <w:p>
            <w:pPr>
              <w:jc w:val="right"/>
              <w:ind w:right="1268"/>
              <w:spacing w:after="0"/>
              <w:rPr>
                <w:sz w:val="20"/>
                <w:szCs w:val="20"/>
                <w:color w:val="auto"/>
              </w:rPr>
            </w:pPr>
            <w:r>
              <w:rPr>
                <w:rFonts w:ascii="Arial" w:cs="Arial" w:eastAsia="Arial" w:hAnsi="Arial"/>
                <w:sz w:val="14"/>
                <w:szCs w:val="14"/>
                <w:b w:val="1"/>
                <w:bCs w:val="1"/>
                <w:color w:val="auto"/>
                <w:w w:val="96"/>
              </w:rPr>
              <w:t>2021</w:t>
            </w:r>
          </w:p>
        </w:tc>
        <w:tc>
          <w:tcPr>
            <w:tcW w:w="1180" w:type="dxa"/>
            <w:vAlign w:val="bottom"/>
            <w:tcBorders>
              <w:top w:val="single" w:sz="8" w:color="D7282F"/>
              <w:bottom w:val="single" w:sz="8" w:color="D7282F"/>
            </w:tcBorders>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93"/>
        </w:trPr>
        <w:tc>
          <w:tcPr>
            <w:tcW w:w="56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Claims unresolved at the beginning of period</w:t>
            </w:r>
          </w:p>
        </w:tc>
        <w:tc>
          <w:tcPr>
            <w:tcW w:w="1780" w:type="dxa"/>
            <w:vAlign w:val="bottom"/>
            <w:tcBorders>
              <w:bottom w:val="single" w:sz="8" w:color="BCBDC0"/>
            </w:tcBorders>
            <w:gridSpan w:val="2"/>
          </w:tcPr>
          <w:p>
            <w:pPr>
              <w:jc w:val="center"/>
              <w:ind w:left="1228"/>
              <w:spacing w:after="0"/>
              <w:rPr>
                <w:sz w:val="20"/>
                <w:szCs w:val="20"/>
                <w:color w:val="auto"/>
              </w:rPr>
            </w:pPr>
            <w:r>
              <w:rPr>
                <w:rFonts w:ascii="Arial" w:cs="Arial" w:eastAsia="Arial" w:hAnsi="Arial"/>
                <w:sz w:val="14"/>
                <w:szCs w:val="14"/>
                <w:color w:val="auto"/>
              </w:rPr>
              <w:t>6,401</w:t>
            </w:r>
          </w:p>
        </w:tc>
        <w:tc>
          <w:tcPr>
            <w:tcW w:w="24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1660" w:type="dxa"/>
            <w:vAlign w:val="bottom"/>
            <w:tcBorders>
              <w:bottom w:val="single" w:sz="8" w:color="BCBDC0"/>
            </w:tcBorders>
            <w:gridSpan w:val="2"/>
          </w:tcPr>
          <w:p>
            <w:pPr>
              <w:jc w:val="right"/>
              <w:ind w:right="588"/>
              <w:spacing w:after="0"/>
              <w:rPr>
                <w:sz w:val="20"/>
                <w:szCs w:val="20"/>
                <w:color w:val="auto"/>
              </w:rPr>
            </w:pPr>
            <w:r>
              <w:rPr>
                <w:rFonts w:ascii="Arial" w:cs="Arial" w:eastAsia="Arial" w:hAnsi="Arial"/>
                <w:sz w:val="14"/>
                <w:szCs w:val="14"/>
                <w:color w:val="auto"/>
              </w:rPr>
              <w:t>6,242</w:t>
            </w:r>
          </w:p>
        </w:tc>
        <w:tc>
          <w:tcPr>
            <w:tcW w:w="1180" w:type="dxa"/>
            <w:vAlign w:val="bottom"/>
            <w:tcBorders>
              <w:bottom w:val="single" w:sz="8" w:color="BCBDC0"/>
            </w:tcBorders>
          </w:tcPr>
          <w:p>
            <w:pPr>
              <w:jc w:val="center"/>
              <w:ind w:left="628"/>
              <w:spacing w:after="0"/>
              <w:rPr>
                <w:sz w:val="20"/>
                <w:szCs w:val="20"/>
                <w:color w:val="auto"/>
              </w:rPr>
            </w:pPr>
            <w:r>
              <w:rPr>
                <w:rFonts w:ascii="Arial" w:cs="Arial" w:eastAsia="Arial" w:hAnsi="Arial"/>
                <w:sz w:val="14"/>
                <w:szCs w:val="14"/>
                <w:color w:val="auto"/>
              </w:rPr>
              <w:t>6,480</w:t>
            </w:r>
          </w:p>
        </w:tc>
      </w:tr>
      <w:tr>
        <w:trPr>
          <w:trHeight w:val="196"/>
        </w:trPr>
        <w:tc>
          <w:tcPr>
            <w:tcW w:w="56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Claims filed</w:t>
            </w:r>
          </w:p>
        </w:tc>
        <w:tc>
          <w:tcPr>
            <w:tcW w:w="1780" w:type="dxa"/>
            <w:vAlign w:val="bottom"/>
            <w:tcBorders>
              <w:bottom w:val="single" w:sz="8" w:color="BCBDC0"/>
            </w:tcBorders>
            <w:gridSpan w:val="2"/>
          </w:tcPr>
          <w:p>
            <w:pPr>
              <w:jc w:val="center"/>
              <w:ind w:left="1228"/>
              <w:spacing w:after="0"/>
              <w:rPr>
                <w:sz w:val="20"/>
                <w:szCs w:val="20"/>
                <w:color w:val="auto"/>
              </w:rPr>
            </w:pPr>
            <w:r>
              <w:rPr>
                <w:rFonts w:ascii="Arial" w:cs="Arial" w:eastAsia="Arial" w:hAnsi="Arial"/>
                <w:sz w:val="14"/>
                <w:szCs w:val="14"/>
                <w:color w:val="auto"/>
              </w:rPr>
              <w:t>1,486</w:t>
            </w:r>
          </w:p>
        </w:tc>
        <w:tc>
          <w:tcPr>
            <w:tcW w:w="24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1660" w:type="dxa"/>
            <w:vAlign w:val="bottom"/>
            <w:tcBorders>
              <w:bottom w:val="single" w:sz="8" w:color="BCBDC0"/>
            </w:tcBorders>
            <w:gridSpan w:val="2"/>
          </w:tcPr>
          <w:p>
            <w:pPr>
              <w:jc w:val="right"/>
              <w:ind w:right="588"/>
              <w:spacing w:after="0"/>
              <w:rPr>
                <w:sz w:val="20"/>
                <w:szCs w:val="20"/>
                <w:color w:val="auto"/>
              </w:rPr>
            </w:pPr>
            <w:r>
              <w:rPr>
                <w:rFonts w:ascii="Arial" w:cs="Arial" w:eastAsia="Arial" w:hAnsi="Arial"/>
                <w:sz w:val="14"/>
                <w:szCs w:val="14"/>
                <w:color w:val="auto"/>
              </w:rPr>
              <w:t>2,611</w:t>
            </w:r>
          </w:p>
        </w:tc>
        <w:tc>
          <w:tcPr>
            <w:tcW w:w="1180" w:type="dxa"/>
            <w:vAlign w:val="bottom"/>
            <w:tcBorders>
              <w:bottom w:val="single" w:sz="8" w:color="BCBDC0"/>
            </w:tcBorders>
          </w:tcPr>
          <w:p>
            <w:pPr>
              <w:jc w:val="center"/>
              <w:ind w:left="628"/>
              <w:spacing w:after="0"/>
              <w:rPr>
                <w:sz w:val="20"/>
                <w:szCs w:val="20"/>
                <w:color w:val="auto"/>
              </w:rPr>
            </w:pPr>
            <w:r>
              <w:rPr>
                <w:rFonts w:ascii="Arial" w:cs="Arial" w:eastAsia="Arial" w:hAnsi="Arial"/>
                <w:sz w:val="14"/>
                <w:szCs w:val="14"/>
                <w:color w:val="auto"/>
              </w:rPr>
              <w:t>2,233</w:t>
            </w:r>
          </w:p>
        </w:tc>
      </w:tr>
      <w:tr>
        <w:trPr>
          <w:trHeight w:val="196"/>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Claims resolved</w:t>
            </w:r>
          </w:p>
        </w:tc>
        <w:tc>
          <w:tcPr>
            <w:tcW w:w="1780" w:type="dxa"/>
            <w:vAlign w:val="bottom"/>
            <w:tcBorders>
              <w:bottom w:val="single" w:sz="8" w:color="D7282F"/>
            </w:tcBorders>
            <w:gridSpan w:val="2"/>
          </w:tcPr>
          <w:p>
            <w:pPr>
              <w:jc w:val="center"/>
              <w:ind w:left="1208"/>
              <w:spacing w:after="0"/>
              <w:rPr>
                <w:sz w:val="20"/>
                <w:szCs w:val="20"/>
                <w:color w:val="auto"/>
              </w:rPr>
            </w:pPr>
            <w:r>
              <w:rPr>
                <w:rFonts w:ascii="Arial" w:cs="Arial" w:eastAsia="Arial" w:hAnsi="Arial"/>
                <w:sz w:val="14"/>
                <w:szCs w:val="14"/>
                <w:color w:val="auto"/>
              </w:rPr>
              <w:t>(2,154)</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color w:val="auto"/>
              </w:rPr>
              <w:t>(2,452)</w:t>
            </w:r>
          </w:p>
        </w:tc>
        <w:tc>
          <w:tcPr>
            <w:tcW w:w="1180" w:type="dxa"/>
            <w:vAlign w:val="bottom"/>
            <w:tcBorders>
              <w:bottom w:val="single" w:sz="8" w:color="D7282F"/>
            </w:tcBorders>
          </w:tcPr>
          <w:p>
            <w:pPr>
              <w:jc w:val="center"/>
              <w:ind w:left="608"/>
              <w:spacing w:after="0"/>
              <w:rPr>
                <w:sz w:val="20"/>
                <w:szCs w:val="20"/>
                <w:color w:val="auto"/>
              </w:rPr>
            </w:pPr>
            <w:r>
              <w:rPr>
                <w:rFonts w:ascii="Arial" w:cs="Arial" w:eastAsia="Arial" w:hAnsi="Arial"/>
                <w:sz w:val="14"/>
                <w:szCs w:val="14"/>
                <w:color w:val="auto"/>
              </w:rPr>
              <w:t>(2,471)</w:t>
            </w:r>
          </w:p>
        </w:tc>
      </w:tr>
      <w:tr>
        <w:trPr>
          <w:trHeight w:val="199"/>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780" w:type="dxa"/>
            <w:vAlign w:val="bottom"/>
            <w:tcBorders>
              <w:bottom w:val="single" w:sz="8" w:color="D7282F"/>
            </w:tcBorders>
            <w:gridSpan w:val="2"/>
          </w:tcPr>
          <w:p>
            <w:pPr>
              <w:jc w:val="center"/>
              <w:ind w:left="1228"/>
              <w:spacing w:after="0"/>
              <w:rPr>
                <w:sz w:val="20"/>
                <w:szCs w:val="20"/>
                <w:color w:val="auto"/>
              </w:rPr>
            </w:pPr>
            <w:r>
              <w:rPr>
                <w:rFonts w:ascii="Arial" w:cs="Arial" w:eastAsia="Arial" w:hAnsi="Arial"/>
                <w:sz w:val="14"/>
                <w:szCs w:val="14"/>
                <w:b w:val="1"/>
                <w:bCs w:val="1"/>
                <w:color w:val="auto"/>
              </w:rPr>
              <w:t>5,733</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jc w:val="right"/>
              <w:ind w:right="588"/>
              <w:spacing w:after="0"/>
              <w:rPr>
                <w:sz w:val="20"/>
                <w:szCs w:val="20"/>
                <w:color w:val="auto"/>
              </w:rPr>
            </w:pPr>
            <w:r>
              <w:rPr>
                <w:rFonts w:ascii="Arial" w:cs="Arial" w:eastAsia="Arial" w:hAnsi="Arial"/>
                <w:sz w:val="14"/>
                <w:szCs w:val="14"/>
                <w:b w:val="1"/>
                <w:bCs w:val="1"/>
                <w:color w:val="auto"/>
              </w:rPr>
              <w:t>6,401</w:t>
            </w:r>
          </w:p>
        </w:tc>
        <w:tc>
          <w:tcPr>
            <w:tcW w:w="1180" w:type="dxa"/>
            <w:vAlign w:val="bottom"/>
            <w:tcBorders>
              <w:bottom w:val="single" w:sz="8" w:color="D7282F"/>
            </w:tcBorders>
          </w:tcPr>
          <w:p>
            <w:pPr>
              <w:jc w:val="center"/>
              <w:ind w:left="628"/>
              <w:spacing w:after="0"/>
              <w:rPr>
                <w:sz w:val="20"/>
                <w:szCs w:val="20"/>
                <w:color w:val="auto"/>
              </w:rPr>
            </w:pPr>
            <w:r>
              <w:rPr>
                <w:rFonts w:ascii="Arial" w:cs="Arial" w:eastAsia="Arial" w:hAnsi="Arial"/>
                <w:sz w:val="14"/>
                <w:szCs w:val="14"/>
                <w:b w:val="1"/>
                <w:bCs w:val="1"/>
                <w:color w:val="auto"/>
              </w:rPr>
              <w:t>6,242</w:t>
            </w:r>
          </w:p>
        </w:tc>
      </w:tr>
      <w:tr>
        <w:trPr>
          <w:trHeight w:val="424"/>
        </w:trPr>
        <w:tc>
          <w:tcPr>
            <w:tcW w:w="5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Borders>
              <w:bottom w:val="single" w:sz="8" w:color="D7282F"/>
            </w:tcBorders>
            <w:gridSpan w:val="3"/>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2620" w:type="dxa"/>
            <w:vAlign w:val="bottom"/>
            <w:tcBorders>
              <w:bottom w:val="single" w:sz="8" w:color="D7282F"/>
            </w:tcBorders>
            <w:gridSpan w:val="2"/>
          </w:tcPr>
          <w:p>
            <w:pPr>
              <w:jc w:val="right"/>
              <w:ind w:right="768"/>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2740" w:type="dxa"/>
            <w:vAlign w:val="bottom"/>
            <w:tcBorders>
              <w:bottom w:val="single" w:sz="8" w:color="D7282F"/>
            </w:tcBorders>
            <w:gridSpan w:val="4"/>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66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93"/>
        </w:trPr>
        <w:tc>
          <w:tcPr>
            <w:tcW w:w="566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2740" w:type="dxa"/>
            <w:vAlign w:val="bottom"/>
            <w:tcBorders>
              <w:bottom w:val="single" w:sz="8" w:color="B1B3B3"/>
            </w:tcBorders>
            <w:gridSpan w:val="4"/>
          </w:tcPr>
          <w:p>
            <w:pPr>
              <w:jc w:val="right"/>
              <w:ind w:right="80"/>
              <w:spacing w:after="0"/>
              <w:rPr>
                <w:sz w:val="20"/>
                <w:szCs w:val="20"/>
                <w:color w:val="auto"/>
              </w:rPr>
            </w:pPr>
            <w:r>
              <w:rPr>
                <w:rFonts w:ascii="Arial" w:cs="Arial" w:eastAsia="Arial" w:hAnsi="Arial"/>
                <w:sz w:val="14"/>
                <w:szCs w:val="14"/>
                <w:color w:val="auto"/>
              </w:rPr>
              <w:t>3,395</w:t>
            </w:r>
          </w:p>
        </w:tc>
        <w:tc>
          <w:tcPr>
            <w:tcW w:w="1660" w:type="dxa"/>
            <w:vAlign w:val="bottom"/>
            <w:tcBorders>
              <w:bottom w:val="single" w:sz="8" w:color="B1B3B3"/>
            </w:tcBorders>
            <w:gridSpan w:val="2"/>
          </w:tcPr>
          <w:p>
            <w:pPr>
              <w:jc w:val="right"/>
              <w:ind w:right="128"/>
              <w:spacing w:after="0"/>
              <w:rPr>
                <w:sz w:val="20"/>
                <w:szCs w:val="20"/>
                <w:color w:val="auto"/>
              </w:rPr>
            </w:pPr>
            <w:r>
              <w:rPr>
                <w:rFonts w:ascii="Arial" w:cs="Arial" w:eastAsia="Arial" w:hAnsi="Arial"/>
                <w:sz w:val="14"/>
                <w:szCs w:val="14"/>
                <w:color w:val="auto"/>
              </w:rPr>
              <w:t>3,760</w:t>
            </w:r>
          </w:p>
        </w:tc>
        <w:tc>
          <w:tcPr>
            <w:tcW w:w="1180" w:type="dxa"/>
            <w:vAlign w:val="bottom"/>
            <w:tcBorders>
              <w:bottom w:val="single" w:sz="8" w:color="B1B3B3"/>
            </w:tcBorders>
          </w:tcPr>
          <w:p>
            <w:pPr>
              <w:jc w:val="center"/>
              <w:ind w:left="628"/>
              <w:spacing w:after="0"/>
              <w:rPr>
                <w:sz w:val="20"/>
                <w:szCs w:val="20"/>
                <w:color w:val="auto"/>
              </w:rPr>
            </w:pPr>
            <w:r>
              <w:rPr>
                <w:rFonts w:ascii="Arial" w:cs="Arial" w:eastAsia="Arial" w:hAnsi="Arial"/>
                <w:sz w:val="14"/>
                <w:szCs w:val="14"/>
                <w:color w:val="auto"/>
              </w:rPr>
              <w:t>3,422</w:t>
            </w:r>
          </w:p>
        </w:tc>
      </w:tr>
      <w:tr>
        <w:trPr>
          <w:trHeight w:val="196"/>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2740" w:type="dxa"/>
            <w:vAlign w:val="bottom"/>
            <w:tcBorders>
              <w:bottom w:val="single" w:sz="8" w:color="D7282F"/>
            </w:tcBorders>
            <w:gridSpan w:val="4"/>
          </w:tcPr>
          <w:p>
            <w:pPr>
              <w:jc w:val="right"/>
              <w:ind w:right="80"/>
              <w:spacing w:after="0"/>
              <w:rPr>
                <w:sz w:val="20"/>
                <w:szCs w:val="20"/>
                <w:color w:val="auto"/>
              </w:rPr>
            </w:pPr>
            <w:r>
              <w:rPr>
                <w:rFonts w:ascii="Arial" w:cs="Arial" w:eastAsia="Arial" w:hAnsi="Arial"/>
                <w:sz w:val="14"/>
                <w:szCs w:val="14"/>
                <w:color w:val="auto"/>
              </w:rPr>
              <w:t>2,338</w:t>
            </w:r>
          </w:p>
        </w:tc>
        <w:tc>
          <w:tcPr>
            <w:tcW w:w="16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color w:val="auto"/>
              </w:rPr>
              <w:t>2,641</w:t>
            </w:r>
          </w:p>
        </w:tc>
        <w:tc>
          <w:tcPr>
            <w:tcW w:w="1180" w:type="dxa"/>
            <w:vAlign w:val="bottom"/>
            <w:tcBorders>
              <w:bottom w:val="single" w:sz="8" w:color="D7282F"/>
            </w:tcBorders>
          </w:tcPr>
          <w:p>
            <w:pPr>
              <w:jc w:val="center"/>
              <w:ind w:left="628"/>
              <w:spacing w:after="0"/>
              <w:rPr>
                <w:sz w:val="20"/>
                <w:szCs w:val="20"/>
                <w:color w:val="auto"/>
              </w:rPr>
            </w:pPr>
            <w:r>
              <w:rPr>
                <w:rFonts w:ascii="Arial" w:cs="Arial" w:eastAsia="Arial" w:hAnsi="Arial"/>
                <w:sz w:val="14"/>
                <w:szCs w:val="14"/>
                <w:color w:val="auto"/>
              </w:rPr>
              <w:t>2,820</w:t>
            </w:r>
          </w:p>
        </w:tc>
      </w:tr>
      <w:tr>
        <w:trPr>
          <w:trHeight w:val="199"/>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claims</w:t>
            </w:r>
          </w:p>
        </w:tc>
        <w:tc>
          <w:tcPr>
            <w:tcW w:w="2740" w:type="dxa"/>
            <w:vAlign w:val="bottom"/>
            <w:tcBorders>
              <w:bottom w:val="single" w:sz="8" w:color="D7282F"/>
            </w:tcBorders>
            <w:gridSpan w:val="4"/>
          </w:tcPr>
          <w:p>
            <w:pPr>
              <w:jc w:val="right"/>
              <w:ind w:right="80"/>
              <w:spacing w:after="0"/>
              <w:rPr>
                <w:sz w:val="20"/>
                <w:szCs w:val="20"/>
                <w:color w:val="auto"/>
              </w:rPr>
            </w:pPr>
            <w:r>
              <w:rPr>
                <w:rFonts w:ascii="Arial" w:cs="Arial" w:eastAsia="Arial" w:hAnsi="Arial"/>
                <w:sz w:val="14"/>
                <w:szCs w:val="14"/>
                <w:b w:val="1"/>
                <w:bCs w:val="1"/>
                <w:color w:val="auto"/>
              </w:rPr>
              <w:t>5,733</w:t>
            </w:r>
          </w:p>
        </w:tc>
        <w:tc>
          <w:tcPr>
            <w:tcW w:w="16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6,401</w:t>
            </w:r>
          </w:p>
        </w:tc>
        <w:tc>
          <w:tcPr>
            <w:tcW w:w="1180" w:type="dxa"/>
            <w:vAlign w:val="bottom"/>
            <w:tcBorders>
              <w:bottom w:val="single" w:sz="8" w:color="D7282F"/>
            </w:tcBorders>
          </w:tcPr>
          <w:p>
            <w:pPr>
              <w:jc w:val="center"/>
              <w:ind w:left="628"/>
              <w:spacing w:after="0"/>
              <w:rPr>
                <w:sz w:val="20"/>
                <w:szCs w:val="20"/>
                <w:color w:val="auto"/>
              </w:rPr>
            </w:pPr>
            <w:r>
              <w:rPr>
                <w:rFonts w:ascii="Arial" w:cs="Arial" w:eastAsia="Arial" w:hAnsi="Arial"/>
                <w:sz w:val="14"/>
                <w:szCs w:val="14"/>
                <w:b w:val="1"/>
                <w:bCs w:val="1"/>
                <w:color w:val="auto"/>
              </w:rPr>
              <w:t>6,242</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2760" w:type="dxa"/>
            <w:vAlign w:val="bottom"/>
            <w:tcBorders>
              <w:bottom w:val="single" w:sz="8" w:color="D7282F"/>
            </w:tcBorders>
            <w:gridSpan w:val="5"/>
          </w:tcPr>
          <w:p>
            <w:pPr>
              <w:jc w:val="center"/>
              <w:ind w:right="368"/>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right="4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6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center"/>
              <w:ind w:left="428"/>
              <w:spacing w:after="0"/>
              <w:rPr>
                <w:sz w:val="20"/>
                <w:szCs w:val="20"/>
                <w:color w:val="auto"/>
              </w:rPr>
            </w:pPr>
            <w:r>
              <w:rPr>
                <w:rFonts w:ascii="Arial" w:cs="Arial" w:eastAsia="Arial" w:hAnsi="Arial"/>
                <w:sz w:val="14"/>
                <w:szCs w:val="14"/>
                <w:b w:val="1"/>
                <w:bCs w:val="1"/>
                <w:color w:val="auto"/>
              </w:rPr>
              <w:t>(in whole dollars)</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3"/>
        </w:trPr>
        <w:tc>
          <w:tcPr>
            <w:tcW w:w="624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Malignant claims</w:t>
            </w:r>
          </w:p>
        </w:tc>
        <w:tc>
          <w:tcPr>
            <w:tcW w:w="3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56,000</w:t>
            </w:r>
          </w:p>
        </w:tc>
        <w:tc>
          <w:tcPr>
            <w:tcW w:w="2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61,500</w:t>
            </w:r>
          </w:p>
        </w:tc>
        <w:tc>
          <w:tcPr>
            <w:tcW w:w="2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1B3B3"/>
            </w:tcBorders>
          </w:tcPr>
          <w:p>
            <w:pPr>
              <w:jc w:val="right"/>
              <w:ind w:right="168"/>
              <w:spacing w:after="0"/>
              <w:rPr>
                <w:sz w:val="20"/>
                <w:szCs w:val="20"/>
                <w:color w:val="auto"/>
              </w:rPr>
            </w:pPr>
            <w:r>
              <w:rPr>
                <w:rFonts w:ascii="Arial" w:cs="Arial" w:eastAsia="Arial" w:hAnsi="Arial"/>
                <w:sz w:val="14"/>
                <w:szCs w:val="14"/>
                <w:color w:val="auto"/>
              </w:rPr>
              <w:t>50,200</w:t>
            </w:r>
          </w:p>
        </w:tc>
        <w:tc>
          <w:tcPr>
            <w:tcW w:w="16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55,300</w:t>
            </w:r>
          </w:p>
        </w:tc>
        <w:tc>
          <w:tcPr>
            <w:tcW w:w="2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56,000</w:t>
            </w:r>
          </w:p>
        </w:tc>
      </w:tr>
      <w:tr>
        <w:trPr>
          <w:trHeight w:val="196"/>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3,900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predict whether resolution values for Bendix-related asbestos claims will increase, decrease or stabilize in the future.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31, 2018, David Kanefsky (Plaintiff), a Honeywell shareholder, filed a putative class action complaint in the U.S. District Court for the District of New Jersey (the Court) alleging violations of the Securities Exchange Act of 1934 and Rule 10b-5 related to the prior accounting for Bendix asbestos claims. An Amended Complaint was filed on December 30, 2019, and on February 7, 2020, the Company filed a Motion to Dismiss. On May 18, 2020, the Court denied the Motion to Dismiss. On December 7, 2021, the parties filed a Stipulation of Settlement (Settlement Agreement) and Plaintiff filed a motion for preliminary approval of the Settlement Agreement, which included payment by Honeywell of $10 million to settle the claims in dispute. On January 18, 2022, the Court approved the motion for preliminary approval of the Settlement Agreement. On May 3, 2022, the Court entered a final judgment and order approving the Settlement Agreement and dismissed the action. Honeywell continues to believe the claims lacked merit and has denied wrongdoing as well as any liability for the claims made against Honeywell in the action.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(including the matter described below). The Company recognizes liabilities for any contingency that is probable of occurrence and reasonably estimable. The Company continually assesses the likelihood of adverse judgments or outcomes in such matters, as well as potential ranges of possible losses (taking into consideration any insurance recoveries), based on a careful analysis of each matter with the assistance of outside legal counsel and, if applicable, other experts.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Such matters include:</w:t>
      </w:r>
    </w:p>
    <w:p>
      <w:pPr>
        <w:spacing w:after="0" w:line="127" w:lineRule="exact"/>
        <w:rPr>
          <w:sz w:val="20"/>
          <w:szCs w:val="20"/>
          <w:color w:val="auto"/>
        </w:rPr>
      </w:pPr>
    </w:p>
    <w:p>
      <w:pPr>
        <w:jc w:val="both"/>
        <w:ind w:left="200" w:hanging="192"/>
        <w:spacing w:after="0" w:line="259" w:lineRule="auto"/>
        <w:tabs>
          <w:tab w:leader="none" w:pos="197" w:val="left"/>
        </w:tabs>
        <w:numPr>
          <w:ilvl w:val="0"/>
          <w:numId w:val="5"/>
        </w:numPr>
        <w:rPr>
          <w:rFonts w:ascii="Arial" w:cs="Arial" w:eastAsia="Arial" w:hAnsi="Arial"/>
          <w:sz w:val="16"/>
          <w:szCs w:val="16"/>
          <w:color w:val="D7282F"/>
        </w:rPr>
      </w:pPr>
      <w:r>
        <w:rPr>
          <w:rFonts w:ascii="Arial" w:cs="Arial" w:eastAsia="Arial" w:hAnsi="Arial"/>
          <w:sz w:val="16"/>
          <w:szCs w:val="16"/>
          <w:b w:val="1"/>
          <w:bCs w:val="1"/>
          <w:i w:val="1"/>
          <w:iCs w:val="1"/>
          <w:color w:val="auto"/>
        </w:rPr>
        <w:t xml:space="preserve">Petrobras and Unaoil </w:t>
      </w:r>
      <w:r>
        <w:rPr>
          <w:rFonts w:ascii="Arial" w:cs="Arial" w:eastAsia="Arial" w:hAnsi="Arial"/>
          <w:sz w:val="16"/>
          <w:szCs w:val="16"/>
          <w:color w:val="auto"/>
        </w:rPr>
        <w:t>– The Company continues to cooperate with investigations by the U.S. Department of Justice (DOJ), the Securities and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(SEC), and the Brazilian authorities relating to the Company's use of third parties who previously worked for the Company's UOP business in Brazil in relation to Petróleo Brasileiro S.A. (Petrobras) in connection with a project awarded in 2010. The investigations focus on compliance with the U.S. Foreign Corrupt Practices Act and similar Brazilian laws (UOP Matters), and involve, among other things, document production and interviews with former and current management and employees. The DOJ and the SEC are also examining a matter involving a foreign subsidiary’s prior contract with Unaoil S.A.M. in Algeria executed in 2011. The Company continues to be engaged in discussions with the authorities with respect to a potential comprehensive resolution of these matters.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ind w:left="200"/>
        <w:spacing w:after="0" w:line="258" w:lineRule="auto"/>
        <w:rPr>
          <w:sz w:val="20"/>
          <w:szCs w:val="20"/>
          <w:color w:val="auto"/>
        </w:rPr>
      </w:pPr>
      <w:r>
        <w:rPr>
          <w:rFonts w:ascii="Arial" w:cs="Arial" w:eastAsia="Arial" w:hAnsi="Arial"/>
          <w:sz w:val="16"/>
          <w:szCs w:val="16"/>
          <w:color w:val="auto"/>
        </w:rPr>
        <w:t>As the discussions are both ongoing and at different stages with regards to each respective authority, there can be no assurance as to whether the Company will reach a resolution with such authorities or as to the potential timing, terms, or collateral consequences of any such resolution. As a result, the Company cannot predict the ultimate outcome of these UOP Matters or the potential impact on the Company. Based on available information to date, the Company estimates that a potential comprehensive resolution of these UOP Matters would result in a probable loss of approximately $210 million. During the third quarter of 2021, the Company recorded a charge of $160 million related to these UOP Matters in the Company's Consolidated Statement of Operations, and accrued a corresponding liability on the Consolidated Balance Sheet. Based on ongoing discussions with the authorities, during the second quarter of 2022, the Company recorded an additional $50 million related to these UOP Matters in the Company's Consolidated Statement of Operations, and accrued a corresponding liability on the Consolidated Balance Sheet. Amounts payable to authorities pursuant to any potential final comprehensive resolution could differ from the amount recorded in the Company's consolidated financial statements. Based on available information to date, the Company does not expect that any such difference would be material with respect to the Company's consolidated financial position.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Given the uncertainty inherent in litigation and investigations, the Company does not believe it is possible to develop estimates of reasonably possible losses (or a range of possible losses) in excess of current accruals for commitment and contingency matters, including those discussed in this Note 14.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D7282F"/>
        </w:rPr>
        <w:t>NOTE 15.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costs for the Company's significant defined benefit plans include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780" w:type="dxa"/>
            <w:vAlign w:val="bottom"/>
            <w:tcBorders>
              <w:bottom w:val="single" w:sz="8" w:color="DC202E"/>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gridSpan w:val="3"/>
          </w:tcPr>
          <w:p>
            <w:pPr>
              <w:ind w:left="440"/>
              <w:spacing w:after="0"/>
              <w:rPr>
                <w:sz w:val="20"/>
                <w:szCs w:val="20"/>
                <w:color w:val="auto"/>
              </w:rPr>
            </w:pPr>
            <w:r>
              <w:rPr>
                <w:rFonts w:ascii="Arial" w:cs="Arial" w:eastAsia="Arial" w:hAnsi="Arial"/>
                <w:sz w:val="14"/>
                <w:szCs w:val="14"/>
                <w:b w:val="1"/>
                <w:bCs w:val="1"/>
                <w:color w:val="auto"/>
                <w:w w:val="99"/>
              </w:rPr>
              <w:t>U.S. Plans</w:t>
            </w:r>
          </w:p>
        </w:tc>
        <w:tc>
          <w:tcPr>
            <w:tcW w:w="80" w:type="dxa"/>
            <w:vAlign w:val="bottom"/>
            <w:tcBorders>
              <w:bottom w:val="single" w:sz="8" w:color="DC202E"/>
            </w:tcBorders>
          </w:tcPr>
          <w:p>
            <w:pPr>
              <w:spacing w:after="0"/>
              <w:rPr>
                <w:sz w:val="17"/>
                <w:szCs w:val="17"/>
                <w:color w:val="auto"/>
              </w:rPr>
            </w:pPr>
          </w:p>
        </w:tc>
        <w:tc>
          <w:tcPr>
            <w:tcW w:w="800" w:type="dxa"/>
            <w:vAlign w:val="bottom"/>
            <w:tcBorders>
              <w:bottom w:val="single" w:sz="8" w:color="DC202E"/>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spacing w:after="0"/>
              <w:rPr>
                <w:sz w:val="17"/>
                <w:szCs w:val="17"/>
                <w:color w:val="auto"/>
              </w:rPr>
            </w:pPr>
          </w:p>
        </w:tc>
      </w:tr>
      <w:tr>
        <w:trPr>
          <w:trHeight w:val="174"/>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3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220" w:type="dxa"/>
            <w:vAlign w:val="bottom"/>
            <w:tcBorders>
              <w:top w:val="single" w:sz="8" w:color="D7282F"/>
              <w:bottom w:val="single" w:sz="8" w:color="D7282F"/>
            </w:tcBorders>
          </w:tcPr>
          <w:p>
            <w:pPr>
              <w:spacing w:after="0"/>
              <w:rPr>
                <w:sz w:val="20"/>
                <w:szCs w:val="20"/>
                <w:color w:val="auto"/>
              </w:rPr>
            </w:pPr>
          </w:p>
        </w:tc>
        <w:tc>
          <w:tcPr>
            <w:tcW w:w="10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240" w:type="dxa"/>
            <w:vAlign w:val="bottom"/>
            <w:tcBorders>
              <w:top w:val="single" w:sz="8" w:color="D7282F"/>
              <w:bottom w:val="single" w:sz="8" w:color="D7282F"/>
            </w:tcBorders>
          </w:tcPr>
          <w:p>
            <w:pPr>
              <w:spacing w:after="0"/>
              <w:rPr>
                <w:sz w:val="20"/>
                <w:szCs w:val="20"/>
                <w:color w:val="auto"/>
              </w:rPr>
            </w:pPr>
          </w:p>
        </w:tc>
        <w:tc>
          <w:tcPr>
            <w:tcW w:w="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20"/>
                <w:szCs w:val="20"/>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 cost</w:t>
            </w:r>
          </w:p>
        </w:tc>
        <w:tc>
          <w:tcPr>
            <w:tcW w:w="32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64</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77</w:t>
            </w:r>
          </w:p>
        </w:tc>
        <w:tc>
          <w:tcPr>
            <w:tcW w:w="2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8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285</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230</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(320)</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(305)</w:t>
            </w:r>
          </w:p>
        </w:tc>
        <w:tc>
          <w:tcPr>
            <w:tcW w:w="2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8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(961)</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(915)</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w:t>
            </w:r>
          </w:p>
        </w:tc>
        <w:tc>
          <w:tcPr>
            <w:tcW w:w="22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w:t>
            </w: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(213)</w:t>
            </w:r>
          </w:p>
        </w:tc>
        <w:tc>
          <w:tcPr>
            <w:tcW w:w="2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(639)</w:t>
            </w:r>
          </w:p>
        </w:tc>
      </w:tr>
      <w:tr>
        <w:trPr>
          <w:trHeight w:val="479"/>
        </w:trPr>
        <w:tc>
          <w:tcPr>
            <w:tcW w:w="7020" w:type="dxa"/>
            <w:vAlign w:val="bottom"/>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7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202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Non-U.S. Plans</w:t>
            </w:r>
          </w:p>
        </w:tc>
        <w:tc>
          <w:tcPr>
            <w:tcW w:w="22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r>
      <w:tr>
        <w:trPr>
          <w:trHeight w:val="174"/>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220" w:type="dxa"/>
            <w:vAlign w:val="bottom"/>
            <w:tcBorders>
              <w:top w:val="single" w:sz="8" w:color="D7282F"/>
              <w:bottom w:val="single" w:sz="8" w:color="D7282F"/>
            </w:tcBorders>
          </w:tcPr>
          <w:p>
            <w:pPr>
              <w:spacing w:after="0"/>
              <w:rPr>
                <w:sz w:val="20"/>
                <w:szCs w:val="20"/>
                <w:color w:val="auto"/>
              </w:rPr>
            </w:pPr>
          </w:p>
        </w:tc>
        <w:tc>
          <w:tcPr>
            <w:tcW w:w="10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240" w:type="dxa"/>
            <w:vAlign w:val="bottom"/>
            <w:tcBorders>
              <w:top w:val="single" w:sz="8" w:color="D7282F"/>
              <w:bottom w:val="single" w:sz="8" w:color="D7282F"/>
            </w:tcBorders>
          </w:tcPr>
          <w:p>
            <w:pPr>
              <w:spacing w:after="0"/>
              <w:rPr>
                <w:sz w:val="20"/>
                <w:szCs w:val="20"/>
                <w:color w:val="auto"/>
              </w:rPr>
            </w:pPr>
          </w:p>
        </w:tc>
        <w:tc>
          <w:tcPr>
            <w:tcW w:w="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20"/>
                <w:szCs w:val="20"/>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 cost</w:t>
            </w:r>
          </w:p>
        </w:tc>
        <w:tc>
          <w:tcPr>
            <w:tcW w:w="32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8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79</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58</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Borders>
              <w:bottom w:val="single" w:sz="8" w:color="DC202E"/>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(263)</w:t>
            </w: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w:t>
            </w:r>
          </w:p>
        </w:tc>
        <w:tc>
          <w:tcPr>
            <w:tcW w:w="2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16. OTHER (INCOME)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16"/>
                <w:szCs w:val="16"/>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(77)</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(70)</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Pension ongoing income – non-service</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(279)</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(306)</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(847)</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(925)</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postretirement income – non-service</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(Gain) loss on sale of non-strategic businesses and assets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(94)</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exchange</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Expense related to UOP Matters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160</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160</w:t>
            </w: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Expense related to Russia-Ukraine Conflict</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48</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(337)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(215)</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(846)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(1,023)</w:t>
            </w: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Note 14 Commitments and Contingencies for further discussion of the UOP Matters. See Note 5 Repositioning and Other Charges for further discussion of the expense related to the Russia-Ukraine Conflict. See Note 3 for further discussion on the gain on sale of non-strategic business.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17. SEGMENT FINANCIAL DATA</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16"/>
                <w:szCs w:val="16"/>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Aerospace</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1,586</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1,461</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4,621</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4,547</w:t>
            </w: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1,390</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1,271</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4,002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3,583</w:t>
            </w: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2,976</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2,732</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8,623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8,130</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1,169</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1,014</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3,430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3,065</w:t>
            </w: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357</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356</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1,056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1,070</w:t>
            </w: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1,526</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1,370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4,486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2,228</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2,007</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6,394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5,931</w:t>
            </w: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492</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503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1,473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1,477</w:t>
            </w: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2,720</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2,510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7,867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7,408</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1,605</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1,751</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4,959</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5,738</w:t>
            </w: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122</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324</w:t>
            </w: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1,727</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1,861</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5,300</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6,062</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Corporate and All Other</w:t>
            </w: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8,951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8,473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26,280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25,735</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Segment profit</w:t>
            </w: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Aerospace</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818</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740</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2,338</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2,212</w:t>
            </w: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Honeywell Building Technologies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368</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322</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1,064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942</w:t>
            </w: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Performance Materials and Technologies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615</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558</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1,726</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1,522</w:t>
            </w: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Safety and Productivity Solutions</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271</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245</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755</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840</w:t>
            </w: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(298)</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(155)</w:t>
            </w:r>
          </w:p>
        </w:tc>
      </w:tr>
      <w:tr>
        <w:trPr>
          <w:trHeight w:val="199"/>
        </w:trPr>
        <w:tc>
          <w:tcPr>
            <w:tcW w:w="702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1,952</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1,793</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5,585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5,361</w:t>
            </w: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32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(98)</w:t>
            </w:r>
          </w:p>
        </w:tc>
        <w:tc>
          <w:tcPr>
            <w:tcW w:w="22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c>
          <w:tcPr>
            <w:tcW w:w="22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(270)</w:t>
            </w: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(263)</w:t>
            </w:r>
          </w:p>
        </w:tc>
      </w:tr>
      <w:tr>
        <w:trPr>
          <w:trHeight w:val="200"/>
        </w:trPr>
        <w:tc>
          <w:tcPr>
            <w:tcW w:w="7020" w:type="dxa"/>
            <w:vAlign w:val="bottom"/>
            <w:tcBorders>
              <w:bottom w:val="single" w:sz="8" w:color="BCBDC0"/>
            </w:tcBorders>
          </w:tcPr>
          <w:p>
            <w:pPr>
              <w:ind w:left="2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(a)</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(163)</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(172)</w:t>
            </w:r>
          </w:p>
        </w:tc>
      </w:tr>
      <w:tr>
        <w:trPr>
          <w:trHeight w:val="196"/>
        </w:trPr>
        <w:tc>
          <w:tcPr>
            <w:tcW w:w="702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(b)</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261</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748</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809</w:t>
            </w:r>
          </w:p>
        </w:tc>
      </w:tr>
      <w:tr>
        <w:trPr>
          <w:trHeight w:val="196"/>
        </w:trPr>
        <w:tc>
          <w:tcPr>
            <w:tcW w:w="702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(b)</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702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(c)</w:t>
            </w:r>
          </w:p>
        </w:tc>
        <w:tc>
          <w:tcPr>
            <w:tcW w:w="3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(96)</w:t>
            </w:r>
          </w:p>
        </w:tc>
        <w:tc>
          <w:tcPr>
            <w:tcW w:w="22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(714)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(338)</w:t>
            </w:r>
          </w:p>
        </w:tc>
      </w:tr>
      <w:tr>
        <w:trPr>
          <w:trHeight w:val="196"/>
        </w:trPr>
        <w:tc>
          <w:tcPr>
            <w:tcW w:w="702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(d)</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r>
      <w:tr>
        <w:trPr>
          <w:trHeight w:val="19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1,981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1,700</w:t>
            </w:r>
          </w:p>
        </w:tc>
        <w:tc>
          <w:tcPr>
            <w:tcW w:w="2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5,190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5,442</w:t>
            </w:r>
          </w:p>
        </w:tc>
      </w:tr>
    </w:tbl>
    <w:p>
      <w:pPr>
        <w:spacing w:after="0" w:line="225" w:lineRule="exact"/>
        <w:rPr>
          <w:sz w:val="20"/>
          <w:szCs w:val="20"/>
          <w:color w:val="auto"/>
        </w:rPr>
      </w:pPr>
    </w:p>
    <w:p>
      <w:pPr>
        <w:ind w:left="540" w:hanging="514"/>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26" w:lineRule="exact"/>
        <w:rPr>
          <w:rFonts w:ascii="Arial" w:cs="Arial" w:eastAsia="Arial" w:hAnsi="Arial"/>
          <w:sz w:val="13"/>
          <w:szCs w:val="13"/>
          <w:color w:val="auto"/>
        </w:rPr>
      </w:pPr>
    </w:p>
    <w:p>
      <w:pPr>
        <w:ind w:left="540" w:hanging="514"/>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Selling, general and administrative expenses (service cost component) and Other (income) expense (non-service cost component).</w:t>
      </w:r>
    </w:p>
    <w:p>
      <w:pPr>
        <w:spacing w:after="0" w:line="37" w:lineRule="exact"/>
        <w:rPr>
          <w:rFonts w:ascii="Arial" w:cs="Arial" w:eastAsia="Arial" w:hAnsi="Arial"/>
          <w:sz w:val="12"/>
          <w:szCs w:val="12"/>
          <w:color w:val="auto"/>
        </w:rPr>
      </w:pPr>
    </w:p>
    <w:p>
      <w:pPr>
        <w:ind w:left="540" w:hanging="514"/>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26" w:lineRule="exact"/>
        <w:rPr>
          <w:rFonts w:ascii="Arial" w:cs="Arial" w:eastAsia="Arial" w:hAnsi="Arial"/>
          <w:sz w:val="13"/>
          <w:szCs w:val="13"/>
          <w:color w:val="auto"/>
        </w:rPr>
      </w:pPr>
    </w:p>
    <w:p>
      <w:pPr>
        <w:ind w:left="540" w:right="420" w:hanging="514"/>
        <w:spacing w:after="0" w:line="230" w:lineRule="auto"/>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18. SUBSEQUENT EVENTS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See Note 3 Acquisitions and Divestitures for information on the sale of two entities, domiciled in Russia, completed during October 2022.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30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ind w:left="1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Management Discussion and Analysis is intended to help the reader understand the results of operations and financial condition of Honeywell International Inc. and its consolidated subsidiaries (Honeywell or the Company) for the three and nine months ended September 30, 2022. The financial information as of September 30, 2022, should be read in conjunction with the Consolidated Financial Statements for the year ended December 31, 2021, contained in our 2021 Annual Report on Form 10-K. See Note 3 Acquisitions and Divestitures of Notes to Consolidated Financial Statements for a discussion of acquisition and divestiture activity during the nine months ended September 30, 2022.</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July 2022, we realigned certain business units within the Safety and Productivity Solutions reportable business segment. The Safety and Retail business unit, which included our gas detection and safety business, combined with the Advanced Sensing and Technologies business unit to form the Sensing and Safety Technologies business unit. This realignment provides opportunities to capitalize on shared synergies and core technologies resulting in greater value for our customers and the markets we serve. We recast historical periods to reflect this realignment.</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August 16, 2022, the U.S. federal government enacted the Inflation Reduction Act of 2022 into law. The bill includes numerous tax provisions, including a 15% corporate minimum tax as well as a 1% excise tax on share repurchases. We continue to evaluate the impact of this law on our operations; at this point, the legislation is not expected to have a material impact on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continue to monitor the ongoing impacts of current macroeconomic and geopolitical events, including changing conditions from the COVID-19 pandemic, the on-going Russia-Ukraine conflict, inflationary cost pressures, supply chain disruptions, and labor shortages.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COVID-19 pandemic impacted our business operations, and our customers' and suppliers' ability to operate at normal levels. Disruptions in normal operating levels continue to create supply chain disruptions and inflationary cost pressures within our end-markets. We anticipate supply chain constraints, and the inflationary environment will continue for the remainder of 2022 and into 2023. As such, we implemented short-term and long-term strategies to reduce the impact of current and future effects.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mitigation strategies include pricing actions, material supply tracking tools, refinement of escalation processes to communicate supply shortages, and direct engagement with key suppliers to meet customer demand. Where we cannot supply key components or raw materials, we alter existing products or develop new products to satisfy current and changing demand. Alterations to existing products or the development of new products undergo product quality controls and engineering qualification, prior to releasing to our customers. Further, our relationships with primary and secondary suppliers allow us to reliably source key components and raw materials. We believe these mitigation strategies enable us to reduce supply risk, accelerate new product innovation, and expand our penetration in the markets we serve.</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Russia-Ukraine conflict also continues to create volatility in global financial and energy markets, creating energy and supply chain shortages, adding to the inflationary pressures in the global economy. We continue to actively work with our suppliers to minimize impacts of supply shortages on our manufacturing capabilities, and we implemented strategies to reduce our reliance on natural gas at critical sites in Europe.</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are not successful in sustaining or executing these strategies these macroeconomic conditions could have a material adverse effect on our consolidated results of operations or operating cash flows.</w:t>
      </w:r>
    </w:p>
    <w:p>
      <w:pPr>
        <w:spacing w:after="0" w:line="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the section titled Review of Business Segments for additional information on the impacts of inflationary cost pressures, supply chain disruptions, and labor shortages to our businesses.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COVID-19 UPDATE</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2022, governments around the world removed many restrictions on businesses and the general public. Our manufacturing sites continue to operate at normal production levels. As of September 30, 2022, we returned nearly all of our non-manufacturing employees to the workplace.</w:t>
      </w:r>
    </w:p>
    <w:p>
      <w:pPr>
        <w:spacing w:after="0" w:line="3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continue to actively monitor regional COVID-19 outbreaks, and the related government restrictions and lockdown activities in the areas we operate, particularly within areas of Asia. To date, the impacts of these actions have not been material.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titled Review of Business Segments for additional information on the impacts of COVID-19 to our businesses.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RUSSIA-UKRAINE CONFLICT</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Russia-Ukraine conflict continues to negatively impact our businesses and operations, and drive global economic and political uncertainty. In response to the Russian invasion of Ukraine, in March 2022, we suspended substantially all of our sales, distribution, and service activities in Russia and Belarus (the Suspension). In June 2022, we approved a plan to wind down our existing businesses and operations in Russia (the Wind down). During the third quarter of 2022, we completed the sale of one of our entities domiciled in Russia. In October 2022, we completed the sale of two additional entities. For our two remaining entities, we are pursuing a voluntary liquidation strategy to completely exit our businesses and operations in Russia. The Suspension and Wind down impacts all reportable business segments, with the most significant impact to our Performance Materials and Technologies reportable business segment.</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impacts to revenue, net income, net assets, cash flow from operations, or our global workforce for the periods recognized are not material to our consolidated results of operations and consolidated financial position. For the year ended December 31, 2021, revenue from sales in Russia represented approximately 1% of our global revenues, and assets in Russia represented less than 1% of our total assets. Our estimate of potential future losses or other contingencies related to the Suspension and Wind down activities, including any guarantee payments or any litigation costs or as otherwise related to our Wind down in Russia, could adversely affect our consolidated results of operations in the periods recognized but would not be material with respect to our consolidated financial position. As the conflict evolves, existing conditions may worsen or other impacts that are unknown at this time may arise that could have a material adverse effect on our consolidated financial position.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See the section titled Review of Business Segments for additional information on the impacts of the Russia-Ukraine conflict to our businesses.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See Note 3 Acquisition and Divestitures and Note 5 Repositioning of Notes to Consolidated Financial Statements for additional information on the Sale and Other charges recognized related to the Suspension and Wind down,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See Item 1A. Risk Factors for additional information on potential risks to our business.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303530</wp:posOffset>
            </wp:positionV>
            <wp:extent cx="4714875" cy="5203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4875"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372110</wp:posOffset>
            </wp:positionV>
            <wp:extent cx="6000750" cy="2914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80645</wp:posOffset>
            </wp:positionV>
            <wp:extent cx="6000750" cy="3051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D7282F"/>
            </w:tcBorders>
          </w:tcPr>
          <w:p>
            <w:pPr>
              <w:spacing w:after="0"/>
              <w:rPr>
                <w:sz w:val="17"/>
                <w:szCs w:val="17"/>
                <w:color w:val="auto"/>
              </w:rPr>
            </w:pPr>
          </w:p>
        </w:tc>
        <w:tc>
          <w:tcPr>
            <w:tcW w:w="4580" w:type="dxa"/>
            <w:vAlign w:val="bottom"/>
            <w:tcBorders>
              <w:bottom w:val="single" w:sz="8" w:color="D7282F"/>
            </w:tcBorders>
          </w:tcPr>
          <w:p>
            <w:pPr>
              <w:jc w:val="right"/>
              <w:ind w:right="548"/>
              <w:spacing w:after="0"/>
              <w:rPr>
                <w:sz w:val="20"/>
                <w:szCs w:val="20"/>
                <w:color w:val="auto"/>
              </w:rPr>
            </w:pPr>
            <w:r>
              <w:rPr>
                <w:rFonts w:ascii="Arial" w:cs="Arial" w:eastAsia="Arial" w:hAnsi="Arial"/>
                <w:sz w:val="14"/>
                <w:szCs w:val="14"/>
                <w:b w:val="1"/>
                <w:bCs w:val="1"/>
                <w:color w:val="auto"/>
              </w:rPr>
              <w:t>Q3 2022 vs. Q3 2021</w:t>
            </w:r>
          </w:p>
        </w:tc>
        <w:tc>
          <w:tcPr>
            <w:tcW w:w="2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Year to Date 2022 vs. 2021</w:t>
            </w:r>
          </w:p>
        </w:tc>
      </w:tr>
      <w:tr>
        <w:trPr>
          <w:trHeight w:val="193"/>
        </w:trPr>
        <w:tc>
          <w:tcPr>
            <w:tcW w:w="44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Volume</w:t>
            </w:r>
          </w:p>
        </w:tc>
        <w:tc>
          <w:tcPr>
            <w:tcW w:w="4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w:t>
            </w:r>
          </w:p>
        </w:tc>
        <w:tc>
          <w:tcPr>
            <w:tcW w:w="2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44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Price</w:t>
            </w:r>
          </w:p>
        </w:tc>
        <w:tc>
          <w:tcPr>
            <w:tcW w:w="4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11 %</w:t>
            </w:r>
          </w:p>
        </w:tc>
        <w:tc>
          <w:tcPr>
            <w:tcW w:w="2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9 %</w:t>
            </w:r>
          </w:p>
        </w:tc>
      </w:tr>
      <w:tr>
        <w:trPr>
          <w:trHeight w:val="196"/>
        </w:trPr>
        <w:tc>
          <w:tcPr>
            <w:tcW w:w="4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w:t>
            </w:r>
          </w:p>
        </w:tc>
        <w:tc>
          <w:tcPr>
            <w:tcW w:w="2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4440" w:type="dxa"/>
            <w:vAlign w:val="bottom"/>
            <w:tcBorders>
              <w:bottom w:val="single" w:sz="8" w:color="D7282F"/>
            </w:tcBorders>
          </w:tcPr>
          <w:p>
            <w:pPr>
              <w:spacing w:after="0"/>
              <w:rPr>
                <w:sz w:val="17"/>
                <w:szCs w:val="17"/>
                <w:color w:val="auto"/>
              </w:rPr>
            </w:pPr>
          </w:p>
        </w:tc>
        <w:tc>
          <w:tcPr>
            <w:tcW w:w="4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6 %</w:t>
            </w:r>
          </w:p>
        </w:tc>
        <w:tc>
          <w:tcPr>
            <w:tcW w:w="2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2 %</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with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6"/>
          <w:szCs w:val="16"/>
          <w:color w:val="D7282F"/>
        </w:rPr>
      </w:pPr>
      <w:r>
        <w:rPr>
          <w:rFonts w:ascii="Arial" w:cs="Arial" w:eastAsia="Arial" w:hAnsi="Arial"/>
          <w:sz w:val="16"/>
          <w:szCs w:val="16"/>
          <w:color w:val="auto"/>
        </w:rPr>
        <w:t>Favorable pricing to offset higher direct and indirect material costs and higher labor costs,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7"/>
        </w:numPr>
        <w:rPr>
          <w:rFonts w:ascii="Arial" w:cs="Arial" w:eastAsia="Arial" w:hAnsi="Arial"/>
          <w:sz w:val="16"/>
          <w:szCs w:val="16"/>
          <w:color w:val="D7282F"/>
        </w:rPr>
      </w:pPr>
      <w:r>
        <w:rPr>
          <w:rFonts w:ascii="Arial" w:cs="Arial" w:eastAsia="Arial" w:hAnsi="Arial"/>
          <w:sz w:val="16"/>
          <w:szCs w:val="16"/>
          <w:color w:val="auto"/>
        </w:rPr>
        <w:t>Partially offset by lower sales volumes in our Safety and Productivity Solutions reportable business segment, and</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7"/>
        </w:numPr>
        <w:rPr>
          <w:rFonts w:ascii="Arial" w:cs="Arial" w:eastAsia="Arial" w:hAnsi="Arial"/>
          <w:sz w:val="16"/>
          <w:szCs w:val="16"/>
          <w:color w:val="D7282F"/>
        </w:rPr>
      </w:pPr>
      <w:r>
        <w:rPr>
          <w:rFonts w:ascii="Arial" w:cs="Arial" w:eastAsia="Arial" w:hAnsi="Arial"/>
          <w:sz w:val="16"/>
          <w:szCs w:val="16"/>
          <w:color w:val="auto"/>
        </w:rPr>
        <w:t>The unfavorable impact of foreign currency translation, driven by the strengthening of the U.S. Dollar against the currencies of the majority of our international markets, primarily the Euro, British Pound, Turkish Lira, and Chinese Renminbi.</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6"/>
          <w:szCs w:val="16"/>
          <w:color w:val="D7282F"/>
        </w:rPr>
      </w:pPr>
      <w:r>
        <w:rPr>
          <w:rFonts w:ascii="Arial" w:cs="Arial" w:eastAsia="Arial" w:hAnsi="Arial"/>
          <w:sz w:val="16"/>
          <w:szCs w:val="16"/>
          <w:color w:val="auto"/>
        </w:rPr>
        <w:t>Favorable pricing to offset higher direct and indirect material costs and higher labor costs,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8"/>
        </w:numPr>
        <w:rPr>
          <w:rFonts w:ascii="Arial" w:cs="Arial" w:eastAsia="Arial" w:hAnsi="Arial"/>
          <w:sz w:val="16"/>
          <w:szCs w:val="16"/>
          <w:color w:val="D7282F"/>
        </w:rPr>
      </w:pPr>
      <w:r>
        <w:rPr>
          <w:rFonts w:ascii="Arial" w:cs="Arial" w:eastAsia="Arial" w:hAnsi="Arial"/>
          <w:sz w:val="16"/>
          <w:szCs w:val="16"/>
          <w:color w:val="auto"/>
        </w:rPr>
        <w:t>Partially offset by lower sales volumes in our Safety and Productivity Solutions reportable business segment, and</w:t>
      </w:r>
    </w:p>
    <w:p>
      <w:pPr>
        <w:spacing w:after="0" w:line="72" w:lineRule="exact"/>
        <w:rPr>
          <w:rFonts w:ascii="Arial" w:cs="Arial" w:eastAsia="Arial" w:hAnsi="Arial"/>
          <w:sz w:val="16"/>
          <w:szCs w:val="16"/>
          <w:color w:val="D7282F"/>
        </w:rPr>
      </w:pPr>
    </w:p>
    <w:p>
      <w:pPr>
        <w:ind w:left="200" w:hanging="192"/>
        <w:spacing w:after="0" w:line="304" w:lineRule="auto"/>
        <w:tabs>
          <w:tab w:leader="none" w:pos="197" w:val="left"/>
        </w:tabs>
        <w:numPr>
          <w:ilvl w:val="0"/>
          <w:numId w:val="8"/>
        </w:numPr>
        <w:rPr>
          <w:rFonts w:ascii="Arial" w:cs="Arial" w:eastAsia="Arial" w:hAnsi="Arial"/>
          <w:sz w:val="16"/>
          <w:szCs w:val="16"/>
          <w:color w:val="D7282F"/>
        </w:rPr>
      </w:pPr>
      <w:r>
        <w:rPr>
          <w:rFonts w:ascii="Arial" w:cs="Arial" w:eastAsia="Arial" w:hAnsi="Arial"/>
          <w:sz w:val="16"/>
          <w:szCs w:val="16"/>
          <w:color w:val="auto"/>
        </w:rPr>
        <w:t>The unfavorable impact of foreign currency translation, driven by the strengthening of the U.S. Dollar against the currencies of the majority of our international markets, primarily the Euro, British Pound, Turkish Lira, and Australian Dollar.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with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9"/>
        </w:numPr>
        <w:rPr>
          <w:rFonts w:ascii="Arial" w:cs="Arial" w:eastAsia="Arial" w:hAnsi="Arial"/>
          <w:sz w:val="16"/>
          <w:szCs w:val="16"/>
          <w:color w:val="D7282F"/>
        </w:rPr>
      </w:pPr>
      <w:r>
        <w:rPr>
          <w:rFonts w:ascii="Arial" w:cs="Arial" w:eastAsia="Arial" w:hAnsi="Arial"/>
          <w:sz w:val="16"/>
          <w:szCs w:val="16"/>
          <w:color w:val="auto"/>
        </w:rPr>
        <w:t>Higher repositioning and other charges,</w:t>
      </w:r>
    </w:p>
    <w:p>
      <w:pPr>
        <w:spacing w:after="0" w:line="72" w:lineRule="exact"/>
        <w:rPr>
          <w:rFonts w:ascii="Arial" w:cs="Arial" w:eastAsia="Arial" w:hAnsi="Arial"/>
          <w:sz w:val="16"/>
          <w:szCs w:val="16"/>
          <w:color w:val="D7282F"/>
        </w:rPr>
      </w:pPr>
    </w:p>
    <w:p>
      <w:pPr>
        <w:ind w:left="200" w:hanging="192"/>
        <w:spacing w:after="0" w:line="304" w:lineRule="auto"/>
        <w:tabs>
          <w:tab w:leader="none" w:pos="197" w:val="left"/>
        </w:tabs>
        <w:numPr>
          <w:ilvl w:val="0"/>
          <w:numId w:val="9"/>
        </w:numPr>
        <w:rPr>
          <w:rFonts w:ascii="Arial" w:cs="Arial" w:eastAsia="Arial" w:hAnsi="Arial"/>
          <w:sz w:val="16"/>
          <w:szCs w:val="16"/>
          <w:color w:val="D7282F"/>
        </w:rPr>
      </w:pPr>
      <w:r>
        <w:rPr>
          <w:rFonts w:ascii="Arial" w:cs="Arial" w:eastAsia="Arial" w:hAnsi="Arial"/>
          <w:sz w:val="16"/>
          <w:szCs w:val="16"/>
          <w:color w:val="auto"/>
        </w:rPr>
        <w:t>Partially offset by lower sales volumes in our Safety and Productivity Solutions reportable business segment, and favorable impact of foreign currency translation.</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97"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0"/>
        </w:numPr>
        <w:rPr>
          <w:rFonts w:ascii="Arial" w:cs="Arial" w:eastAsia="Arial" w:hAnsi="Arial"/>
          <w:sz w:val="16"/>
          <w:szCs w:val="16"/>
          <w:color w:val="D7282F"/>
        </w:rPr>
      </w:pPr>
      <w:r>
        <w:rPr>
          <w:rFonts w:ascii="Arial" w:cs="Arial" w:eastAsia="Arial" w:hAnsi="Arial"/>
          <w:sz w:val="16"/>
          <w:szCs w:val="16"/>
          <w:color w:val="auto"/>
        </w:rPr>
        <w:t>Higher repositioning and other charges,</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10"/>
        </w:numPr>
        <w:rPr>
          <w:rFonts w:ascii="Arial" w:cs="Arial" w:eastAsia="Arial" w:hAnsi="Arial"/>
          <w:sz w:val="16"/>
          <w:szCs w:val="16"/>
          <w:color w:val="D7282F"/>
        </w:rPr>
      </w:pPr>
      <w:r>
        <w:rPr>
          <w:rFonts w:ascii="Arial" w:cs="Arial" w:eastAsia="Arial" w:hAnsi="Arial"/>
          <w:sz w:val="16"/>
          <w:szCs w:val="16"/>
          <w:color w:val="auto"/>
        </w:rPr>
        <w:t>Partially offset by lower sales volumes in our Safety and Productivity Solutions reportable business segment, and favorable impact of foreign currency translation.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with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Gross margin and Gross margin as a percentage of 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6"/>
          <w:szCs w:val="16"/>
          <w:color w:val="D7282F"/>
        </w:rPr>
      </w:pPr>
      <w:r>
        <w:rPr>
          <w:rFonts w:ascii="Arial" w:cs="Arial" w:eastAsia="Arial" w:hAnsi="Arial"/>
          <w:sz w:val="16"/>
          <w:szCs w:val="16"/>
          <w:color w:val="auto"/>
        </w:rPr>
        <w:t>Favorable pricing,</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11"/>
        </w:numPr>
        <w:rPr>
          <w:rFonts w:ascii="Arial" w:cs="Arial" w:eastAsia="Arial" w:hAnsi="Arial"/>
          <w:sz w:val="16"/>
          <w:szCs w:val="16"/>
          <w:color w:val="D7282F"/>
        </w:rPr>
      </w:pPr>
      <w:r>
        <w:rPr>
          <w:rFonts w:ascii="Arial" w:cs="Arial" w:eastAsia="Arial" w:hAnsi="Arial"/>
          <w:sz w:val="16"/>
          <w:szCs w:val="16"/>
          <w:color w:val="auto"/>
        </w:rPr>
        <w:t>Partially offset by lower gross margins due to higher direct and indirect material costs and higher labor costs, higher repositioning and other charges, and lower sales volumes in our Safety and Productivity Solutions reportable business segment.</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Gross margin and Gross margin as a percentage of 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6"/>
          <w:szCs w:val="16"/>
          <w:color w:val="D7282F"/>
        </w:rPr>
      </w:pPr>
      <w:r>
        <w:rPr>
          <w:rFonts w:ascii="Arial" w:cs="Arial" w:eastAsia="Arial" w:hAnsi="Arial"/>
          <w:sz w:val="16"/>
          <w:szCs w:val="16"/>
          <w:color w:val="auto"/>
        </w:rPr>
        <w:t>Favorable pricing,</w:t>
      </w:r>
    </w:p>
    <w:p>
      <w:pPr>
        <w:spacing w:after="0" w:line="86" w:lineRule="exact"/>
        <w:rPr>
          <w:rFonts w:ascii="Arial" w:cs="Arial" w:eastAsia="Arial" w:hAnsi="Arial"/>
          <w:sz w:val="16"/>
          <w:szCs w:val="16"/>
          <w:color w:val="D7282F"/>
        </w:rPr>
      </w:pPr>
    </w:p>
    <w:p>
      <w:pPr>
        <w:ind w:left="200" w:right="20" w:hanging="192"/>
        <w:spacing w:after="0" w:line="304" w:lineRule="auto"/>
        <w:tabs>
          <w:tab w:leader="none" w:pos="197" w:val="left"/>
        </w:tabs>
        <w:numPr>
          <w:ilvl w:val="0"/>
          <w:numId w:val="12"/>
        </w:numPr>
        <w:rPr>
          <w:rFonts w:ascii="Arial" w:cs="Arial" w:eastAsia="Arial" w:hAnsi="Arial"/>
          <w:sz w:val="16"/>
          <w:szCs w:val="16"/>
          <w:color w:val="D7282F"/>
        </w:rPr>
      </w:pPr>
      <w:r>
        <w:rPr>
          <w:rFonts w:ascii="Arial" w:cs="Arial" w:eastAsia="Arial" w:hAnsi="Arial"/>
          <w:sz w:val="16"/>
          <w:szCs w:val="16"/>
          <w:color w:val="auto"/>
        </w:rPr>
        <w:t>Partially offset by lower gross margins due to higher direct and indirect material costs and higher labor costs, higher repositioning and other charges and lower sales volumes in our Safety and Productivity Solutions reportable business segment.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1543050" cy="2314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0" cy="231457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80645</wp:posOffset>
            </wp:positionV>
            <wp:extent cx="2186305" cy="2314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8630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with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primarily due to higher labor costs.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111"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Higher labor costs, and</w:t>
      </w:r>
    </w:p>
    <w:p>
      <w:pPr>
        <w:spacing w:after="0" w:line="72" w:lineRule="exact"/>
        <w:rPr>
          <w:rFonts w:ascii="Arial" w:cs="Arial" w:eastAsia="Arial" w:hAnsi="Arial"/>
          <w:sz w:val="16"/>
          <w:szCs w:val="16"/>
          <w:color w:val="D7282F"/>
        </w:rPr>
      </w:pPr>
    </w:p>
    <w:p>
      <w:pPr>
        <w:ind w:left="200" w:right="20" w:hanging="192"/>
        <w:spacing w:after="0" w:line="304" w:lineRule="auto"/>
        <w:tabs>
          <w:tab w:leader="none" w:pos="197" w:val="left"/>
        </w:tabs>
        <w:numPr>
          <w:ilvl w:val="0"/>
          <w:numId w:val="13"/>
        </w:numPr>
        <w:rPr>
          <w:rFonts w:ascii="Arial" w:cs="Arial" w:eastAsia="Arial" w:hAnsi="Arial"/>
          <w:sz w:val="16"/>
          <w:szCs w:val="16"/>
          <w:color w:val="DC202E"/>
        </w:rPr>
      </w:pPr>
      <w:r>
        <w:rPr>
          <w:rFonts w:ascii="Arial" w:cs="Arial" w:eastAsia="Arial" w:hAnsi="Arial"/>
          <w:sz w:val="16"/>
          <w:szCs w:val="16"/>
          <w:color w:val="auto"/>
        </w:rPr>
        <w:t>Higher repositioning and other costs, including charges and accrual of reserves directly attributable to the initial Suspension and Wind down of businesses and operations in Russia.</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2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r>
      <w:tr>
        <w:trPr>
          <w:trHeight w:val="193"/>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(215)</w:t>
            </w:r>
          </w:p>
        </w:tc>
        <w:tc>
          <w:tcPr>
            <w:tcW w:w="2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(846)</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(1,023)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with Q3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to the following:</w:t>
      </w:r>
    </w:p>
    <w:p>
      <w:pPr>
        <w:spacing w:after="0" w:line="97"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Prior year recognition of an expense related to UOP matters,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Partially offset by lower pension income.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the following:</w:t>
      </w:r>
    </w:p>
    <w:p>
      <w:pPr>
        <w:spacing w:after="0" w:line="111"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6"/>
          <w:szCs w:val="16"/>
          <w:color w:val="DC202E"/>
        </w:rPr>
      </w:pPr>
      <w:r>
        <w:rPr>
          <w:rFonts w:ascii="Arial" w:cs="Arial" w:eastAsia="Arial" w:hAnsi="Arial"/>
          <w:sz w:val="16"/>
          <w:szCs w:val="16"/>
          <w:color w:val="auto"/>
        </w:rPr>
        <w:t>Lower pension and other postretirement income,</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15"/>
        </w:numPr>
        <w:rPr>
          <w:rFonts w:ascii="Arial" w:cs="Arial" w:eastAsia="Arial" w:hAnsi="Arial"/>
          <w:sz w:val="16"/>
          <w:szCs w:val="16"/>
          <w:color w:val="DC202E"/>
        </w:rPr>
      </w:pPr>
      <w:r>
        <w:rPr>
          <w:rFonts w:ascii="Arial" w:cs="Arial" w:eastAsia="Arial" w:hAnsi="Arial"/>
          <w:sz w:val="16"/>
          <w:szCs w:val="16"/>
          <w:color w:val="auto"/>
        </w:rPr>
        <w:t>Prior year gain on sale of the retail footwear business, and</w:t>
      </w:r>
    </w:p>
    <w:p>
      <w:pPr>
        <w:spacing w:after="0" w:line="72" w:lineRule="exact"/>
        <w:rPr>
          <w:rFonts w:ascii="Arial" w:cs="Arial" w:eastAsia="Arial" w:hAnsi="Arial"/>
          <w:sz w:val="16"/>
          <w:szCs w:val="16"/>
          <w:color w:val="DC202E"/>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Charges and accrual of reserves directly attributable to the initial Suspension and Wind down of businesses and operations in Russia,</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Partially offset by prior year recognition of an expense related to UOP matters.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with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but was higher than the U.S. federal statutory rate of 21%, due to the following:</w:t>
      </w:r>
    </w:p>
    <w:p>
      <w:pPr>
        <w:spacing w:after="0" w:line="70"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6"/>
          <w:szCs w:val="16"/>
          <w:color w:val="DC202E"/>
        </w:rPr>
      </w:pPr>
      <w:r>
        <w:rPr>
          <w:rFonts w:ascii="Arial" w:cs="Arial" w:eastAsia="Arial" w:hAnsi="Arial"/>
          <w:sz w:val="16"/>
          <w:szCs w:val="16"/>
          <w:color w:val="auto"/>
        </w:rPr>
        <w:t>Benefits and changes in reserves attributable to the initial Suspension and Wind down of our businesses and operations in Russia,</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16"/>
        </w:numPr>
        <w:rPr>
          <w:rFonts w:ascii="Arial" w:cs="Arial" w:eastAsia="Arial" w:hAnsi="Arial"/>
          <w:sz w:val="16"/>
          <w:szCs w:val="16"/>
          <w:color w:val="DC202E"/>
        </w:rPr>
      </w:pPr>
      <w:r>
        <w:rPr>
          <w:rFonts w:ascii="Arial" w:cs="Arial" w:eastAsia="Arial" w:hAnsi="Arial"/>
          <w:sz w:val="16"/>
          <w:szCs w:val="16"/>
          <w:color w:val="auto"/>
        </w:rPr>
        <w:t>Absence of expense related to UOP matters without corresponding tax benefit, and</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16"/>
        </w:numPr>
        <w:rPr>
          <w:rFonts w:ascii="Arial" w:cs="Arial" w:eastAsia="Arial" w:hAnsi="Arial"/>
          <w:sz w:val="16"/>
          <w:szCs w:val="16"/>
          <w:color w:val="DC202E"/>
        </w:rPr>
      </w:pPr>
      <w:r>
        <w:rPr>
          <w:rFonts w:ascii="Arial" w:cs="Arial" w:eastAsia="Arial" w:hAnsi="Arial"/>
          <w:sz w:val="16"/>
          <w:szCs w:val="16"/>
          <w:color w:val="auto"/>
        </w:rPr>
        <w:t>Increased benefit related to reversal of valuation allowance and tax reserve accruals,</w:t>
      </w:r>
    </w:p>
    <w:p>
      <w:pPr>
        <w:spacing w:after="0" w:line="72" w:lineRule="exact"/>
        <w:rPr>
          <w:rFonts w:ascii="Arial" w:cs="Arial" w:eastAsia="Arial" w:hAnsi="Arial"/>
          <w:sz w:val="16"/>
          <w:szCs w:val="16"/>
          <w:color w:val="DC202E"/>
        </w:rPr>
      </w:pPr>
    </w:p>
    <w:p>
      <w:pPr>
        <w:ind w:left="200" w:hanging="192"/>
        <w:spacing w:after="0"/>
        <w:tabs>
          <w:tab w:leader="none" w:pos="200" w:val="left"/>
        </w:tabs>
        <w:numPr>
          <w:ilvl w:val="0"/>
          <w:numId w:val="16"/>
        </w:numPr>
        <w:rPr>
          <w:rFonts w:ascii="Arial" w:cs="Arial" w:eastAsia="Arial" w:hAnsi="Arial"/>
          <w:sz w:val="16"/>
          <w:szCs w:val="16"/>
          <w:color w:val="DC202E"/>
        </w:rPr>
      </w:pPr>
      <w:r>
        <w:rPr>
          <w:rFonts w:ascii="Arial" w:cs="Arial" w:eastAsia="Arial" w:hAnsi="Arial"/>
          <w:sz w:val="16"/>
          <w:szCs w:val="16"/>
          <w:color w:val="auto"/>
        </w:rPr>
        <w:t>Partially offset by the favorable resolution of certain foreign tax matters, lower benefits for employee share-based compensation and state taxes.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increased, and was higher than the U.S. federal statutory rate of 21%, due to the following:</w:t>
      </w:r>
    </w:p>
    <w:p>
      <w:pPr>
        <w:spacing w:after="0" w:line="127" w:lineRule="exact"/>
        <w:rPr>
          <w:sz w:val="20"/>
          <w:szCs w:val="20"/>
          <w:color w:val="auto"/>
        </w:rPr>
      </w:pPr>
    </w:p>
    <w:p>
      <w:pPr>
        <w:ind w:left="200" w:hanging="192"/>
        <w:spacing w:after="0" w:line="286" w:lineRule="auto"/>
        <w:tabs>
          <w:tab w:leader="none" w:pos="197" w:val="left"/>
        </w:tabs>
        <w:numPr>
          <w:ilvl w:val="0"/>
          <w:numId w:val="17"/>
        </w:numPr>
        <w:rPr>
          <w:rFonts w:ascii="Arial" w:cs="Arial" w:eastAsia="Arial" w:hAnsi="Arial"/>
          <w:sz w:val="16"/>
          <w:szCs w:val="16"/>
          <w:color w:val="DC202E"/>
        </w:rPr>
      </w:pPr>
      <w:r>
        <w:rPr>
          <w:rFonts w:ascii="Arial" w:cs="Arial" w:eastAsia="Arial" w:hAnsi="Arial"/>
          <w:sz w:val="16"/>
          <w:szCs w:val="16"/>
          <w:color w:val="auto"/>
        </w:rPr>
        <w:t>Charges and accrual of reserves directly attributable to the initial Suspension and Wind down of our businesses and operations in Russia without corresponding tax benefit,</w:t>
      </w:r>
    </w:p>
    <w:p>
      <w:pPr>
        <w:spacing w:after="0" w:line="20" w:lineRule="exact"/>
        <w:rPr>
          <w:rFonts w:ascii="Arial" w:cs="Arial" w:eastAsia="Arial" w:hAnsi="Arial"/>
          <w:sz w:val="16"/>
          <w:szCs w:val="16"/>
          <w:color w:val="DC202E"/>
        </w:rPr>
      </w:pPr>
    </w:p>
    <w:p>
      <w:pPr>
        <w:ind w:left="200" w:hanging="192"/>
        <w:spacing w:after="0"/>
        <w:tabs>
          <w:tab w:leader="none" w:pos="200" w:val="left"/>
        </w:tabs>
        <w:numPr>
          <w:ilvl w:val="0"/>
          <w:numId w:val="17"/>
        </w:numPr>
        <w:rPr>
          <w:rFonts w:ascii="Arial" w:cs="Arial" w:eastAsia="Arial" w:hAnsi="Arial"/>
          <w:sz w:val="16"/>
          <w:szCs w:val="16"/>
          <w:color w:val="DC202E"/>
        </w:rPr>
      </w:pPr>
      <w:r>
        <w:rPr>
          <w:rFonts w:ascii="Arial" w:cs="Arial" w:eastAsia="Arial" w:hAnsi="Arial"/>
          <w:sz w:val="16"/>
          <w:szCs w:val="16"/>
          <w:color w:val="auto"/>
        </w:rPr>
        <w:t>Expense related to UOP matters without corresponding tax benefit,</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17"/>
        </w:numPr>
        <w:rPr>
          <w:rFonts w:ascii="Arial" w:cs="Arial" w:eastAsia="Arial" w:hAnsi="Arial"/>
          <w:sz w:val="16"/>
          <w:szCs w:val="16"/>
          <w:color w:val="DC202E"/>
        </w:rPr>
      </w:pPr>
      <w:r>
        <w:rPr>
          <w:rFonts w:ascii="Arial" w:cs="Arial" w:eastAsia="Arial" w:hAnsi="Arial"/>
          <w:sz w:val="16"/>
          <w:szCs w:val="16"/>
          <w:color w:val="auto"/>
        </w:rPr>
        <w:t>Lower tax benefits for employee share-based compensation, and</w:t>
      </w:r>
    </w:p>
    <w:p>
      <w:pPr>
        <w:spacing w:after="0" w:line="72" w:lineRule="exact"/>
        <w:rPr>
          <w:rFonts w:ascii="Arial" w:cs="Arial" w:eastAsia="Arial" w:hAnsi="Arial"/>
          <w:sz w:val="16"/>
          <w:szCs w:val="16"/>
          <w:color w:val="DC202E"/>
        </w:rPr>
      </w:pPr>
    </w:p>
    <w:p>
      <w:pPr>
        <w:ind w:left="200" w:hanging="192"/>
        <w:spacing w:after="0"/>
        <w:tabs>
          <w:tab w:leader="none" w:pos="200" w:val="left"/>
        </w:tabs>
        <w:numPr>
          <w:ilvl w:val="0"/>
          <w:numId w:val="17"/>
        </w:numPr>
        <w:rPr>
          <w:rFonts w:ascii="Arial" w:cs="Arial" w:eastAsia="Arial" w:hAnsi="Arial"/>
          <w:sz w:val="16"/>
          <w:szCs w:val="16"/>
          <w:color w:val="DC202E"/>
        </w:rPr>
      </w:pPr>
      <w:r>
        <w:rPr>
          <w:rFonts w:ascii="Arial" w:cs="Arial" w:eastAsia="Arial" w:hAnsi="Arial"/>
          <w:sz w:val="16"/>
          <w:szCs w:val="16"/>
          <w:color w:val="auto"/>
        </w:rPr>
        <w:t>Incremental tax reserves and state taxes,</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17"/>
        </w:numPr>
        <w:rPr>
          <w:rFonts w:ascii="Arial" w:cs="Arial" w:eastAsia="Arial" w:hAnsi="Arial"/>
          <w:sz w:val="16"/>
          <w:szCs w:val="16"/>
          <w:color w:val="DC202E"/>
        </w:rPr>
      </w:pPr>
      <w:r>
        <w:rPr>
          <w:rFonts w:ascii="Arial" w:cs="Arial" w:eastAsia="Arial" w:hAnsi="Arial"/>
          <w:sz w:val="16"/>
          <w:szCs w:val="16"/>
          <w:color w:val="auto"/>
        </w:rPr>
        <w:t>Partially offset by the favorable resolution of certain foreign tax matters.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to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1"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6"/>
          <w:szCs w:val="16"/>
          <w:color w:val="DC202E"/>
        </w:rPr>
      </w:pPr>
      <w:r>
        <w:rPr>
          <w:rFonts w:ascii="Arial" w:cs="Arial" w:eastAsia="Arial" w:hAnsi="Arial"/>
          <w:sz w:val="16"/>
          <w:szCs w:val="16"/>
          <w:color w:val="auto"/>
        </w:rPr>
        <w:t>Higher segment profit from all of our reportable business segments,</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18"/>
        </w:numPr>
        <w:rPr>
          <w:rFonts w:ascii="Arial" w:cs="Arial" w:eastAsia="Arial" w:hAnsi="Arial"/>
          <w:sz w:val="16"/>
          <w:szCs w:val="16"/>
          <w:color w:val="DC202E"/>
        </w:rPr>
      </w:pPr>
      <w:r>
        <w:rPr>
          <w:rFonts w:ascii="Arial" w:cs="Arial" w:eastAsia="Arial" w:hAnsi="Arial"/>
          <w:sz w:val="16"/>
          <w:szCs w:val="16"/>
          <w:color w:val="auto"/>
        </w:rPr>
        <w:t>Prior year recognition of an expense related to UOP matters, and</w:t>
      </w:r>
    </w:p>
    <w:p>
      <w:pPr>
        <w:spacing w:after="0" w:line="72" w:lineRule="exact"/>
        <w:rPr>
          <w:rFonts w:ascii="Arial" w:cs="Arial" w:eastAsia="Arial" w:hAnsi="Arial"/>
          <w:sz w:val="16"/>
          <w:szCs w:val="16"/>
          <w:color w:val="DC202E"/>
        </w:rPr>
      </w:pPr>
    </w:p>
    <w:p>
      <w:pPr>
        <w:ind w:left="200" w:hanging="192"/>
        <w:spacing w:after="0"/>
        <w:tabs>
          <w:tab w:leader="none" w:pos="200" w:val="left"/>
        </w:tabs>
        <w:numPr>
          <w:ilvl w:val="0"/>
          <w:numId w:val="18"/>
        </w:numPr>
        <w:rPr>
          <w:rFonts w:ascii="Arial" w:cs="Arial" w:eastAsia="Arial" w:hAnsi="Arial"/>
          <w:sz w:val="16"/>
          <w:szCs w:val="16"/>
          <w:color w:val="DC202E"/>
        </w:rPr>
      </w:pPr>
      <w:r>
        <w:rPr>
          <w:rFonts w:ascii="Arial" w:cs="Arial" w:eastAsia="Arial" w:hAnsi="Arial"/>
          <w:sz w:val="16"/>
          <w:szCs w:val="16"/>
          <w:color w:val="auto"/>
        </w:rPr>
        <w:t>The favorable impact of lower share count.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decreased, due to the following:</w:t>
      </w:r>
    </w:p>
    <w:p>
      <w:pPr>
        <w:spacing w:after="0" w:line="97" w:lineRule="exact"/>
        <w:rPr>
          <w:sz w:val="20"/>
          <w:szCs w:val="20"/>
          <w:color w:val="auto"/>
        </w:rPr>
      </w:pPr>
    </w:p>
    <w:p>
      <w:pPr>
        <w:ind w:left="200" w:hanging="192"/>
        <w:spacing w:after="0" w:line="304" w:lineRule="auto"/>
        <w:tabs>
          <w:tab w:leader="none" w:pos="197"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Higher repositioning and other charges, including charges and accrual of reserves directly attributable to the initial Suspension and Wind down of businesses and operations in Russia,</w:t>
      </w:r>
    </w:p>
    <w:p>
      <w:pPr>
        <w:spacing w:after="0" w:line="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C202E"/>
        </w:rPr>
      </w:pPr>
      <w:r>
        <w:rPr>
          <w:rFonts w:ascii="Arial" w:cs="Arial" w:eastAsia="Arial" w:hAnsi="Arial"/>
          <w:sz w:val="16"/>
          <w:szCs w:val="16"/>
          <w:color w:val="auto"/>
        </w:rPr>
        <w:t>Prior year gain on sale of the retail footwear business, and</w:t>
      </w:r>
    </w:p>
    <w:p>
      <w:pPr>
        <w:spacing w:after="0" w:line="72" w:lineRule="exact"/>
        <w:rPr>
          <w:rFonts w:ascii="Arial" w:cs="Arial" w:eastAsia="Arial" w:hAnsi="Arial"/>
          <w:sz w:val="16"/>
          <w:szCs w:val="16"/>
          <w:color w:val="DC202E"/>
        </w:rPr>
      </w:pPr>
    </w:p>
    <w:p>
      <w:pPr>
        <w:ind w:left="200" w:hanging="192"/>
        <w:spacing w:after="0"/>
        <w:tabs>
          <w:tab w:leader="none" w:pos="200" w:val="left"/>
        </w:tabs>
        <w:numPr>
          <w:ilvl w:val="0"/>
          <w:numId w:val="19"/>
        </w:numPr>
        <w:rPr>
          <w:rFonts w:ascii="Arial" w:cs="Arial" w:eastAsia="Arial" w:hAnsi="Arial"/>
          <w:sz w:val="16"/>
          <w:szCs w:val="16"/>
          <w:color w:val="DC202E"/>
        </w:rPr>
      </w:pPr>
      <w:r>
        <w:rPr>
          <w:rFonts w:ascii="Arial" w:cs="Arial" w:eastAsia="Arial" w:hAnsi="Arial"/>
          <w:sz w:val="16"/>
          <w:szCs w:val="16"/>
          <w:color w:val="auto"/>
        </w:rPr>
        <w:t>Lower pension income,</w:t>
      </w:r>
    </w:p>
    <w:p>
      <w:pPr>
        <w:spacing w:after="0" w:line="86" w:lineRule="exact"/>
        <w:rPr>
          <w:rFonts w:ascii="Arial" w:cs="Arial" w:eastAsia="Arial" w:hAnsi="Arial"/>
          <w:sz w:val="16"/>
          <w:szCs w:val="16"/>
          <w:color w:val="DC202E"/>
        </w:rPr>
      </w:pPr>
    </w:p>
    <w:p>
      <w:pPr>
        <w:ind w:left="200" w:hanging="192"/>
        <w:spacing w:after="0" w:line="286" w:lineRule="auto"/>
        <w:tabs>
          <w:tab w:leader="none" w:pos="197" w:val="left"/>
        </w:tabs>
        <w:numPr>
          <w:ilvl w:val="0"/>
          <w:numId w:val="19"/>
        </w:numPr>
        <w:rPr>
          <w:rFonts w:ascii="Arial" w:cs="Arial" w:eastAsia="Arial" w:hAnsi="Arial"/>
          <w:sz w:val="16"/>
          <w:szCs w:val="16"/>
          <w:color w:val="DC202E"/>
        </w:rPr>
      </w:pPr>
      <w:r>
        <w:rPr>
          <w:rFonts w:ascii="Arial" w:cs="Arial" w:eastAsia="Arial" w:hAnsi="Arial"/>
          <w:sz w:val="16"/>
          <w:szCs w:val="16"/>
          <w:color w:val="auto"/>
        </w:rPr>
        <w:t>Partially offset by higher segment profit driven by our Performance Materials and Technologies, Aerospace, and Honeywell Building Technologies reportable business segments, prior year recognition of an expense related to UOP matters, and the favorable impact of lower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Honeywell Building Technologies, Performance Materials and Technologies, and Safety and Productivity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89535</wp:posOffset>
            </wp:positionV>
            <wp:extent cx="582930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82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10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8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2,976</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2,732</w:t>
            </w:r>
          </w:p>
        </w:tc>
        <w:tc>
          <w:tcPr>
            <w:tcW w:w="8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9 %</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8,623</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8,130</w:t>
            </w:r>
          </w:p>
        </w:tc>
        <w:tc>
          <w:tcPr>
            <w:tcW w:w="8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1,967</w:t>
            </w:r>
          </w:p>
        </w:tc>
        <w:tc>
          <w:tcPr>
            <w:tcW w:w="3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1,828</w:t>
            </w: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5,648</w:t>
            </w:r>
          </w:p>
        </w:tc>
        <w:tc>
          <w:tcPr>
            <w:tcW w:w="34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5,330</w:t>
            </w:r>
          </w:p>
        </w:tc>
        <w:tc>
          <w:tcPr>
            <w:tcW w:w="84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191</w:t>
            </w: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164</w:t>
            </w:r>
          </w:p>
        </w:tc>
        <w:tc>
          <w:tcPr>
            <w:tcW w:w="8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637</w:t>
            </w: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color w:val="auto"/>
              </w:rPr>
              <w:t>588</w:t>
            </w:r>
          </w:p>
        </w:tc>
        <w:tc>
          <w:tcPr>
            <w:tcW w:w="8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818</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740</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2,338</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2,212</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2022 vs. 2021</w:t>
            </w:r>
          </w:p>
        </w:tc>
        <w:tc>
          <w:tcPr>
            <w:tcW w:w="8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18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1860" w:type="dxa"/>
            <w:vAlign w:val="bottom"/>
            <w:tcBorders>
              <w:bottom w:val="single" w:sz="8" w:color="D7282F"/>
            </w:tcBorders>
            <w:gridSpan w:val="2"/>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40" w:type="dxa"/>
            <w:vAlign w:val="bottom"/>
          </w:tcPr>
          <w:p>
            <w:pPr>
              <w:jc w:val="center"/>
              <w:ind w:left="308"/>
              <w:spacing w:after="0" w:line="147" w:lineRule="exact"/>
              <w:rPr>
                <w:sz w:val="20"/>
                <w:szCs w:val="20"/>
                <w:color w:val="auto"/>
              </w:rPr>
            </w:pPr>
            <w:r>
              <w:rPr>
                <w:rFonts w:ascii="Arial" w:cs="Arial" w:eastAsia="Arial" w:hAnsi="Arial"/>
                <w:sz w:val="14"/>
                <w:szCs w:val="14"/>
                <w:b w:val="1"/>
                <w:bCs w:val="1"/>
                <w:color w:val="auto"/>
              </w:rPr>
              <w:t>Net</w:t>
            </w:r>
          </w:p>
        </w:tc>
        <w:tc>
          <w:tcPr>
            <w:tcW w:w="2060" w:type="dxa"/>
            <w:vAlign w:val="bottom"/>
            <w:gridSpan w:val="4"/>
          </w:tcPr>
          <w:p>
            <w:pPr>
              <w:ind w:left="620"/>
              <w:spacing w:after="0" w:line="147" w:lineRule="exact"/>
              <w:rPr>
                <w:sz w:val="20"/>
                <w:szCs w:val="20"/>
                <w:color w:val="auto"/>
              </w:rPr>
            </w:pPr>
            <w:r>
              <w:rPr>
                <w:rFonts w:ascii="Arial" w:cs="Arial" w:eastAsia="Arial" w:hAnsi="Arial"/>
                <w:sz w:val="14"/>
                <w:szCs w:val="14"/>
                <w:b w:val="1"/>
                <w:bCs w:val="1"/>
                <w:color w:val="auto"/>
              </w:rPr>
              <w:t>Segment</w:t>
            </w:r>
          </w:p>
        </w:tc>
        <w:tc>
          <w:tcPr>
            <w:tcW w:w="8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center"/>
              <w:ind w:left="288"/>
              <w:spacing w:after="0"/>
              <w:rPr>
                <w:sz w:val="20"/>
                <w:szCs w:val="20"/>
                <w:color w:val="auto"/>
              </w:rPr>
            </w:pPr>
            <w:r>
              <w:rPr>
                <w:rFonts w:ascii="Arial" w:cs="Arial" w:eastAsia="Arial" w:hAnsi="Arial"/>
                <w:sz w:val="14"/>
                <w:szCs w:val="14"/>
                <w:b w:val="1"/>
                <w:bCs w:val="1"/>
                <w:color w:val="auto"/>
              </w:rPr>
              <w:t>Sales</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8"/>
              </w:rPr>
              <w:t>Sales</w:t>
            </w:r>
          </w:p>
        </w:tc>
        <w:tc>
          <w:tcPr>
            <w:tcW w:w="10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74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10 %</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11 %</w:t>
            </w:r>
          </w:p>
        </w:tc>
        <w:tc>
          <w:tcPr>
            <w:tcW w:w="24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6 %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BCBDC0"/>
            </w:tcBorders>
            <w:gridSpan w:val="3"/>
          </w:tcPr>
          <w:p>
            <w:pPr>
              <w:jc w:val="right"/>
              <w:ind w:right="6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rPr>
              <w:t>— %</w:t>
            </w:r>
          </w:p>
        </w:tc>
        <w:tc>
          <w:tcPr>
            <w:tcW w:w="940" w:type="dxa"/>
            <w:vAlign w:val="bottom"/>
            <w:tcBorders>
              <w:bottom w:val="single" w:sz="8" w:color="D7282F"/>
            </w:tcBorders>
            <w:gridSpan w:val="3"/>
          </w:tcPr>
          <w:p>
            <w:pPr>
              <w:jc w:val="right"/>
              <w:ind w:right="6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9 %</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6 %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8"/>
        <w:spacing w:after="0" w:line="251" w:lineRule="auto"/>
        <w:tabs>
          <w:tab w:leader="none" w:pos="136" w:val="left"/>
        </w:tabs>
        <w:numPr>
          <w:ilvl w:val="0"/>
          <w:numId w:val="20"/>
        </w:numPr>
        <w:rPr>
          <w:rFonts w:ascii="Arial" w:cs="Arial" w:eastAsia="Arial" w:hAnsi="Arial"/>
          <w:sz w:val="15"/>
          <w:szCs w:val="15"/>
          <w:color w:val="auto"/>
          <w:vertAlign w:val="superscript"/>
        </w:rPr>
      </w:pPr>
      <w:r>
        <w:rPr>
          <w:rFonts w:ascii="Arial" w:cs="Arial" w:eastAsia="Arial" w:hAnsi="Arial"/>
          <w:sz w:val="12"/>
          <w:szCs w:val="12"/>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to Q3 2021</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Sales increased due to favorable pricing, higher demand for our aftermarket products and services, as flight hours continued to increase, and commercial OEMs, partially offset by lower volumes in domestic and international defense.</w:t>
      </w:r>
    </w:p>
    <w:p>
      <w:pPr>
        <w:spacing w:after="0" w:line="64" w:lineRule="exact"/>
        <w:rPr>
          <w:sz w:val="20"/>
          <w:szCs w:val="20"/>
          <w:color w:val="auto"/>
        </w:rPr>
      </w:pPr>
    </w:p>
    <w:p>
      <w:pPr>
        <w:ind w:left="200" w:hanging="192"/>
        <w:spacing w:after="0" w:line="304" w:lineRule="auto"/>
        <w:tabs>
          <w:tab w:leader="none" w:pos="197"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Commercial Aviation Original Equipment sales increased 30% (increased 30% organic) due to higher demand and favorable pricing in air transport, and regional and business aviation.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hanging="192"/>
        <w:spacing w:after="0" w:line="286" w:lineRule="auto"/>
        <w:tabs>
          <w:tab w:leader="none" w:pos="197"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Commercial Aviation Aftermarket sales increased 24% (increased 24% organic) due to higher demand and favorable pricing in air transport, and regional and business aviation.</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Defense and Space sales decreased 11% (decreased 10% organic) due to lower sales volumes in domestic and international defense.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and higher sales volumes.</w:t>
      </w:r>
    </w:p>
    <w:p>
      <w:pPr>
        <w:spacing w:after="0" w:line="11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Segment profit increased due to favorable pricing and higher sales volumes, partially offset by higher direct and indirect material costs and higher labor costs.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Sales increased due to favorable pricing, and higher demand for our aftermarket products and services, as flight hours increase from pandemic lows, and commercial OEMs, partially offset by lower volumes in domestic and international defense.</w:t>
      </w:r>
    </w:p>
    <w:p>
      <w:pPr>
        <w:spacing w:after="0" w:line="77"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Commercial Aviation Original Equipment sales increased 20% (increased 21% organic) due to higher demand in air transport.</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Commercial Aviation Aftermarket sales increased 24% (increased 24% organic) due to higher demand and favorable pricing in air transport, and regional and business aviation.</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Defense and Space sales decreased 12% (decreased 12% organic) due to lower sales volumes in domestic and international defense.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and higher sales volumes.</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Segment profit increased due to favorable pricing and higher sales volumes, partially offset by higher direct and indirect material costs and higher labor costs.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9"/>
          <w:szCs w:val="29"/>
          <w:color w:val="D7282F"/>
        </w:rPr>
        <w:t>HONEYWELL BUILDING TECHNOLOGIES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89535</wp:posOffset>
            </wp:positionV>
            <wp:extent cx="1714500" cy="231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0" cy="231457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89535</wp:posOffset>
            </wp:positionV>
            <wp:extent cx="2057400" cy="2314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574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82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10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8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1,526</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1,370</w:t>
            </w:r>
          </w:p>
        </w:tc>
        <w:tc>
          <w:tcPr>
            <w:tcW w:w="8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11 %</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4,486</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4,135</w:t>
            </w:r>
          </w:p>
        </w:tc>
        <w:tc>
          <w:tcPr>
            <w:tcW w:w="8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898</w:t>
            </w:r>
          </w:p>
        </w:tc>
        <w:tc>
          <w:tcPr>
            <w:tcW w:w="3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798</w:t>
            </w: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2,621</w:t>
            </w:r>
          </w:p>
        </w:tc>
        <w:tc>
          <w:tcPr>
            <w:tcW w:w="34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2,409</w:t>
            </w:r>
          </w:p>
        </w:tc>
        <w:tc>
          <w:tcPr>
            <w:tcW w:w="84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260</w:t>
            </w: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250</w:t>
            </w:r>
          </w:p>
        </w:tc>
        <w:tc>
          <w:tcPr>
            <w:tcW w:w="8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801</w:t>
            </w: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color w:val="auto"/>
              </w:rPr>
              <w:t>784</w:t>
            </w:r>
          </w:p>
        </w:tc>
        <w:tc>
          <w:tcPr>
            <w:tcW w:w="8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368</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322</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1,064</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942</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2022 vs. 2021</w:t>
            </w:r>
          </w:p>
        </w:tc>
        <w:tc>
          <w:tcPr>
            <w:tcW w:w="8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18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1860" w:type="dxa"/>
            <w:vAlign w:val="bottom"/>
            <w:tcBorders>
              <w:bottom w:val="single" w:sz="8" w:color="D7282F"/>
            </w:tcBorders>
            <w:gridSpan w:val="2"/>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40" w:type="dxa"/>
            <w:vAlign w:val="bottom"/>
          </w:tcPr>
          <w:p>
            <w:pPr>
              <w:jc w:val="center"/>
              <w:ind w:left="308"/>
              <w:spacing w:after="0" w:line="147" w:lineRule="exact"/>
              <w:rPr>
                <w:sz w:val="20"/>
                <w:szCs w:val="20"/>
                <w:color w:val="auto"/>
              </w:rPr>
            </w:pPr>
            <w:r>
              <w:rPr>
                <w:rFonts w:ascii="Arial" w:cs="Arial" w:eastAsia="Arial" w:hAnsi="Arial"/>
                <w:sz w:val="14"/>
                <w:szCs w:val="14"/>
                <w:b w:val="1"/>
                <w:bCs w:val="1"/>
                <w:color w:val="auto"/>
              </w:rPr>
              <w:t>Net</w:t>
            </w:r>
          </w:p>
        </w:tc>
        <w:tc>
          <w:tcPr>
            <w:tcW w:w="2060" w:type="dxa"/>
            <w:vAlign w:val="bottom"/>
            <w:gridSpan w:val="4"/>
          </w:tcPr>
          <w:p>
            <w:pPr>
              <w:ind w:left="620"/>
              <w:spacing w:after="0" w:line="147" w:lineRule="exact"/>
              <w:rPr>
                <w:sz w:val="20"/>
                <w:szCs w:val="20"/>
                <w:color w:val="auto"/>
              </w:rPr>
            </w:pPr>
            <w:r>
              <w:rPr>
                <w:rFonts w:ascii="Arial" w:cs="Arial" w:eastAsia="Arial" w:hAnsi="Arial"/>
                <w:sz w:val="14"/>
                <w:szCs w:val="14"/>
                <w:b w:val="1"/>
                <w:bCs w:val="1"/>
                <w:color w:val="auto"/>
              </w:rPr>
              <w:t>Segment</w:t>
            </w:r>
          </w:p>
        </w:tc>
        <w:tc>
          <w:tcPr>
            <w:tcW w:w="8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center"/>
              <w:ind w:left="288"/>
              <w:spacing w:after="0"/>
              <w:rPr>
                <w:sz w:val="20"/>
                <w:szCs w:val="20"/>
                <w:color w:val="auto"/>
              </w:rPr>
            </w:pPr>
            <w:r>
              <w:rPr>
                <w:rFonts w:ascii="Arial" w:cs="Arial" w:eastAsia="Arial" w:hAnsi="Arial"/>
                <w:sz w:val="14"/>
                <w:szCs w:val="14"/>
                <w:b w:val="1"/>
                <w:bCs w:val="1"/>
                <w:color w:val="auto"/>
              </w:rPr>
              <w:t>Sales</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8"/>
              </w:rPr>
              <w:t>Sales</w:t>
            </w:r>
          </w:p>
        </w:tc>
        <w:tc>
          <w:tcPr>
            <w:tcW w:w="10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74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19 %</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23 %</w:t>
            </w:r>
          </w:p>
        </w:tc>
        <w:tc>
          <w:tcPr>
            <w:tcW w:w="24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14 %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(6)%</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rPr>
              <w:t>— %</w:t>
            </w:r>
          </w:p>
        </w:tc>
        <w:tc>
          <w:tcPr>
            <w:tcW w:w="940" w:type="dxa"/>
            <w:vAlign w:val="bottom"/>
            <w:tcBorders>
              <w:bottom w:val="single" w:sz="8" w:color="D7282F"/>
            </w:tcBorders>
            <w:gridSpan w:val="3"/>
          </w:tcPr>
          <w:p>
            <w:pPr>
              <w:jc w:val="right"/>
              <w:ind w:right="6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11 %</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8 %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to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due to favorable pricing and higher sales volumes, partially offset by the unfavorable impact of foreign currency translation.</w:t>
      </w:r>
    </w:p>
    <w:p>
      <w:pPr>
        <w:spacing w:after="0" w:line="97" w:lineRule="exact"/>
        <w:rPr>
          <w:sz w:val="20"/>
          <w:szCs w:val="20"/>
          <w:color w:val="auto"/>
        </w:rPr>
      </w:pPr>
    </w:p>
    <w:p>
      <w:pPr>
        <w:ind w:left="200" w:hanging="192"/>
        <w:spacing w:after="0" w:line="304" w:lineRule="auto"/>
        <w:tabs>
          <w:tab w:leader="none" w:pos="197"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Sales in Products increased 16% (increased 23% organic) due to favorable pricing and higher sales volumes, partially offset by the unfavorable impact of foreign currency translation.</w:t>
      </w:r>
    </w:p>
    <w:p>
      <w:pPr>
        <w:spacing w:after="0" w:line="6" w:lineRule="exact"/>
        <w:rPr>
          <w:rFonts w:ascii="Arial" w:cs="Arial" w:eastAsia="Arial" w:hAnsi="Arial"/>
          <w:sz w:val="16"/>
          <w:szCs w:val="16"/>
          <w:color w:val="D7282F"/>
        </w:rPr>
      </w:pPr>
    </w:p>
    <w:p>
      <w:pPr>
        <w:ind w:left="200" w:right="20" w:hanging="192"/>
        <w:spacing w:after="0" w:line="286" w:lineRule="auto"/>
        <w:tabs>
          <w:tab w:leader="none" w:pos="197"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Sales in Building Solutions increased 5% (increased 13% organic) due to favorable pricing and higher sales volumes, partially offset by the unfavorable impact of foreign currency translation.</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and higher volumes of lower margin products, partially offset by the favorable impact of foreign currency translation.</w:t>
      </w:r>
    </w:p>
    <w:p>
      <w:pPr>
        <w:spacing w:after="0" w:line="3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Segment profit increased due to favorable pricing and higher sales volumes, partially offset by higher direct and indirect material costs and higher labor costs, and the unfavorable impact of foreign currency translation.</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due to favorable pricing and higher sales volumes, partially offset by the unfavorable impact of foreign currency translation.</w:t>
      </w:r>
    </w:p>
    <w:p>
      <w:pPr>
        <w:spacing w:after="0" w:line="111" w:lineRule="exact"/>
        <w:rPr>
          <w:sz w:val="20"/>
          <w:szCs w:val="20"/>
          <w:color w:val="auto"/>
        </w:rPr>
      </w:pPr>
    </w:p>
    <w:p>
      <w:pPr>
        <w:ind w:left="200" w:hanging="192"/>
        <w:spacing w:after="0" w:line="286" w:lineRule="auto"/>
        <w:tabs>
          <w:tab w:leader="none" w:pos="197" w:val="left"/>
        </w:tabs>
        <w:numPr>
          <w:ilvl w:val="0"/>
          <w:numId w:val="25"/>
        </w:numPr>
        <w:rPr>
          <w:rFonts w:ascii="Arial" w:cs="Arial" w:eastAsia="Arial" w:hAnsi="Arial"/>
          <w:sz w:val="16"/>
          <w:szCs w:val="16"/>
          <w:color w:val="D7282F"/>
        </w:rPr>
      </w:pPr>
      <w:r>
        <w:rPr>
          <w:rFonts w:ascii="Arial" w:cs="Arial" w:eastAsia="Arial" w:hAnsi="Arial"/>
          <w:sz w:val="16"/>
          <w:szCs w:val="16"/>
          <w:color w:val="auto"/>
        </w:rPr>
        <w:t>Sales in Products increased 15% (increased 20% organic) due to favorable pricing and higher sales volumes, partially offset by the unfavorable impact of foreign currency translation.</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25"/>
        </w:numPr>
        <w:rPr>
          <w:rFonts w:ascii="Arial" w:cs="Arial" w:eastAsia="Arial" w:hAnsi="Arial"/>
          <w:sz w:val="16"/>
          <w:szCs w:val="16"/>
          <w:color w:val="D7282F"/>
        </w:rPr>
      </w:pPr>
      <w:r>
        <w:rPr>
          <w:rFonts w:ascii="Arial" w:cs="Arial" w:eastAsia="Arial" w:hAnsi="Arial"/>
          <w:sz w:val="16"/>
          <w:szCs w:val="16"/>
          <w:color w:val="auto"/>
        </w:rPr>
        <w:t>Sales in Building Solutions were flat (increased 6% organic) due to favorable pricing, offset by the unfavorable impact of foreign currency translation.</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and higher volumes of lower margin products, partially offset by the favorable impact of foreign currency translation.</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 profit increased due to favorable pricing and higher sales volumes, partially offset by higher direct and indirect material costs and higher labor costs, and the unfavorable impact of foreign currency translation.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PERFORMANCE MATERIALS AND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82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10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8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2,720</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2,510</w:t>
            </w:r>
          </w:p>
        </w:tc>
        <w:tc>
          <w:tcPr>
            <w:tcW w:w="8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8 %</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7,867</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7,408</w:t>
            </w:r>
          </w:p>
        </w:tc>
        <w:tc>
          <w:tcPr>
            <w:tcW w:w="8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1,774</w:t>
            </w:r>
          </w:p>
        </w:tc>
        <w:tc>
          <w:tcPr>
            <w:tcW w:w="3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1,653</w:t>
            </w: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5,109</w:t>
            </w:r>
          </w:p>
        </w:tc>
        <w:tc>
          <w:tcPr>
            <w:tcW w:w="34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4,940</w:t>
            </w:r>
          </w:p>
        </w:tc>
        <w:tc>
          <w:tcPr>
            <w:tcW w:w="84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331</w:t>
            </w: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299</w:t>
            </w:r>
          </w:p>
        </w:tc>
        <w:tc>
          <w:tcPr>
            <w:tcW w:w="8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1,032</w:t>
            </w: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color w:val="auto"/>
              </w:rPr>
              <w:t>946</w:t>
            </w:r>
          </w:p>
        </w:tc>
        <w:tc>
          <w:tcPr>
            <w:tcW w:w="8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558</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1,726</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1,522</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2022 vs. 2021</w:t>
            </w:r>
          </w:p>
        </w:tc>
        <w:tc>
          <w:tcPr>
            <w:tcW w:w="8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00" w:type="dxa"/>
            <w:vAlign w:val="bottom"/>
          </w:tcPr>
          <w:p>
            <w:pPr>
              <w:spacing w:after="0"/>
              <w:rPr>
                <w:sz w:val="12"/>
                <w:szCs w:val="12"/>
                <w:color w:val="auto"/>
              </w:rPr>
            </w:pPr>
          </w:p>
        </w:tc>
        <w:tc>
          <w:tcPr>
            <w:tcW w:w="18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1860" w:type="dxa"/>
            <w:vAlign w:val="bottom"/>
            <w:tcBorders>
              <w:bottom w:val="single" w:sz="8" w:color="D7282F"/>
            </w:tcBorders>
            <w:gridSpan w:val="2"/>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40" w:type="dxa"/>
            <w:vAlign w:val="bottom"/>
          </w:tcPr>
          <w:p>
            <w:pPr>
              <w:jc w:val="center"/>
              <w:ind w:left="308"/>
              <w:spacing w:after="0" w:line="142" w:lineRule="exact"/>
              <w:rPr>
                <w:sz w:val="20"/>
                <w:szCs w:val="20"/>
                <w:color w:val="auto"/>
              </w:rPr>
            </w:pPr>
            <w:r>
              <w:rPr>
                <w:rFonts w:ascii="Arial" w:cs="Arial" w:eastAsia="Arial" w:hAnsi="Arial"/>
                <w:sz w:val="14"/>
                <w:szCs w:val="14"/>
                <w:b w:val="1"/>
                <w:bCs w:val="1"/>
                <w:color w:val="auto"/>
              </w:rPr>
              <w:t>Net</w:t>
            </w:r>
          </w:p>
        </w:tc>
        <w:tc>
          <w:tcPr>
            <w:tcW w:w="206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rPr>
              <w:t>Segment</w:t>
            </w:r>
          </w:p>
        </w:tc>
        <w:tc>
          <w:tcPr>
            <w:tcW w:w="8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center"/>
              <w:ind w:left="288"/>
              <w:spacing w:after="0"/>
              <w:rPr>
                <w:sz w:val="20"/>
                <w:szCs w:val="20"/>
                <w:color w:val="auto"/>
              </w:rPr>
            </w:pPr>
            <w:r>
              <w:rPr>
                <w:rFonts w:ascii="Arial" w:cs="Arial" w:eastAsia="Arial" w:hAnsi="Arial"/>
                <w:sz w:val="14"/>
                <w:szCs w:val="14"/>
                <w:b w:val="1"/>
                <w:bCs w:val="1"/>
                <w:color w:val="auto"/>
              </w:rPr>
              <w:t>Sales</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8"/>
              </w:rPr>
              <w:t>Sales</w:t>
            </w:r>
          </w:p>
        </w:tc>
        <w:tc>
          <w:tcPr>
            <w:tcW w:w="10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74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14 %</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15 %</w:t>
            </w:r>
          </w:p>
        </w:tc>
        <w:tc>
          <w:tcPr>
            <w:tcW w:w="24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10 %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(4)%</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rPr>
              <w:t>— %</w:t>
            </w:r>
          </w:p>
        </w:tc>
        <w:tc>
          <w:tcPr>
            <w:tcW w:w="940" w:type="dxa"/>
            <w:vAlign w:val="bottom"/>
            <w:tcBorders>
              <w:bottom w:val="single" w:sz="8" w:color="D7282F"/>
            </w:tcBorders>
            <w:gridSpan w:val="3"/>
          </w:tcPr>
          <w:p>
            <w:pPr>
              <w:jc w:val="right"/>
              <w:ind w:right="6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8 %</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6 %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to Q3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due to favorable pricing, partially offset by the unfavorable impact of foreign currency translation.</w:t>
      </w:r>
    </w:p>
    <w:p>
      <w:pPr>
        <w:spacing w:after="0" w:line="97" w:lineRule="exact"/>
        <w:rPr>
          <w:sz w:val="20"/>
          <w:szCs w:val="20"/>
          <w:color w:val="auto"/>
        </w:rPr>
      </w:pPr>
    </w:p>
    <w:p>
      <w:pPr>
        <w:ind w:left="200" w:hanging="192"/>
        <w:spacing w:after="0" w:line="286" w:lineRule="auto"/>
        <w:tabs>
          <w:tab w:leader="none" w:pos="197" w:val="left"/>
        </w:tabs>
        <w:numPr>
          <w:ilvl w:val="0"/>
          <w:numId w:val="26"/>
        </w:numPr>
        <w:rPr>
          <w:rFonts w:ascii="Arial" w:cs="Arial" w:eastAsia="Arial" w:hAnsi="Arial"/>
          <w:sz w:val="16"/>
          <w:szCs w:val="16"/>
          <w:color w:val="D7282F"/>
        </w:rPr>
      </w:pPr>
      <w:r>
        <w:rPr>
          <w:rFonts w:ascii="Arial" w:cs="Arial" w:eastAsia="Arial" w:hAnsi="Arial"/>
          <w:sz w:val="16"/>
          <w:szCs w:val="16"/>
          <w:color w:val="auto"/>
        </w:rPr>
        <w:t>UOP sales increased 6% (increased 6% organic) due to favorable pricing, partially offset by lower demand for new oil and gas projects and the impact of the Russia-Ukraine conflict.</w:t>
      </w:r>
    </w:p>
    <w:p>
      <w:pPr>
        <w:spacing w:after="0" w:line="20" w:lineRule="exact"/>
        <w:rPr>
          <w:rFonts w:ascii="Arial" w:cs="Arial" w:eastAsia="Arial" w:hAnsi="Arial"/>
          <w:sz w:val="16"/>
          <w:szCs w:val="16"/>
          <w:color w:val="D7282F"/>
        </w:rPr>
      </w:pPr>
    </w:p>
    <w:p>
      <w:pPr>
        <w:ind w:left="200" w:hanging="192"/>
        <w:spacing w:after="0" w:line="299" w:lineRule="auto"/>
        <w:tabs>
          <w:tab w:leader="none" w:pos="197" w:val="left"/>
        </w:tabs>
        <w:numPr>
          <w:ilvl w:val="0"/>
          <w:numId w:val="26"/>
        </w:numPr>
        <w:rPr>
          <w:rFonts w:ascii="Arial" w:cs="Arial" w:eastAsia="Arial" w:hAnsi="Arial"/>
          <w:sz w:val="16"/>
          <w:szCs w:val="16"/>
          <w:color w:val="D7282F"/>
        </w:rPr>
      </w:pPr>
      <w:r>
        <w:rPr>
          <w:rFonts w:ascii="Arial" w:cs="Arial" w:eastAsia="Arial" w:hAnsi="Arial"/>
          <w:sz w:val="16"/>
          <w:szCs w:val="16"/>
          <w:color w:val="auto"/>
        </w:rPr>
        <w:t>Process Solutions sales decreased 2% (increased 6% organic) due to the unfavorable impact of foreign currency translation and the impact of the Russia-Ukraine conflict, partially offset by favorable pricing and higher demand for certain products and services.</w:t>
      </w:r>
    </w:p>
    <w:p>
      <w:pPr>
        <w:ind w:left="200" w:hanging="192"/>
        <w:spacing w:after="0" w:line="304" w:lineRule="auto"/>
        <w:tabs>
          <w:tab w:leader="none" w:pos="197" w:val="left"/>
        </w:tabs>
        <w:numPr>
          <w:ilvl w:val="0"/>
          <w:numId w:val="26"/>
        </w:numPr>
        <w:rPr>
          <w:rFonts w:ascii="Arial" w:cs="Arial" w:eastAsia="Arial" w:hAnsi="Arial"/>
          <w:sz w:val="16"/>
          <w:szCs w:val="16"/>
          <w:color w:val="D7282F"/>
        </w:rPr>
      </w:pPr>
      <w:r>
        <w:rPr>
          <w:rFonts w:ascii="Arial" w:cs="Arial" w:eastAsia="Arial" w:hAnsi="Arial"/>
          <w:sz w:val="16"/>
          <w:szCs w:val="16"/>
          <w:color w:val="auto"/>
        </w:rPr>
        <w:t>Advanced Materials sales increased 26% (increased 33% organic) due to favorable pricing and higher demand for fluorine products, partially offset by the unfavorable impact of foreign currency translation.</w:t>
      </w:r>
    </w:p>
    <w:p>
      <w:pPr>
        <w:spacing w:after="0" w:line="3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and lower sales volumes of higher margin products, partially offset by the favorable impact of foreign currency translation.</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 profit increased due to favorable pricing, partially offset by higher direct and indirect material costs and higher labor costs, and lower sales volumes of higher margin products.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Sales increased due to favorable pricing, partially offset by the unfavorable impact of foreign currency translation and lower sales volumes primarily due to the impact of the Russia-Ukraine conflict.</w:t>
      </w:r>
    </w:p>
    <w:p>
      <w:pPr>
        <w:spacing w:after="0" w:line="50" w:lineRule="exact"/>
        <w:rPr>
          <w:sz w:val="20"/>
          <w:szCs w:val="20"/>
          <w:color w:val="auto"/>
        </w:rPr>
      </w:pPr>
    </w:p>
    <w:p>
      <w:pPr>
        <w:ind w:left="200" w:hanging="192"/>
        <w:spacing w:after="0" w:line="299" w:lineRule="auto"/>
        <w:tabs>
          <w:tab w:leader="none" w:pos="197" w:val="left"/>
        </w:tabs>
        <w:numPr>
          <w:ilvl w:val="0"/>
          <w:numId w:val="27"/>
        </w:numPr>
        <w:rPr>
          <w:rFonts w:ascii="Arial" w:cs="Arial" w:eastAsia="Arial" w:hAnsi="Arial"/>
          <w:sz w:val="16"/>
          <w:szCs w:val="16"/>
          <w:color w:val="D7282F"/>
        </w:rPr>
      </w:pPr>
      <w:r>
        <w:rPr>
          <w:rFonts w:ascii="Arial" w:cs="Arial" w:eastAsia="Arial" w:hAnsi="Arial"/>
          <w:sz w:val="16"/>
          <w:szCs w:val="16"/>
          <w:color w:val="auto"/>
        </w:rPr>
        <w:t>UOP sales decreased 1% (decreased 1% organic) due to lower demand for new oil and gas projects and the impact of the Russia-Ukraine conflict, partially offset by favorable pricing.</w:t>
      </w:r>
    </w:p>
    <w:p>
      <w:pPr>
        <w:ind w:left="200" w:hanging="192"/>
        <w:spacing w:after="0" w:line="299" w:lineRule="auto"/>
        <w:tabs>
          <w:tab w:leader="none" w:pos="197" w:val="left"/>
        </w:tabs>
        <w:numPr>
          <w:ilvl w:val="0"/>
          <w:numId w:val="27"/>
        </w:numPr>
        <w:rPr>
          <w:rFonts w:ascii="Arial" w:cs="Arial" w:eastAsia="Arial" w:hAnsi="Arial"/>
          <w:sz w:val="16"/>
          <w:szCs w:val="16"/>
          <w:color w:val="D7282F"/>
        </w:rPr>
      </w:pPr>
      <w:r>
        <w:rPr>
          <w:rFonts w:ascii="Arial" w:cs="Arial" w:eastAsia="Arial" w:hAnsi="Arial"/>
          <w:sz w:val="16"/>
          <w:szCs w:val="16"/>
          <w:color w:val="auto"/>
        </w:rPr>
        <w:t>Process Solutions sales increased 1% (increased 6% organic) due to favorable pricing and higher demand for certain products and services, partially offset by the unfavorable impact of foreign currency translation and the impact of the Russia-Ukraine conflict.</w:t>
      </w:r>
    </w:p>
    <w:p>
      <w:pPr>
        <w:ind w:left="200" w:right="20" w:hanging="192"/>
        <w:spacing w:after="0" w:line="304" w:lineRule="auto"/>
        <w:tabs>
          <w:tab w:leader="none" w:pos="197" w:val="left"/>
        </w:tabs>
        <w:numPr>
          <w:ilvl w:val="0"/>
          <w:numId w:val="27"/>
        </w:numPr>
        <w:rPr>
          <w:rFonts w:ascii="Arial" w:cs="Arial" w:eastAsia="Arial" w:hAnsi="Arial"/>
          <w:sz w:val="16"/>
          <w:szCs w:val="16"/>
          <w:color w:val="D7282F"/>
        </w:rPr>
      </w:pPr>
      <w:r>
        <w:rPr>
          <w:rFonts w:ascii="Arial" w:cs="Arial" w:eastAsia="Arial" w:hAnsi="Arial"/>
          <w:sz w:val="16"/>
          <w:szCs w:val="16"/>
          <w:color w:val="auto"/>
        </w:rPr>
        <w:t>Advanced Materials sales increased 19% (increased 23% organic) due to favorable pricing and higher demand for specialty products, partially offset by the unfavorable impact of foreign currency translation.</w:t>
      </w:r>
    </w:p>
    <w:p>
      <w:pPr>
        <w:spacing w:after="0" w:line="3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partially offset by the favorable impact of foreign currency translation, and lower sales volumes primarily due to the impact of the Russia-Ukraine conflict.</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 profit increased due to favorable pricing, partially offset by higher direct and indirect material costs and higher labor costs, lower sales volumes of higher margin products, and the unfavorable impact of foreign currency translation.</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SAFETY AND PRODUCTIVITY SOLUTIONS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82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9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10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8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1,727</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1,861</w:t>
            </w:r>
          </w:p>
        </w:tc>
        <w:tc>
          <w:tcPr>
            <w:tcW w:w="8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5,300</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6,062</w:t>
            </w:r>
          </w:p>
        </w:tc>
        <w:tc>
          <w:tcPr>
            <w:tcW w:w="8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1,205</w:t>
            </w:r>
          </w:p>
        </w:tc>
        <w:tc>
          <w:tcPr>
            <w:tcW w:w="3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1,369</w:t>
            </w: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3,733</w:t>
            </w:r>
          </w:p>
        </w:tc>
        <w:tc>
          <w:tcPr>
            <w:tcW w:w="34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268"/>
              <w:spacing w:after="0"/>
              <w:rPr>
                <w:sz w:val="20"/>
                <w:szCs w:val="20"/>
                <w:color w:val="auto"/>
              </w:rPr>
            </w:pPr>
            <w:r>
              <w:rPr>
                <w:rFonts w:ascii="Arial" w:cs="Arial" w:eastAsia="Arial" w:hAnsi="Arial"/>
                <w:sz w:val="14"/>
                <w:szCs w:val="14"/>
                <w:color w:val="auto"/>
              </w:rPr>
              <w:t>4,442</w:t>
            </w:r>
          </w:p>
        </w:tc>
        <w:tc>
          <w:tcPr>
            <w:tcW w:w="84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251</w:t>
            </w: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247</w:t>
            </w:r>
          </w:p>
        </w:tc>
        <w:tc>
          <w:tcPr>
            <w:tcW w:w="8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812</w:t>
            </w: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color w:val="auto"/>
              </w:rPr>
              <w:t>780</w:t>
            </w:r>
          </w:p>
        </w:tc>
        <w:tc>
          <w:tcPr>
            <w:tcW w:w="8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271</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245</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755</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840</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2022 vs. 2021</w:t>
            </w:r>
          </w:p>
        </w:tc>
        <w:tc>
          <w:tcPr>
            <w:tcW w:w="8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18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1860" w:type="dxa"/>
            <w:vAlign w:val="bottom"/>
            <w:tcBorders>
              <w:bottom w:val="single" w:sz="8" w:color="D7282F"/>
            </w:tcBorders>
            <w:gridSpan w:val="2"/>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6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rPr>
              <w:t>Net</w:t>
            </w:r>
          </w:p>
        </w:tc>
        <w:tc>
          <w:tcPr>
            <w:tcW w:w="2040" w:type="dxa"/>
            <w:vAlign w:val="bottom"/>
            <w:gridSpan w:val="4"/>
          </w:tcPr>
          <w:p>
            <w:pPr>
              <w:ind w:left="600"/>
              <w:spacing w:after="0" w:line="147" w:lineRule="exact"/>
              <w:rPr>
                <w:sz w:val="20"/>
                <w:szCs w:val="20"/>
                <w:color w:val="auto"/>
              </w:rPr>
            </w:pPr>
            <w:r>
              <w:rPr>
                <w:rFonts w:ascii="Arial" w:cs="Arial" w:eastAsia="Arial" w:hAnsi="Arial"/>
                <w:sz w:val="14"/>
                <w:szCs w:val="14"/>
                <w:b w:val="1"/>
                <w:bCs w:val="1"/>
                <w:color w:val="auto"/>
              </w:rPr>
              <w:t>Segment</w:t>
            </w:r>
          </w:p>
        </w:tc>
        <w:tc>
          <w:tcPr>
            <w:tcW w:w="8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jc w:val="center"/>
              <w:ind w:left="268"/>
              <w:spacing w:after="0"/>
              <w:rPr>
                <w:sz w:val="20"/>
                <w:szCs w:val="20"/>
                <w:color w:val="auto"/>
              </w:rPr>
            </w:pPr>
            <w:r>
              <w:rPr>
                <w:rFonts w:ascii="Arial" w:cs="Arial" w:eastAsia="Arial" w:hAnsi="Arial"/>
                <w:sz w:val="14"/>
                <w:szCs w:val="14"/>
                <w:b w:val="1"/>
                <w:bCs w:val="1"/>
                <w:color w:val="auto"/>
              </w:rPr>
              <w:t>Sales</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8"/>
              </w:rPr>
              <w:t>Sales</w:t>
            </w:r>
          </w:p>
        </w:tc>
        <w:tc>
          <w:tcPr>
            <w:tcW w:w="10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Organic</w:t>
            </w:r>
          </w:p>
        </w:tc>
        <w:tc>
          <w:tcPr>
            <w:tcW w:w="760" w:type="dxa"/>
            <w:vAlign w:val="bottom"/>
            <w:tcBorders>
              <w:bottom w:val="single" w:sz="8" w:color="B1B3B3"/>
            </w:tcBorders>
          </w:tcPr>
          <w:p>
            <w:pPr>
              <w:spacing w:after="0"/>
              <w:rPr>
                <w:sz w:val="16"/>
                <w:szCs w:val="16"/>
                <w:color w:val="auto"/>
              </w:rPr>
            </w:pPr>
          </w:p>
        </w:tc>
        <w:tc>
          <w:tcPr>
            <w:tcW w:w="1100" w:type="dxa"/>
            <w:vAlign w:val="bottom"/>
            <w:tcBorders>
              <w:bottom w:val="single" w:sz="8" w:color="B1B3B3"/>
            </w:tcBorders>
          </w:tcPr>
          <w:p>
            <w:pPr>
              <w:jc w:val="right"/>
              <w:ind w:right="708"/>
              <w:spacing w:after="0"/>
              <w:rPr>
                <w:sz w:val="20"/>
                <w:szCs w:val="20"/>
                <w:color w:val="auto"/>
              </w:rPr>
            </w:pPr>
            <w:r>
              <w:rPr>
                <w:rFonts w:ascii="Arial" w:cs="Arial" w:eastAsia="Arial" w:hAnsi="Arial"/>
                <w:sz w:val="14"/>
                <w:szCs w:val="14"/>
                <w:color w:val="auto"/>
              </w:rPr>
              <w:t>(4)%</w:t>
            </w:r>
          </w:p>
        </w:tc>
        <w:tc>
          <w:tcPr>
            <w:tcW w:w="3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14 %</w:t>
            </w:r>
          </w:p>
        </w:tc>
        <w:tc>
          <w:tcPr>
            <w:tcW w:w="240" w:type="dxa"/>
            <w:vAlign w:val="bottom"/>
            <w:tcBorders>
              <w:bottom w:val="single" w:sz="8" w:color="B1B3B3"/>
            </w:tcBorders>
          </w:tcPr>
          <w:p>
            <w:pPr>
              <w:spacing w:after="0"/>
              <w:rPr>
                <w:sz w:val="16"/>
                <w:szCs w:val="16"/>
                <w:color w:val="auto"/>
              </w:rPr>
            </w:pPr>
          </w:p>
        </w:tc>
        <w:tc>
          <w:tcPr>
            <w:tcW w:w="360" w:type="dxa"/>
            <w:vAlign w:val="bottom"/>
            <w:tcBorders>
              <w:bottom w:val="single" w:sz="8" w:color="B1B3B3"/>
            </w:tcBorders>
          </w:tcPr>
          <w:p>
            <w:pPr>
              <w:spacing w:after="0"/>
              <w:rPr>
                <w:sz w:val="16"/>
                <w:szCs w:val="16"/>
                <w:color w:val="auto"/>
              </w:rPr>
            </w:pPr>
          </w:p>
        </w:tc>
        <w:tc>
          <w:tcPr>
            <w:tcW w:w="840" w:type="dxa"/>
            <w:vAlign w:val="bottom"/>
            <w:tcBorders>
              <w:bottom w:val="single" w:sz="8" w:color="B1B3B3"/>
            </w:tcBorders>
          </w:tcPr>
          <w:p>
            <w:pPr>
              <w:jc w:val="right"/>
              <w:ind w:right="48"/>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60" w:type="dxa"/>
            <w:vAlign w:val="bottom"/>
            <w:tcBorders>
              <w:bottom w:val="single" w:sz="8" w:color="B1B3B3"/>
            </w:tcBorders>
          </w:tcPr>
          <w:p>
            <w:pPr>
              <w:spacing w:after="0"/>
              <w:rPr>
                <w:sz w:val="17"/>
                <w:szCs w:val="17"/>
                <w:color w:val="auto"/>
              </w:rPr>
            </w:pPr>
          </w:p>
        </w:tc>
        <w:tc>
          <w:tcPr>
            <w:tcW w:w="1100" w:type="dxa"/>
            <w:vAlign w:val="bottom"/>
            <w:tcBorders>
              <w:bottom w:val="single" w:sz="8" w:color="B1B3B3"/>
            </w:tcBorders>
          </w:tcPr>
          <w:p>
            <w:pPr>
              <w:jc w:val="right"/>
              <w:ind w:right="708"/>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B1B3B3"/>
            </w:tcBorders>
          </w:tcPr>
          <w:p>
            <w:pPr>
              <w:spacing w:after="0"/>
              <w:rPr>
                <w:sz w:val="17"/>
                <w:szCs w:val="17"/>
                <w:color w:val="auto"/>
              </w:rPr>
            </w:pPr>
          </w:p>
        </w:tc>
        <w:tc>
          <w:tcPr>
            <w:tcW w:w="360" w:type="dxa"/>
            <w:vAlign w:val="bottom"/>
            <w:tcBorders>
              <w:bottom w:val="single" w:sz="8" w:color="B1B3B3"/>
            </w:tcBorders>
          </w:tcPr>
          <w:p>
            <w:pPr>
              <w:spacing w:after="0"/>
              <w:rPr>
                <w:sz w:val="17"/>
                <w:szCs w:val="17"/>
                <w:color w:val="auto"/>
              </w:rPr>
            </w:pPr>
          </w:p>
        </w:tc>
        <w:tc>
          <w:tcPr>
            <w:tcW w:w="840" w:type="dxa"/>
            <w:vAlign w:val="bottom"/>
            <w:tcBorders>
              <w:bottom w:val="single" w:sz="8" w:color="B1B3B3"/>
            </w:tcBorders>
          </w:tcPr>
          <w:p>
            <w:pPr>
              <w:jc w:val="right"/>
              <w:ind w:right="4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w w:val="98"/>
              </w:rPr>
              <w:t>— %</w:t>
            </w:r>
          </w:p>
        </w:tc>
        <w:tc>
          <w:tcPr>
            <w:tcW w:w="940" w:type="dxa"/>
            <w:vAlign w:val="bottom"/>
            <w:tcBorders>
              <w:bottom w:val="single" w:sz="8" w:color="D7282F"/>
            </w:tcBorders>
            <w:gridSpan w:val="3"/>
          </w:tcPr>
          <w:p>
            <w:pPr>
              <w:jc w:val="right"/>
              <w:ind w:right="6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(7)%</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2022 compared to Q3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due to lower sales volumes and the unfavorable impact of foreign currency translation, partially offset by favorable pricing.</w:t>
      </w:r>
    </w:p>
    <w:p>
      <w:pPr>
        <w:spacing w:after="0" w:line="97" w:lineRule="exact"/>
        <w:rPr>
          <w:sz w:val="20"/>
          <w:szCs w:val="20"/>
          <w:color w:val="auto"/>
        </w:rPr>
      </w:pPr>
    </w:p>
    <w:p>
      <w:pPr>
        <w:ind w:left="200" w:hanging="192"/>
        <w:spacing w:after="0" w:line="304" w:lineRule="auto"/>
        <w:tabs>
          <w:tab w:leader="none" w:pos="197" w:val="left"/>
        </w:tabs>
        <w:numPr>
          <w:ilvl w:val="0"/>
          <w:numId w:val="28"/>
        </w:numPr>
        <w:rPr>
          <w:rFonts w:ascii="Arial" w:cs="Arial" w:eastAsia="Arial" w:hAnsi="Arial"/>
          <w:sz w:val="16"/>
          <w:szCs w:val="16"/>
          <w:color w:val="D7282F"/>
        </w:rPr>
      </w:pPr>
      <w:r>
        <w:rPr>
          <w:rFonts w:ascii="Arial" w:cs="Arial" w:eastAsia="Arial" w:hAnsi="Arial"/>
          <w:sz w:val="16"/>
          <w:szCs w:val="16"/>
          <w:color w:val="auto"/>
        </w:rPr>
        <w:t>Sales in Sensing and Safety Technologies decreased 2% (increased 3% organic) due to lower demand for personal protective equipment and the unfavorable impact of foreign currency translation, partially offset by favorable pricing and higher demand for advanced sensing and gas detection.</w:t>
      </w:r>
    </w:p>
    <w:p>
      <w:pPr>
        <w:spacing w:after="0" w:line="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28"/>
        </w:numPr>
        <w:rPr>
          <w:rFonts w:ascii="Arial" w:cs="Arial" w:eastAsia="Arial" w:hAnsi="Arial"/>
          <w:sz w:val="16"/>
          <w:szCs w:val="16"/>
          <w:color w:val="D7282F"/>
        </w:rPr>
      </w:pPr>
      <w:r>
        <w:rPr>
          <w:rFonts w:ascii="Arial" w:cs="Arial" w:eastAsia="Arial" w:hAnsi="Arial"/>
          <w:sz w:val="16"/>
          <w:szCs w:val="16"/>
          <w:color w:val="auto"/>
        </w:rPr>
        <w:t>Sales in Productivity Solutions and Services decreased 2% (increased 2% organic) due to the unfavorable impact of foreign currency translation, partially offset by favorable pricing and higher sales volumes (driven by a licensing agreement executed in the second quarter of 2022, discussed below).</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28"/>
        </w:numPr>
        <w:rPr>
          <w:rFonts w:ascii="Arial" w:cs="Arial" w:eastAsia="Arial" w:hAnsi="Arial"/>
          <w:sz w:val="16"/>
          <w:szCs w:val="16"/>
          <w:color w:val="D7282F"/>
        </w:rPr>
      </w:pPr>
      <w:r>
        <w:rPr>
          <w:rFonts w:ascii="Arial" w:cs="Arial" w:eastAsia="Arial" w:hAnsi="Arial"/>
          <w:sz w:val="16"/>
          <w:szCs w:val="16"/>
          <w:color w:val="auto"/>
        </w:rPr>
        <w:t>Sales in Warehouse and Workflow Solutions decreased 16% (decreased 15% organic) due to lower demand and timing of projects.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Cost of products and services sold decreased due to lower sales volumes and the favorable impact of foreign currency translation, partially offset by higher direct and indirect material costs and higher labor costs.</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 profit increased primarily due to favorable pricing and lower sales volumes of lower margin products, partially offset by higher direct and indirect material costs and higher labor costs.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Sales decreased due to lower sales volumes, the unfavorable impact of foreign currency translation, and the sale of the retail footwear business, partially offset by favorable pricing.</w:t>
      </w:r>
    </w:p>
    <w:p>
      <w:pPr>
        <w:spacing w:after="0" w:line="77" w:lineRule="exact"/>
        <w:rPr>
          <w:sz w:val="20"/>
          <w:szCs w:val="20"/>
          <w:color w:val="auto"/>
        </w:rPr>
      </w:pPr>
    </w:p>
    <w:p>
      <w:pPr>
        <w:jc w:val="both"/>
        <w:ind w:left="200" w:hanging="192"/>
        <w:spacing w:after="0" w:line="275" w:lineRule="auto"/>
        <w:tabs>
          <w:tab w:leader="none" w:pos="197"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Sales in Sensing and Safety Technologies decreased 11% (decreased 7% organic) due to lower demand for personal protective equipment, the unfavorable impact of foreign currency translation, and the sale of the retail footwear business, partially offset by favorable pricing and higher demand for advanced sensing and gas detection.</w:t>
      </w:r>
    </w:p>
    <w:p>
      <w:pPr>
        <w:spacing w:after="0" w:line="15" w:lineRule="exact"/>
        <w:rPr>
          <w:rFonts w:ascii="Arial" w:cs="Arial" w:eastAsia="Arial" w:hAnsi="Arial"/>
          <w:sz w:val="16"/>
          <w:szCs w:val="16"/>
          <w:color w:val="D7282F"/>
        </w:rPr>
      </w:pPr>
    </w:p>
    <w:p>
      <w:pPr>
        <w:ind w:left="200" w:hanging="192"/>
        <w:spacing w:after="0" w:line="299" w:lineRule="auto"/>
        <w:tabs>
          <w:tab w:leader="none" w:pos="197"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Sales in Productivity Solutions and Services increased 8% (increased 12% organic) due to favorable pricing and higher sales volumes (driven by a licensing agreement executed in the second quarter of 2022, discussed below), partially offset by the unfavorable impact of foreign currency translation.</w:t>
      </w:r>
    </w:p>
    <w:p>
      <w:pPr>
        <w:ind w:left="200" w:hanging="192"/>
        <w:spacing w:after="0"/>
        <w:tabs>
          <w:tab w:leader="none" w:pos="200"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Sales in Warehouse and Workflow Solutions decreased 24% (decreased 23% organic) due to lower demand and timing of projects.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Cost of products and services sold decreased due to lower sales volumes, partially offset by higher direct and indirect material costs and higher labor costs, and lower productivity (including a write-down of mask inventory).</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Segment profit decreased primarily due to higher direct and indirect material costs and higher labor costs, lower productivity, and lower sales volumes, partially offset by favorable pricing.</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will receive up to $360 million, paid in equal quarterly installments over eight quarters, beginning with the second quarter of 2022. The Agreement provides each party a license to its existing patent portfolio for use by the other party’s existing products and, resolves all patent-related litigation between the parties.</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considered a separate reportable business segment as segment reporting criteria is not met for the activities reported with Corporate and All Other. The Company continues to monitor the activities in Corporate and All Other to determine the need for further reportable business segment disaggregation.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nine months ended September 30, 2022 and 2021. Cash spending related to our repositioning actions was $206 million in the nine months ended September 30, 2022, and was funded through operating cash flows.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balances.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 As of September 30, 2022, and December 31, 2021, we held $8.0 billion and $11.5 billion, respectively, of cash and cash equivalents, including our short-term investments.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2022, $5.6 billion of the Company’s cash, cash equivalents, and short-term investments are held by non-US subsidiaries. We do not have material amounts related to any jurisdiction subject to currency control restrictions that impact our ability to access and repatriate such amounts. Under current law,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leverage a variety of debt instruments to manage our overall borrowing costs. As of September 30, 2022, and December 31, 2021, our total borrowings were $17.0 billion and $19.6 billion,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Borders>
              <w:bottom w:val="single" w:sz="8" w:color="D7282F"/>
            </w:tcBorders>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1840" w:type="dxa"/>
            <w:vAlign w:val="bottom"/>
            <w:tcBorders>
              <w:bottom w:val="single" w:sz="8" w:color="DC202E"/>
            </w:tcBorders>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620" w:type="dxa"/>
            <w:vAlign w:val="bottom"/>
            <w:tcBorders>
              <w:bottom w:val="single" w:sz="8" w:color="DC202E"/>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778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color w:val="auto"/>
              </w:rPr>
              <w:t>Commercial paper and other short-term borrowings</w:t>
            </w:r>
          </w:p>
        </w:tc>
        <w:tc>
          <w:tcPr>
            <w:tcW w:w="600" w:type="dxa"/>
            <w:vAlign w:val="bottom"/>
            <w:tcBorders>
              <w:bottom w:val="single" w:sz="8" w:color="BCBDC0"/>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3,434</w:t>
            </w:r>
          </w:p>
        </w:tc>
        <w:tc>
          <w:tcPr>
            <w:tcW w:w="22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3,542</w:t>
            </w:r>
          </w:p>
        </w:tc>
      </w:tr>
      <w:tr>
        <w:trPr>
          <w:trHeight w:val="196"/>
        </w:trPr>
        <w:tc>
          <w:tcPr>
            <w:tcW w:w="778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color w:val="auto"/>
              </w:rPr>
              <w:t>Variable rate notes</w:t>
            </w: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622</w:t>
            </w:r>
          </w:p>
        </w:tc>
      </w:tr>
      <w:tr>
        <w:trPr>
          <w:trHeight w:val="196"/>
        </w:trPr>
        <w:tc>
          <w:tcPr>
            <w:tcW w:w="778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color w:val="auto"/>
              </w:rPr>
              <w:t>Fixed rate notes</w:t>
            </w: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13,740</w:t>
            </w:r>
          </w:p>
        </w:tc>
        <w:tc>
          <w:tcPr>
            <w:tcW w:w="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15,314</w:t>
            </w:r>
          </w:p>
        </w:tc>
      </w:tr>
      <w:tr>
        <w:trPr>
          <w:trHeight w:val="196"/>
        </w:trPr>
        <w:tc>
          <w:tcPr>
            <w:tcW w:w="778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282</w:t>
            </w:r>
          </w:p>
        </w:tc>
        <w:tc>
          <w:tcPr>
            <w:tcW w:w="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272</w:t>
            </w:r>
          </w:p>
        </w:tc>
      </w:tr>
      <w:tr>
        <w:trPr>
          <w:trHeight w:val="196"/>
        </w:trPr>
        <w:tc>
          <w:tcPr>
            <w:tcW w:w="778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color w:val="auto"/>
              </w:rPr>
              <w:t>Fair value of hedging instruments</w:t>
            </w: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(294)</w:t>
            </w:r>
          </w:p>
        </w:tc>
        <w:tc>
          <w:tcPr>
            <w:tcW w:w="22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spacing w:after="0"/>
              <w:rPr>
                <w:sz w:val="17"/>
                <w:szCs w:val="17"/>
                <w:color w:val="auto"/>
              </w:rPr>
            </w:pPr>
          </w:p>
        </w:tc>
        <w:tc>
          <w:tcPr>
            <w:tcW w:w="10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77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auto"/>
              </w:rPr>
              <w:t>Debt issuance costs</w:t>
            </w:r>
          </w:p>
        </w:tc>
        <w:tc>
          <w:tcPr>
            <w:tcW w:w="600" w:type="dxa"/>
            <w:vAlign w:val="bottom"/>
            <w:tcBorders>
              <w:bottom w:val="single" w:sz="8" w:color="DC202E"/>
            </w:tcBorders>
          </w:tcPr>
          <w:p>
            <w:pPr>
              <w:spacing w:after="0"/>
              <w:rPr>
                <w:sz w:val="17"/>
                <w:szCs w:val="17"/>
                <w:color w:val="auto"/>
              </w:rPr>
            </w:pPr>
          </w:p>
        </w:tc>
        <w:tc>
          <w:tcPr>
            <w:tcW w:w="102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(199)</w:t>
            </w:r>
          </w:p>
        </w:tc>
        <w:tc>
          <w:tcPr>
            <w:tcW w:w="220" w:type="dxa"/>
            <w:vAlign w:val="bottom"/>
            <w:tcBorders>
              <w:bottom w:val="single" w:sz="8" w:color="D7282F"/>
            </w:tcBorders>
          </w:tcPr>
          <w:p>
            <w:pPr>
              <w:spacing w:after="0"/>
              <w:rPr>
                <w:sz w:val="17"/>
                <w:szCs w:val="17"/>
                <w:color w:val="auto"/>
              </w:rPr>
            </w:pPr>
          </w:p>
        </w:tc>
        <w:tc>
          <w:tcPr>
            <w:tcW w:w="600" w:type="dxa"/>
            <w:vAlign w:val="bottom"/>
            <w:tcBorders>
              <w:bottom w:val="single" w:sz="8" w:color="DC202E"/>
            </w:tcBorders>
          </w:tcPr>
          <w:p>
            <w:pPr>
              <w:spacing w:after="0"/>
              <w:rPr>
                <w:sz w:val="17"/>
                <w:szCs w:val="17"/>
                <w:color w:val="auto"/>
              </w:rPr>
            </w:pPr>
          </w:p>
        </w:tc>
        <w:tc>
          <w:tcPr>
            <w:tcW w:w="102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77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Total borrowings</w:t>
            </w:r>
          </w:p>
        </w:tc>
        <w:tc>
          <w:tcPr>
            <w:tcW w:w="6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16,985</w:t>
            </w:r>
          </w:p>
        </w:tc>
        <w:tc>
          <w:tcPr>
            <w:tcW w:w="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19,599</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primary source of liquidity is our ability to access the corporate bond markets. Through these markets, we issue a variety of long-term fixed rate notes, in a variety of currencies, to manage our overall funding costs.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primary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13" w:lineRule="exact"/>
        <w:rPr>
          <w:sz w:val="20"/>
          <w:szCs w:val="20"/>
          <w:color w:val="auto"/>
        </w:rPr>
      </w:pPr>
    </w:p>
    <w:p>
      <w:pPr>
        <w:jc w:val="both"/>
        <w:ind w:left="200" w:hanging="192"/>
        <w:spacing w:after="0" w:line="262" w:lineRule="auto"/>
        <w:tabs>
          <w:tab w:leader="none" w:pos="197"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March 24, 2022. Amounts borrowed under the 364-Day Credit Agreement are required to be repaid no later than March 23, 2023, unless (i) we elect to convert all then outstanding amounts into a term loan, upon which such amounts shall be repaid in full on March 23, 2024, or (ii) the 364-Day Credit Agreement is terminated earlier pursuant to its terms. The 364-Day Credit Agreement replaced the previously reported $1.5 billion 364-day credit agreement dated as of March 31, 2021, which was terminated in accordance with its terms effective March 24, 2022. As of September 30, 2022, there were no outstanding borrowings under our 364-Day Credit Agreement.</w:t>
      </w:r>
    </w:p>
    <w:p>
      <w:pPr>
        <w:spacing w:after="0" w:line="237"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A $4.0 billion Five Year Credit Agreement (the 5-Year Credit Agreement) with a syndicate of banks, dated March 24, 2022. Commitments under the 5-Year Credit Agreement can be increased pursuant to the terms of the 5-Year Credit Agreement to an aggregate amount not to exceed $4.5 billion. The 5-Year Credit Agreement amended and restated the previously reported $4.0 billion amended and restated five year credit agreement dated as of March 31, 2021. As of September 30, 2022, there were no outstanding borrowings under our 5-Year Credit Agreement.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 current shelf registration statement filed with the Securities and Exchange Commission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September 30, 2022, S&amp;P Global Inc. (S&amp;P), Fitch Ratings Inc. (Fitch), and Moody’s Investor Service (Moody's) have ratings on our debt set forth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BCBDC0"/>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BCBDC0"/>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BCBDC0"/>
            </w:tcBorders>
          </w:tcPr>
          <w:p>
            <w:pPr>
              <w:jc w:val="center"/>
              <w:ind w:left="88"/>
              <w:spacing w:after="0"/>
              <w:rPr>
                <w:sz w:val="20"/>
                <w:szCs w:val="20"/>
                <w:color w:val="auto"/>
              </w:rPr>
            </w:pPr>
            <w:r>
              <w:rPr>
                <w:rFonts w:ascii="Arial" w:cs="Arial" w:eastAsia="Arial" w:hAnsi="Arial"/>
                <w:sz w:val="14"/>
                <w:szCs w:val="14"/>
                <w:color w:val="auto"/>
              </w:rPr>
              <w:t>Stable</w:t>
            </w:r>
          </w:p>
        </w:tc>
      </w:tr>
      <w:tr>
        <w:trPr>
          <w:trHeight w:val="196"/>
        </w:trPr>
        <w:tc>
          <w:tcPr>
            <w:tcW w:w="38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BCBDC0"/>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BCBDC0"/>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BCBDC0"/>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000" w:type="dxa"/>
            <w:vAlign w:val="bottom"/>
            <w:tcBorders>
              <w:bottom w:val="single" w:sz="8" w:color="D7282F"/>
            </w:tcBorders>
            <w:gridSpan w:val="6"/>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w w:val="96"/>
              </w:rPr>
              <w:t>2021</w:t>
            </w:r>
          </w:p>
        </w:tc>
        <w:tc>
          <w:tcPr>
            <w:tcW w:w="92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Variance</w:t>
            </w:r>
          </w:p>
        </w:tc>
      </w:tr>
      <w:tr>
        <w:trPr>
          <w:trHeight w:val="193"/>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10,959</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14,275</w:t>
            </w:r>
          </w:p>
        </w:tc>
        <w:tc>
          <w:tcPr>
            <w:tcW w:w="3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(3,316)</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spacing w:after="0"/>
              <w:rPr>
                <w:sz w:val="17"/>
                <w:szCs w:val="17"/>
                <w:color w:val="auto"/>
              </w:rPr>
            </w:pP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3,947</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4,114</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(167)</w:t>
            </w: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Noncash adjustments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1,202</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675</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527</w:t>
            </w: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Changes in working capital</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(1,415)</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(556)</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(859)</w:t>
            </w:r>
          </w:p>
        </w:tc>
      </w:tr>
      <w:tr>
        <w:trPr>
          <w:trHeight w:val="196"/>
        </w:trPr>
        <w:tc>
          <w:tcPr>
            <w:tcW w:w="8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Other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(826)</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(858)</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r>
        <w:trPr>
          <w:trHeight w:val="196"/>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2,908</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3,375</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(467)</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cash provided by (used for) investing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540</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(1,347)</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1,887</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(6,609)</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(5,195)</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(1,414)</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(21)</w:t>
            </w:r>
          </w:p>
        </w:tc>
        <w:tc>
          <w:tcPr>
            <w:tcW w:w="34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(328)</w:t>
            </w:r>
          </w:p>
        </w:tc>
      </w:tr>
      <w:tr>
        <w:trPr>
          <w:trHeight w:val="196"/>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(3,510)</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(3,188)</w:t>
            </w:r>
          </w:p>
        </w:tc>
        <w:tc>
          <w:tcPr>
            <w:tcW w:w="34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(322)</w:t>
            </w:r>
          </w:p>
        </w:tc>
      </w:tr>
      <w:tr>
        <w:trPr>
          <w:trHeight w:val="199"/>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7,449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11,087</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(3,638)</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Cash related to operating activities decreased due to an unfavorable impact to working capital and a decrease in net income, partially offset by an increase in noncash adjustments, primarily driven by an increase in repositioning and other charges and a gain from the 2021 sale of the retail footwear business.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related to investing activities increased by $1,887 million primarily due to $1,156 million decrease in cash paid for acquisitions, $685 million increase in cash receipts from settlements of derivative contracts, and $133 million net decrease in investments, partially offset by $203 million in proceeds from the 2021 sale of the retail footwear business.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Cash related to financing activities decreased by $1,414 million primarily due to $2,507 million decrease in proceeds from the issuance of long-term debt and $328 million increase in repurchases of common stock, partially offset by $1,537 million decrease in payments of long-term debt.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normal operating cash requirements, our principal future cash requirements will be to fund capital expenditures, share repurchases, dividends, strategic acquisitions and debt repayments. On February 12, 2021, the Board of Directors authorized the repurchase of up to a total of $10 billion of Honeywell common stock, which included amounts remaining under, and replaced, the previously approved share repurchase program. During the nine months ended September 30, 2022, we repurchased common stock of $2,827 million. Refer to the section titled Liquidity and Capital Resources of our 2021 Form 10-K for a discussion of our expected capital expenditures, share repurchases, and dividends for 2022.</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continue to identify opportunities to improve our liquidity and working capital efficiency, which includes the extension of payment terms with our suppliers and sales of our trade receivables to unaffiliated financial institutions without recourse. The impact of these programs is not material to our overall liquidity.</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See Note 8 Long-term Debt and Credit Agreements of Notes to Consolidated Financial Statements for additional discussion of items impacting our liquidity.</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14 Commitments and Contingencies of Notes to Consolidated Financial Statements for further discussion of environmental, asbestos and other litigation matters.</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have been no material changes to our Critical Accounting Estimates presented in our 2021 Annual Report on Form 10-K. For a discussion of the Company’s Critical Accounting Estimates, see the section titled Critical Accounting Estimates in our 2021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331"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2021 Annual Report on Form 10-K. As of September 30, 2022, there has been no material change in this information.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b w:val="1"/>
          <w:bCs w:val="1"/>
          <w:color w:val="auto"/>
        </w:rPr>
        <w:t>Note 14 Commitments and Contingencies of Notes to Consolidated Financial Statements</w:t>
      </w:r>
      <w:r>
        <w:rPr>
          <w:rFonts w:ascii="Arial" w:cs="Arial" w:eastAsia="Arial" w:hAnsi="Arial"/>
          <w:sz w:val="16"/>
          <w:szCs w:val="16"/>
          <w:color w:val="auto"/>
        </w:rPr>
        <w:t xml:space="preserve"> for a discussion of environmental, asbestos and other litigation matters.</w:t>
      </w:r>
    </w:p>
    <w:p>
      <w:pPr>
        <w:spacing w:after="0" w:line="6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2021 Annual Report on Form 10-K under the section titled Risk Factors. For further discussion of our Risk Factors, refer to the section titled Risk Factors in our 2021 Annual Report on Form 10-K.</w:t>
      </w:r>
    </w:p>
    <w:p>
      <w:pPr>
        <w:spacing w:after="0" w:line="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C202E"/>
        </w:rPr>
        <w:t>A significant percentage of our sales and operations is in non-U.S. jurisdictions and is subject to the economic, political, regulatory, foreign exchange, and other risks of international operations, including those from the ongoing Russia-Ukraine conflict.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U.S. continues to implement certain trade actions, including imposing tariffs on certain goods imported from China and other countries, which has resulted in retaliatory tariffs by China and other countries. Additional tariffs, export controls and sanctions laws imposed by the U.S. on a broader range of imports, or further retaliatory trade measures taken by China or other countries in response, could increase the cost of our products.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As a result of these governmental actions, in March 2022, we suspended substantially all of our sales, distribution, and service activities in Russia and Belarus (the Suspension), and in June 2022, we decided to wind down our existing businesses and operations in Russia (the Wind down). Given the uncertainty inherent in our remaining obligations related to our contracts with Russian counterparties, we do not believe it is possible to develop estimates of reasonably possible loss in excess of current accruals for these matters. Based on available information to date, the Company's estimate of potential future losses or other contingencies related to the Suspension and Wind down activities, including guarantee payments or any litigation costs or as otherwise related to our Wind down in Russia, could adversely affect the Company's consolidated results of operations in periods recognized but would not be material with respect to the Company's consolidated financial position.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impacts on our operations and may adversely affect our ability to meet contractual and financial obligations, results of operations, and financial condition.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the extent the current conflict between Russia and Ukraine escalates, it may also negatively impact other risks disclosed in our 2021 Form 10-K and further impact our financial results. Such risks include, but are not limited to, adverse effects on macroeconomic conditions, including inflation and consumer spending; cybersecurity incidents and other disruptions to our information technology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315"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February 12, 2021, the Board of Directors authorized the repurchase of up to a total of $10 billion of Honeywell common stock, which included amounts remaining under, and replaced, the previously approved share repurchase program.</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quarter ended September 30, 2022, Honeywell purchased 2,066,369 shares of its common stock, par value $1 per share. As of September 30, 2022, $4.3 billion remained available for additional share repurchases. The following table summarizes Honeywell’s purchase of its common stock for the quarter ended September 30, 2022: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460" w:type="dxa"/>
            <w:vAlign w:val="bottom"/>
            <w:tcBorders>
              <w:top w:val="single" w:sz="8" w:color="D7282F"/>
            </w:tcBorders>
          </w:tcPr>
          <w:p>
            <w:pPr>
              <w:spacing w:after="0"/>
              <w:rPr>
                <w:sz w:val="12"/>
                <w:szCs w:val="12"/>
                <w:color w:val="auto"/>
              </w:rPr>
            </w:pPr>
          </w:p>
        </w:tc>
        <w:tc>
          <w:tcPr>
            <w:tcW w:w="2360" w:type="dxa"/>
            <w:vAlign w:val="bottom"/>
            <w:tcBorders>
              <w:top w:val="single" w:sz="8" w:color="D7282F"/>
            </w:tcBorders>
          </w:tcPr>
          <w:p>
            <w:pPr>
              <w:spacing w:after="0"/>
              <w:rPr>
                <w:sz w:val="12"/>
                <w:szCs w:val="12"/>
                <w:color w:val="auto"/>
              </w:rPr>
            </w:pPr>
          </w:p>
        </w:tc>
        <w:tc>
          <w:tcPr>
            <w:tcW w:w="400" w:type="dxa"/>
            <w:vAlign w:val="bottom"/>
            <w:tcBorders>
              <w:top w:val="single" w:sz="8" w:color="D7282F"/>
            </w:tcBorders>
          </w:tcPr>
          <w:p>
            <w:pPr>
              <w:spacing w:after="0"/>
              <w:rPr>
                <w:sz w:val="12"/>
                <w:szCs w:val="12"/>
                <w:color w:val="auto"/>
              </w:rPr>
            </w:pPr>
          </w:p>
        </w:tc>
        <w:tc>
          <w:tcPr>
            <w:tcW w:w="740" w:type="dxa"/>
            <w:vAlign w:val="bottom"/>
            <w:tcBorders>
              <w:top w:val="single" w:sz="8" w:color="D7282F"/>
            </w:tcBorders>
          </w:tcPr>
          <w:p>
            <w:pPr>
              <w:spacing w:after="0"/>
              <w:rPr>
                <w:sz w:val="12"/>
                <w:szCs w:val="12"/>
                <w:color w:val="auto"/>
              </w:rPr>
            </w:pPr>
          </w:p>
        </w:tc>
        <w:tc>
          <w:tcPr>
            <w:tcW w:w="1500" w:type="dxa"/>
            <w:vAlign w:val="bottom"/>
            <w:tcBorders>
              <w:top w:val="single" w:sz="8" w:color="D7282F"/>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Total Number</w:t>
            </w:r>
          </w:p>
        </w:tc>
        <w:tc>
          <w:tcPr>
            <w:tcW w:w="1780" w:type="dxa"/>
            <w:vAlign w:val="bottom"/>
            <w:tcBorders>
              <w:top w:val="single" w:sz="8" w:color="D7282F"/>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of Shares</w:t>
            </w:r>
          </w:p>
        </w:tc>
        <w:tc>
          <w:tcPr>
            <w:tcW w:w="1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2360" w:type="dxa"/>
            <w:vAlign w:val="bottom"/>
            <w:vMerge w:val="restart"/>
          </w:tcPr>
          <w:p>
            <w:pPr>
              <w:jc w:val="center"/>
              <w:ind w:left="106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Purchased as</w:t>
            </w:r>
          </w:p>
        </w:tc>
        <w:tc>
          <w:tcPr>
            <w:tcW w:w="420" w:type="dxa"/>
            <w:vAlign w:val="bottom"/>
          </w:tcPr>
          <w:p>
            <w:pPr>
              <w:spacing w:after="0"/>
              <w:rPr>
                <w:sz w:val="12"/>
                <w:szCs w:val="12"/>
                <w:color w:val="auto"/>
              </w:rPr>
            </w:pPr>
          </w:p>
        </w:tc>
        <w:tc>
          <w:tcPr>
            <w:tcW w:w="1360" w:type="dxa"/>
            <w:vAlign w:val="bottom"/>
          </w:tcPr>
          <w:p>
            <w:pPr>
              <w:jc w:val="center"/>
              <w:ind w:right="348"/>
              <w:spacing w:after="0" w:line="13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Part of Publicly</w:t>
            </w: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360" w:type="dxa"/>
            <w:vAlign w:val="bottom"/>
          </w:tcPr>
          <w:p>
            <w:pPr>
              <w:jc w:val="center"/>
              <w:ind w:left="1088"/>
              <w:spacing w:after="0" w:line="145" w:lineRule="exact"/>
              <w:rPr>
                <w:sz w:val="20"/>
                <w:szCs w:val="20"/>
                <w:color w:val="auto"/>
              </w:rPr>
            </w:pPr>
            <w:r>
              <w:rPr>
                <w:rFonts w:ascii="Arial" w:cs="Arial" w:eastAsia="Arial" w:hAnsi="Arial"/>
                <w:sz w:val="14"/>
                <w:szCs w:val="14"/>
                <w:b w:val="1"/>
                <w:bCs w:val="1"/>
                <w:color w:val="auto"/>
              </w:rPr>
              <w:t>Number of</w:t>
            </w:r>
          </w:p>
        </w:tc>
        <w:tc>
          <w:tcPr>
            <w:tcW w:w="1140" w:type="dxa"/>
            <w:vAlign w:val="bottom"/>
            <w:gridSpan w:val="2"/>
            <w:vMerge w:val="continue"/>
          </w:tcPr>
          <w:p>
            <w:pPr>
              <w:spacing w:after="0"/>
              <w:rPr>
                <w:sz w:val="12"/>
                <w:szCs w:val="12"/>
                <w:color w:val="auto"/>
              </w:rPr>
            </w:pPr>
          </w:p>
        </w:tc>
        <w:tc>
          <w:tcPr>
            <w:tcW w:w="15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Announced</w:t>
            </w:r>
          </w:p>
        </w:tc>
        <w:tc>
          <w:tcPr>
            <w:tcW w:w="420" w:type="dxa"/>
            <w:vAlign w:val="bottom"/>
          </w:tcPr>
          <w:p>
            <w:pPr>
              <w:spacing w:after="0"/>
              <w:rPr>
                <w:sz w:val="12"/>
                <w:szCs w:val="12"/>
                <w:color w:val="auto"/>
              </w:rPr>
            </w:pPr>
          </w:p>
        </w:tc>
        <w:tc>
          <w:tcPr>
            <w:tcW w:w="1360" w:type="dxa"/>
            <w:vAlign w:val="bottom"/>
          </w:tcPr>
          <w:p>
            <w:pPr>
              <w:jc w:val="center"/>
              <w:ind w:right="348"/>
              <w:spacing w:after="0" w:line="145"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Period</w:t>
            </w:r>
          </w:p>
        </w:tc>
        <w:tc>
          <w:tcPr>
            <w:tcW w:w="23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Price Paid</w:t>
            </w:r>
          </w:p>
        </w:tc>
        <w:tc>
          <w:tcPr>
            <w:tcW w:w="15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Plans</w:t>
            </w:r>
          </w:p>
        </w:tc>
        <w:tc>
          <w:tcPr>
            <w:tcW w:w="420" w:type="dxa"/>
            <w:vAlign w:val="bottom"/>
          </w:tcPr>
          <w:p>
            <w:pPr>
              <w:spacing w:after="0"/>
              <w:rPr>
                <w:sz w:val="12"/>
                <w:szCs w:val="12"/>
                <w:color w:val="auto"/>
              </w:rPr>
            </w:pPr>
          </w:p>
        </w:tc>
        <w:tc>
          <w:tcPr>
            <w:tcW w:w="136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D7282F"/>
            </w:tcBorders>
            <w:vMerge w:val="continue"/>
          </w:tcPr>
          <w:p>
            <w:pPr>
              <w:spacing w:after="0"/>
              <w:rPr>
                <w:sz w:val="16"/>
                <w:szCs w:val="16"/>
                <w:color w:val="auto"/>
              </w:rPr>
            </w:pPr>
          </w:p>
        </w:tc>
        <w:tc>
          <w:tcPr>
            <w:tcW w:w="2360" w:type="dxa"/>
            <w:vAlign w:val="bottom"/>
            <w:tcBorders>
              <w:bottom w:val="single" w:sz="8" w:color="D7282F"/>
            </w:tcBorders>
          </w:tcPr>
          <w:p>
            <w:pPr>
              <w:jc w:val="center"/>
              <w:ind w:left="1068"/>
              <w:spacing w:after="0"/>
              <w:rPr>
                <w:sz w:val="20"/>
                <w:szCs w:val="20"/>
                <w:color w:val="auto"/>
              </w:rPr>
            </w:pPr>
            <w:r>
              <w:rPr>
                <w:rFonts w:ascii="Arial" w:cs="Arial" w:eastAsia="Arial" w:hAnsi="Arial"/>
                <w:sz w:val="14"/>
                <w:szCs w:val="14"/>
                <w:b w:val="1"/>
                <w:bCs w:val="1"/>
                <w:color w:val="auto"/>
              </w:rPr>
              <w:t>Purchased</w:t>
            </w:r>
          </w:p>
        </w:tc>
        <w:tc>
          <w:tcPr>
            <w:tcW w:w="114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15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or Programs</w:t>
            </w:r>
          </w:p>
        </w:tc>
        <w:tc>
          <w:tcPr>
            <w:tcW w:w="17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July 1-31, 2022</w:t>
            </w:r>
          </w:p>
        </w:tc>
        <w:tc>
          <w:tcPr>
            <w:tcW w:w="23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4,668</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August 1-31, 2022</w:t>
            </w:r>
          </w:p>
        </w:tc>
        <w:tc>
          <w:tcPr>
            <w:tcW w:w="23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756,767</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198.18</w:t>
            </w:r>
          </w:p>
        </w:tc>
        <w:tc>
          <w:tcPr>
            <w:tcW w:w="15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756,767</w:t>
            </w:r>
          </w:p>
        </w:tc>
        <w:tc>
          <w:tcPr>
            <w:tcW w:w="42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September 1-30, 2022</w:t>
            </w:r>
          </w:p>
        </w:tc>
        <w:tc>
          <w:tcPr>
            <w:tcW w:w="23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1,309,602</w:t>
            </w: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183.21</w:t>
            </w:r>
          </w:p>
        </w:tc>
        <w:tc>
          <w:tcPr>
            <w:tcW w:w="1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1,309,602</w:t>
            </w:r>
          </w:p>
        </w:tc>
        <w:tc>
          <w:tcPr>
            <w:tcW w:w="42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Borders>
              <w:bottom w:val="single" w:sz="8" w:color="BCBDC0"/>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Borders>
              <w:bottom w:val="single" w:sz="8" w:color="B1B3B3"/>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320" w:type="dxa"/>
            <w:vAlign w:val="bottom"/>
          </w:tcPr>
          <w:p>
            <w:pPr>
              <w:ind w:left="20"/>
              <w:spacing w:after="0" w:line="143" w:lineRule="exact"/>
              <w:rPr>
                <w:sz w:val="20"/>
                <w:szCs w:val="20"/>
                <w:color w:val="auto"/>
              </w:rPr>
            </w:pPr>
            <w:r>
              <w:rPr>
                <w:rFonts w:ascii="Arial" w:cs="Arial" w:eastAsia="Arial" w:hAnsi="Arial"/>
                <w:sz w:val="14"/>
                <w:szCs w:val="14"/>
                <w:color w:val="auto"/>
              </w:rPr>
              <w:t>10.1*</w:t>
            </w:r>
          </w:p>
        </w:tc>
        <w:tc>
          <w:tcPr>
            <w:tcW w:w="9920" w:type="dxa"/>
            <w:vAlign w:val="bottom"/>
          </w:tcPr>
          <w:p>
            <w:pPr>
              <w:ind w:left="20"/>
              <w:spacing w:after="0" w:line="143" w:lineRule="exact"/>
              <w:rPr>
                <w:rFonts w:ascii="Arial" w:cs="Arial" w:eastAsia="Arial" w:hAnsi="Arial"/>
                <w:sz w:val="14"/>
                <w:szCs w:val="14"/>
                <w:color w:val="auto"/>
              </w:rPr>
            </w:pPr>
            <w:hyperlink r:id="rId84">
              <w:r>
                <w:rPr>
                  <w:rFonts w:ascii="Arial" w:cs="Arial" w:eastAsia="Arial" w:hAnsi="Arial"/>
                  <w:sz w:val="14"/>
                  <w:szCs w:val="14"/>
                  <w:color w:val="auto"/>
                </w:rPr>
                <w:t>Offer letter dated July 26, 2022 from Honeywell International Inc. to Vimal Kapur (incorporated by reference to Exhibit 99 to Honeywell's Form 8-K filed on</w:t>
              </w:r>
            </w:hyperlink>
          </w:p>
        </w:tc>
      </w:tr>
      <w:tr>
        <w:trPr>
          <w:trHeight w:val="189"/>
        </w:trPr>
        <w:tc>
          <w:tcPr>
            <w:tcW w:w="1320" w:type="dxa"/>
            <w:vAlign w:val="bottom"/>
            <w:tcBorders>
              <w:bottom w:val="single" w:sz="8" w:color="BCBDC0"/>
            </w:tcBorders>
          </w:tcPr>
          <w:p>
            <w:pPr>
              <w:spacing w:after="0"/>
              <w:rPr>
                <w:sz w:val="16"/>
                <w:szCs w:val="16"/>
                <w:color w:val="auto"/>
              </w:rPr>
            </w:pPr>
          </w:p>
        </w:tc>
        <w:tc>
          <w:tcPr>
            <w:tcW w:w="9920" w:type="dxa"/>
            <w:vAlign w:val="bottom"/>
            <w:tcBorders>
              <w:bottom w:val="single" w:sz="8" w:color="B1B3B3"/>
            </w:tcBorders>
          </w:tcPr>
          <w:p>
            <w:pPr>
              <w:ind w:left="20"/>
              <w:spacing w:after="0"/>
              <w:rPr>
                <w:rFonts w:ascii="Arial" w:cs="Arial" w:eastAsia="Arial" w:hAnsi="Arial"/>
                <w:sz w:val="14"/>
                <w:szCs w:val="14"/>
                <w:color w:val="auto"/>
              </w:rPr>
            </w:pPr>
            <w:hyperlink r:id="rId84">
              <w:r>
                <w:rPr>
                  <w:rFonts w:ascii="Arial" w:cs="Arial" w:eastAsia="Arial" w:hAnsi="Arial"/>
                  <w:sz w:val="14"/>
                  <w:szCs w:val="14"/>
                  <w:color w:val="auto"/>
                </w:rPr>
                <w:t>July 28, 2022)</w:t>
              </w:r>
            </w:hyperlink>
          </w:p>
        </w:tc>
      </w:tr>
      <w:tr>
        <w:trPr>
          <w:trHeight w:val="192"/>
        </w:trPr>
        <w:tc>
          <w:tcPr>
            <w:tcW w:w="132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31.1</w:t>
            </w:r>
          </w:p>
        </w:tc>
        <w:tc>
          <w:tcPr>
            <w:tcW w:w="992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31.2</w:t>
            </w: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32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9920" w:type="dxa"/>
            <w:vAlign w:val="bottom"/>
          </w:tcPr>
          <w:p>
            <w:pPr>
              <w:ind w:left="2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320" w:type="dxa"/>
            <w:vAlign w:val="bottom"/>
            <w:tcBorders>
              <w:bottom w:val="single" w:sz="8" w:color="BCBDC0"/>
            </w:tcBorders>
          </w:tcPr>
          <w:p>
            <w:pPr>
              <w:spacing w:after="0"/>
              <w:rPr>
                <w:sz w:val="16"/>
                <w:szCs w:val="16"/>
                <w:color w:val="auto"/>
              </w:rPr>
            </w:pP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(furnished herewith)</w:t>
            </w:r>
          </w:p>
        </w:tc>
      </w:tr>
      <w:tr>
        <w:trPr>
          <w:trHeight w:val="142"/>
        </w:trPr>
        <w:tc>
          <w:tcPr>
            <w:tcW w:w="132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9920" w:type="dxa"/>
            <w:vAlign w:val="bottom"/>
          </w:tcPr>
          <w:p>
            <w:pPr>
              <w:ind w:left="2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320" w:type="dxa"/>
            <w:vAlign w:val="bottom"/>
            <w:tcBorders>
              <w:bottom w:val="single" w:sz="8" w:color="BCBDC0"/>
            </w:tcBorders>
          </w:tcPr>
          <w:p>
            <w:pPr>
              <w:spacing w:after="0"/>
              <w:rPr>
                <w:sz w:val="16"/>
                <w:szCs w:val="16"/>
                <w:color w:val="auto"/>
              </w:rPr>
            </w:pP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(furnished herewith)</w:t>
            </w:r>
          </w:p>
        </w:tc>
      </w:tr>
      <w:tr>
        <w:trPr>
          <w:trHeight w:val="192"/>
        </w:trPr>
        <w:tc>
          <w:tcPr>
            <w:tcW w:w="1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95</w:t>
            </w: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32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9920" w:type="dxa"/>
            <w:vAlign w:val="bottom"/>
          </w:tcPr>
          <w:p>
            <w:pPr>
              <w:ind w:left="2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 Inline</w:t>
            </w:r>
          </w:p>
        </w:tc>
      </w:tr>
      <w:tr>
        <w:trPr>
          <w:trHeight w:val="189"/>
        </w:trPr>
        <w:tc>
          <w:tcPr>
            <w:tcW w:w="1320" w:type="dxa"/>
            <w:vAlign w:val="bottom"/>
            <w:tcBorders>
              <w:bottom w:val="single" w:sz="8" w:color="BCBDC0"/>
            </w:tcBorders>
          </w:tcPr>
          <w:p>
            <w:pPr>
              <w:spacing w:after="0"/>
              <w:rPr>
                <w:sz w:val="16"/>
                <w:szCs w:val="16"/>
                <w:color w:val="auto"/>
              </w:rPr>
            </w:pP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XBRL document)</w:t>
            </w:r>
          </w:p>
        </w:tc>
      </w:tr>
      <w:tr>
        <w:trPr>
          <w:trHeight w:val="192"/>
        </w:trPr>
        <w:tc>
          <w:tcPr>
            <w:tcW w:w="1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101.SCH</w:t>
            </w: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101.CAL</w:t>
            </w: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101.DEF</w:t>
            </w: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3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101.LAB</w:t>
            </w:r>
          </w:p>
        </w:tc>
        <w:tc>
          <w:tcPr>
            <w:tcW w:w="99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2"/>
        </w:trPr>
        <w:tc>
          <w:tcPr>
            <w:tcW w:w="1320" w:type="dxa"/>
            <w:vAlign w:val="bottom"/>
          </w:tcPr>
          <w:p>
            <w:pPr>
              <w:ind w:left="20"/>
              <w:spacing w:after="0"/>
              <w:rPr>
                <w:sz w:val="20"/>
                <w:szCs w:val="20"/>
                <w:color w:val="auto"/>
              </w:rPr>
            </w:pPr>
            <w:r>
              <w:rPr>
                <w:rFonts w:ascii="Arial" w:cs="Arial" w:eastAsia="Arial" w:hAnsi="Arial"/>
                <w:sz w:val="14"/>
                <w:szCs w:val="14"/>
                <w:color w:val="auto"/>
              </w:rPr>
              <w:t>101.PRE</w:t>
            </w:r>
          </w:p>
        </w:tc>
        <w:tc>
          <w:tcPr>
            <w:tcW w:w="9920" w:type="dxa"/>
            <w:vAlign w:val="bottom"/>
          </w:tcPr>
          <w:p>
            <w:pPr>
              <w:ind w:left="20"/>
              <w:spacing w:after="0"/>
              <w:rPr>
                <w:sz w:val="20"/>
                <w:szCs w:val="20"/>
                <w:color w:val="auto"/>
              </w:rPr>
            </w:pPr>
            <w:r>
              <w:rPr>
                <w:rFonts w:ascii="Arial" w:cs="Arial" w:eastAsia="Arial" w:hAnsi="Arial"/>
                <w:sz w:val="14"/>
                <w:szCs w:val="14"/>
                <w:color w:val="auto"/>
              </w:rPr>
              <w:t>Inline 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1340" w:hanging="1314"/>
        <w:spacing w:after="0"/>
        <w:tabs>
          <w:tab w:leader="none" w:pos="13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2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9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October 27,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57 </w:t>
      </w:r>
      <w:r>
        <w:rPr>
          <w:rFonts w:ascii="Arial" w:cs="Arial" w:eastAsia="Arial" w:hAnsi="Arial"/>
          <w:sz w:val="14"/>
          <w:szCs w:val="14"/>
          <w:color w:val="000000"/>
        </w:rPr>
        <w:t>Honeywell International Inc.</w:t>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66" w:lineRule="exact"/>
        <w:rPr>
          <w:sz w:val="20"/>
          <w:szCs w:val="20"/>
          <w:color w:val="auto"/>
        </w:rPr>
      </w:pPr>
    </w:p>
    <w:p>
      <w:pPr>
        <w:ind w:left="360" w:hanging="334"/>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Darius Adamczyk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2022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Date: October 27, 2022</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Darius Adamczyk</w:t>
            </w:r>
          </w:p>
        </w:tc>
      </w:tr>
      <w:tr>
        <w:trPr>
          <w:trHeight w:val="218"/>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Darius Adamczyk</w:t>
            </w:r>
          </w:p>
        </w:tc>
      </w:tr>
      <w:tr>
        <w:trPr>
          <w:trHeight w:val="239"/>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2022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Date: October 27, 2022</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18"/>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9"/>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September 30, 2022,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September 30, 2022,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lvl w:ilvl="1">
      <w:lvlJc w:val="left"/>
      <w:lvlText w:val="%2"/>
      <w:numFmt w:val="decimal"/>
      <w:start w:val="10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84" Type="http://schemas.openxmlformats.org/officeDocument/2006/relationships/hyperlink" Target="http://www.sec.gov/Archives/edgar/data/773840/000119312522204108/d3763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2022-10-27T08:13:20Z</dcterms:created>
  <dcterms:modified xsi:type="dcterms:W3CDTF">2022-10-27T08:13:20Z</dcterms:modified>
</cp:coreProperties>
</file>